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E911D" w14:textId="5EE452DD" w:rsidR="00302DBC" w:rsidRDefault="00302DBC" w:rsidP="00302DBC">
      <w:pPr>
        <w:spacing w:after="0"/>
        <w:jc w:val="center"/>
        <w:rPr>
          <w:rFonts w:ascii="Garamond" w:hAnsi="Garamond"/>
          <w:b/>
          <w:sz w:val="32"/>
          <w:lang w:val="en-GB"/>
        </w:rPr>
      </w:pPr>
    </w:p>
    <w:p w14:paraId="784BD467" w14:textId="64CC5127" w:rsidR="00D53DCB" w:rsidRDefault="00D53DCB" w:rsidP="00302DBC">
      <w:pPr>
        <w:spacing w:after="0"/>
        <w:jc w:val="center"/>
        <w:rPr>
          <w:rFonts w:ascii="Garamond" w:hAnsi="Garamond"/>
          <w:b/>
          <w:sz w:val="32"/>
          <w:lang w:val="en-GB"/>
        </w:rPr>
      </w:pPr>
    </w:p>
    <w:p w14:paraId="0D524167" w14:textId="77777777" w:rsidR="00D53DCB" w:rsidRDefault="00D53DCB" w:rsidP="00302DBC">
      <w:pPr>
        <w:spacing w:after="0"/>
        <w:jc w:val="center"/>
        <w:rPr>
          <w:rFonts w:ascii="Garamond" w:hAnsi="Garamond"/>
          <w:b/>
          <w:sz w:val="32"/>
          <w:lang w:val="en-GB"/>
        </w:rPr>
      </w:pPr>
    </w:p>
    <w:p w14:paraId="489E8578" w14:textId="77777777" w:rsidR="00D53DCB" w:rsidRPr="004E7BD2" w:rsidRDefault="00D53DCB" w:rsidP="00302DBC">
      <w:pPr>
        <w:spacing w:after="0"/>
        <w:jc w:val="center"/>
        <w:rPr>
          <w:rFonts w:ascii="Garamond" w:hAnsi="Garamond"/>
          <w:b/>
          <w:sz w:val="32"/>
          <w:lang w:val="en-GB"/>
        </w:rPr>
      </w:pPr>
    </w:p>
    <w:p w14:paraId="4B91BF87" w14:textId="77777777" w:rsidR="00302DBC" w:rsidRPr="004E7BD2" w:rsidRDefault="00302DBC" w:rsidP="00302DBC">
      <w:pPr>
        <w:spacing w:after="0"/>
        <w:jc w:val="center"/>
        <w:rPr>
          <w:rFonts w:ascii="Garamond" w:hAnsi="Garamond"/>
          <w:b/>
          <w:sz w:val="32"/>
          <w:lang w:val="en-GB"/>
        </w:rPr>
      </w:pPr>
    </w:p>
    <w:p w14:paraId="316D8E83" w14:textId="77777777" w:rsidR="00302DBC" w:rsidRPr="004E7BD2" w:rsidRDefault="00302DBC" w:rsidP="00302DBC">
      <w:pPr>
        <w:spacing w:after="0"/>
        <w:jc w:val="center"/>
        <w:rPr>
          <w:rFonts w:ascii="Garamond" w:hAnsi="Garamond"/>
          <w:b/>
          <w:sz w:val="32"/>
          <w:lang w:val="en-GB"/>
        </w:rPr>
      </w:pPr>
      <w:r w:rsidRPr="004E7BD2">
        <w:rPr>
          <w:rFonts w:ascii="Garamond" w:hAnsi="Garamond"/>
          <w:b/>
          <w:sz w:val="32"/>
          <w:lang w:val="en-GB"/>
        </w:rPr>
        <w:t xml:space="preserve">Public Responsiveness to Declining Crime Rates </w:t>
      </w:r>
    </w:p>
    <w:p w14:paraId="530103B7" w14:textId="77777777" w:rsidR="00302DBC" w:rsidRPr="004E7BD2" w:rsidRDefault="00302DBC" w:rsidP="00302DBC">
      <w:pPr>
        <w:spacing w:after="0"/>
        <w:jc w:val="center"/>
        <w:rPr>
          <w:rFonts w:ascii="Garamond" w:hAnsi="Garamond"/>
          <w:b/>
          <w:sz w:val="32"/>
          <w:lang w:val="en-GB"/>
        </w:rPr>
      </w:pPr>
      <w:r w:rsidRPr="004E7BD2">
        <w:rPr>
          <w:rFonts w:ascii="Garamond" w:hAnsi="Garamond"/>
          <w:b/>
          <w:sz w:val="32"/>
          <w:lang w:val="en-GB"/>
        </w:rPr>
        <w:t>in the United States and England &amp; Wales</w:t>
      </w:r>
    </w:p>
    <w:p w14:paraId="68F8724C" w14:textId="04733772" w:rsidR="00302DBC" w:rsidRDefault="00302DBC" w:rsidP="00302DBC">
      <w:pPr>
        <w:jc w:val="center"/>
        <w:rPr>
          <w:rFonts w:ascii="Garamond" w:hAnsi="Garamond"/>
          <w:lang w:val="en-GB"/>
        </w:rPr>
      </w:pPr>
    </w:p>
    <w:p w14:paraId="5322C4A3" w14:textId="77DE9234" w:rsidR="00D53DCB" w:rsidRDefault="00D53DCB" w:rsidP="00302DBC">
      <w:pPr>
        <w:jc w:val="center"/>
        <w:rPr>
          <w:rFonts w:ascii="Garamond" w:hAnsi="Garamond"/>
          <w:lang w:val="en-GB"/>
        </w:rPr>
      </w:pPr>
    </w:p>
    <w:p w14:paraId="309BD1CC" w14:textId="77777777" w:rsidR="00D53DCB" w:rsidRPr="004E7BD2" w:rsidRDefault="00D53DCB" w:rsidP="00302DBC">
      <w:pPr>
        <w:jc w:val="center"/>
        <w:rPr>
          <w:rFonts w:ascii="Garamond" w:hAnsi="Garamond"/>
          <w:lang w:val="en-GB"/>
        </w:rPr>
      </w:pPr>
    </w:p>
    <w:p w14:paraId="1E45C041" w14:textId="77777777" w:rsidR="00302DBC" w:rsidRPr="004E7BD2" w:rsidRDefault="00302DBC" w:rsidP="00302DBC">
      <w:pPr>
        <w:jc w:val="center"/>
        <w:rPr>
          <w:rFonts w:ascii="Garamond" w:hAnsi="Garamond"/>
          <w:lang w:val="en-GB"/>
        </w:rPr>
      </w:pPr>
    </w:p>
    <w:p w14:paraId="74ED2DA4" w14:textId="77777777" w:rsidR="00302DBC" w:rsidRPr="004E7BD2" w:rsidRDefault="00302DBC" w:rsidP="00302DBC">
      <w:pPr>
        <w:jc w:val="center"/>
        <w:rPr>
          <w:rFonts w:ascii="Garamond" w:hAnsi="Garamond"/>
          <w:vertAlign w:val="superscript"/>
          <w:lang w:val="en-GB"/>
        </w:rPr>
      </w:pPr>
      <w:r w:rsidRPr="004E7BD2">
        <w:rPr>
          <w:rFonts w:ascii="Garamond" w:hAnsi="Garamond"/>
          <w:lang w:val="en-GB"/>
        </w:rPr>
        <w:t>Peter K. Enns</w:t>
      </w:r>
      <w:r w:rsidRPr="004E7BD2">
        <w:rPr>
          <w:rFonts w:ascii="Garamond" w:hAnsi="Garamond"/>
          <w:vertAlign w:val="superscript"/>
          <w:lang w:val="en-GB"/>
        </w:rPr>
        <w:t>1</w:t>
      </w:r>
      <w:r w:rsidRPr="004E7BD2">
        <w:rPr>
          <w:rFonts w:ascii="Garamond" w:hAnsi="Garamond"/>
          <w:lang w:val="en-GB"/>
        </w:rPr>
        <w:t>, Jacob Harris</w:t>
      </w:r>
      <w:r w:rsidRPr="004E7BD2">
        <w:rPr>
          <w:rFonts w:ascii="Garamond" w:hAnsi="Garamond"/>
          <w:vertAlign w:val="superscript"/>
          <w:lang w:val="en-GB"/>
        </w:rPr>
        <w:t>1</w:t>
      </w:r>
      <w:r w:rsidRPr="004E7BD2">
        <w:rPr>
          <w:rFonts w:ascii="Garamond" w:hAnsi="Garamond"/>
          <w:lang w:val="en-GB"/>
        </w:rPr>
        <w:t>, John Kenny</w:t>
      </w:r>
      <w:r w:rsidRPr="004E7BD2">
        <w:rPr>
          <w:rFonts w:ascii="Garamond" w:hAnsi="Garamond"/>
          <w:vertAlign w:val="superscript"/>
          <w:lang w:val="en-GB"/>
        </w:rPr>
        <w:t>2</w:t>
      </w:r>
      <w:r w:rsidRPr="004E7BD2">
        <w:rPr>
          <w:rFonts w:ascii="Garamond" w:hAnsi="Garamond"/>
          <w:lang w:val="en-GB"/>
        </w:rPr>
        <w:t xml:space="preserve">, </w:t>
      </w:r>
      <w:proofErr w:type="spellStart"/>
      <w:r w:rsidRPr="004E7BD2">
        <w:rPr>
          <w:rFonts w:ascii="Garamond" w:hAnsi="Garamond"/>
          <w:lang w:val="en-GB"/>
        </w:rPr>
        <w:t>Andra</w:t>
      </w:r>
      <w:proofErr w:type="spellEnd"/>
      <w:r w:rsidRPr="004E7BD2">
        <w:rPr>
          <w:rFonts w:ascii="Garamond" w:hAnsi="Garamond"/>
          <w:lang w:val="en-GB"/>
        </w:rPr>
        <w:t xml:space="preserve"> Roescu</w:t>
      </w:r>
      <w:r w:rsidRPr="004E7BD2">
        <w:rPr>
          <w:rFonts w:ascii="Garamond" w:hAnsi="Garamond"/>
          <w:vertAlign w:val="superscript"/>
          <w:lang w:val="en-GB"/>
        </w:rPr>
        <w:t>3</w:t>
      </w:r>
      <w:r w:rsidRPr="004E7BD2">
        <w:rPr>
          <w:rFonts w:ascii="Garamond" w:hAnsi="Garamond"/>
          <w:lang w:val="en-GB"/>
        </w:rPr>
        <w:t>, Will Jennings</w:t>
      </w:r>
      <w:r w:rsidRPr="004E7BD2">
        <w:rPr>
          <w:rFonts w:ascii="Garamond" w:hAnsi="Garamond"/>
          <w:vertAlign w:val="superscript"/>
          <w:lang w:val="en-GB"/>
        </w:rPr>
        <w:t>3</w:t>
      </w:r>
    </w:p>
    <w:p w14:paraId="49FCD6FA" w14:textId="77777777" w:rsidR="00302DBC" w:rsidRPr="004E7BD2" w:rsidRDefault="00302DBC" w:rsidP="00302DBC">
      <w:pPr>
        <w:jc w:val="center"/>
        <w:rPr>
          <w:rFonts w:ascii="Garamond" w:hAnsi="Garamond"/>
          <w:vertAlign w:val="superscript"/>
          <w:lang w:val="en-GB"/>
        </w:rPr>
      </w:pPr>
    </w:p>
    <w:p w14:paraId="03D00BF7" w14:textId="77777777" w:rsidR="00302DBC" w:rsidRPr="004E7BD2" w:rsidRDefault="00302DBC" w:rsidP="00302DBC">
      <w:pPr>
        <w:jc w:val="center"/>
        <w:rPr>
          <w:rFonts w:ascii="Garamond" w:hAnsi="Garamond"/>
          <w:vertAlign w:val="superscript"/>
          <w:lang w:val="en-GB"/>
        </w:rPr>
      </w:pPr>
    </w:p>
    <w:p w14:paraId="5F67BFB8" w14:textId="77777777" w:rsidR="00302DBC" w:rsidRPr="004E7BD2" w:rsidRDefault="00302DBC" w:rsidP="00302DBC">
      <w:pPr>
        <w:jc w:val="center"/>
        <w:rPr>
          <w:rFonts w:ascii="Garamond" w:hAnsi="Garamond"/>
          <w:lang w:val="en-GB"/>
        </w:rPr>
      </w:pPr>
      <w:r w:rsidRPr="004E7BD2">
        <w:rPr>
          <w:rFonts w:ascii="Garamond" w:hAnsi="Garamond"/>
          <w:vertAlign w:val="superscript"/>
          <w:lang w:val="en-GB"/>
        </w:rPr>
        <w:t xml:space="preserve">1 </w:t>
      </w:r>
      <w:r w:rsidRPr="004E7BD2">
        <w:rPr>
          <w:rFonts w:ascii="Garamond" w:hAnsi="Garamond"/>
          <w:lang w:val="en-GB"/>
        </w:rPr>
        <w:t>Cornell University</w:t>
      </w:r>
    </w:p>
    <w:p w14:paraId="2A32F081" w14:textId="77777777" w:rsidR="00302DBC" w:rsidRPr="004E7BD2" w:rsidRDefault="00302DBC" w:rsidP="00302DBC">
      <w:pPr>
        <w:jc w:val="center"/>
        <w:rPr>
          <w:rFonts w:ascii="Garamond" w:hAnsi="Garamond"/>
          <w:lang w:val="en-GB"/>
        </w:rPr>
      </w:pPr>
      <w:r w:rsidRPr="004E7BD2">
        <w:rPr>
          <w:rFonts w:ascii="Garamond" w:hAnsi="Garamond"/>
          <w:vertAlign w:val="superscript"/>
          <w:lang w:val="en-GB"/>
        </w:rPr>
        <w:t>2</w:t>
      </w:r>
      <w:r w:rsidRPr="004E7BD2">
        <w:rPr>
          <w:rFonts w:ascii="Garamond" w:hAnsi="Garamond"/>
          <w:lang w:val="en-GB"/>
        </w:rPr>
        <w:t xml:space="preserve"> University of East Anglia</w:t>
      </w:r>
    </w:p>
    <w:p w14:paraId="7F414599" w14:textId="77777777" w:rsidR="00302DBC" w:rsidRPr="004E7BD2" w:rsidRDefault="00302DBC" w:rsidP="00302DBC">
      <w:pPr>
        <w:jc w:val="center"/>
        <w:rPr>
          <w:rFonts w:ascii="Garamond" w:hAnsi="Garamond"/>
          <w:lang w:val="en-GB"/>
        </w:rPr>
      </w:pPr>
      <w:r w:rsidRPr="004E7BD2">
        <w:rPr>
          <w:rFonts w:ascii="Garamond" w:hAnsi="Garamond"/>
          <w:vertAlign w:val="superscript"/>
          <w:lang w:val="en-GB"/>
        </w:rPr>
        <w:t>3</w:t>
      </w:r>
      <w:r w:rsidRPr="004E7BD2">
        <w:rPr>
          <w:rFonts w:ascii="Garamond" w:hAnsi="Garamond"/>
          <w:lang w:val="en-GB"/>
        </w:rPr>
        <w:t xml:space="preserve"> University of Southampton</w:t>
      </w:r>
    </w:p>
    <w:p w14:paraId="0617FC64" w14:textId="77777777" w:rsidR="00302DBC" w:rsidRPr="004E7BD2" w:rsidRDefault="00302DBC" w:rsidP="00302DBC">
      <w:pPr>
        <w:rPr>
          <w:rFonts w:ascii="Garamond" w:hAnsi="Garamond"/>
          <w:lang w:val="en-GB"/>
        </w:rPr>
      </w:pPr>
    </w:p>
    <w:p w14:paraId="613A3AE7" w14:textId="77777777" w:rsidR="00302DBC" w:rsidRPr="004E7BD2" w:rsidRDefault="00302DBC" w:rsidP="00302DBC">
      <w:pPr>
        <w:rPr>
          <w:rFonts w:ascii="Garamond" w:hAnsi="Garamond"/>
          <w:lang w:val="en-GB"/>
        </w:rPr>
      </w:pPr>
    </w:p>
    <w:p w14:paraId="11F2A110" w14:textId="77777777" w:rsidR="00302DBC" w:rsidRPr="004E7BD2" w:rsidRDefault="00302DBC" w:rsidP="00302DBC">
      <w:pPr>
        <w:rPr>
          <w:rFonts w:ascii="Garamond" w:hAnsi="Garamond"/>
          <w:lang w:val="en-GB"/>
        </w:rPr>
      </w:pPr>
    </w:p>
    <w:p w14:paraId="2419A0EE" w14:textId="77777777" w:rsidR="00302DBC" w:rsidRPr="004E7BD2" w:rsidRDefault="00302DBC" w:rsidP="00302DBC">
      <w:pPr>
        <w:rPr>
          <w:rFonts w:ascii="Garamond" w:hAnsi="Garamond"/>
          <w:lang w:val="en-GB"/>
        </w:rPr>
      </w:pPr>
    </w:p>
    <w:p w14:paraId="063F9432" w14:textId="77777777" w:rsidR="00302DBC" w:rsidRPr="004E7BD2" w:rsidRDefault="00302DBC" w:rsidP="00302DBC">
      <w:pPr>
        <w:rPr>
          <w:rFonts w:ascii="Garamond" w:hAnsi="Garamond"/>
          <w:lang w:val="en-GB"/>
        </w:rPr>
      </w:pPr>
    </w:p>
    <w:p w14:paraId="5024EB73" w14:textId="77777777" w:rsidR="00302DBC" w:rsidRPr="004E7BD2" w:rsidRDefault="00302DBC" w:rsidP="00302DBC">
      <w:pPr>
        <w:rPr>
          <w:rFonts w:ascii="Garamond" w:hAnsi="Garamond"/>
          <w:lang w:val="en-GB"/>
        </w:rPr>
      </w:pPr>
    </w:p>
    <w:p w14:paraId="336977D7" w14:textId="77777777" w:rsidR="00302DBC" w:rsidRPr="004E7BD2" w:rsidRDefault="00302DBC" w:rsidP="00302DBC">
      <w:pPr>
        <w:rPr>
          <w:rFonts w:ascii="Garamond" w:hAnsi="Garamond"/>
          <w:lang w:val="en-GB"/>
        </w:rPr>
      </w:pPr>
    </w:p>
    <w:p w14:paraId="70273D82" w14:textId="77777777" w:rsidR="00302DBC" w:rsidRPr="004E7BD2" w:rsidRDefault="00302DBC" w:rsidP="00302DBC">
      <w:pPr>
        <w:rPr>
          <w:rFonts w:ascii="Garamond" w:hAnsi="Garamond"/>
          <w:lang w:val="en-GB"/>
        </w:rPr>
      </w:pPr>
    </w:p>
    <w:p w14:paraId="2C6F8C3B" w14:textId="27A3C60A" w:rsidR="00302DBC" w:rsidRDefault="00302DBC" w:rsidP="00302DBC">
      <w:pPr>
        <w:rPr>
          <w:rFonts w:ascii="Garamond" w:hAnsi="Garamond"/>
          <w:lang w:val="en-GB"/>
        </w:rPr>
      </w:pPr>
    </w:p>
    <w:p w14:paraId="50F13B42" w14:textId="77777777" w:rsidR="00D53DCB" w:rsidRPr="004E7BD2" w:rsidRDefault="00D53DCB" w:rsidP="00302DBC">
      <w:pPr>
        <w:rPr>
          <w:rFonts w:ascii="Garamond" w:hAnsi="Garamond"/>
          <w:lang w:val="en-GB"/>
        </w:rPr>
      </w:pPr>
    </w:p>
    <w:p w14:paraId="4E636B68" w14:textId="77777777" w:rsidR="00302DBC" w:rsidRPr="004E7BD2" w:rsidRDefault="00302DBC" w:rsidP="00302DBC">
      <w:pPr>
        <w:rPr>
          <w:rFonts w:ascii="Garamond" w:hAnsi="Garamond"/>
          <w:sz w:val="18"/>
          <w:lang w:val="en-GB"/>
        </w:rPr>
      </w:pPr>
    </w:p>
    <w:p w14:paraId="571C428E" w14:textId="77777777" w:rsidR="00302DBC" w:rsidRPr="004E7BD2" w:rsidRDefault="00302DBC" w:rsidP="00302DBC">
      <w:pPr>
        <w:rPr>
          <w:rFonts w:ascii="Garamond" w:hAnsi="Garamond"/>
          <w:sz w:val="18"/>
          <w:lang w:val="en-GB"/>
        </w:rPr>
      </w:pPr>
    </w:p>
    <w:p w14:paraId="72323041" w14:textId="77777777" w:rsidR="00302DBC" w:rsidRPr="004E7BD2" w:rsidRDefault="00302DBC" w:rsidP="00302DBC">
      <w:pPr>
        <w:rPr>
          <w:rFonts w:ascii="Garamond" w:hAnsi="Garamond"/>
          <w:b/>
          <w:lang w:val="en-GB"/>
        </w:rPr>
      </w:pPr>
      <w:r w:rsidRPr="004E7BD2">
        <w:rPr>
          <w:rFonts w:ascii="Garamond" w:hAnsi="Garamond"/>
          <w:sz w:val="18"/>
          <w:lang w:val="en-GB"/>
        </w:rPr>
        <w:t xml:space="preserve">Funding information: this research was supported by a Cornell Population </w:t>
      </w:r>
      <w:proofErr w:type="spellStart"/>
      <w:r w:rsidRPr="004E7BD2">
        <w:rPr>
          <w:rFonts w:ascii="Garamond" w:hAnsi="Garamond"/>
          <w:sz w:val="18"/>
          <w:lang w:val="en-GB"/>
        </w:rPr>
        <w:t>Center</w:t>
      </w:r>
      <w:proofErr w:type="spellEnd"/>
      <w:r w:rsidRPr="004E7BD2">
        <w:rPr>
          <w:rFonts w:ascii="Garamond" w:hAnsi="Garamond"/>
          <w:sz w:val="18"/>
          <w:lang w:val="en-GB"/>
        </w:rPr>
        <w:t xml:space="preserve"> Grant Development Award, The Charles Koch Foundation, and U.K. Economic and Social Research Council research award ES/S000380/1.</w:t>
      </w:r>
    </w:p>
    <w:p w14:paraId="19BC4C8C" w14:textId="517B33B5" w:rsidR="00142E5A" w:rsidRPr="004E7BD2" w:rsidRDefault="00142E5A" w:rsidP="00D53DCB">
      <w:pPr>
        <w:rPr>
          <w:rFonts w:ascii="Garamond" w:hAnsi="Garamond"/>
          <w:b/>
          <w:lang w:val="en-GB"/>
        </w:rPr>
      </w:pPr>
      <w:r w:rsidRPr="004E7BD2">
        <w:rPr>
          <w:rFonts w:ascii="Garamond" w:hAnsi="Garamond"/>
          <w:b/>
          <w:lang w:val="en-GB"/>
        </w:rPr>
        <w:br w:type="page"/>
      </w:r>
    </w:p>
    <w:p w14:paraId="621522CF" w14:textId="77777777" w:rsidR="00142E5A" w:rsidRPr="004E7BD2" w:rsidRDefault="00142E5A" w:rsidP="00D87EBD">
      <w:pPr>
        <w:jc w:val="center"/>
        <w:rPr>
          <w:rFonts w:ascii="Garamond" w:hAnsi="Garamond"/>
          <w:b/>
          <w:lang w:val="en-GB"/>
        </w:rPr>
      </w:pPr>
    </w:p>
    <w:p w14:paraId="7CCC0C9F" w14:textId="77777777" w:rsidR="00142E5A" w:rsidRPr="004E7BD2" w:rsidRDefault="00142E5A" w:rsidP="00D87EBD">
      <w:pPr>
        <w:jc w:val="center"/>
        <w:rPr>
          <w:rFonts w:ascii="Garamond" w:hAnsi="Garamond"/>
          <w:b/>
          <w:lang w:val="en-GB"/>
        </w:rPr>
      </w:pPr>
    </w:p>
    <w:p w14:paraId="0468E34F" w14:textId="77777777" w:rsidR="00142E5A" w:rsidRPr="004E7BD2" w:rsidRDefault="00142E5A" w:rsidP="00D87EBD">
      <w:pPr>
        <w:jc w:val="center"/>
        <w:rPr>
          <w:rFonts w:ascii="Garamond" w:hAnsi="Garamond"/>
          <w:b/>
          <w:lang w:val="en-GB"/>
        </w:rPr>
      </w:pPr>
    </w:p>
    <w:p w14:paraId="59B0156D" w14:textId="77777777" w:rsidR="00142E5A" w:rsidRPr="004E7BD2" w:rsidRDefault="00142E5A" w:rsidP="00D87EBD">
      <w:pPr>
        <w:jc w:val="center"/>
        <w:rPr>
          <w:rFonts w:ascii="Garamond" w:hAnsi="Garamond"/>
          <w:b/>
          <w:lang w:val="en-GB"/>
        </w:rPr>
      </w:pPr>
    </w:p>
    <w:p w14:paraId="5F480C4C" w14:textId="40C94172" w:rsidR="00142E5A" w:rsidRPr="004E7BD2" w:rsidRDefault="00142E5A" w:rsidP="00D87EBD">
      <w:pPr>
        <w:jc w:val="center"/>
        <w:rPr>
          <w:rFonts w:ascii="Garamond" w:hAnsi="Garamond"/>
          <w:b/>
          <w:lang w:val="en-GB"/>
        </w:rPr>
      </w:pPr>
    </w:p>
    <w:p w14:paraId="03E0946D" w14:textId="77777777" w:rsidR="00D9668C" w:rsidRPr="004E7BD2" w:rsidRDefault="00D9668C" w:rsidP="00D87EBD">
      <w:pPr>
        <w:jc w:val="center"/>
        <w:rPr>
          <w:rFonts w:ascii="Garamond" w:hAnsi="Garamond"/>
          <w:b/>
          <w:lang w:val="en-GB"/>
        </w:rPr>
      </w:pPr>
    </w:p>
    <w:p w14:paraId="44359CC8" w14:textId="5332CF50" w:rsidR="00D95078" w:rsidRPr="004E7BD2" w:rsidRDefault="00D95078" w:rsidP="00D87EBD">
      <w:pPr>
        <w:jc w:val="center"/>
        <w:rPr>
          <w:rFonts w:ascii="Garamond" w:hAnsi="Garamond"/>
          <w:lang w:val="en-GB"/>
        </w:rPr>
      </w:pPr>
      <w:r w:rsidRPr="004E7BD2">
        <w:rPr>
          <w:rFonts w:ascii="Garamond" w:hAnsi="Garamond"/>
          <w:b/>
          <w:lang w:val="en-GB"/>
        </w:rPr>
        <w:t>Abstract</w:t>
      </w:r>
    </w:p>
    <w:p w14:paraId="001622B1" w14:textId="7F11245B" w:rsidR="00D95078" w:rsidRPr="004E7BD2" w:rsidRDefault="005974C8" w:rsidP="00A03A30">
      <w:pPr>
        <w:jc w:val="both"/>
        <w:rPr>
          <w:rFonts w:ascii="Garamond" w:hAnsi="Garamond"/>
          <w:lang w:val="en-GB"/>
        </w:rPr>
      </w:pPr>
      <w:r w:rsidRPr="004E7BD2">
        <w:rPr>
          <w:rFonts w:ascii="Garamond" w:hAnsi="Garamond"/>
          <w:lang w:val="en-GB"/>
        </w:rPr>
        <w:t xml:space="preserve">During much of the second half of the twentieth century, public opinion in both the United States and Britain became more punitive as crime rates rose. These shifting public attitudes had a profound influence on criminal justice policies. What is less understood is how public attitudes in these countries have responded to declining crime rates since the </w:t>
      </w:r>
      <w:r w:rsidR="00EE16B7" w:rsidRPr="004E7BD2">
        <w:rPr>
          <w:rFonts w:ascii="Garamond" w:hAnsi="Garamond"/>
          <w:lang w:val="en-GB"/>
        </w:rPr>
        <w:t>early</w:t>
      </w:r>
      <w:r w:rsidRPr="004E7BD2">
        <w:rPr>
          <w:rFonts w:ascii="Garamond" w:hAnsi="Garamond"/>
          <w:lang w:val="en-GB"/>
        </w:rPr>
        <w:t>-1990s.</w:t>
      </w:r>
      <w:r w:rsidR="00A03A30" w:rsidRPr="004E7BD2">
        <w:rPr>
          <w:rFonts w:ascii="Garamond" w:hAnsi="Garamond"/>
          <w:lang w:val="en-GB"/>
        </w:rPr>
        <w:t xml:space="preserve"> </w:t>
      </w:r>
      <w:r w:rsidR="00D87EBD" w:rsidRPr="004E7BD2">
        <w:rPr>
          <w:rFonts w:ascii="Garamond" w:hAnsi="Garamond"/>
          <w:lang w:val="en-GB"/>
        </w:rPr>
        <w:t xml:space="preserve">To understand how the public reacts to declining crime rates, we focus on crimes recorded by the police as well as data on actual </w:t>
      </w:r>
      <w:r w:rsidR="0041286C" w:rsidRPr="004E7BD2">
        <w:rPr>
          <w:rFonts w:ascii="Garamond" w:hAnsi="Garamond"/>
          <w:lang w:val="en-GB"/>
        </w:rPr>
        <w:t>victimisation</w:t>
      </w:r>
      <w:r w:rsidR="00D87EBD" w:rsidRPr="004E7BD2">
        <w:rPr>
          <w:rFonts w:ascii="Garamond" w:hAnsi="Garamond"/>
          <w:lang w:val="en-GB"/>
        </w:rPr>
        <w:t xml:space="preserve">. We </w:t>
      </w:r>
      <w:r w:rsidR="007863CC">
        <w:rPr>
          <w:rFonts w:ascii="Garamond" w:hAnsi="Garamond"/>
          <w:lang w:val="en-GB"/>
        </w:rPr>
        <w:t xml:space="preserve">also </w:t>
      </w:r>
      <w:r w:rsidR="00D87EBD" w:rsidRPr="004E7BD2">
        <w:rPr>
          <w:rFonts w:ascii="Garamond" w:hAnsi="Garamond"/>
          <w:lang w:val="en-GB"/>
        </w:rPr>
        <w:t xml:space="preserve">draw on </w:t>
      </w:r>
      <w:r w:rsidR="00F57C3F">
        <w:rPr>
          <w:rFonts w:ascii="Garamond" w:hAnsi="Garamond"/>
          <w:lang w:val="en-GB"/>
        </w:rPr>
        <w:t>more than</w:t>
      </w:r>
      <w:r w:rsidR="00F57C3F" w:rsidRPr="004E7BD2">
        <w:rPr>
          <w:rFonts w:ascii="Garamond" w:hAnsi="Garamond"/>
          <w:lang w:val="en-GB"/>
        </w:rPr>
        <w:t xml:space="preserve"> </w:t>
      </w:r>
      <w:r w:rsidR="00D87EBD" w:rsidRPr="004E7BD2">
        <w:rPr>
          <w:rFonts w:ascii="Garamond" w:hAnsi="Garamond"/>
          <w:lang w:val="en-GB"/>
        </w:rPr>
        <w:t xml:space="preserve">4,000 national survey </w:t>
      </w:r>
      <w:r w:rsidR="007863CC">
        <w:rPr>
          <w:rFonts w:ascii="Garamond" w:hAnsi="Garamond"/>
          <w:lang w:val="en-GB"/>
        </w:rPr>
        <w:t>questions</w:t>
      </w:r>
      <w:r w:rsidR="007863CC" w:rsidRPr="004E7BD2">
        <w:rPr>
          <w:rFonts w:ascii="Garamond" w:hAnsi="Garamond"/>
          <w:lang w:val="en-GB"/>
        </w:rPr>
        <w:t xml:space="preserve"> </w:t>
      </w:r>
      <w:r w:rsidR="00D87EBD" w:rsidRPr="004E7BD2">
        <w:rPr>
          <w:rFonts w:ascii="Garamond" w:hAnsi="Garamond"/>
          <w:lang w:val="en-GB"/>
        </w:rPr>
        <w:t xml:space="preserve">to construct measures of public </w:t>
      </w:r>
      <w:r w:rsidR="00F57C3F">
        <w:rPr>
          <w:rFonts w:ascii="Garamond" w:hAnsi="Garamond"/>
          <w:lang w:val="en-GB"/>
        </w:rPr>
        <w:t>concern about</w:t>
      </w:r>
      <w:r w:rsidR="00D87EBD" w:rsidRPr="004E7BD2">
        <w:rPr>
          <w:rFonts w:ascii="Garamond" w:hAnsi="Garamond"/>
          <w:lang w:val="en-GB"/>
        </w:rPr>
        <w:t xml:space="preserve"> crime and support for punitive criminal justice </w:t>
      </w:r>
      <w:r w:rsidR="00F57C3F">
        <w:rPr>
          <w:rFonts w:ascii="Garamond" w:hAnsi="Garamond"/>
          <w:lang w:val="en-GB"/>
        </w:rPr>
        <w:t>responses</w:t>
      </w:r>
      <w:r w:rsidR="00D87EBD" w:rsidRPr="004E7BD2">
        <w:rPr>
          <w:rFonts w:ascii="Garamond" w:hAnsi="Garamond"/>
          <w:lang w:val="en-GB"/>
        </w:rPr>
        <w:t xml:space="preserve">. </w:t>
      </w:r>
      <w:r w:rsidRPr="004E7BD2">
        <w:rPr>
          <w:rFonts w:ascii="Garamond" w:hAnsi="Garamond"/>
          <w:lang w:val="en-GB"/>
        </w:rPr>
        <w:t xml:space="preserve">Our analyses </w:t>
      </w:r>
      <w:r w:rsidR="007D6E6D">
        <w:rPr>
          <w:rFonts w:ascii="Garamond" w:hAnsi="Garamond"/>
          <w:lang w:val="en-GB"/>
        </w:rPr>
        <w:t xml:space="preserve">illustrate </w:t>
      </w:r>
      <w:r w:rsidRPr="004E7BD2">
        <w:rPr>
          <w:rFonts w:ascii="Garamond" w:hAnsi="Garamond"/>
          <w:lang w:val="en-GB"/>
        </w:rPr>
        <w:t xml:space="preserve">parallels in the crime drop measured by </w:t>
      </w:r>
      <w:r w:rsidR="0041286C" w:rsidRPr="004E7BD2">
        <w:rPr>
          <w:rFonts w:ascii="Garamond" w:hAnsi="Garamond"/>
          <w:lang w:val="en-GB"/>
        </w:rPr>
        <w:t>victimisation</w:t>
      </w:r>
      <w:r w:rsidRPr="004E7BD2">
        <w:rPr>
          <w:rFonts w:ascii="Garamond" w:hAnsi="Garamond"/>
          <w:lang w:val="en-GB"/>
        </w:rPr>
        <w:t xml:space="preserve"> surveys in the two countries (with recorded violent crime in England and Wales the exception to th</w:t>
      </w:r>
      <w:r w:rsidR="007D6E6D">
        <w:rPr>
          <w:rFonts w:ascii="Garamond" w:hAnsi="Garamond"/>
          <w:lang w:val="en-GB"/>
        </w:rPr>
        <w:t>is</w:t>
      </w:r>
      <w:r w:rsidRPr="004E7BD2">
        <w:rPr>
          <w:rFonts w:ascii="Garamond" w:hAnsi="Garamond"/>
          <w:lang w:val="en-GB"/>
        </w:rPr>
        <w:t xml:space="preserve"> overall trend)</w:t>
      </w:r>
      <w:r w:rsidR="001259BA" w:rsidRPr="004E7BD2">
        <w:rPr>
          <w:rFonts w:ascii="Garamond" w:hAnsi="Garamond"/>
          <w:lang w:val="en-GB"/>
        </w:rPr>
        <w:t xml:space="preserve">. The over-time </w:t>
      </w:r>
      <w:r w:rsidR="00241136" w:rsidRPr="004E7BD2">
        <w:rPr>
          <w:rFonts w:ascii="Garamond" w:hAnsi="Garamond"/>
          <w:lang w:val="en-GB"/>
        </w:rPr>
        <w:t>patterns</w:t>
      </w:r>
      <w:r w:rsidR="001259BA" w:rsidRPr="004E7BD2">
        <w:rPr>
          <w:rFonts w:ascii="Garamond" w:hAnsi="Garamond"/>
          <w:lang w:val="en-GB"/>
        </w:rPr>
        <w:t xml:space="preserve"> </w:t>
      </w:r>
      <w:r w:rsidRPr="004E7BD2">
        <w:rPr>
          <w:rFonts w:ascii="Garamond" w:hAnsi="Garamond"/>
          <w:lang w:val="en-GB"/>
        </w:rPr>
        <w:t xml:space="preserve">in public </w:t>
      </w:r>
      <w:r w:rsidR="00F57C3F">
        <w:rPr>
          <w:rFonts w:ascii="Garamond" w:hAnsi="Garamond"/>
          <w:lang w:val="en-GB"/>
        </w:rPr>
        <w:t>concern about</w:t>
      </w:r>
      <w:r w:rsidRPr="004E7BD2">
        <w:rPr>
          <w:rFonts w:ascii="Garamond" w:hAnsi="Garamond"/>
          <w:lang w:val="en-GB"/>
        </w:rPr>
        <w:t xml:space="preserve"> crime and</w:t>
      </w:r>
      <w:r w:rsidR="00F43EB1" w:rsidRPr="004E7BD2">
        <w:rPr>
          <w:rFonts w:ascii="Garamond" w:hAnsi="Garamond"/>
          <w:lang w:val="en-GB"/>
        </w:rPr>
        <w:t xml:space="preserve"> </w:t>
      </w:r>
      <w:r w:rsidRPr="004E7BD2">
        <w:rPr>
          <w:rFonts w:ascii="Garamond" w:hAnsi="Garamond"/>
          <w:lang w:val="en-GB"/>
        </w:rPr>
        <w:t>punitive sentiment</w:t>
      </w:r>
      <w:r w:rsidR="001259BA" w:rsidRPr="004E7BD2">
        <w:rPr>
          <w:rFonts w:ascii="Garamond" w:hAnsi="Garamond"/>
          <w:lang w:val="en-GB"/>
        </w:rPr>
        <w:t xml:space="preserve"> are more complex, with the U.S. public becom</w:t>
      </w:r>
      <w:r w:rsidR="00F57C3F">
        <w:rPr>
          <w:rFonts w:ascii="Garamond" w:hAnsi="Garamond"/>
          <w:lang w:val="en-GB"/>
        </w:rPr>
        <w:t>ing</w:t>
      </w:r>
      <w:r w:rsidR="001259BA" w:rsidRPr="004E7BD2">
        <w:rPr>
          <w:rFonts w:ascii="Garamond" w:hAnsi="Garamond"/>
          <w:lang w:val="en-GB"/>
        </w:rPr>
        <w:t xml:space="preserve"> less punitive</w:t>
      </w:r>
      <w:r w:rsidR="007863CC">
        <w:rPr>
          <w:rFonts w:ascii="Garamond" w:hAnsi="Garamond"/>
          <w:lang w:val="en-GB"/>
        </w:rPr>
        <w:t xml:space="preserve"> (in line with declining crime rates)</w:t>
      </w:r>
      <w:r w:rsidR="001259BA" w:rsidRPr="004E7BD2">
        <w:rPr>
          <w:rFonts w:ascii="Garamond" w:hAnsi="Garamond"/>
          <w:lang w:val="en-GB"/>
        </w:rPr>
        <w:t xml:space="preserve"> while the British public</w:t>
      </w:r>
      <w:r w:rsidR="007863CC">
        <w:rPr>
          <w:rFonts w:ascii="Garamond" w:hAnsi="Garamond"/>
          <w:lang w:val="en-GB"/>
        </w:rPr>
        <w:t xml:space="preserve">’s </w:t>
      </w:r>
      <w:r w:rsidR="007863CC">
        <w:rPr>
          <w:rFonts w:ascii="Garamond" w:hAnsi="Garamond"/>
          <w:i/>
          <w:lang w:val="en-GB"/>
        </w:rPr>
        <w:t xml:space="preserve">concern </w:t>
      </w:r>
      <w:r w:rsidR="007863CC">
        <w:rPr>
          <w:rFonts w:ascii="Garamond" w:hAnsi="Garamond"/>
          <w:lang w:val="en-GB"/>
        </w:rPr>
        <w:t>with crime</w:t>
      </w:r>
      <w:r w:rsidR="001259BA" w:rsidRPr="004E7BD2">
        <w:rPr>
          <w:rFonts w:ascii="Garamond" w:hAnsi="Garamond"/>
          <w:lang w:val="en-GB"/>
        </w:rPr>
        <w:t xml:space="preserve"> appears more in tune with actual crime rates</w:t>
      </w:r>
      <w:r w:rsidRPr="004E7BD2">
        <w:rPr>
          <w:rFonts w:ascii="Garamond" w:hAnsi="Garamond"/>
          <w:lang w:val="en-GB"/>
        </w:rPr>
        <w:t xml:space="preserve">. </w:t>
      </w:r>
      <w:r w:rsidR="001259BA" w:rsidRPr="004E7BD2">
        <w:rPr>
          <w:rFonts w:ascii="Garamond" w:hAnsi="Garamond"/>
          <w:lang w:val="en-GB"/>
        </w:rPr>
        <w:t xml:space="preserve">Given </w:t>
      </w:r>
      <w:r w:rsidR="007D6E6D">
        <w:rPr>
          <w:rFonts w:ascii="Garamond" w:hAnsi="Garamond"/>
          <w:lang w:val="en-GB"/>
        </w:rPr>
        <w:t>the</w:t>
      </w:r>
      <w:r w:rsidR="001259BA" w:rsidRPr="004E7BD2">
        <w:rPr>
          <w:rFonts w:ascii="Garamond" w:hAnsi="Garamond"/>
          <w:lang w:val="en-GB"/>
        </w:rPr>
        <w:t xml:space="preserve"> </w:t>
      </w:r>
      <w:r w:rsidR="007D6E6D">
        <w:rPr>
          <w:rFonts w:ascii="Garamond" w:hAnsi="Garamond"/>
          <w:lang w:val="en-GB"/>
        </w:rPr>
        <w:t xml:space="preserve">distinct </w:t>
      </w:r>
      <w:r w:rsidR="001259BA" w:rsidRPr="004E7BD2">
        <w:rPr>
          <w:rFonts w:ascii="Garamond" w:hAnsi="Garamond"/>
          <w:lang w:val="en-GB"/>
        </w:rPr>
        <w:t xml:space="preserve">social, political and institutional </w:t>
      </w:r>
      <w:r w:rsidR="007D6E6D">
        <w:rPr>
          <w:rFonts w:ascii="Garamond" w:hAnsi="Garamond"/>
          <w:lang w:val="en-GB"/>
        </w:rPr>
        <w:t>settings offered by</w:t>
      </w:r>
      <w:r w:rsidR="001259BA" w:rsidRPr="004E7BD2">
        <w:rPr>
          <w:rFonts w:ascii="Garamond" w:hAnsi="Garamond"/>
          <w:lang w:val="en-GB"/>
        </w:rPr>
        <w:t xml:space="preserve"> the </w:t>
      </w:r>
      <w:r w:rsidR="007D6E6D">
        <w:rPr>
          <w:rFonts w:ascii="Garamond" w:hAnsi="Garamond"/>
          <w:lang w:val="en-GB"/>
        </w:rPr>
        <w:t>two countries</w:t>
      </w:r>
      <w:r w:rsidRPr="004E7BD2">
        <w:rPr>
          <w:rFonts w:ascii="Garamond" w:hAnsi="Garamond"/>
          <w:lang w:val="en-GB"/>
        </w:rPr>
        <w:t xml:space="preserve">, the parallel dynamics of crime and </w:t>
      </w:r>
      <w:r w:rsidR="001259BA" w:rsidRPr="004E7BD2">
        <w:rPr>
          <w:rFonts w:ascii="Garamond" w:hAnsi="Garamond"/>
          <w:lang w:val="en-GB"/>
        </w:rPr>
        <w:t xml:space="preserve">the mixed </w:t>
      </w:r>
      <w:r w:rsidR="00F57C3F">
        <w:rPr>
          <w:rFonts w:ascii="Garamond" w:hAnsi="Garamond"/>
          <w:lang w:val="en-GB"/>
        </w:rPr>
        <w:t>response of</w:t>
      </w:r>
      <w:r w:rsidR="001259BA" w:rsidRPr="004E7BD2">
        <w:rPr>
          <w:rFonts w:ascii="Garamond" w:hAnsi="Garamond"/>
          <w:lang w:val="en-GB"/>
        </w:rPr>
        <w:t xml:space="preserve"> </w:t>
      </w:r>
      <w:r w:rsidRPr="004E7BD2">
        <w:rPr>
          <w:rFonts w:ascii="Garamond" w:hAnsi="Garamond"/>
          <w:lang w:val="en-GB"/>
        </w:rPr>
        <w:t xml:space="preserve">public opinion </w:t>
      </w:r>
      <w:r w:rsidR="007863CC">
        <w:rPr>
          <w:rFonts w:ascii="Garamond" w:hAnsi="Garamond"/>
          <w:lang w:val="en-GB"/>
        </w:rPr>
        <w:t>help illustrate the importance of the comparative analysis of crime and its effects on society as well as the importance of considering multiple measures of public opinion related to crime and punishment</w:t>
      </w:r>
      <w:r w:rsidRPr="004E7BD2">
        <w:rPr>
          <w:rFonts w:ascii="Garamond" w:hAnsi="Garamond"/>
          <w:lang w:val="en-GB"/>
        </w:rPr>
        <w:t>.</w:t>
      </w:r>
      <w:r w:rsidR="00D87EBD" w:rsidRPr="004E7BD2">
        <w:rPr>
          <w:rFonts w:ascii="Garamond" w:hAnsi="Garamond"/>
          <w:lang w:val="en-GB"/>
        </w:rPr>
        <w:t xml:space="preserve"> </w:t>
      </w:r>
    </w:p>
    <w:p w14:paraId="0F80C04F" w14:textId="77777777" w:rsidR="00D95078" w:rsidRPr="004E7BD2" w:rsidRDefault="00D95078">
      <w:pPr>
        <w:rPr>
          <w:rFonts w:ascii="Garamond" w:hAnsi="Garamond"/>
          <w:lang w:val="en-GB"/>
        </w:rPr>
      </w:pPr>
    </w:p>
    <w:p w14:paraId="11B7ED5E" w14:textId="77777777" w:rsidR="00D95078" w:rsidRPr="004E7BD2" w:rsidRDefault="00D95078">
      <w:pPr>
        <w:rPr>
          <w:rFonts w:ascii="Garamond" w:hAnsi="Garamond"/>
          <w:lang w:val="en-GB"/>
        </w:rPr>
      </w:pPr>
    </w:p>
    <w:p w14:paraId="74CA1DC7" w14:textId="77777777" w:rsidR="00D95078" w:rsidRPr="004E7BD2" w:rsidRDefault="00D95078">
      <w:pPr>
        <w:rPr>
          <w:rFonts w:ascii="Garamond" w:hAnsi="Garamond"/>
          <w:lang w:val="en-GB"/>
        </w:rPr>
      </w:pPr>
    </w:p>
    <w:p w14:paraId="6B0B9AA4" w14:textId="77777777" w:rsidR="00297622" w:rsidRPr="004E7BD2" w:rsidRDefault="00297622" w:rsidP="008267AC">
      <w:pPr>
        <w:jc w:val="both"/>
        <w:rPr>
          <w:rFonts w:ascii="Garamond" w:hAnsi="Garamond"/>
          <w:lang w:val="en-GB"/>
        </w:rPr>
      </w:pPr>
    </w:p>
    <w:p w14:paraId="0157F4C7" w14:textId="77777777" w:rsidR="00142E5A" w:rsidRPr="004E7BD2" w:rsidRDefault="00142E5A">
      <w:pPr>
        <w:rPr>
          <w:rFonts w:ascii="Garamond" w:hAnsi="Garamond"/>
          <w:lang w:val="en-GB"/>
        </w:rPr>
      </w:pPr>
      <w:r w:rsidRPr="004E7BD2">
        <w:rPr>
          <w:rFonts w:ascii="Garamond" w:hAnsi="Garamond"/>
          <w:lang w:val="en-GB"/>
        </w:rPr>
        <w:br w:type="page"/>
      </w:r>
    </w:p>
    <w:p w14:paraId="6059CC0C" w14:textId="4FACA521" w:rsidR="00401BF7" w:rsidRPr="004E7BD2" w:rsidRDefault="00401BF7" w:rsidP="008267AC">
      <w:pPr>
        <w:jc w:val="both"/>
        <w:rPr>
          <w:rFonts w:ascii="Garamond" w:hAnsi="Garamond"/>
          <w:lang w:val="en-GB"/>
        </w:rPr>
      </w:pPr>
      <w:r w:rsidRPr="004E7BD2">
        <w:rPr>
          <w:rFonts w:ascii="Garamond" w:hAnsi="Garamond"/>
          <w:lang w:val="en-GB"/>
        </w:rPr>
        <w:lastRenderedPageBreak/>
        <w:t xml:space="preserve">During </w:t>
      </w:r>
      <w:r w:rsidR="00726D8D" w:rsidRPr="004E7BD2">
        <w:rPr>
          <w:rFonts w:ascii="Garamond" w:hAnsi="Garamond"/>
          <w:lang w:val="en-GB"/>
        </w:rPr>
        <w:t xml:space="preserve">much of </w:t>
      </w:r>
      <w:r w:rsidRPr="004E7BD2">
        <w:rPr>
          <w:rFonts w:ascii="Garamond" w:hAnsi="Garamond"/>
          <w:lang w:val="en-GB"/>
        </w:rPr>
        <w:t xml:space="preserve">the second half of the twentieth century, </w:t>
      </w:r>
      <w:r w:rsidR="006C1D19" w:rsidRPr="004E7BD2">
        <w:rPr>
          <w:rFonts w:ascii="Garamond" w:hAnsi="Garamond"/>
          <w:lang w:val="en-GB"/>
        </w:rPr>
        <w:t>public opinion in the United States and Britain became more punitive as crime rates rose</w:t>
      </w:r>
      <w:r w:rsidR="00654568" w:rsidRPr="004E7BD2">
        <w:rPr>
          <w:rFonts w:ascii="Garamond" w:hAnsi="Garamond"/>
          <w:lang w:val="en-GB"/>
        </w:rPr>
        <w:t>. T</w:t>
      </w:r>
      <w:r w:rsidR="006C1D19" w:rsidRPr="004E7BD2">
        <w:rPr>
          <w:rFonts w:ascii="Garamond" w:hAnsi="Garamond"/>
          <w:lang w:val="en-GB"/>
        </w:rPr>
        <w:t xml:space="preserve">hese shifting attitudes had a profound influence on the criminal </w:t>
      </w:r>
      <w:r w:rsidR="00806C0F">
        <w:rPr>
          <w:rFonts w:ascii="Garamond" w:hAnsi="Garamond"/>
          <w:lang w:val="en-GB"/>
        </w:rPr>
        <w:t>legal</w:t>
      </w:r>
      <w:r w:rsidR="00806C0F" w:rsidRPr="004E7BD2">
        <w:rPr>
          <w:rFonts w:ascii="Garamond" w:hAnsi="Garamond"/>
          <w:lang w:val="en-GB"/>
        </w:rPr>
        <w:t xml:space="preserve"> </w:t>
      </w:r>
      <w:r w:rsidR="006C1D19" w:rsidRPr="004E7BD2">
        <w:rPr>
          <w:rFonts w:ascii="Garamond" w:hAnsi="Garamond"/>
          <w:lang w:val="en-GB"/>
        </w:rPr>
        <w:t>system in these two countries</w:t>
      </w:r>
      <w:r w:rsidR="00797D9F" w:rsidRPr="004E7BD2">
        <w:rPr>
          <w:rFonts w:ascii="Garamond" w:hAnsi="Garamond"/>
          <w:lang w:val="en-GB"/>
        </w:rPr>
        <w:t xml:space="preserve"> (Enns 2014; Enns 2016; </w:t>
      </w:r>
      <w:r w:rsidR="00FC73DF" w:rsidRPr="004E7BD2">
        <w:rPr>
          <w:rFonts w:ascii="Garamond" w:hAnsi="Garamond"/>
          <w:lang w:val="en-GB"/>
        </w:rPr>
        <w:t xml:space="preserve">Enns and Shanks-Booth 2015; </w:t>
      </w:r>
      <w:r w:rsidR="00797D9F" w:rsidRPr="004E7BD2">
        <w:rPr>
          <w:rFonts w:ascii="Garamond" w:hAnsi="Garamond"/>
          <w:lang w:val="en-GB"/>
        </w:rPr>
        <w:t>Jennings</w:t>
      </w:r>
      <w:r w:rsidR="00D34222" w:rsidRPr="004E7BD2">
        <w:rPr>
          <w:rFonts w:ascii="Garamond" w:hAnsi="Garamond"/>
          <w:lang w:val="en-GB"/>
        </w:rPr>
        <w:t xml:space="preserve"> et al.</w:t>
      </w:r>
      <w:r w:rsidR="00797D9F" w:rsidRPr="004E7BD2">
        <w:rPr>
          <w:rFonts w:ascii="Garamond" w:hAnsi="Garamond"/>
          <w:lang w:val="en-GB"/>
        </w:rPr>
        <w:t xml:space="preserve"> 2017)</w:t>
      </w:r>
      <w:r w:rsidR="006C1D19" w:rsidRPr="004E7BD2">
        <w:rPr>
          <w:rFonts w:ascii="Garamond" w:hAnsi="Garamond"/>
          <w:lang w:val="en-GB"/>
        </w:rPr>
        <w:t xml:space="preserve">. What is less understood is how public attitudes in these countries have responded to </w:t>
      </w:r>
      <w:r w:rsidR="006C1D19" w:rsidRPr="004E7BD2">
        <w:rPr>
          <w:rFonts w:ascii="Garamond" w:hAnsi="Garamond"/>
          <w:i/>
          <w:lang w:val="en-GB"/>
        </w:rPr>
        <w:t xml:space="preserve">declining </w:t>
      </w:r>
      <w:r w:rsidR="006C1D19" w:rsidRPr="004E7BD2">
        <w:rPr>
          <w:rFonts w:ascii="Garamond" w:hAnsi="Garamond"/>
          <w:lang w:val="en-GB"/>
        </w:rPr>
        <w:t>crime rates</w:t>
      </w:r>
      <w:r w:rsidR="00822AA7" w:rsidRPr="004E7BD2">
        <w:rPr>
          <w:rFonts w:ascii="Garamond" w:hAnsi="Garamond"/>
          <w:lang w:val="en-GB"/>
        </w:rPr>
        <w:t xml:space="preserve"> since the </w:t>
      </w:r>
      <w:r w:rsidR="00EE16B7" w:rsidRPr="004E7BD2">
        <w:rPr>
          <w:rFonts w:ascii="Garamond" w:hAnsi="Garamond"/>
          <w:lang w:val="en-GB"/>
        </w:rPr>
        <w:t>early</w:t>
      </w:r>
      <w:r w:rsidR="00822AA7" w:rsidRPr="004E7BD2">
        <w:rPr>
          <w:rFonts w:ascii="Garamond" w:hAnsi="Garamond"/>
          <w:lang w:val="en-GB"/>
        </w:rPr>
        <w:t>-1990s</w:t>
      </w:r>
      <w:r w:rsidR="006C1D19" w:rsidRPr="004E7BD2">
        <w:rPr>
          <w:rFonts w:ascii="Garamond" w:hAnsi="Garamond"/>
          <w:lang w:val="en-GB"/>
        </w:rPr>
        <w:t>.</w:t>
      </w:r>
    </w:p>
    <w:p w14:paraId="6FF5CE2F" w14:textId="187A5EB8" w:rsidR="001F7455" w:rsidRPr="004E7BD2" w:rsidRDefault="00401BF7" w:rsidP="004C18AA">
      <w:pPr>
        <w:jc w:val="both"/>
        <w:rPr>
          <w:rFonts w:ascii="Garamond" w:hAnsi="Garamond"/>
          <w:lang w:val="en-GB"/>
        </w:rPr>
      </w:pPr>
      <w:r w:rsidRPr="004E7BD2">
        <w:rPr>
          <w:rFonts w:ascii="Garamond" w:hAnsi="Garamond"/>
          <w:lang w:val="en-GB"/>
        </w:rPr>
        <w:t>Some evidence</w:t>
      </w:r>
      <w:r w:rsidR="00B94883" w:rsidRPr="004E7BD2">
        <w:rPr>
          <w:rFonts w:ascii="Garamond" w:hAnsi="Garamond"/>
          <w:lang w:val="en-GB"/>
        </w:rPr>
        <w:t xml:space="preserve"> suggests</w:t>
      </w:r>
      <w:r w:rsidRPr="004E7BD2">
        <w:rPr>
          <w:rFonts w:ascii="Garamond" w:hAnsi="Garamond"/>
          <w:lang w:val="en-GB"/>
        </w:rPr>
        <w:t xml:space="preserve"> that the public noticed the decline in crime rates in these countries and adjusted their attitudes accordingly</w:t>
      </w:r>
      <w:r w:rsidR="006C1D19" w:rsidRPr="004E7BD2">
        <w:rPr>
          <w:rFonts w:ascii="Garamond" w:hAnsi="Garamond"/>
          <w:lang w:val="en-GB"/>
        </w:rPr>
        <w:t xml:space="preserve"> (Enns</w:t>
      </w:r>
      <w:r w:rsidR="00797D9F" w:rsidRPr="004E7BD2">
        <w:rPr>
          <w:rFonts w:ascii="Garamond" w:hAnsi="Garamond"/>
          <w:lang w:val="en-GB"/>
        </w:rPr>
        <w:t xml:space="preserve"> 2014; Enns 2016</w:t>
      </w:r>
      <w:r w:rsidR="006C1D19" w:rsidRPr="004E7BD2">
        <w:rPr>
          <w:rFonts w:ascii="Garamond" w:hAnsi="Garamond"/>
          <w:lang w:val="en-GB"/>
        </w:rPr>
        <w:t xml:space="preserve">; </w:t>
      </w:r>
      <w:r w:rsidR="00797D9F" w:rsidRPr="004E7BD2">
        <w:rPr>
          <w:rFonts w:ascii="Garamond" w:hAnsi="Garamond"/>
          <w:lang w:val="en-GB"/>
        </w:rPr>
        <w:t>Jennings</w:t>
      </w:r>
      <w:r w:rsidR="00D34222" w:rsidRPr="004E7BD2">
        <w:rPr>
          <w:rFonts w:ascii="Garamond" w:hAnsi="Garamond"/>
          <w:lang w:val="en-GB"/>
        </w:rPr>
        <w:t xml:space="preserve"> et al.</w:t>
      </w:r>
      <w:r w:rsidR="00797D9F" w:rsidRPr="004E7BD2">
        <w:rPr>
          <w:rFonts w:ascii="Garamond" w:hAnsi="Garamond"/>
          <w:lang w:val="en-GB"/>
        </w:rPr>
        <w:t xml:space="preserve"> 2017</w:t>
      </w:r>
      <w:r w:rsidR="006C1D19" w:rsidRPr="004E7BD2">
        <w:rPr>
          <w:rFonts w:ascii="Garamond" w:hAnsi="Garamond"/>
          <w:lang w:val="en-GB"/>
        </w:rPr>
        <w:t>)</w:t>
      </w:r>
      <w:r w:rsidRPr="004E7BD2">
        <w:rPr>
          <w:rFonts w:ascii="Garamond" w:hAnsi="Garamond"/>
          <w:lang w:val="en-GB"/>
        </w:rPr>
        <w:t xml:space="preserve">. </w:t>
      </w:r>
      <w:r w:rsidR="00D1602E" w:rsidRPr="004E7BD2">
        <w:rPr>
          <w:rFonts w:ascii="Garamond" w:hAnsi="Garamond"/>
          <w:lang w:val="en-GB"/>
        </w:rPr>
        <w:t>O</w:t>
      </w:r>
      <w:r w:rsidRPr="004E7BD2">
        <w:rPr>
          <w:rFonts w:ascii="Garamond" w:hAnsi="Garamond"/>
          <w:lang w:val="en-GB"/>
        </w:rPr>
        <w:t>thers</w:t>
      </w:r>
      <w:r w:rsidR="00D1602E" w:rsidRPr="004E7BD2">
        <w:rPr>
          <w:rFonts w:ascii="Garamond" w:hAnsi="Garamond"/>
          <w:lang w:val="en-GB"/>
        </w:rPr>
        <w:t>, however,</w:t>
      </w:r>
      <w:r w:rsidRPr="004E7BD2">
        <w:rPr>
          <w:rFonts w:ascii="Garamond" w:hAnsi="Garamond"/>
          <w:lang w:val="en-GB"/>
        </w:rPr>
        <w:t xml:space="preserve"> </w:t>
      </w:r>
      <w:r w:rsidR="003374A4">
        <w:rPr>
          <w:rFonts w:ascii="Garamond" w:hAnsi="Garamond"/>
          <w:lang w:val="en-GB"/>
        </w:rPr>
        <w:t>are</w:t>
      </w:r>
      <w:r w:rsidRPr="004E7BD2">
        <w:rPr>
          <w:rFonts w:ascii="Garamond" w:hAnsi="Garamond"/>
          <w:lang w:val="en-GB"/>
        </w:rPr>
        <w:t xml:space="preserve"> </w:t>
      </w:r>
      <w:r w:rsidR="00FE05B9" w:rsidRPr="004E7BD2">
        <w:rPr>
          <w:rFonts w:ascii="Garamond" w:hAnsi="Garamond"/>
          <w:lang w:val="en-GB"/>
        </w:rPr>
        <w:t>sceptical</w:t>
      </w:r>
      <w:r w:rsidRPr="004E7BD2">
        <w:rPr>
          <w:rFonts w:ascii="Garamond" w:hAnsi="Garamond"/>
          <w:lang w:val="en-GB"/>
        </w:rPr>
        <w:t xml:space="preserve"> of this conclusion (</w:t>
      </w:r>
      <w:bookmarkStart w:id="0" w:name="_Hlk92464822"/>
      <w:proofErr w:type="spellStart"/>
      <w:r w:rsidR="00B94883" w:rsidRPr="004E7BD2">
        <w:rPr>
          <w:rFonts w:ascii="Garamond" w:hAnsi="Garamond"/>
          <w:lang w:val="en-GB"/>
        </w:rPr>
        <w:t>Koerth</w:t>
      </w:r>
      <w:proofErr w:type="spellEnd"/>
      <w:r w:rsidR="00B94883" w:rsidRPr="004E7BD2">
        <w:rPr>
          <w:rFonts w:ascii="Garamond" w:hAnsi="Garamond"/>
          <w:lang w:val="en-GB"/>
        </w:rPr>
        <w:t xml:space="preserve"> and Thomson-</w:t>
      </w:r>
      <w:proofErr w:type="spellStart"/>
      <w:r w:rsidR="00B94883" w:rsidRPr="004E7BD2">
        <w:rPr>
          <w:rFonts w:ascii="Garamond" w:hAnsi="Garamond"/>
          <w:lang w:val="en-GB"/>
        </w:rPr>
        <w:t>DeVeaux</w:t>
      </w:r>
      <w:proofErr w:type="spellEnd"/>
      <w:r w:rsidR="00B94883" w:rsidRPr="004E7BD2">
        <w:rPr>
          <w:rFonts w:ascii="Garamond" w:hAnsi="Garamond"/>
          <w:lang w:val="en-GB"/>
        </w:rPr>
        <w:t xml:space="preserve"> 2020</w:t>
      </w:r>
      <w:r w:rsidRPr="004E7BD2">
        <w:rPr>
          <w:rFonts w:ascii="Garamond" w:hAnsi="Garamond"/>
          <w:lang w:val="en-GB"/>
        </w:rPr>
        <w:t xml:space="preserve">; </w:t>
      </w:r>
      <w:proofErr w:type="spellStart"/>
      <w:r w:rsidR="00BB36DB" w:rsidRPr="004E7BD2">
        <w:rPr>
          <w:rFonts w:ascii="Garamond" w:hAnsi="Garamond"/>
          <w:lang w:val="en-GB"/>
        </w:rPr>
        <w:t>Gramlich</w:t>
      </w:r>
      <w:proofErr w:type="spellEnd"/>
      <w:r w:rsidR="00BB36DB" w:rsidRPr="004E7BD2">
        <w:rPr>
          <w:rFonts w:ascii="Garamond" w:hAnsi="Garamond"/>
          <w:lang w:val="en-GB"/>
        </w:rPr>
        <w:t xml:space="preserve"> 2020</w:t>
      </w:r>
      <w:bookmarkEnd w:id="0"/>
      <w:r w:rsidRPr="004E7BD2">
        <w:rPr>
          <w:rFonts w:ascii="Garamond" w:hAnsi="Garamond"/>
          <w:lang w:val="en-GB"/>
        </w:rPr>
        <w:t>)</w:t>
      </w:r>
      <w:r w:rsidR="008961CB" w:rsidRPr="004E7BD2">
        <w:rPr>
          <w:rFonts w:ascii="Garamond" w:hAnsi="Garamond"/>
          <w:lang w:val="en-GB"/>
        </w:rPr>
        <w:t xml:space="preserve">. </w:t>
      </w:r>
      <w:proofErr w:type="spellStart"/>
      <w:r w:rsidR="00F30BC8" w:rsidRPr="004E7BD2">
        <w:rPr>
          <w:rFonts w:ascii="Garamond" w:hAnsi="Garamond"/>
          <w:lang w:val="en-GB"/>
        </w:rPr>
        <w:t>O’Hear</w:t>
      </w:r>
      <w:proofErr w:type="spellEnd"/>
      <w:r w:rsidR="00F30BC8" w:rsidRPr="004E7BD2">
        <w:rPr>
          <w:rFonts w:ascii="Garamond" w:hAnsi="Garamond"/>
          <w:lang w:val="en-GB"/>
        </w:rPr>
        <w:t xml:space="preserve"> and Wheelock (2020) argue that </w:t>
      </w:r>
      <w:r w:rsidR="008961CB" w:rsidRPr="004E7BD2">
        <w:rPr>
          <w:rFonts w:ascii="Garamond" w:hAnsi="Garamond"/>
          <w:lang w:val="en-GB"/>
        </w:rPr>
        <w:t xml:space="preserve">crime attitudes are largely </w:t>
      </w:r>
      <w:r w:rsidR="001F7455" w:rsidRPr="004E7BD2">
        <w:rPr>
          <w:rFonts w:ascii="Garamond" w:hAnsi="Garamond"/>
          <w:lang w:val="en-GB"/>
        </w:rPr>
        <w:t xml:space="preserve">expressive, </w:t>
      </w:r>
      <w:r w:rsidR="00F30BC8" w:rsidRPr="004E7BD2">
        <w:rPr>
          <w:rFonts w:ascii="Garamond" w:hAnsi="Garamond"/>
          <w:lang w:val="en-GB"/>
        </w:rPr>
        <w:t xml:space="preserve">and </w:t>
      </w:r>
      <w:r w:rsidR="001F7455" w:rsidRPr="004E7BD2">
        <w:rPr>
          <w:rFonts w:ascii="Garamond" w:hAnsi="Garamond"/>
          <w:lang w:val="en-GB"/>
        </w:rPr>
        <w:t>not tied to crime</w:t>
      </w:r>
      <w:r w:rsidR="008961CB" w:rsidRPr="004E7BD2">
        <w:rPr>
          <w:rFonts w:ascii="Garamond" w:hAnsi="Garamond"/>
          <w:lang w:val="en-GB"/>
        </w:rPr>
        <w:t>.</w:t>
      </w:r>
      <w:r w:rsidR="00462E85" w:rsidRPr="004E7BD2">
        <w:rPr>
          <w:rFonts w:ascii="Garamond" w:hAnsi="Garamond"/>
          <w:lang w:val="en-GB"/>
        </w:rPr>
        <w:t xml:space="preserve"> Shi</w:t>
      </w:r>
      <w:r w:rsidR="00F30BC8" w:rsidRPr="004E7BD2">
        <w:rPr>
          <w:rFonts w:ascii="Garamond" w:hAnsi="Garamond"/>
          <w:lang w:val="en-GB"/>
        </w:rPr>
        <w:t>’s</w:t>
      </w:r>
      <w:r w:rsidR="00462E85" w:rsidRPr="004E7BD2">
        <w:rPr>
          <w:rFonts w:ascii="Garamond" w:hAnsi="Garamond"/>
          <w:lang w:val="en-GB"/>
        </w:rPr>
        <w:t xml:space="preserve"> (2021) </w:t>
      </w:r>
      <w:r w:rsidR="00F30BC8" w:rsidRPr="004E7BD2">
        <w:rPr>
          <w:rFonts w:ascii="Garamond" w:hAnsi="Garamond"/>
          <w:lang w:val="en-GB"/>
        </w:rPr>
        <w:t xml:space="preserve">work goes even further in the other direction, finding that </w:t>
      </w:r>
      <w:r w:rsidR="00462E85" w:rsidRPr="004E7BD2">
        <w:rPr>
          <w:rFonts w:ascii="Garamond" w:hAnsi="Garamond"/>
          <w:lang w:val="en-GB"/>
        </w:rPr>
        <w:t xml:space="preserve">exposing individuals to </w:t>
      </w:r>
      <w:r w:rsidR="00822AA7" w:rsidRPr="004E7BD2">
        <w:rPr>
          <w:rFonts w:ascii="Garamond" w:hAnsi="Garamond"/>
          <w:lang w:val="en-GB"/>
        </w:rPr>
        <w:t xml:space="preserve">accurate information about declining crime rates </w:t>
      </w:r>
      <w:r w:rsidR="00822AA7" w:rsidRPr="004E7BD2">
        <w:rPr>
          <w:rFonts w:ascii="Garamond" w:hAnsi="Garamond"/>
          <w:i/>
          <w:lang w:val="en-GB"/>
        </w:rPr>
        <w:t xml:space="preserve">increases </w:t>
      </w:r>
      <w:r w:rsidR="00822AA7" w:rsidRPr="004E7BD2">
        <w:rPr>
          <w:rFonts w:ascii="Garamond" w:hAnsi="Garamond"/>
          <w:lang w:val="en-GB"/>
        </w:rPr>
        <w:t>punitiveness.</w:t>
      </w:r>
      <w:r w:rsidR="008961CB" w:rsidRPr="004E7BD2">
        <w:rPr>
          <w:rFonts w:ascii="Garamond" w:hAnsi="Garamond"/>
          <w:lang w:val="en-GB"/>
        </w:rPr>
        <w:t xml:space="preserve"> Further complicating our understanding</w:t>
      </w:r>
      <w:r w:rsidR="00F30BC8" w:rsidRPr="004E7BD2">
        <w:rPr>
          <w:rFonts w:ascii="Garamond" w:hAnsi="Garamond"/>
          <w:lang w:val="en-GB"/>
        </w:rPr>
        <w:t xml:space="preserve"> of the public’s reaction (or lack thereof) to declining crime rates is research that finds</w:t>
      </w:r>
      <w:r w:rsidR="008961CB" w:rsidRPr="004E7BD2">
        <w:rPr>
          <w:rFonts w:ascii="Garamond" w:hAnsi="Garamond"/>
          <w:lang w:val="en-GB"/>
        </w:rPr>
        <w:t xml:space="preserve"> crime rates have little influence on crime salience</w:t>
      </w:r>
      <w:r w:rsidR="004507C7" w:rsidRPr="004E7BD2">
        <w:rPr>
          <w:rFonts w:ascii="Garamond" w:hAnsi="Garamond"/>
          <w:lang w:val="en-GB"/>
        </w:rPr>
        <w:t xml:space="preserve"> in the U.S. context </w:t>
      </w:r>
      <w:r w:rsidR="008961CB" w:rsidRPr="004E7BD2">
        <w:rPr>
          <w:rFonts w:ascii="Garamond" w:hAnsi="Garamond"/>
          <w:lang w:val="en-GB"/>
        </w:rPr>
        <w:t xml:space="preserve">(Beckett 1997; </w:t>
      </w:r>
      <w:proofErr w:type="spellStart"/>
      <w:r w:rsidR="000964DA" w:rsidRPr="004E7BD2">
        <w:rPr>
          <w:rFonts w:ascii="Garamond" w:hAnsi="Garamond"/>
          <w:lang w:val="en-GB"/>
        </w:rPr>
        <w:t>Cheliotis</w:t>
      </w:r>
      <w:proofErr w:type="spellEnd"/>
      <w:r w:rsidR="000964DA" w:rsidRPr="004E7BD2">
        <w:rPr>
          <w:rFonts w:ascii="Garamond" w:hAnsi="Garamond"/>
          <w:lang w:val="en-GB"/>
        </w:rPr>
        <w:t xml:space="preserve"> 2020; </w:t>
      </w:r>
      <w:r w:rsidR="008961CB" w:rsidRPr="004E7BD2">
        <w:rPr>
          <w:rFonts w:ascii="Garamond" w:hAnsi="Garamond"/>
          <w:lang w:val="en-GB"/>
        </w:rPr>
        <w:t>Shi</w:t>
      </w:r>
      <w:r w:rsidR="00D34222" w:rsidRPr="004E7BD2">
        <w:rPr>
          <w:rFonts w:ascii="Garamond" w:hAnsi="Garamond"/>
          <w:lang w:val="en-GB"/>
        </w:rPr>
        <w:t xml:space="preserve"> et al.</w:t>
      </w:r>
      <w:r w:rsidR="008961CB" w:rsidRPr="004E7BD2">
        <w:rPr>
          <w:rFonts w:ascii="Garamond" w:hAnsi="Garamond"/>
          <w:lang w:val="en-GB"/>
        </w:rPr>
        <w:t xml:space="preserve"> 2020)</w:t>
      </w:r>
      <w:r w:rsidR="00341A1D" w:rsidRPr="004E7BD2">
        <w:rPr>
          <w:rFonts w:ascii="Garamond" w:hAnsi="Garamond"/>
          <w:lang w:val="en-GB"/>
        </w:rPr>
        <w:t>,</w:t>
      </w:r>
      <w:r w:rsidR="00827AC1" w:rsidRPr="004E7BD2">
        <w:rPr>
          <w:rStyle w:val="FootnoteReference"/>
          <w:rFonts w:ascii="Garamond" w:hAnsi="Garamond"/>
          <w:lang w:val="en-GB"/>
        </w:rPr>
        <w:footnoteReference w:id="1"/>
      </w:r>
      <w:r w:rsidR="00341A1D" w:rsidRPr="004E7BD2">
        <w:rPr>
          <w:rFonts w:ascii="Garamond" w:hAnsi="Garamond"/>
          <w:lang w:val="en-GB"/>
        </w:rPr>
        <w:t xml:space="preserve"> that the public reacts to national and local crime rates differently (Ramirez 2013),</w:t>
      </w:r>
      <w:r w:rsidR="004507C7" w:rsidRPr="004E7BD2">
        <w:rPr>
          <w:rFonts w:ascii="Garamond" w:hAnsi="Garamond"/>
          <w:lang w:val="en-GB"/>
        </w:rPr>
        <w:t xml:space="preserve"> and the </w:t>
      </w:r>
      <w:r w:rsidR="003374A4">
        <w:rPr>
          <w:rFonts w:ascii="Garamond" w:hAnsi="Garamond"/>
          <w:lang w:val="en-GB"/>
        </w:rPr>
        <w:t>influence</w:t>
      </w:r>
      <w:r w:rsidR="003374A4" w:rsidRPr="004E7BD2">
        <w:rPr>
          <w:rFonts w:ascii="Garamond" w:hAnsi="Garamond"/>
          <w:lang w:val="en-GB"/>
        </w:rPr>
        <w:t xml:space="preserve"> </w:t>
      </w:r>
      <w:r w:rsidR="004507C7" w:rsidRPr="004E7BD2">
        <w:rPr>
          <w:rFonts w:ascii="Garamond" w:hAnsi="Garamond"/>
          <w:lang w:val="en-GB"/>
        </w:rPr>
        <w:t>of “moral panics” in the British context (Jennings</w:t>
      </w:r>
      <w:r w:rsidR="00D34222" w:rsidRPr="004E7BD2">
        <w:rPr>
          <w:rFonts w:ascii="Garamond" w:hAnsi="Garamond"/>
          <w:lang w:val="en-GB"/>
        </w:rPr>
        <w:t xml:space="preserve"> et al.</w:t>
      </w:r>
      <w:r w:rsidR="004507C7" w:rsidRPr="004E7BD2">
        <w:rPr>
          <w:rFonts w:ascii="Garamond" w:hAnsi="Garamond"/>
          <w:lang w:val="en-GB"/>
        </w:rPr>
        <w:t xml:space="preserve"> </w:t>
      </w:r>
      <w:r w:rsidR="00D81691" w:rsidRPr="004E7BD2">
        <w:rPr>
          <w:rFonts w:ascii="Garamond" w:hAnsi="Garamond"/>
          <w:lang w:val="en-GB"/>
        </w:rPr>
        <w:t>2020</w:t>
      </w:r>
      <w:r w:rsidR="004507C7" w:rsidRPr="004E7BD2">
        <w:rPr>
          <w:rFonts w:ascii="Garamond" w:hAnsi="Garamond"/>
          <w:lang w:val="en-GB"/>
        </w:rPr>
        <w:t>)</w:t>
      </w:r>
      <w:r w:rsidR="008961CB" w:rsidRPr="004E7BD2">
        <w:rPr>
          <w:rFonts w:ascii="Garamond" w:hAnsi="Garamond"/>
          <w:lang w:val="en-GB"/>
        </w:rPr>
        <w:t>.</w:t>
      </w:r>
    </w:p>
    <w:p w14:paraId="5D5FCCAF" w14:textId="3B329A4E" w:rsidR="00CD7303" w:rsidRPr="004E7BD2" w:rsidRDefault="00875E83" w:rsidP="008267AC">
      <w:pPr>
        <w:jc w:val="both"/>
        <w:rPr>
          <w:rFonts w:ascii="Garamond" w:hAnsi="Garamond"/>
          <w:lang w:val="en-GB"/>
        </w:rPr>
      </w:pPr>
      <w:r w:rsidRPr="004E7BD2">
        <w:rPr>
          <w:rFonts w:ascii="Garamond" w:hAnsi="Garamond"/>
          <w:lang w:val="en-GB"/>
        </w:rPr>
        <w:t xml:space="preserve">Given these mixed findings, our goal is to evaluate the relationship between declining crime rates and public attitudes. Our </w:t>
      </w:r>
      <w:r w:rsidR="00581A14" w:rsidRPr="004E7BD2">
        <w:rPr>
          <w:rFonts w:ascii="Garamond" w:hAnsi="Garamond"/>
          <w:lang w:val="en-GB"/>
        </w:rPr>
        <w:t xml:space="preserve">analysis focuses on crime rates in </w:t>
      </w:r>
      <w:r w:rsidRPr="004E7BD2">
        <w:rPr>
          <w:rFonts w:ascii="Garamond" w:hAnsi="Garamond"/>
          <w:lang w:val="en-GB"/>
        </w:rPr>
        <w:t xml:space="preserve">the U.S. and </w:t>
      </w:r>
      <w:r w:rsidR="00821D0D" w:rsidRPr="004E7BD2">
        <w:rPr>
          <w:rFonts w:ascii="Garamond" w:hAnsi="Garamond"/>
          <w:lang w:val="en-GB"/>
        </w:rPr>
        <w:t>England and Wales</w:t>
      </w:r>
      <w:r w:rsidR="00581A14" w:rsidRPr="004E7BD2">
        <w:rPr>
          <w:rFonts w:ascii="Garamond" w:hAnsi="Garamond"/>
          <w:lang w:val="en-GB"/>
        </w:rPr>
        <w:t>.</w:t>
      </w:r>
      <w:r w:rsidR="002300CD" w:rsidRPr="004E7BD2">
        <w:rPr>
          <w:rStyle w:val="FootnoteReference"/>
          <w:rFonts w:ascii="Garamond" w:hAnsi="Garamond"/>
          <w:lang w:val="en-GB"/>
        </w:rPr>
        <w:footnoteReference w:id="2"/>
      </w:r>
      <w:r w:rsidR="00581A14" w:rsidRPr="004E7BD2">
        <w:rPr>
          <w:rFonts w:ascii="Garamond" w:hAnsi="Garamond"/>
          <w:lang w:val="en-GB"/>
        </w:rPr>
        <w:t xml:space="preserve"> This cross-national approach</w:t>
      </w:r>
      <w:r w:rsidRPr="004E7BD2">
        <w:rPr>
          <w:rFonts w:ascii="Garamond" w:hAnsi="Garamond"/>
          <w:lang w:val="en-GB"/>
        </w:rPr>
        <w:t xml:space="preserve"> </w:t>
      </w:r>
      <w:r w:rsidR="00CD7303" w:rsidRPr="004E7BD2">
        <w:rPr>
          <w:rFonts w:ascii="Garamond" w:hAnsi="Garamond"/>
          <w:lang w:val="en-GB"/>
        </w:rPr>
        <w:t xml:space="preserve">enables comparison of how publics in two major advanced industrial democracies have responded </w:t>
      </w:r>
      <w:r w:rsidR="0046471C" w:rsidRPr="004E7BD2">
        <w:rPr>
          <w:rFonts w:ascii="Garamond" w:hAnsi="Garamond"/>
          <w:lang w:val="en-GB"/>
        </w:rPr>
        <w:t xml:space="preserve">to </w:t>
      </w:r>
      <w:r w:rsidR="00FE05B9">
        <w:rPr>
          <w:rFonts w:ascii="Garamond" w:hAnsi="Garamond"/>
          <w:lang w:val="en-GB"/>
        </w:rPr>
        <w:t>falling</w:t>
      </w:r>
      <w:r w:rsidR="0046471C" w:rsidRPr="004E7BD2">
        <w:rPr>
          <w:rFonts w:ascii="Garamond" w:hAnsi="Garamond"/>
          <w:lang w:val="en-GB"/>
        </w:rPr>
        <w:t xml:space="preserve"> crime rates</w:t>
      </w:r>
      <w:r w:rsidR="00CD7303" w:rsidRPr="004E7BD2">
        <w:rPr>
          <w:rFonts w:ascii="Garamond" w:hAnsi="Garamond"/>
          <w:lang w:val="en-GB"/>
        </w:rPr>
        <w:t>.</w:t>
      </w:r>
      <w:r w:rsidR="00821D0D" w:rsidRPr="004E7BD2">
        <w:rPr>
          <w:rFonts w:ascii="Garamond" w:hAnsi="Garamond"/>
          <w:lang w:val="en-GB"/>
        </w:rPr>
        <w:t xml:space="preserve"> Perhaps surprisingly, </w:t>
      </w:r>
      <w:r w:rsidR="00672EE4" w:rsidRPr="004E7BD2">
        <w:rPr>
          <w:rFonts w:ascii="Garamond" w:hAnsi="Garamond"/>
          <w:lang w:val="en-GB"/>
        </w:rPr>
        <w:t xml:space="preserve">crime rates and punitive attitudes in </w:t>
      </w:r>
      <w:r w:rsidR="00821D0D" w:rsidRPr="004E7BD2">
        <w:rPr>
          <w:rFonts w:ascii="Garamond" w:hAnsi="Garamond"/>
          <w:lang w:val="en-GB"/>
        </w:rPr>
        <w:t xml:space="preserve">these countries have not </w:t>
      </w:r>
      <w:r w:rsidR="00F46565" w:rsidRPr="004E7BD2">
        <w:rPr>
          <w:rFonts w:ascii="Garamond" w:hAnsi="Garamond"/>
          <w:lang w:val="en-GB"/>
        </w:rPr>
        <w:t>received in</w:t>
      </w:r>
      <w:r w:rsidR="00FE05B9">
        <w:rPr>
          <w:rFonts w:ascii="Garamond" w:hAnsi="Garamond"/>
          <w:lang w:val="en-GB"/>
        </w:rPr>
        <w:t>-</w:t>
      </w:r>
      <w:r w:rsidR="00F46565" w:rsidRPr="004E7BD2">
        <w:rPr>
          <w:rFonts w:ascii="Garamond" w:hAnsi="Garamond"/>
          <w:lang w:val="en-GB"/>
        </w:rPr>
        <w:t>depth comparative analysis (van Dijk</w:t>
      </w:r>
      <w:r w:rsidR="00D34222" w:rsidRPr="004E7BD2">
        <w:rPr>
          <w:rFonts w:ascii="Garamond" w:hAnsi="Garamond"/>
          <w:lang w:val="en-GB"/>
        </w:rPr>
        <w:t xml:space="preserve"> et al.</w:t>
      </w:r>
      <w:r w:rsidR="00F46565" w:rsidRPr="004E7BD2">
        <w:rPr>
          <w:rFonts w:ascii="Garamond" w:hAnsi="Garamond"/>
          <w:lang w:val="en-GB"/>
        </w:rPr>
        <w:t xml:space="preserve"> 2012).</w:t>
      </w:r>
      <w:r w:rsidR="000964DA" w:rsidRPr="004E7BD2">
        <w:rPr>
          <w:rStyle w:val="FootnoteReference"/>
          <w:rFonts w:ascii="Garamond" w:hAnsi="Garamond"/>
          <w:lang w:val="en-GB"/>
        </w:rPr>
        <w:footnoteReference w:id="3"/>
      </w:r>
      <w:r w:rsidR="00821D0D" w:rsidRPr="004E7BD2">
        <w:rPr>
          <w:rFonts w:ascii="Garamond" w:hAnsi="Garamond"/>
          <w:lang w:val="en-GB"/>
        </w:rPr>
        <w:t xml:space="preserve"> While </w:t>
      </w:r>
      <w:r w:rsidR="00687917">
        <w:rPr>
          <w:rFonts w:ascii="Garamond" w:hAnsi="Garamond"/>
          <w:lang w:val="en-GB"/>
        </w:rPr>
        <w:t>other</w:t>
      </w:r>
      <w:r w:rsidR="00687917" w:rsidRPr="004E7BD2">
        <w:rPr>
          <w:rFonts w:ascii="Garamond" w:hAnsi="Garamond"/>
          <w:lang w:val="en-GB"/>
        </w:rPr>
        <w:t xml:space="preserve"> </w:t>
      </w:r>
      <w:r w:rsidR="00CD7537" w:rsidRPr="004E7BD2">
        <w:rPr>
          <w:rFonts w:ascii="Garamond" w:hAnsi="Garamond"/>
          <w:lang w:val="en-GB"/>
        </w:rPr>
        <w:t>cross-national comparisons are</w:t>
      </w:r>
      <w:r w:rsidR="00821D0D" w:rsidRPr="004E7BD2">
        <w:rPr>
          <w:rFonts w:ascii="Garamond" w:hAnsi="Garamond"/>
          <w:lang w:val="en-GB"/>
        </w:rPr>
        <w:t xml:space="preserve"> </w:t>
      </w:r>
      <w:r w:rsidR="00CD7537" w:rsidRPr="004E7BD2">
        <w:rPr>
          <w:rFonts w:ascii="Garamond" w:hAnsi="Garamond"/>
          <w:lang w:val="en-GB"/>
        </w:rPr>
        <w:t>important</w:t>
      </w:r>
      <w:r w:rsidR="00E23206" w:rsidRPr="004E7BD2">
        <w:rPr>
          <w:rFonts w:ascii="Garamond" w:hAnsi="Garamond"/>
          <w:lang w:val="en-GB"/>
        </w:rPr>
        <w:t>, we focus our attention o</w:t>
      </w:r>
      <w:r w:rsidR="00A64762" w:rsidRPr="004E7BD2">
        <w:rPr>
          <w:rFonts w:ascii="Garamond" w:hAnsi="Garamond"/>
          <w:lang w:val="en-GB"/>
        </w:rPr>
        <w:t>n</w:t>
      </w:r>
      <w:r w:rsidR="00E23206" w:rsidRPr="004E7BD2">
        <w:rPr>
          <w:rFonts w:ascii="Garamond" w:hAnsi="Garamond"/>
          <w:lang w:val="en-GB"/>
        </w:rPr>
        <w:t xml:space="preserve"> these countries for several reasons. First, the </w:t>
      </w:r>
      <w:r w:rsidR="00CD7537" w:rsidRPr="004E7BD2">
        <w:rPr>
          <w:rFonts w:ascii="Garamond" w:hAnsi="Garamond"/>
          <w:lang w:val="en-GB"/>
        </w:rPr>
        <w:t>country selection allows</w:t>
      </w:r>
      <w:r w:rsidR="00CD7303" w:rsidRPr="004E7BD2">
        <w:rPr>
          <w:rFonts w:ascii="Garamond" w:hAnsi="Garamond"/>
          <w:lang w:val="en-GB"/>
        </w:rPr>
        <w:t xml:space="preserve"> insights on whether public responsiveness is influenced by distinct criminal justice policy regimes</w:t>
      </w:r>
      <w:r w:rsidR="00E23206" w:rsidRPr="004E7BD2">
        <w:rPr>
          <w:rFonts w:ascii="Garamond" w:hAnsi="Garamond"/>
          <w:lang w:val="en-GB"/>
        </w:rPr>
        <w:t xml:space="preserve">. Specifically, the existence of capital punishment, </w:t>
      </w:r>
      <w:r w:rsidR="00687917">
        <w:rPr>
          <w:rFonts w:ascii="Garamond" w:hAnsi="Garamond"/>
          <w:lang w:val="en-GB"/>
        </w:rPr>
        <w:t xml:space="preserve">the world’s </w:t>
      </w:r>
      <w:r w:rsidR="00E23206" w:rsidRPr="004E7BD2">
        <w:rPr>
          <w:rFonts w:ascii="Garamond" w:hAnsi="Garamond"/>
          <w:lang w:val="en-GB"/>
        </w:rPr>
        <w:t>high</w:t>
      </w:r>
      <w:r w:rsidR="00687917">
        <w:rPr>
          <w:rFonts w:ascii="Garamond" w:hAnsi="Garamond"/>
          <w:lang w:val="en-GB"/>
        </w:rPr>
        <w:t>est incarceration</w:t>
      </w:r>
      <w:r w:rsidR="00E23206" w:rsidRPr="004E7BD2">
        <w:rPr>
          <w:rFonts w:ascii="Garamond" w:hAnsi="Garamond"/>
          <w:lang w:val="en-GB"/>
        </w:rPr>
        <w:t xml:space="preserve"> rate, and high rates of gun ownership in the U.S.</w:t>
      </w:r>
      <w:r w:rsidR="00FE05B9">
        <w:rPr>
          <w:rFonts w:ascii="Garamond" w:hAnsi="Garamond"/>
          <w:lang w:val="en-GB"/>
        </w:rPr>
        <w:t xml:space="preserve"> case</w:t>
      </w:r>
      <w:r w:rsidR="00E23206" w:rsidRPr="004E7BD2">
        <w:rPr>
          <w:rFonts w:ascii="Garamond" w:hAnsi="Garamond"/>
          <w:lang w:val="en-GB"/>
        </w:rPr>
        <w:t xml:space="preserve"> </w:t>
      </w:r>
      <w:r w:rsidR="003374A4">
        <w:rPr>
          <w:rFonts w:ascii="Garamond" w:hAnsi="Garamond"/>
          <w:lang w:val="en-GB"/>
        </w:rPr>
        <w:t>versus</w:t>
      </w:r>
      <w:r w:rsidR="00E23206" w:rsidRPr="004E7BD2">
        <w:rPr>
          <w:rFonts w:ascii="Garamond" w:hAnsi="Garamond"/>
          <w:lang w:val="en-GB"/>
        </w:rPr>
        <w:t xml:space="preserve"> no capital punishment</w:t>
      </w:r>
      <w:r w:rsidR="00FE05B9">
        <w:rPr>
          <w:rFonts w:ascii="Garamond" w:hAnsi="Garamond"/>
          <w:lang w:val="en-GB"/>
        </w:rPr>
        <w:t xml:space="preserve"> (</w:t>
      </w:r>
      <w:r w:rsidR="00E23206" w:rsidRPr="004E7BD2">
        <w:rPr>
          <w:rFonts w:ascii="Garamond" w:hAnsi="Garamond"/>
          <w:lang w:val="en-GB"/>
        </w:rPr>
        <w:t>abolished in 1965</w:t>
      </w:r>
      <w:r w:rsidR="00FE05B9">
        <w:rPr>
          <w:rFonts w:ascii="Garamond" w:hAnsi="Garamond"/>
          <w:lang w:val="en-GB"/>
        </w:rPr>
        <w:t>)</w:t>
      </w:r>
      <w:r w:rsidR="00E23206" w:rsidRPr="004E7BD2">
        <w:rPr>
          <w:rFonts w:ascii="Garamond" w:hAnsi="Garamond"/>
          <w:lang w:val="en-GB"/>
        </w:rPr>
        <w:t>, low</w:t>
      </w:r>
      <w:r w:rsidR="00687917">
        <w:rPr>
          <w:rFonts w:ascii="Garamond" w:hAnsi="Garamond"/>
          <w:lang w:val="en-GB"/>
        </w:rPr>
        <w:t>er</w:t>
      </w:r>
      <w:r w:rsidR="00E23206" w:rsidRPr="004E7BD2">
        <w:rPr>
          <w:rFonts w:ascii="Garamond" w:hAnsi="Garamond"/>
          <w:lang w:val="en-GB"/>
        </w:rPr>
        <w:t xml:space="preserve"> rates of incarceration</w:t>
      </w:r>
      <w:r w:rsidR="00687917">
        <w:rPr>
          <w:rFonts w:ascii="Garamond" w:hAnsi="Garamond"/>
          <w:lang w:val="en-GB"/>
        </w:rPr>
        <w:t xml:space="preserve"> (though still high relative to West European countries)</w:t>
      </w:r>
      <w:r w:rsidR="00E23206" w:rsidRPr="004E7BD2">
        <w:rPr>
          <w:rFonts w:ascii="Garamond" w:hAnsi="Garamond"/>
          <w:lang w:val="en-GB"/>
        </w:rPr>
        <w:t xml:space="preserve">, and low rates of gun ownership in England and Wales. Second, high quality long-term </w:t>
      </w:r>
      <w:r w:rsidR="0041286C" w:rsidRPr="004E7BD2">
        <w:rPr>
          <w:rFonts w:ascii="Garamond" w:hAnsi="Garamond"/>
          <w:lang w:val="en-GB"/>
        </w:rPr>
        <w:t>victimisation</w:t>
      </w:r>
      <w:r w:rsidR="00E23206" w:rsidRPr="004E7BD2">
        <w:rPr>
          <w:rFonts w:ascii="Garamond" w:hAnsi="Garamond"/>
          <w:lang w:val="en-GB"/>
        </w:rPr>
        <w:t xml:space="preserve"> data are available in both </w:t>
      </w:r>
      <w:r w:rsidR="0020383E" w:rsidRPr="004E7BD2">
        <w:rPr>
          <w:rFonts w:ascii="Garamond" w:hAnsi="Garamond"/>
          <w:lang w:val="en-GB"/>
        </w:rPr>
        <w:t xml:space="preserve">of </w:t>
      </w:r>
      <w:r w:rsidR="00E23206" w:rsidRPr="004E7BD2">
        <w:rPr>
          <w:rFonts w:ascii="Garamond" w:hAnsi="Garamond"/>
          <w:lang w:val="en-GB"/>
        </w:rPr>
        <w:t>these countries</w:t>
      </w:r>
      <w:r w:rsidR="0020383E" w:rsidRPr="004E7BD2">
        <w:rPr>
          <w:rFonts w:ascii="Garamond" w:hAnsi="Garamond"/>
          <w:lang w:val="en-GB"/>
        </w:rPr>
        <w:t xml:space="preserve"> which allows us to disentangle differences in crimes reported to</w:t>
      </w:r>
      <w:r w:rsidR="00FF4EEC">
        <w:rPr>
          <w:rFonts w:ascii="Garamond" w:hAnsi="Garamond"/>
          <w:lang w:val="en-GB"/>
        </w:rPr>
        <w:t xml:space="preserve"> and recorded by</w:t>
      </w:r>
      <w:r w:rsidR="0020383E" w:rsidRPr="004E7BD2">
        <w:rPr>
          <w:rFonts w:ascii="Garamond" w:hAnsi="Garamond"/>
          <w:lang w:val="en-GB"/>
        </w:rPr>
        <w:t xml:space="preserve"> the police versus actual </w:t>
      </w:r>
      <w:r w:rsidR="0041286C" w:rsidRPr="004E7BD2">
        <w:rPr>
          <w:rFonts w:ascii="Garamond" w:hAnsi="Garamond"/>
          <w:lang w:val="en-GB"/>
        </w:rPr>
        <w:t>victimisation</w:t>
      </w:r>
      <w:r w:rsidR="0020383E" w:rsidRPr="004E7BD2">
        <w:rPr>
          <w:rFonts w:ascii="Garamond" w:hAnsi="Garamond"/>
          <w:lang w:val="en-GB"/>
        </w:rPr>
        <w:t xml:space="preserve"> rates</w:t>
      </w:r>
      <w:r w:rsidR="00E23206" w:rsidRPr="004E7BD2">
        <w:rPr>
          <w:rFonts w:ascii="Garamond" w:hAnsi="Garamond"/>
          <w:lang w:val="en-GB"/>
        </w:rPr>
        <w:t xml:space="preserve">. Finally, these countries </w:t>
      </w:r>
      <w:r w:rsidR="00F71F3D" w:rsidRPr="004E7BD2">
        <w:rPr>
          <w:rFonts w:ascii="Garamond" w:hAnsi="Garamond"/>
          <w:lang w:val="en-GB"/>
        </w:rPr>
        <w:t xml:space="preserve">offer </w:t>
      </w:r>
      <w:r w:rsidR="00CD7303" w:rsidRPr="004E7BD2">
        <w:rPr>
          <w:rFonts w:ascii="Garamond" w:hAnsi="Garamond"/>
          <w:lang w:val="en-GB"/>
        </w:rPr>
        <w:t>a large volume of survey data on public attitudes towards</w:t>
      </w:r>
      <w:r w:rsidR="00F43EB1" w:rsidRPr="004E7BD2">
        <w:rPr>
          <w:rFonts w:ascii="Garamond" w:hAnsi="Garamond"/>
          <w:lang w:val="en-GB"/>
        </w:rPr>
        <w:t xml:space="preserve"> crime and</w:t>
      </w:r>
      <w:r w:rsidR="00CD7303" w:rsidRPr="004E7BD2">
        <w:rPr>
          <w:rFonts w:ascii="Garamond" w:hAnsi="Garamond"/>
          <w:lang w:val="en-GB"/>
        </w:rPr>
        <w:t xml:space="preserve"> criminal justice </w:t>
      </w:r>
      <w:r w:rsidR="00F71F3D" w:rsidRPr="004E7BD2">
        <w:rPr>
          <w:rFonts w:ascii="Garamond" w:hAnsi="Garamond"/>
          <w:lang w:val="en-GB"/>
        </w:rPr>
        <w:t>via long-running social</w:t>
      </w:r>
      <w:r w:rsidR="0070302B" w:rsidRPr="004E7BD2">
        <w:rPr>
          <w:rFonts w:ascii="Garamond" w:hAnsi="Garamond"/>
          <w:lang w:val="en-GB"/>
        </w:rPr>
        <w:t xml:space="preserve">, </w:t>
      </w:r>
      <w:r w:rsidR="00F71F3D" w:rsidRPr="004E7BD2">
        <w:rPr>
          <w:rFonts w:ascii="Garamond" w:hAnsi="Garamond"/>
          <w:lang w:val="en-GB"/>
        </w:rPr>
        <w:t>political</w:t>
      </w:r>
      <w:r w:rsidR="0070302B" w:rsidRPr="004E7BD2">
        <w:rPr>
          <w:rFonts w:ascii="Garamond" w:hAnsi="Garamond"/>
          <w:lang w:val="en-GB"/>
        </w:rPr>
        <w:t xml:space="preserve"> and </w:t>
      </w:r>
      <w:r w:rsidR="0041286C" w:rsidRPr="004E7BD2">
        <w:rPr>
          <w:rFonts w:ascii="Garamond" w:hAnsi="Garamond"/>
          <w:lang w:val="en-GB"/>
        </w:rPr>
        <w:t>victimisation</w:t>
      </w:r>
      <w:r w:rsidR="00F71F3D" w:rsidRPr="004E7BD2">
        <w:rPr>
          <w:rFonts w:ascii="Garamond" w:hAnsi="Garamond"/>
          <w:lang w:val="en-GB"/>
        </w:rPr>
        <w:t xml:space="preserve"> surveys</w:t>
      </w:r>
      <w:r w:rsidR="00CD7303" w:rsidRPr="004E7BD2">
        <w:rPr>
          <w:rFonts w:ascii="Garamond" w:hAnsi="Garamond"/>
          <w:lang w:val="en-GB"/>
        </w:rPr>
        <w:t>.</w:t>
      </w:r>
      <w:r w:rsidR="00F43EB1" w:rsidRPr="004E7BD2">
        <w:rPr>
          <w:rFonts w:ascii="Garamond" w:hAnsi="Garamond"/>
          <w:lang w:val="en-GB"/>
        </w:rPr>
        <w:t xml:space="preserve"> Our analysis is thus able to draw upon over 4,000 individual survey </w:t>
      </w:r>
      <w:r w:rsidR="00687917">
        <w:rPr>
          <w:rFonts w:ascii="Garamond" w:hAnsi="Garamond"/>
          <w:lang w:val="en-GB"/>
        </w:rPr>
        <w:t>questions</w:t>
      </w:r>
      <w:r w:rsidR="00687917" w:rsidRPr="004E7BD2">
        <w:rPr>
          <w:rFonts w:ascii="Garamond" w:hAnsi="Garamond"/>
          <w:lang w:val="en-GB"/>
        </w:rPr>
        <w:t xml:space="preserve"> </w:t>
      </w:r>
      <w:r w:rsidR="00F43EB1" w:rsidRPr="004E7BD2">
        <w:rPr>
          <w:rFonts w:ascii="Garamond" w:hAnsi="Garamond"/>
          <w:lang w:val="en-GB"/>
        </w:rPr>
        <w:t xml:space="preserve">to construct measures of </w:t>
      </w:r>
      <w:r w:rsidR="00687917">
        <w:rPr>
          <w:rFonts w:ascii="Garamond" w:hAnsi="Garamond"/>
          <w:lang w:val="en-GB"/>
        </w:rPr>
        <w:t xml:space="preserve">both </w:t>
      </w:r>
      <w:r w:rsidR="00F43EB1" w:rsidRPr="004E7BD2">
        <w:rPr>
          <w:rFonts w:ascii="Garamond" w:hAnsi="Garamond"/>
          <w:lang w:val="en-GB"/>
        </w:rPr>
        <w:t xml:space="preserve">public </w:t>
      </w:r>
      <w:r w:rsidR="003374A4">
        <w:rPr>
          <w:rFonts w:ascii="Garamond" w:hAnsi="Garamond"/>
          <w:lang w:val="en-GB"/>
        </w:rPr>
        <w:t>concern about</w:t>
      </w:r>
      <w:r w:rsidR="00F43EB1" w:rsidRPr="004E7BD2">
        <w:rPr>
          <w:rFonts w:ascii="Garamond" w:hAnsi="Garamond"/>
          <w:lang w:val="en-GB"/>
        </w:rPr>
        <w:t xml:space="preserve"> crime and support for punitive policies. </w:t>
      </w:r>
    </w:p>
    <w:p w14:paraId="43F3DB82" w14:textId="1F566A0B" w:rsidR="00401BF7" w:rsidRPr="004E7BD2" w:rsidRDefault="004A29D2" w:rsidP="008267AC">
      <w:pPr>
        <w:jc w:val="both"/>
        <w:rPr>
          <w:rFonts w:ascii="Garamond" w:hAnsi="Garamond"/>
          <w:lang w:val="en-GB"/>
        </w:rPr>
      </w:pPr>
      <w:r w:rsidRPr="004E7BD2">
        <w:rPr>
          <w:rFonts w:ascii="Garamond" w:hAnsi="Garamond"/>
          <w:lang w:val="en-GB"/>
        </w:rPr>
        <w:t xml:space="preserve">Given the data </w:t>
      </w:r>
      <w:r w:rsidR="003374A4" w:rsidRPr="004E7BD2">
        <w:rPr>
          <w:rFonts w:ascii="Garamond" w:hAnsi="Garamond"/>
          <w:lang w:val="en-GB"/>
        </w:rPr>
        <w:t>availab</w:t>
      </w:r>
      <w:r w:rsidR="003374A4">
        <w:rPr>
          <w:rFonts w:ascii="Garamond" w:hAnsi="Garamond"/>
          <w:lang w:val="en-GB"/>
        </w:rPr>
        <w:t>le</w:t>
      </w:r>
      <w:r w:rsidRPr="004E7BD2">
        <w:rPr>
          <w:rFonts w:ascii="Garamond" w:hAnsi="Garamond"/>
          <w:lang w:val="en-GB"/>
        </w:rPr>
        <w:t xml:space="preserve">, </w:t>
      </w:r>
      <w:r w:rsidR="00581A14" w:rsidRPr="004E7BD2">
        <w:rPr>
          <w:rFonts w:ascii="Garamond" w:hAnsi="Garamond"/>
          <w:lang w:val="en-GB"/>
        </w:rPr>
        <w:t xml:space="preserve">we focus on crimes </w:t>
      </w:r>
      <w:r w:rsidR="00FF4EEC">
        <w:rPr>
          <w:rFonts w:ascii="Garamond" w:hAnsi="Garamond"/>
          <w:lang w:val="en-GB"/>
        </w:rPr>
        <w:t>recorded by</w:t>
      </w:r>
      <w:r w:rsidR="00581A14" w:rsidRPr="004E7BD2">
        <w:rPr>
          <w:rFonts w:ascii="Garamond" w:hAnsi="Garamond"/>
          <w:lang w:val="en-GB"/>
        </w:rPr>
        <w:t xml:space="preserve"> the police as well </w:t>
      </w:r>
      <w:r w:rsidR="000E3893" w:rsidRPr="004E7BD2">
        <w:rPr>
          <w:rFonts w:ascii="Garamond" w:hAnsi="Garamond"/>
          <w:lang w:val="en-GB"/>
        </w:rPr>
        <w:t xml:space="preserve">as </w:t>
      </w:r>
      <w:r w:rsidR="00A12966" w:rsidRPr="004E7BD2">
        <w:rPr>
          <w:rFonts w:ascii="Garamond" w:hAnsi="Garamond"/>
          <w:lang w:val="en-GB"/>
        </w:rPr>
        <w:t xml:space="preserve">actual </w:t>
      </w:r>
      <w:r w:rsidR="0041286C" w:rsidRPr="004E7BD2">
        <w:rPr>
          <w:rFonts w:ascii="Garamond" w:hAnsi="Garamond"/>
          <w:lang w:val="en-GB"/>
        </w:rPr>
        <w:t>victimisation</w:t>
      </w:r>
      <w:r w:rsidR="00A12966" w:rsidRPr="004E7BD2">
        <w:rPr>
          <w:rFonts w:ascii="Garamond" w:hAnsi="Garamond"/>
          <w:lang w:val="en-GB"/>
        </w:rPr>
        <w:t xml:space="preserve"> data. We </w:t>
      </w:r>
      <w:r w:rsidR="003374A4">
        <w:rPr>
          <w:rFonts w:ascii="Garamond" w:hAnsi="Garamond"/>
          <w:lang w:val="en-GB"/>
        </w:rPr>
        <w:t>consider</w:t>
      </w:r>
      <w:r w:rsidR="00A12966" w:rsidRPr="004E7BD2">
        <w:rPr>
          <w:rFonts w:ascii="Garamond" w:hAnsi="Garamond"/>
          <w:lang w:val="en-GB"/>
        </w:rPr>
        <w:t xml:space="preserve"> both types of crime data because </w:t>
      </w:r>
      <w:r w:rsidR="0041286C" w:rsidRPr="004E7BD2">
        <w:rPr>
          <w:rFonts w:ascii="Garamond" w:hAnsi="Garamond"/>
          <w:lang w:val="en-GB"/>
        </w:rPr>
        <w:t>victimisation</w:t>
      </w:r>
      <w:r w:rsidR="00A12966" w:rsidRPr="004E7BD2">
        <w:rPr>
          <w:rFonts w:ascii="Garamond" w:hAnsi="Garamond"/>
          <w:lang w:val="en-GB"/>
        </w:rPr>
        <w:t xml:space="preserve"> and police reports do not always align (</w:t>
      </w:r>
      <w:r w:rsidR="00733056" w:rsidRPr="004E7BD2">
        <w:rPr>
          <w:rFonts w:ascii="Garamond" w:hAnsi="Garamond"/>
          <w:lang w:val="en-GB"/>
        </w:rPr>
        <w:t>Jennings</w:t>
      </w:r>
      <w:r w:rsidR="00D34222" w:rsidRPr="004E7BD2">
        <w:rPr>
          <w:rFonts w:ascii="Garamond" w:hAnsi="Garamond"/>
          <w:lang w:val="en-GB"/>
        </w:rPr>
        <w:t xml:space="preserve"> et al.</w:t>
      </w:r>
      <w:r w:rsidR="00733056" w:rsidRPr="004E7BD2">
        <w:rPr>
          <w:rFonts w:ascii="Garamond" w:hAnsi="Garamond"/>
          <w:lang w:val="en-GB"/>
        </w:rPr>
        <w:t xml:space="preserve"> 2015; </w:t>
      </w:r>
      <w:r w:rsidR="0070302B" w:rsidRPr="004E7BD2">
        <w:rPr>
          <w:rFonts w:ascii="Garamond" w:hAnsi="Garamond"/>
          <w:lang w:val="en-GB"/>
        </w:rPr>
        <w:t xml:space="preserve">Lynch and Addington 2006; </w:t>
      </w:r>
      <w:r w:rsidR="00A12966" w:rsidRPr="004E7BD2">
        <w:rPr>
          <w:rFonts w:ascii="Garamond" w:hAnsi="Garamond"/>
          <w:lang w:val="en-GB"/>
        </w:rPr>
        <w:t xml:space="preserve">McDowall and Loftin 2007). </w:t>
      </w:r>
      <w:r w:rsidR="00CD7537" w:rsidRPr="004E7BD2">
        <w:rPr>
          <w:rFonts w:ascii="Garamond" w:hAnsi="Garamond"/>
          <w:lang w:val="en-GB"/>
        </w:rPr>
        <w:t>Th</w:t>
      </w:r>
      <w:r w:rsidR="003374A4">
        <w:rPr>
          <w:rFonts w:ascii="Garamond" w:hAnsi="Garamond"/>
          <w:lang w:val="en-GB"/>
        </w:rPr>
        <w:t>is</w:t>
      </w:r>
      <w:r w:rsidR="00CD7537" w:rsidRPr="004E7BD2">
        <w:rPr>
          <w:rFonts w:ascii="Garamond" w:hAnsi="Garamond"/>
          <w:lang w:val="en-GB"/>
        </w:rPr>
        <w:t xml:space="preserve"> allow us to </w:t>
      </w:r>
      <w:r w:rsidR="00166856" w:rsidRPr="004E7BD2">
        <w:rPr>
          <w:rFonts w:ascii="Garamond" w:hAnsi="Garamond"/>
          <w:lang w:val="en-GB"/>
        </w:rPr>
        <w:t xml:space="preserve">test whether </w:t>
      </w:r>
      <w:r w:rsidR="003374A4">
        <w:rPr>
          <w:rFonts w:ascii="Garamond" w:hAnsi="Garamond"/>
          <w:lang w:val="en-GB"/>
        </w:rPr>
        <w:t xml:space="preserve">the </w:t>
      </w:r>
      <w:r w:rsidR="00166856" w:rsidRPr="004E7BD2">
        <w:rPr>
          <w:rFonts w:ascii="Garamond" w:hAnsi="Garamond"/>
          <w:lang w:val="en-GB"/>
        </w:rPr>
        <w:t xml:space="preserve">public in each country has </w:t>
      </w:r>
      <w:r w:rsidR="00CD7537" w:rsidRPr="004E7BD2">
        <w:rPr>
          <w:rFonts w:ascii="Garamond" w:hAnsi="Garamond"/>
          <w:lang w:val="en-GB"/>
        </w:rPr>
        <w:t xml:space="preserve">noticed </w:t>
      </w:r>
      <w:r w:rsidR="003374A4">
        <w:rPr>
          <w:rFonts w:ascii="Garamond" w:hAnsi="Garamond"/>
          <w:lang w:val="en-GB"/>
        </w:rPr>
        <w:t>falls in</w:t>
      </w:r>
      <w:r w:rsidR="00CD7537" w:rsidRPr="004E7BD2">
        <w:rPr>
          <w:rFonts w:ascii="Garamond" w:hAnsi="Garamond"/>
          <w:lang w:val="en-GB"/>
        </w:rPr>
        <w:t xml:space="preserve"> crime rates and whether or not </w:t>
      </w:r>
      <w:r w:rsidR="003374A4">
        <w:rPr>
          <w:rFonts w:ascii="Garamond" w:hAnsi="Garamond"/>
          <w:lang w:val="en-GB"/>
        </w:rPr>
        <w:t>public opinion</w:t>
      </w:r>
      <w:r w:rsidR="00CD7537" w:rsidRPr="004E7BD2">
        <w:rPr>
          <w:rFonts w:ascii="Garamond" w:hAnsi="Garamond"/>
          <w:lang w:val="en-GB"/>
        </w:rPr>
        <w:t xml:space="preserve"> ha</w:t>
      </w:r>
      <w:r w:rsidR="003374A4">
        <w:rPr>
          <w:rFonts w:ascii="Garamond" w:hAnsi="Garamond"/>
          <w:lang w:val="en-GB"/>
        </w:rPr>
        <w:t>s</w:t>
      </w:r>
      <w:r w:rsidR="00CD7537" w:rsidRPr="004E7BD2">
        <w:rPr>
          <w:rFonts w:ascii="Garamond" w:hAnsi="Garamond"/>
          <w:lang w:val="en-GB"/>
        </w:rPr>
        <w:t xml:space="preserve"> </w:t>
      </w:r>
      <w:r w:rsidR="00166856" w:rsidRPr="004E7BD2">
        <w:rPr>
          <w:rFonts w:ascii="Garamond" w:hAnsi="Garamond"/>
          <w:lang w:val="en-GB"/>
        </w:rPr>
        <w:t xml:space="preserve">become less punitive </w:t>
      </w:r>
      <w:r w:rsidR="003374A4">
        <w:rPr>
          <w:rFonts w:ascii="Garamond" w:hAnsi="Garamond"/>
          <w:lang w:val="en-GB"/>
        </w:rPr>
        <w:t>in response</w:t>
      </w:r>
      <w:r w:rsidR="00166856" w:rsidRPr="004E7BD2">
        <w:rPr>
          <w:rFonts w:ascii="Garamond" w:hAnsi="Garamond"/>
          <w:lang w:val="en-GB"/>
        </w:rPr>
        <w:t>.</w:t>
      </w:r>
    </w:p>
    <w:p w14:paraId="4896E4F8" w14:textId="126C2BAB" w:rsidR="00166856" w:rsidRDefault="7563E27E" w:rsidP="00F9041A">
      <w:pPr>
        <w:spacing w:after="0"/>
        <w:jc w:val="both"/>
        <w:rPr>
          <w:rFonts w:ascii="Garamond" w:hAnsi="Garamond"/>
          <w:lang w:val="en-GB"/>
        </w:rPr>
      </w:pPr>
      <w:r w:rsidRPr="004E7BD2">
        <w:rPr>
          <w:rFonts w:ascii="Garamond" w:hAnsi="Garamond"/>
          <w:lang w:val="en-GB"/>
        </w:rPr>
        <w:t xml:space="preserve">The findings carry several important implications. First, they offer a clear conclusion to a largely disjointed set of findings about the public’s response to falling crime rates. </w:t>
      </w:r>
      <w:r w:rsidR="00CD7537" w:rsidRPr="004E7BD2">
        <w:rPr>
          <w:rFonts w:ascii="Garamond" w:hAnsi="Garamond"/>
          <w:lang w:val="en-GB"/>
        </w:rPr>
        <w:t xml:space="preserve">It turns out the distinction between crime </w:t>
      </w:r>
      <w:r w:rsidR="003374A4">
        <w:rPr>
          <w:rFonts w:ascii="Garamond" w:hAnsi="Garamond"/>
          <w:lang w:val="en-GB"/>
        </w:rPr>
        <w:t>concern</w:t>
      </w:r>
      <w:r w:rsidR="003374A4" w:rsidRPr="004E7BD2">
        <w:rPr>
          <w:rFonts w:ascii="Garamond" w:hAnsi="Garamond"/>
          <w:lang w:val="en-GB"/>
        </w:rPr>
        <w:t xml:space="preserve"> </w:t>
      </w:r>
      <w:r w:rsidR="00CD7537" w:rsidRPr="004E7BD2">
        <w:rPr>
          <w:rFonts w:ascii="Garamond" w:hAnsi="Garamond"/>
          <w:lang w:val="en-GB"/>
        </w:rPr>
        <w:t>and punitive attitudes is critical for understanding how the public has responded</w:t>
      </w:r>
      <w:r w:rsidR="009A58F0" w:rsidRPr="004E7BD2">
        <w:rPr>
          <w:rFonts w:ascii="Garamond" w:hAnsi="Garamond"/>
          <w:lang w:val="en-GB"/>
        </w:rPr>
        <w:t xml:space="preserve"> to declining crime rates in the U.S. and England and Wales. </w:t>
      </w:r>
      <w:r w:rsidRPr="004E7BD2">
        <w:rPr>
          <w:rFonts w:ascii="Garamond" w:hAnsi="Garamond"/>
          <w:lang w:val="en-GB"/>
        </w:rPr>
        <w:t xml:space="preserve">Second, they speak to broader debates about the public’s awareness and ability to update its attitudes in a systematic manner (e.g., Enns and </w:t>
      </w:r>
      <w:proofErr w:type="spellStart"/>
      <w:r w:rsidRPr="004E7BD2">
        <w:rPr>
          <w:rFonts w:ascii="Garamond" w:hAnsi="Garamond"/>
          <w:lang w:val="en-GB"/>
        </w:rPr>
        <w:t>Kellstedt</w:t>
      </w:r>
      <w:proofErr w:type="spellEnd"/>
      <w:r w:rsidRPr="004E7BD2">
        <w:rPr>
          <w:rFonts w:ascii="Garamond" w:hAnsi="Garamond"/>
          <w:lang w:val="en-GB"/>
        </w:rPr>
        <w:t xml:space="preserve"> 2008; </w:t>
      </w:r>
      <w:proofErr w:type="spellStart"/>
      <w:r w:rsidRPr="004E7BD2">
        <w:rPr>
          <w:rFonts w:ascii="Garamond" w:hAnsi="Garamond"/>
          <w:lang w:val="en-GB"/>
        </w:rPr>
        <w:t>Jerit</w:t>
      </w:r>
      <w:proofErr w:type="spellEnd"/>
      <w:r w:rsidRPr="004E7BD2">
        <w:rPr>
          <w:rFonts w:ascii="Garamond" w:hAnsi="Garamond"/>
          <w:lang w:val="en-GB"/>
        </w:rPr>
        <w:t xml:space="preserve"> and Zhao 2020; Page and Shapiro </w:t>
      </w:r>
      <w:r w:rsidRPr="004E7BD2">
        <w:rPr>
          <w:rFonts w:ascii="Garamond" w:hAnsi="Garamond"/>
          <w:lang w:val="en-GB"/>
        </w:rPr>
        <w:lastRenderedPageBreak/>
        <w:t>1992).</w:t>
      </w:r>
      <w:r w:rsidR="00283F89" w:rsidRPr="004E7BD2">
        <w:rPr>
          <w:rFonts w:ascii="Garamond" w:hAnsi="Garamond"/>
          <w:lang w:val="en-GB"/>
        </w:rPr>
        <w:t xml:space="preserve"> Although exceptions exist, we find much more evidence of </w:t>
      </w:r>
      <w:r w:rsidR="00DB5B45">
        <w:rPr>
          <w:rFonts w:ascii="Garamond" w:hAnsi="Garamond"/>
          <w:lang w:val="en-GB"/>
        </w:rPr>
        <w:t xml:space="preserve">public </w:t>
      </w:r>
      <w:r w:rsidR="00283F89" w:rsidRPr="004E7BD2">
        <w:rPr>
          <w:rFonts w:ascii="Garamond" w:hAnsi="Garamond"/>
          <w:lang w:val="en-GB"/>
        </w:rPr>
        <w:t>awareness and responsiveness than not.</w:t>
      </w:r>
      <w:r w:rsidRPr="004E7BD2">
        <w:rPr>
          <w:rFonts w:ascii="Garamond" w:hAnsi="Garamond"/>
          <w:lang w:val="en-GB"/>
        </w:rPr>
        <w:t xml:space="preserve"> Third, these results hold implications for the future of criminal justice reform. In particular</w:t>
      </w:r>
      <w:r w:rsidR="007D7AFE" w:rsidRPr="004E7BD2">
        <w:rPr>
          <w:rFonts w:ascii="Garamond" w:hAnsi="Garamond"/>
          <w:lang w:val="en-GB"/>
        </w:rPr>
        <w:t xml:space="preserve"> they highlight how public demand for punitive policies may depend on future trends in crime rates</w:t>
      </w:r>
      <w:r w:rsidRPr="004E7BD2">
        <w:rPr>
          <w:rFonts w:ascii="Garamond" w:hAnsi="Garamond"/>
          <w:lang w:val="en-GB"/>
        </w:rPr>
        <w:t>. Finally, by focusing on the U</w:t>
      </w:r>
      <w:r w:rsidR="000E3893" w:rsidRPr="004E7BD2">
        <w:rPr>
          <w:rFonts w:ascii="Garamond" w:hAnsi="Garamond"/>
          <w:lang w:val="en-GB"/>
        </w:rPr>
        <w:t>.</w:t>
      </w:r>
      <w:r w:rsidRPr="004E7BD2">
        <w:rPr>
          <w:rFonts w:ascii="Garamond" w:hAnsi="Garamond"/>
          <w:lang w:val="en-GB"/>
        </w:rPr>
        <w:t>S</w:t>
      </w:r>
      <w:r w:rsidR="000E3893" w:rsidRPr="004E7BD2">
        <w:rPr>
          <w:rFonts w:ascii="Garamond" w:hAnsi="Garamond"/>
          <w:lang w:val="en-GB"/>
        </w:rPr>
        <w:t>. and England and Wales</w:t>
      </w:r>
      <w:r w:rsidRPr="004E7BD2">
        <w:rPr>
          <w:rFonts w:ascii="Garamond" w:hAnsi="Garamond"/>
          <w:lang w:val="en-GB"/>
        </w:rPr>
        <w:t>, this article offers a unique cross-national perspective. The U.S. is typically viewed as an outlier both in terms of crime rates (e.g.</w:t>
      </w:r>
      <w:r w:rsidR="007D7AFE" w:rsidRPr="004E7BD2">
        <w:rPr>
          <w:rFonts w:ascii="Garamond" w:hAnsi="Garamond"/>
          <w:lang w:val="en-GB"/>
        </w:rPr>
        <w:t xml:space="preserve"> Miller 2016</w:t>
      </w:r>
      <w:r w:rsidR="00270119" w:rsidRPr="004E7BD2">
        <w:rPr>
          <w:rFonts w:ascii="Garamond" w:hAnsi="Garamond"/>
          <w:lang w:val="en-GB"/>
        </w:rPr>
        <w:t>;</w:t>
      </w:r>
      <w:r w:rsidR="007D7AFE" w:rsidRPr="004E7BD2">
        <w:rPr>
          <w:rFonts w:ascii="Garamond" w:hAnsi="Garamond"/>
          <w:lang w:val="en-GB"/>
        </w:rPr>
        <w:t xml:space="preserve"> Gallo</w:t>
      </w:r>
      <w:r w:rsidR="00D34222" w:rsidRPr="004E7BD2">
        <w:rPr>
          <w:rFonts w:ascii="Garamond" w:hAnsi="Garamond"/>
          <w:lang w:val="en-GB"/>
        </w:rPr>
        <w:t xml:space="preserve"> et al.</w:t>
      </w:r>
      <w:r w:rsidR="007D7AFE" w:rsidRPr="004E7BD2">
        <w:rPr>
          <w:rFonts w:ascii="Garamond" w:hAnsi="Garamond"/>
          <w:lang w:val="en-GB"/>
        </w:rPr>
        <w:t xml:space="preserve"> 2018</w:t>
      </w:r>
      <w:r w:rsidRPr="004E7BD2">
        <w:rPr>
          <w:rFonts w:ascii="Garamond" w:hAnsi="Garamond"/>
          <w:lang w:val="en-GB"/>
        </w:rPr>
        <w:t>) and criminal legal policies</w:t>
      </w:r>
      <w:r w:rsidR="007D7AFE" w:rsidRPr="004E7BD2">
        <w:rPr>
          <w:rFonts w:ascii="Garamond" w:hAnsi="Garamond"/>
          <w:lang w:val="en-GB"/>
        </w:rPr>
        <w:t xml:space="preserve"> (e.g. Reitz 2018)</w:t>
      </w:r>
      <w:r w:rsidRPr="004E7BD2">
        <w:rPr>
          <w:rFonts w:ascii="Garamond" w:hAnsi="Garamond"/>
          <w:lang w:val="en-GB"/>
        </w:rPr>
        <w:t xml:space="preserve">. However, </w:t>
      </w:r>
      <w:r w:rsidR="006B1B58" w:rsidRPr="004E7BD2">
        <w:rPr>
          <w:rFonts w:ascii="Garamond" w:hAnsi="Garamond"/>
          <w:lang w:val="en-GB"/>
        </w:rPr>
        <w:t xml:space="preserve">focusing on the cross-national and </w:t>
      </w:r>
      <w:r w:rsidRPr="004E7BD2">
        <w:rPr>
          <w:rFonts w:ascii="Garamond" w:hAnsi="Garamond"/>
          <w:lang w:val="en-GB"/>
        </w:rPr>
        <w:t xml:space="preserve">over-time </w:t>
      </w:r>
      <w:r w:rsidR="006B1B58" w:rsidRPr="004E7BD2">
        <w:rPr>
          <w:rFonts w:ascii="Garamond" w:hAnsi="Garamond"/>
          <w:lang w:val="en-GB"/>
        </w:rPr>
        <w:t xml:space="preserve">analyses of this particular time period </w:t>
      </w:r>
      <w:r w:rsidR="008267AC" w:rsidRPr="004E7BD2">
        <w:rPr>
          <w:rFonts w:ascii="Garamond" w:hAnsi="Garamond"/>
          <w:lang w:val="en-GB"/>
        </w:rPr>
        <w:t xml:space="preserve">highlights </w:t>
      </w:r>
      <w:r w:rsidR="00687917">
        <w:rPr>
          <w:rFonts w:ascii="Garamond" w:hAnsi="Garamond"/>
          <w:lang w:val="en-GB"/>
        </w:rPr>
        <w:t>both</w:t>
      </w:r>
      <w:r w:rsidR="00687917" w:rsidRPr="004E7BD2">
        <w:rPr>
          <w:rFonts w:ascii="Garamond" w:hAnsi="Garamond"/>
          <w:lang w:val="en-GB"/>
        </w:rPr>
        <w:t xml:space="preserve"> </w:t>
      </w:r>
      <w:r w:rsidR="008267AC" w:rsidRPr="004E7BD2">
        <w:rPr>
          <w:rFonts w:ascii="Garamond" w:hAnsi="Garamond"/>
          <w:lang w:val="en-GB"/>
        </w:rPr>
        <w:t>commonalities and differences across these countries</w:t>
      </w:r>
    </w:p>
    <w:p w14:paraId="45A27737" w14:textId="77777777" w:rsidR="00DB5B45" w:rsidRPr="004E7BD2" w:rsidRDefault="00DB5B45" w:rsidP="00F60459">
      <w:pPr>
        <w:spacing w:after="0"/>
        <w:jc w:val="both"/>
        <w:rPr>
          <w:rFonts w:ascii="Garamond" w:hAnsi="Garamond"/>
          <w:lang w:val="en-GB"/>
        </w:rPr>
      </w:pPr>
    </w:p>
    <w:p w14:paraId="34B59930" w14:textId="226F3126" w:rsidR="00877E65" w:rsidRPr="004E7BD2" w:rsidRDefault="00877E65" w:rsidP="00F9041A">
      <w:pPr>
        <w:spacing w:after="120"/>
        <w:rPr>
          <w:rFonts w:ascii="Garamond" w:hAnsi="Garamond"/>
          <w:b/>
          <w:sz w:val="28"/>
          <w:lang w:val="en-GB"/>
        </w:rPr>
      </w:pPr>
      <w:r w:rsidRPr="004E7BD2">
        <w:rPr>
          <w:rFonts w:ascii="Garamond" w:hAnsi="Garamond"/>
          <w:b/>
          <w:sz w:val="28"/>
          <w:lang w:val="en-GB"/>
        </w:rPr>
        <w:t xml:space="preserve">Understanding Crime Rates in the U.S. and </w:t>
      </w:r>
      <w:r w:rsidR="006C0E29" w:rsidRPr="004E7BD2">
        <w:rPr>
          <w:rFonts w:ascii="Garamond" w:hAnsi="Garamond"/>
          <w:b/>
          <w:sz w:val="28"/>
          <w:lang w:val="en-GB"/>
        </w:rPr>
        <w:t>England &amp; Wales</w:t>
      </w:r>
    </w:p>
    <w:p w14:paraId="1AB20554" w14:textId="1FDF8B85" w:rsidR="00BB6749" w:rsidRDefault="00BB6749" w:rsidP="00B71A68">
      <w:pPr>
        <w:spacing w:after="120"/>
        <w:jc w:val="both"/>
        <w:rPr>
          <w:rFonts w:ascii="Garamond" w:hAnsi="Garamond"/>
          <w:lang w:val="en-GB"/>
        </w:rPr>
      </w:pPr>
      <w:r w:rsidRPr="004E7BD2">
        <w:rPr>
          <w:rFonts w:ascii="Garamond" w:hAnsi="Garamond"/>
          <w:lang w:val="en-GB"/>
        </w:rPr>
        <w:t>Our primary goal is to understand the relationship between declining crime rates and public attitudes</w:t>
      </w:r>
      <w:r w:rsidR="00283F89" w:rsidRPr="004E7BD2">
        <w:rPr>
          <w:rFonts w:ascii="Garamond" w:hAnsi="Garamond"/>
          <w:lang w:val="en-GB"/>
        </w:rPr>
        <w:t xml:space="preserve"> related to crime and punishment</w:t>
      </w:r>
      <w:r w:rsidRPr="004E7BD2">
        <w:rPr>
          <w:rFonts w:ascii="Garamond" w:hAnsi="Garamond"/>
          <w:lang w:val="en-GB"/>
        </w:rPr>
        <w:t xml:space="preserve"> in the U.S. and England and Wales. </w:t>
      </w:r>
      <w:r w:rsidR="7563E27E" w:rsidRPr="004E7BD2">
        <w:rPr>
          <w:rFonts w:ascii="Garamond" w:hAnsi="Garamond"/>
          <w:lang w:val="en-GB"/>
        </w:rPr>
        <w:t xml:space="preserve">Figure 1, which plots </w:t>
      </w:r>
      <w:r w:rsidR="00857D03" w:rsidRPr="004E7BD2">
        <w:rPr>
          <w:rFonts w:ascii="Garamond" w:hAnsi="Garamond"/>
          <w:lang w:val="en-GB"/>
        </w:rPr>
        <w:t>crime rates</w:t>
      </w:r>
      <w:r w:rsidR="00F85938">
        <w:rPr>
          <w:rFonts w:ascii="Garamond" w:hAnsi="Garamond"/>
          <w:lang w:val="en-GB"/>
        </w:rPr>
        <w:t xml:space="preserve"> in these countries</w:t>
      </w:r>
      <w:r w:rsidR="00857D03" w:rsidRPr="004E7BD2">
        <w:rPr>
          <w:rFonts w:ascii="Garamond" w:hAnsi="Garamond"/>
          <w:lang w:val="en-GB"/>
        </w:rPr>
        <w:t xml:space="preserve"> from 1960 to 2019,</w:t>
      </w:r>
      <w:r w:rsidR="7563E27E" w:rsidRPr="004E7BD2">
        <w:rPr>
          <w:rFonts w:ascii="Garamond" w:hAnsi="Garamond"/>
          <w:lang w:val="en-GB"/>
        </w:rPr>
        <w:t xml:space="preserve"> helps illustrate why we focus on </w:t>
      </w:r>
      <w:r w:rsidRPr="004E7BD2">
        <w:rPr>
          <w:rFonts w:ascii="Garamond" w:hAnsi="Garamond"/>
          <w:lang w:val="en-GB"/>
        </w:rPr>
        <w:t xml:space="preserve">the </w:t>
      </w:r>
      <w:r w:rsidR="00283F89" w:rsidRPr="004E7BD2">
        <w:rPr>
          <w:rFonts w:ascii="Garamond" w:hAnsi="Garamond"/>
          <w:lang w:val="en-GB"/>
        </w:rPr>
        <w:t>early</w:t>
      </w:r>
      <w:r w:rsidRPr="004E7BD2">
        <w:rPr>
          <w:rFonts w:ascii="Garamond" w:hAnsi="Garamond"/>
          <w:lang w:val="en-GB"/>
        </w:rPr>
        <w:t>-1990s to present</w:t>
      </w:r>
      <w:r w:rsidR="005A7BB6">
        <w:rPr>
          <w:rFonts w:ascii="Garamond" w:hAnsi="Garamond"/>
          <w:lang w:val="en-GB"/>
        </w:rPr>
        <w:t xml:space="preserve"> to evaluate declining crime rates</w:t>
      </w:r>
      <w:r w:rsidR="7563E27E" w:rsidRPr="004E7BD2">
        <w:rPr>
          <w:rFonts w:ascii="Garamond" w:hAnsi="Garamond"/>
          <w:lang w:val="en-GB"/>
        </w:rPr>
        <w:t>.</w:t>
      </w:r>
      <w:r w:rsidR="00857D03" w:rsidRPr="004E7BD2">
        <w:rPr>
          <w:rFonts w:ascii="Garamond" w:hAnsi="Garamond"/>
          <w:lang w:val="en-GB"/>
        </w:rPr>
        <w:t xml:space="preserve"> In both </w:t>
      </w:r>
      <w:r w:rsidR="0084019E">
        <w:rPr>
          <w:rFonts w:ascii="Garamond" w:hAnsi="Garamond"/>
          <w:lang w:val="en-GB"/>
        </w:rPr>
        <w:t>countries</w:t>
      </w:r>
      <w:r w:rsidR="00A17A99" w:rsidRPr="004E7BD2">
        <w:rPr>
          <w:rFonts w:ascii="Garamond" w:hAnsi="Garamond"/>
          <w:lang w:val="en-GB"/>
        </w:rPr>
        <w:t>,</w:t>
      </w:r>
      <w:r w:rsidR="00857D03" w:rsidRPr="004E7BD2">
        <w:rPr>
          <w:rFonts w:ascii="Garamond" w:hAnsi="Garamond"/>
          <w:lang w:val="en-GB"/>
        </w:rPr>
        <w:t xml:space="preserve"> the rate of total recorded crimes per 100,000 people underwent a </w:t>
      </w:r>
      <w:r w:rsidR="001D63F3" w:rsidRPr="004E7BD2">
        <w:rPr>
          <w:rFonts w:ascii="Garamond" w:hAnsi="Garamond"/>
          <w:lang w:val="en-GB"/>
        </w:rPr>
        <w:t xml:space="preserve">relatively </w:t>
      </w:r>
      <w:r w:rsidR="00857D03" w:rsidRPr="004E7BD2">
        <w:rPr>
          <w:rFonts w:ascii="Garamond" w:hAnsi="Garamond"/>
          <w:lang w:val="en-GB"/>
        </w:rPr>
        <w:t>sustained increase from 1960 until the early 1990s</w:t>
      </w:r>
      <w:r w:rsidR="001165DA">
        <w:rPr>
          <w:rFonts w:ascii="Garamond" w:hAnsi="Garamond"/>
          <w:lang w:val="en-GB"/>
        </w:rPr>
        <w:t xml:space="preserve"> (</w:t>
      </w:r>
      <w:r w:rsidR="00323196">
        <w:rPr>
          <w:rFonts w:ascii="Garamond" w:hAnsi="Garamond"/>
          <w:lang w:val="en-GB"/>
        </w:rPr>
        <w:t xml:space="preserve">in the figure </w:t>
      </w:r>
      <w:r w:rsidR="001165DA">
        <w:rPr>
          <w:rFonts w:ascii="Garamond" w:hAnsi="Garamond"/>
          <w:lang w:val="en-GB"/>
        </w:rPr>
        <w:t xml:space="preserve">we rescale </w:t>
      </w:r>
      <w:r w:rsidR="00323196">
        <w:rPr>
          <w:rFonts w:ascii="Garamond" w:hAnsi="Garamond"/>
          <w:lang w:val="en-GB"/>
        </w:rPr>
        <w:t>each</w:t>
      </w:r>
      <w:r w:rsidR="001165DA">
        <w:rPr>
          <w:rFonts w:ascii="Garamond" w:hAnsi="Garamond"/>
          <w:lang w:val="en-GB"/>
        </w:rPr>
        <w:t xml:space="preserve"> data</w:t>
      </w:r>
      <w:r w:rsidR="00323196">
        <w:rPr>
          <w:rFonts w:ascii="Garamond" w:hAnsi="Garamond"/>
          <w:lang w:val="en-GB"/>
        </w:rPr>
        <w:t xml:space="preserve"> series to common maximum and minimum values</w:t>
      </w:r>
      <w:r w:rsidR="001165DA">
        <w:rPr>
          <w:rFonts w:ascii="Garamond" w:hAnsi="Garamond"/>
          <w:lang w:val="en-GB"/>
        </w:rPr>
        <w:t xml:space="preserve"> to allow for direct comparison of trends)</w:t>
      </w:r>
      <w:r w:rsidR="00045085">
        <w:rPr>
          <w:rFonts w:ascii="Garamond" w:hAnsi="Garamond"/>
          <w:lang w:val="en-GB"/>
        </w:rPr>
        <w:t>. C</w:t>
      </w:r>
      <w:r w:rsidR="0084019E">
        <w:rPr>
          <w:rFonts w:ascii="Garamond" w:hAnsi="Garamond"/>
          <w:lang w:val="en-GB"/>
        </w:rPr>
        <w:t>rime c</w:t>
      </w:r>
      <w:r w:rsidR="00045085">
        <w:rPr>
          <w:rFonts w:ascii="Garamond" w:hAnsi="Garamond"/>
          <w:lang w:val="en-GB"/>
        </w:rPr>
        <w:t xml:space="preserve">onditions changed in both countries after </w:t>
      </w:r>
      <w:r w:rsidR="0084019E">
        <w:rPr>
          <w:rFonts w:ascii="Garamond" w:hAnsi="Garamond"/>
          <w:lang w:val="en-GB"/>
        </w:rPr>
        <w:t>this period</w:t>
      </w:r>
      <w:r w:rsidR="00045085">
        <w:rPr>
          <w:rFonts w:ascii="Garamond" w:hAnsi="Garamond"/>
          <w:lang w:val="en-GB"/>
        </w:rPr>
        <w:t xml:space="preserve">, </w:t>
      </w:r>
      <w:r w:rsidR="0084019E">
        <w:rPr>
          <w:rFonts w:ascii="Garamond" w:hAnsi="Garamond"/>
          <w:lang w:val="en-GB"/>
        </w:rPr>
        <w:t>as</w:t>
      </w:r>
      <w:r w:rsidR="00045085">
        <w:rPr>
          <w:rFonts w:ascii="Garamond" w:hAnsi="Garamond"/>
          <w:lang w:val="en-GB"/>
        </w:rPr>
        <w:t xml:space="preserve"> the U.S. experienced a steady decline in crime while England and Wales saw both sustained decreases and increase</w:t>
      </w:r>
      <w:r w:rsidR="0084019E">
        <w:rPr>
          <w:rFonts w:ascii="Garamond" w:hAnsi="Garamond"/>
          <w:lang w:val="en-GB"/>
        </w:rPr>
        <w:t>s</w:t>
      </w:r>
      <w:r w:rsidR="00045085">
        <w:rPr>
          <w:rFonts w:ascii="Garamond" w:hAnsi="Garamond"/>
          <w:lang w:val="en-GB"/>
        </w:rPr>
        <w:t xml:space="preserve"> in crime </w:t>
      </w:r>
      <w:r w:rsidR="0084019E">
        <w:rPr>
          <w:rFonts w:ascii="Garamond" w:hAnsi="Garamond"/>
          <w:lang w:val="en-GB"/>
        </w:rPr>
        <w:t>since the early 1990s</w:t>
      </w:r>
      <w:r w:rsidR="00045085">
        <w:rPr>
          <w:rFonts w:ascii="Garamond" w:hAnsi="Garamond"/>
          <w:lang w:val="en-GB"/>
        </w:rPr>
        <w:t>.</w:t>
      </w:r>
      <w:r w:rsidR="00857D03" w:rsidRPr="004E7BD2">
        <w:rPr>
          <w:rFonts w:ascii="Garamond" w:hAnsi="Garamond"/>
          <w:lang w:val="en-GB"/>
        </w:rPr>
        <w:t xml:space="preserve"> </w:t>
      </w:r>
      <w:r w:rsidR="00045085">
        <w:rPr>
          <w:rFonts w:ascii="Garamond" w:hAnsi="Garamond"/>
          <w:lang w:val="en-GB"/>
        </w:rPr>
        <w:t xml:space="preserve">Importantly, however, </w:t>
      </w:r>
      <w:r w:rsidR="00857D03" w:rsidRPr="004E7BD2">
        <w:rPr>
          <w:rFonts w:ascii="Garamond" w:hAnsi="Garamond"/>
          <w:lang w:val="en-GB"/>
        </w:rPr>
        <w:t xml:space="preserve">the </w:t>
      </w:r>
      <w:r w:rsidR="00045085">
        <w:rPr>
          <w:rFonts w:ascii="Garamond" w:hAnsi="Garamond"/>
          <w:lang w:val="en-GB"/>
        </w:rPr>
        <w:t>seeming crime increase in 2002-3 is</w:t>
      </w:r>
      <w:r w:rsidR="00045085" w:rsidRPr="004E7BD2">
        <w:rPr>
          <w:rFonts w:ascii="Garamond" w:hAnsi="Garamond"/>
          <w:lang w:val="en-GB"/>
        </w:rPr>
        <w:t xml:space="preserve"> </w:t>
      </w:r>
      <w:r w:rsidR="00857D03" w:rsidRPr="004E7BD2">
        <w:rPr>
          <w:rFonts w:ascii="Garamond" w:hAnsi="Garamond"/>
          <w:lang w:val="en-GB"/>
        </w:rPr>
        <w:t>linked to adoption of the new National Crime Reporting Standard in 2002</w:t>
      </w:r>
      <w:r w:rsidR="00360A7F">
        <w:rPr>
          <w:rFonts w:ascii="Garamond" w:hAnsi="Garamond"/>
          <w:lang w:val="en-GB"/>
        </w:rPr>
        <w:t xml:space="preserve"> (Simmons et al. 2003)</w:t>
      </w:r>
      <w:r w:rsidR="00857D03" w:rsidRPr="004E7BD2">
        <w:rPr>
          <w:rFonts w:ascii="Garamond" w:hAnsi="Garamond"/>
          <w:lang w:val="en-GB"/>
        </w:rPr>
        <w:t xml:space="preserve">, and the </w:t>
      </w:r>
      <w:r w:rsidR="00045085">
        <w:rPr>
          <w:rFonts w:ascii="Garamond" w:hAnsi="Garamond"/>
          <w:lang w:val="en-GB"/>
        </w:rPr>
        <w:t>increase in 2015-20</w:t>
      </w:r>
      <w:r w:rsidR="00045085" w:rsidRPr="004E7BD2">
        <w:rPr>
          <w:rFonts w:ascii="Garamond" w:hAnsi="Garamond"/>
          <w:lang w:val="en-GB"/>
        </w:rPr>
        <w:t xml:space="preserve"> </w:t>
      </w:r>
      <w:r w:rsidR="00857D03" w:rsidRPr="004E7BD2">
        <w:rPr>
          <w:rFonts w:ascii="Garamond" w:hAnsi="Garamond"/>
          <w:lang w:val="en-GB"/>
        </w:rPr>
        <w:t xml:space="preserve">has been partly attributed to significant </w:t>
      </w:r>
      <w:r w:rsidR="00F85938">
        <w:rPr>
          <w:rFonts w:ascii="Garamond" w:hAnsi="Garamond"/>
          <w:lang w:val="en-GB"/>
        </w:rPr>
        <w:t>expansion</w:t>
      </w:r>
      <w:r w:rsidR="00F85938" w:rsidRPr="004E7BD2">
        <w:rPr>
          <w:rFonts w:ascii="Garamond" w:hAnsi="Garamond"/>
          <w:lang w:val="en-GB"/>
        </w:rPr>
        <w:t xml:space="preserve"> </w:t>
      </w:r>
      <w:r w:rsidR="00857D03" w:rsidRPr="004E7BD2">
        <w:rPr>
          <w:rFonts w:ascii="Garamond" w:hAnsi="Garamond"/>
          <w:lang w:val="en-GB"/>
        </w:rPr>
        <w:t xml:space="preserve">in </w:t>
      </w:r>
      <w:r w:rsidR="00360A7F">
        <w:rPr>
          <w:rFonts w:ascii="Garamond" w:hAnsi="Garamond"/>
          <w:lang w:val="en-GB"/>
        </w:rPr>
        <w:t xml:space="preserve">crime </w:t>
      </w:r>
      <w:r w:rsidR="00F85938">
        <w:rPr>
          <w:rFonts w:ascii="Garamond" w:hAnsi="Garamond"/>
          <w:lang w:val="en-GB"/>
        </w:rPr>
        <w:t>recording and reporting practices (ONS 2021)</w:t>
      </w:r>
      <w:r w:rsidR="00857D03" w:rsidRPr="004E7BD2">
        <w:rPr>
          <w:rFonts w:ascii="Garamond" w:hAnsi="Garamond"/>
          <w:lang w:val="en-GB"/>
        </w:rPr>
        <w:t>.</w:t>
      </w:r>
      <w:r w:rsidR="00857D03" w:rsidRPr="004E7BD2">
        <w:rPr>
          <w:rStyle w:val="FootnoteReference"/>
          <w:rFonts w:ascii="Garamond" w:hAnsi="Garamond"/>
          <w:lang w:val="en-GB"/>
        </w:rPr>
        <w:footnoteReference w:id="4"/>
      </w:r>
      <w:r w:rsidR="00857D03" w:rsidRPr="004E7BD2">
        <w:rPr>
          <w:rFonts w:ascii="Garamond" w:hAnsi="Garamond"/>
          <w:lang w:val="en-GB"/>
        </w:rPr>
        <w:t xml:space="preserve"> </w:t>
      </w:r>
      <w:r w:rsidR="00045085">
        <w:rPr>
          <w:rFonts w:ascii="Garamond" w:hAnsi="Garamond"/>
          <w:lang w:val="en-GB"/>
        </w:rPr>
        <w:t>Indeed, a</w:t>
      </w:r>
      <w:r w:rsidR="00857D03" w:rsidRPr="004E7BD2">
        <w:rPr>
          <w:rFonts w:ascii="Garamond" w:hAnsi="Garamond"/>
          <w:lang w:val="en-GB"/>
        </w:rPr>
        <w:t xml:space="preserve">s we will see, </w:t>
      </w:r>
      <w:r w:rsidR="0041286C" w:rsidRPr="004E7BD2">
        <w:rPr>
          <w:rFonts w:ascii="Garamond" w:hAnsi="Garamond"/>
          <w:lang w:val="en-GB"/>
        </w:rPr>
        <w:t>victimisation</w:t>
      </w:r>
      <w:r w:rsidR="00857D03" w:rsidRPr="004E7BD2">
        <w:rPr>
          <w:rFonts w:ascii="Garamond" w:hAnsi="Garamond"/>
          <w:lang w:val="en-GB"/>
        </w:rPr>
        <w:t xml:space="preserve"> data from the Crime Survey for England and Wales (CSEW) </w:t>
      </w:r>
      <w:r w:rsidR="00CA5B9D">
        <w:rPr>
          <w:rFonts w:ascii="Garamond" w:hAnsi="Garamond"/>
          <w:lang w:val="en-GB"/>
        </w:rPr>
        <w:t>show</w:t>
      </w:r>
      <w:r w:rsidR="00CA5B9D" w:rsidRPr="004E7BD2">
        <w:rPr>
          <w:rFonts w:ascii="Garamond" w:hAnsi="Garamond"/>
          <w:lang w:val="en-GB"/>
        </w:rPr>
        <w:t xml:space="preserve"> </w:t>
      </w:r>
      <w:r w:rsidR="00857D03" w:rsidRPr="004E7BD2">
        <w:rPr>
          <w:rFonts w:ascii="Garamond" w:hAnsi="Garamond"/>
          <w:lang w:val="en-GB"/>
        </w:rPr>
        <w:t xml:space="preserve">that crime has continued to fall since the early 1990s despite rises in the recorded crime rate </w:t>
      </w:r>
      <w:r w:rsidR="001751F4" w:rsidRPr="004E7BD2">
        <w:rPr>
          <w:rFonts w:ascii="Garamond" w:hAnsi="Garamond"/>
          <w:lang w:val="en-GB"/>
        </w:rPr>
        <w:t xml:space="preserve">we see in Figure 1 </w:t>
      </w:r>
      <w:r w:rsidR="00857D03" w:rsidRPr="004E7BD2">
        <w:rPr>
          <w:rFonts w:ascii="Garamond" w:hAnsi="Garamond"/>
          <w:lang w:val="en-GB"/>
        </w:rPr>
        <w:t>during the later years of this time period</w:t>
      </w:r>
      <w:r w:rsidR="00045085">
        <w:rPr>
          <w:rFonts w:ascii="Garamond" w:hAnsi="Garamond"/>
          <w:lang w:val="en-GB"/>
        </w:rPr>
        <w:t>, suggesting the overall crime trajectories in the U.S. and England and Wales were much more similar than Figure 1 suggests</w:t>
      </w:r>
      <w:r w:rsidR="00857D03" w:rsidRPr="004E7BD2">
        <w:rPr>
          <w:rFonts w:ascii="Garamond" w:hAnsi="Garamond"/>
          <w:lang w:val="en-GB"/>
        </w:rPr>
        <w:t xml:space="preserve">. </w:t>
      </w:r>
    </w:p>
    <w:p w14:paraId="485693BD" w14:textId="6FCBA80E" w:rsidR="000B4C87" w:rsidRPr="004E7BD2" w:rsidRDefault="00853A05" w:rsidP="00B71A68">
      <w:pPr>
        <w:spacing w:after="120"/>
        <w:jc w:val="center"/>
        <w:rPr>
          <w:rFonts w:ascii="Garamond" w:hAnsi="Garamond"/>
          <w:lang w:val="en-GB"/>
        </w:rPr>
      </w:pPr>
      <w:r>
        <w:rPr>
          <w:noProof/>
        </w:rPr>
        <w:drawing>
          <wp:inline distT="0" distB="0" distL="0" distR="0" wp14:anchorId="66A139F7" wp14:editId="40792D38">
            <wp:extent cx="3045600" cy="2214000"/>
            <wp:effectExtent l="0" t="0" r="254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5600" cy="2214000"/>
                    </a:xfrm>
                    <a:prstGeom prst="rect">
                      <a:avLst/>
                    </a:prstGeom>
                    <a:noFill/>
                    <a:ln>
                      <a:noFill/>
                    </a:ln>
                  </pic:spPr>
                </pic:pic>
              </a:graphicData>
            </a:graphic>
          </wp:inline>
        </w:drawing>
      </w:r>
    </w:p>
    <w:p w14:paraId="3C6EA5B5" w14:textId="37A9F519" w:rsidR="000B4C87" w:rsidRPr="004E7BD2" w:rsidRDefault="000B4C87" w:rsidP="00B71A68">
      <w:pPr>
        <w:spacing w:after="0"/>
        <w:jc w:val="center"/>
        <w:rPr>
          <w:rFonts w:ascii="Garamond" w:hAnsi="Garamond"/>
          <w:lang w:val="en-GB"/>
        </w:rPr>
      </w:pPr>
      <w:r w:rsidRPr="004E7BD2">
        <w:rPr>
          <w:rFonts w:ascii="Garamond" w:hAnsi="Garamond"/>
          <w:b/>
          <w:lang w:val="en-GB"/>
        </w:rPr>
        <w:t>Figure 1</w:t>
      </w:r>
      <w:r w:rsidRPr="004E7BD2">
        <w:rPr>
          <w:rFonts w:ascii="Garamond" w:hAnsi="Garamond"/>
          <w:lang w:val="en-GB"/>
        </w:rPr>
        <w:t xml:space="preserve">: Total Crime </w:t>
      </w:r>
      <w:r w:rsidR="00FF4EEC">
        <w:rPr>
          <w:rFonts w:ascii="Garamond" w:hAnsi="Garamond"/>
          <w:lang w:val="en-GB"/>
        </w:rPr>
        <w:t>Recorded by</w:t>
      </w:r>
      <w:r w:rsidRPr="004E7BD2">
        <w:rPr>
          <w:rFonts w:ascii="Garamond" w:hAnsi="Garamond"/>
          <w:lang w:val="en-GB"/>
        </w:rPr>
        <w:t xml:space="preserve"> the Police in the U.S. and England and Wales</w:t>
      </w:r>
      <w:r>
        <w:rPr>
          <w:rFonts w:ascii="Garamond" w:hAnsi="Garamond"/>
          <w:lang w:val="en-GB"/>
        </w:rPr>
        <w:t>,</w:t>
      </w:r>
      <w:r w:rsidRPr="004E7BD2">
        <w:rPr>
          <w:rFonts w:ascii="Garamond" w:hAnsi="Garamond"/>
          <w:lang w:val="en-GB"/>
        </w:rPr>
        <w:t xml:space="preserve"> 1960</w:t>
      </w:r>
      <w:r>
        <w:rPr>
          <w:rFonts w:ascii="Garamond" w:hAnsi="Garamond"/>
          <w:lang w:val="en-GB"/>
        </w:rPr>
        <w:t>-</w:t>
      </w:r>
      <w:r w:rsidRPr="004E7BD2">
        <w:rPr>
          <w:rFonts w:ascii="Garamond" w:hAnsi="Garamond"/>
          <w:lang w:val="en-GB"/>
        </w:rPr>
        <w:t>2019</w:t>
      </w:r>
    </w:p>
    <w:p w14:paraId="4BDBBFB6" w14:textId="77777777" w:rsidR="000B4C87" w:rsidRPr="004E7BD2" w:rsidRDefault="000B4C87" w:rsidP="000B4C87">
      <w:pPr>
        <w:spacing w:after="0"/>
        <w:jc w:val="both"/>
        <w:rPr>
          <w:rFonts w:ascii="Garamond" w:hAnsi="Garamond"/>
          <w:lang w:val="en-GB"/>
        </w:rPr>
      </w:pPr>
    </w:p>
    <w:p w14:paraId="745A5930" w14:textId="5CC12AF2" w:rsidR="00BB6749" w:rsidRPr="004E7BD2" w:rsidRDefault="005A7BB6" w:rsidP="00F9041A">
      <w:pPr>
        <w:spacing w:after="0"/>
        <w:jc w:val="both"/>
        <w:rPr>
          <w:rFonts w:ascii="Garamond" w:hAnsi="Garamond"/>
          <w:i/>
          <w:iCs/>
          <w:lang w:val="en-GB"/>
        </w:rPr>
      </w:pPr>
      <w:r>
        <w:rPr>
          <w:rFonts w:ascii="Garamond" w:hAnsi="Garamond"/>
          <w:lang w:val="en-GB"/>
        </w:rPr>
        <w:t>While s</w:t>
      </w:r>
      <w:r w:rsidR="00BB6749" w:rsidRPr="004E7BD2">
        <w:rPr>
          <w:rFonts w:ascii="Garamond" w:hAnsi="Garamond"/>
          <w:lang w:val="en-GB"/>
        </w:rPr>
        <w:t xml:space="preserve">ubstantial scholarly work has focused on the rise of crime from roughly 1960 to the early 1990s </w:t>
      </w:r>
      <w:r w:rsidR="00972620">
        <w:rPr>
          <w:rFonts w:ascii="Garamond" w:hAnsi="Garamond"/>
          <w:lang w:val="en-GB"/>
        </w:rPr>
        <w:t>shown</w:t>
      </w:r>
      <w:r w:rsidR="00BB6749" w:rsidRPr="004E7BD2">
        <w:rPr>
          <w:rFonts w:ascii="Garamond" w:hAnsi="Garamond"/>
          <w:lang w:val="en-GB"/>
        </w:rPr>
        <w:t xml:space="preserve"> in Figure 1 (e.g. Enns 2014; Enns 2016; Enns and Shanks-Booth 2015; Jennings</w:t>
      </w:r>
      <w:r w:rsidR="00D34222" w:rsidRPr="004E7BD2">
        <w:rPr>
          <w:rFonts w:ascii="Garamond" w:hAnsi="Garamond"/>
          <w:lang w:val="en-GB"/>
        </w:rPr>
        <w:t xml:space="preserve"> et al.</w:t>
      </w:r>
      <w:r w:rsidR="00BB6749" w:rsidRPr="004E7BD2">
        <w:rPr>
          <w:rFonts w:ascii="Garamond" w:hAnsi="Garamond"/>
          <w:lang w:val="en-GB"/>
        </w:rPr>
        <w:t xml:space="preserve"> 2017)</w:t>
      </w:r>
      <w:r>
        <w:rPr>
          <w:rFonts w:ascii="Garamond" w:hAnsi="Garamond"/>
          <w:lang w:val="en-GB"/>
        </w:rPr>
        <w:t xml:space="preserve">, </w:t>
      </w:r>
      <w:r w:rsidR="00BB6749" w:rsidRPr="004E7BD2">
        <w:rPr>
          <w:rFonts w:ascii="Garamond" w:hAnsi="Garamond"/>
          <w:lang w:val="en-GB"/>
        </w:rPr>
        <w:t xml:space="preserve">the decline in crime rates since the </w:t>
      </w:r>
      <w:r w:rsidR="00EE16B7" w:rsidRPr="004E7BD2">
        <w:rPr>
          <w:rFonts w:ascii="Garamond" w:hAnsi="Garamond"/>
          <w:lang w:val="en-GB"/>
        </w:rPr>
        <w:t>early</w:t>
      </w:r>
      <w:r w:rsidR="00BB6749" w:rsidRPr="004E7BD2">
        <w:rPr>
          <w:rFonts w:ascii="Garamond" w:hAnsi="Garamond"/>
          <w:lang w:val="en-GB"/>
        </w:rPr>
        <w:t xml:space="preserve">-1990s, though almost as pronounced, has received much less scholarly attention (though see </w:t>
      </w:r>
      <w:proofErr w:type="spellStart"/>
      <w:r w:rsidR="00BB6749" w:rsidRPr="004E7BD2">
        <w:rPr>
          <w:rFonts w:ascii="Garamond" w:hAnsi="Garamond"/>
          <w:lang w:val="en-GB"/>
        </w:rPr>
        <w:t>Rossenfeld</w:t>
      </w:r>
      <w:proofErr w:type="spellEnd"/>
      <w:r w:rsidR="00BB6749" w:rsidRPr="004E7BD2">
        <w:rPr>
          <w:rFonts w:ascii="Garamond" w:hAnsi="Garamond"/>
          <w:lang w:val="en-GB"/>
        </w:rPr>
        <w:t xml:space="preserve"> and Messner 2009; Farrall 2017; van Dijk</w:t>
      </w:r>
      <w:r w:rsidR="00D34222" w:rsidRPr="004E7BD2">
        <w:rPr>
          <w:rFonts w:ascii="Garamond" w:hAnsi="Garamond"/>
          <w:lang w:val="en-GB"/>
        </w:rPr>
        <w:t xml:space="preserve"> et al.</w:t>
      </w:r>
      <w:r w:rsidR="00BB6749" w:rsidRPr="004E7BD2">
        <w:rPr>
          <w:rFonts w:ascii="Garamond" w:hAnsi="Garamond"/>
          <w:lang w:val="en-GB"/>
        </w:rPr>
        <w:t xml:space="preserve"> 2012). Further, as noted above, the </w:t>
      </w:r>
      <w:r w:rsidR="00BB6749" w:rsidRPr="004E7BD2">
        <w:rPr>
          <w:rFonts w:ascii="Garamond" w:hAnsi="Garamond"/>
          <w:lang w:val="en-GB"/>
        </w:rPr>
        <w:lastRenderedPageBreak/>
        <w:t xml:space="preserve">research that has focused on this period has often reached conflicting conclusions about its effects on public opinion and offered a multitude of explanations for its causes. Thus, we focus our analysis on the last </w:t>
      </w:r>
      <w:r w:rsidR="00545406">
        <w:rPr>
          <w:rFonts w:ascii="Garamond" w:hAnsi="Garamond"/>
          <w:lang w:val="en-GB"/>
        </w:rPr>
        <w:t>thirty</w:t>
      </w:r>
      <w:r w:rsidR="00545406" w:rsidRPr="004E7BD2">
        <w:rPr>
          <w:rFonts w:ascii="Garamond" w:hAnsi="Garamond"/>
          <w:lang w:val="en-GB"/>
        </w:rPr>
        <w:t xml:space="preserve"> </w:t>
      </w:r>
      <w:r w:rsidR="00BB6749" w:rsidRPr="004E7BD2">
        <w:rPr>
          <w:rFonts w:ascii="Garamond" w:hAnsi="Garamond"/>
          <w:lang w:val="en-GB"/>
        </w:rPr>
        <w:t xml:space="preserve">years, which have mostly seen declining crime rates. </w:t>
      </w:r>
    </w:p>
    <w:p w14:paraId="1A4592DA" w14:textId="77777777" w:rsidR="00D405E9" w:rsidRPr="004E7BD2" w:rsidRDefault="00D405E9" w:rsidP="000B4C87">
      <w:pPr>
        <w:spacing w:after="0"/>
        <w:rPr>
          <w:rFonts w:ascii="Garamond" w:hAnsi="Garamond"/>
          <w:b/>
          <w:iCs/>
          <w:lang w:val="en-GB"/>
        </w:rPr>
      </w:pPr>
    </w:p>
    <w:p w14:paraId="06151172" w14:textId="102C9B11" w:rsidR="0021363A" w:rsidRPr="004E7BD2" w:rsidRDefault="008754F5" w:rsidP="00F9041A">
      <w:pPr>
        <w:spacing w:after="120"/>
        <w:rPr>
          <w:rFonts w:ascii="Garamond" w:hAnsi="Garamond"/>
          <w:iCs/>
          <w:lang w:val="en-GB"/>
        </w:rPr>
      </w:pPr>
      <w:r w:rsidRPr="004E7BD2">
        <w:rPr>
          <w:rFonts w:ascii="Garamond" w:hAnsi="Garamond"/>
          <w:b/>
          <w:iCs/>
          <w:lang w:val="en-GB"/>
        </w:rPr>
        <w:t>Different Crime Data Tells Different Stories</w:t>
      </w:r>
    </w:p>
    <w:p w14:paraId="547F44C7" w14:textId="52F77CFD" w:rsidR="008754F5" w:rsidRPr="004E7BD2" w:rsidRDefault="008754F5" w:rsidP="004C18AA">
      <w:pPr>
        <w:jc w:val="both"/>
        <w:rPr>
          <w:rFonts w:ascii="Garamond" w:hAnsi="Garamond"/>
          <w:iCs/>
          <w:lang w:val="en-GB"/>
        </w:rPr>
      </w:pPr>
      <w:r w:rsidRPr="004E7BD2">
        <w:rPr>
          <w:rFonts w:ascii="Garamond" w:hAnsi="Garamond"/>
          <w:lang w:val="en-GB"/>
        </w:rPr>
        <w:t xml:space="preserve">Before we turn to our analysis of </w:t>
      </w:r>
      <w:r w:rsidR="003C4DF4" w:rsidRPr="004E7BD2">
        <w:rPr>
          <w:rFonts w:ascii="Garamond" w:hAnsi="Garamond"/>
          <w:lang w:val="en-GB"/>
        </w:rPr>
        <w:t>public</w:t>
      </w:r>
      <w:r w:rsidRPr="004E7BD2">
        <w:rPr>
          <w:rFonts w:ascii="Garamond" w:hAnsi="Garamond"/>
          <w:lang w:val="en-GB"/>
        </w:rPr>
        <w:t xml:space="preserve"> attitudes</w:t>
      </w:r>
      <w:r w:rsidR="003C4DF4" w:rsidRPr="004E7BD2">
        <w:rPr>
          <w:rFonts w:ascii="Garamond" w:hAnsi="Garamond"/>
          <w:lang w:val="en-GB"/>
        </w:rPr>
        <w:t xml:space="preserve"> toward crime and punishment</w:t>
      </w:r>
      <w:r w:rsidRPr="004E7BD2">
        <w:rPr>
          <w:rFonts w:ascii="Garamond" w:hAnsi="Garamond"/>
          <w:lang w:val="en-GB"/>
        </w:rPr>
        <w:t>, we first need to understand variation in crime rates across reporting type and crime type</w:t>
      </w:r>
      <w:r w:rsidR="004B4DF1" w:rsidRPr="004E7BD2">
        <w:rPr>
          <w:rFonts w:ascii="Garamond" w:hAnsi="Garamond"/>
          <w:lang w:val="en-GB"/>
        </w:rPr>
        <w:t xml:space="preserve">. </w:t>
      </w:r>
      <w:r w:rsidR="003C4DF4" w:rsidRPr="004E7BD2">
        <w:rPr>
          <w:rFonts w:ascii="Garamond" w:hAnsi="Garamond"/>
          <w:lang w:val="en-GB"/>
        </w:rPr>
        <w:t>Consistent with the discussion above regarding changes in crime reporting in England and Wales, o</w:t>
      </w:r>
      <w:r w:rsidRPr="004E7BD2">
        <w:rPr>
          <w:rFonts w:ascii="Garamond" w:hAnsi="Garamond"/>
          <w:lang w:val="en-GB"/>
        </w:rPr>
        <w:t xml:space="preserve">ur subsequent analyses show that the </w:t>
      </w:r>
      <w:r w:rsidRPr="004E7BD2">
        <w:rPr>
          <w:rFonts w:ascii="Garamond" w:hAnsi="Garamond"/>
          <w:i/>
          <w:lang w:val="en-GB"/>
        </w:rPr>
        <w:t xml:space="preserve">type </w:t>
      </w:r>
      <w:r w:rsidRPr="004E7BD2">
        <w:rPr>
          <w:rFonts w:ascii="Garamond" w:hAnsi="Garamond"/>
          <w:lang w:val="en-GB"/>
        </w:rPr>
        <w:t xml:space="preserve">of crime </w:t>
      </w:r>
      <w:r w:rsidR="003C4DF4" w:rsidRPr="004E7BD2">
        <w:rPr>
          <w:rFonts w:ascii="Garamond" w:hAnsi="Garamond"/>
          <w:lang w:val="en-GB"/>
        </w:rPr>
        <w:t xml:space="preserve">data </w:t>
      </w:r>
      <w:r w:rsidR="00E744A9" w:rsidRPr="004E7BD2">
        <w:rPr>
          <w:rFonts w:ascii="Garamond" w:hAnsi="Garamond"/>
          <w:lang w:val="en-GB"/>
        </w:rPr>
        <w:t>analy</w:t>
      </w:r>
      <w:r w:rsidR="00E744A9">
        <w:rPr>
          <w:rFonts w:ascii="Garamond" w:hAnsi="Garamond"/>
          <w:lang w:val="en-GB"/>
        </w:rPr>
        <w:t>s</w:t>
      </w:r>
      <w:r w:rsidR="00E744A9" w:rsidRPr="004E7BD2">
        <w:rPr>
          <w:rFonts w:ascii="Garamond" w:hAnsi="Garamond"/>
          <w:lang w:val="en-GB"/>
        </w:rPr>
        <w:t xml:space="preserve">ed </w:t>
      </w:r>
      <w:r w:rsidRPr="004E7BD2">
        <w:rPr>
          <w:rFonts w:ascii="Garamond" w:hAnsi="Garamond"/>
          <w:lang w:val="en-GB"/>
        </w:rPr>
        <w:t>holds large implications for what we conclude about whether crime rates are increas</w:t>
      </w:r>
      <w:r w:rsidR="000E3893" w:rsidRPr="004E7BD2">
        <w:rPr>
          <w:rFonts w:ascii="Garamond" w:hAnsi="Garamond"/>
          <w:lang w:val="en-GB"/>
        </w:rPr>
        <w:t>ing</w:t>
      </w:r>
      <w:r w:rsidRPr="004E7BD2">
        <w:rPr>
          <w:rFonts w:ascii="Garamond" w:hAnsi="Garamond"/>
          <w:lang w:val="en-GB"/>
        </w:rPr>
        <w:t xml:space="preserve"> or decreasing. </w:t>
      </w:r>
      <w:bookmarkStart w:id="2" w:name="_Hlk92452869"/>
      <w:r w:rsidR="00A8257E">
        <w:rPr>
          <w:rFonts w:ascii="Garamond" w:hAnsi="Garamond"/>
          <w:lang w:val="en-GB"/>
        </w:rPr>
        <w:t xml:space="preserve">The different patterns </w:t>
      </w:r>
      <w:r w:rsidR="005A7BB6">
        <w:rPr>
          <w:rFonts w:ascii="Garamond" w:hAnsi="Garamond"/>
          <w:lang w:val="en-GB"/>
        </w:rPr>
        <w:t xml:space="preserve">we observe </w:t>
      </w:r>
      <w:r w:rsidR="00A8257E">
        <w:rPr>
          <w:rFonts w:ascii="Garamond" w:hAnsi="Garamond"/>
          <w:lang w:val="en-GB"/>
        </w:rPr>
        <w:t>are consistent with research highlighting concerns with the reliability of certain crime data (e.g.,</w:t>
      </w:r>
      <w:r w:rsidR="0073145B">
        <w:rPr>
          <w:rFonts w:ascii="Garamond" w:hAnsi="Garamond"/>
          <w:lang w:val="en-GB"/>
        </w:rPr>
        <w:t xml:space="preserve"> </w:t>
      </w:r>
      <w:proofErr w:type="spellStart"/>
      <w:r w:rsidR="0073145B">
        <w:rPr>
          <w:rFonts w:ascii="Garamond" w:hAnsi="Garamond"/>
          <w:lang w:val="en-GB"/>
        </w:rPr>
        <w:t>Walby</w:t>
      </w:r>
      <w:proofErr w:type="spellEnd"/>
      <w:r w:rsidR="0073145B">
        <w:rPr>
          <w:rFonts w:ascii="Garamond" w:hAnsi="Garamond"/>
          <w:lang w:val="en-GB"/>
        </w:rPr>
        <w:t>, Towers and Francis (2016) on under-counting of domestic violence in official statistics</w:t>
      </w:r>
      <w:r w:rsidR="00610AD6">
        <w:rPr>
          <w:rFonts w:ascii="Garamond" w:hAnsi="Garamond"/>
          <w:lang w:val="en-GB"/>
        </w:rPr>
        <w:t xml:space="preserve"> and</w:t>
      </w:r>
      <w:r w:rsidR="00A8257E">
        <w:rPr>
          <w:rFonts w:ascii="Garamond" w:hAnsi="Garamond"/>
          <w:lang w:val="en-GB"/>
        </w:rPr>
        <w:t xml:space="preserve"> </w:t>
      </w:r>
      <w:proofErr w:type="spellStart"/>
      <w:r w:rsidR="000A6B86">
        <w:rPr>
          <w:rFonts w:ascii="Garamond" w:hAnsi="Garamond"/>
          <w:lang w:val="en-GB"/>
        </w:rPr>
        <w:t>Buil</w:t>
      </w:r>
      <w:proofErr w:type="spellEnd"/>
      <w:r w:rsidR="000A6B86">
        <w:rPr>
          <w:rFonts w:ascii="Garamond" w:hAnsi="Garamond"/>
          <w:lang w:val="en-GB"/>
        </w:rPr>
        <w:t xml:space="preserve">-Gil, Medina and </w:t>
      </w:r>
      <w:proofErr w:type="spellStart"/>
      <w:r w:rsidR="000A6B86">
        <w:rPr>
          <w:rFonts w:ascii="Garamond" w:hAnsi="Garamond"/>
          <w:lang w:val="en-GB"/>
        </w:rPr>
        <w:t>Shlomo</w:t>
      </w:r>
      <w:proofErr w:type="spellEnd"/>
      <w:r w:rsidR="000A6B86">
        <w:rPr>
          <w:rFonts w:ascii="Garamond" w:hAnsi="Garamond"/>
          <w:lang w:val="en-GB"/>
        </w:rPr>
        <w:t xml:space="preserve"> (2020) </w:t>
      </w:r>
      <w:r w:rsidR="0084647C">
        <w:rPr>
          <w:rFonts w:ascii="Garamond" w:hAnsi="Garamond"/>
          <w:lang w:val="en-GB"/>
        </w:rPr>
        <w:t>on</w:t>
      </w:r>
      <w:r w:rsidR="000A6B86">
        <w:rPr>
          <w:rFonts w:ascii="Garamond" w:hAnsi="Garamond"/>
          <w:lang w:val="en-GB"/>
        </w:rPr>
        <w:t xml:space="preserve"> </w:t>
      </w:r>
      <w:r w:rsidR="0073145B">
        <w:rPr>
          <w:rFonts w:ascii="Garamond" w:hAnsi="Garamond"/>
          <w:lang w:val="en-GB"/>
        </w:rPr>
        <w:t xml:space="preserve">geographical variation in </w:t>
      </w:r>
      <w:r w:rsidR="000A6B86">
        <w:rPr>
          <w:rFonts w:ascii="Garamond" w:hAnsi="Garamond"/>
          <w:lang w:val="en-GB"/>
        </w:rPr>
        <w:t xml:space="preserve">the ‘dark figure’ of recorded </w:t>
      </w:r>
      <w:r w:rsidR="0084647C">
        <w:rPr>
          <w:rFonts w:ascii="Garamond" w:hAnsi="Garamond"/>
          <w:lang w:val="en-GB"/>
        </w:rPr>
        <w:t>crime rates</w:t>
      </w:r>
      <w:r w:rsidR="0073145B">
        <w:rPr>
          <w:rFonts w:ascii="Garamond" w:hAnsi="Garamond"/>
          <w:lang w:val="en-GB"/>
        </w:rPr>
        <w:t xml:space="preserve"> in England and Wales,</w:t>
      </w:r>
      <w:r w:rsidR="0084647C">
        <w:rPr>
          <w:rFonts w:ascii="Garamond" w:hAnsi="Garamond"/>
          <w:lang w:val="en-GB"/>
        </w:rPr>
        <w:t xml:space="preserve"> and </w:t>
      </w:r>
      <w:r w:rsidR="00A8257E">
        <w:rPr>
          <w:rFonts w:ascii="Garamond" w:hAnsi="Garamond"/>
          <w:lang w:val="en-GB"/>
        </w:rPr>
        <w:t>Wilson (1975, 14) on the Uniform Crime Reporting in the U.S.)</w:t>
      </w:r>
      <w:r w:rsidR="005A7BB6">
        <w:rPr>
          <w:rFonts w:ascii="Garamond" w:hAnsi="Garamond"/>
          <w:lang w:val="en-GB"/>
        </w:rPr>
        <w:t>. These reliability concerns also</w:t>
      </w:r>
      <w:r w:rsidR="00A8257E">
        <w:rPr>
          <w:rFonts w:ascii="Garamond" w:hAnsi="Garamond"/>
          <w:lang w:val="en-GB"/>
        </w:rPr>
        <w:t xml:space="preserve"> validate our analytic strategy. </w:t>
      </w:r>
      <w:bookmarkEnd w:id="2"/>
      <w:r w:rsidR="005A7BB6">
        <w:rPr>
          <w:rFonts w:ascii="Garamond" w:hAnsi="Garamond"/>
          <w:lang w:val="en-GB"/>
        </w:rPr>
        <w:t>Specifically, o</w:t>
      </w:r>
      <w:r w:rsidRPr="004E7BD2">
        <w:rPr>
          <w:rFonts w:ascii="Garamond" w:hAnsi="Garamond"/>
          <w:lang w:val="en-GB"/>
        </w:rPr>
        <w:t>ur analysis of the effects of crime on public attitudes exploits the variation between types of crime and crimes report</w:t>
      </w:r>
      <w:r w:rsidR="00990F07" w:rsidRPr="004E7BD2">
        <w:rPr>
          <w:rFonts w:ascii="Garamond" w:hAnsi="Garamond"/>
          <w:lang w:val="en-GB"/>
        </w:rPr>
        <w:t>ed</w:t>
      </w:r>
      <w:r w:rsidRPr="004E7BD2">
        <w:rPr>
          <w:rFonts w:ascii="Garamond" w:hAnsi="Garamond"/>
          <w:lang w:val="en-GB"/>
        </w:rPr>
        <w:t xml:space="preserve"> to </w:t>
      </w:r>
      <w:r w:rsidR="00FF4EEC">
        <w:rPr>
          <w:rFonts w:ascii="Garamond" w:hAnsi="Garamond"/>
          <w:lang w:val="en-GB"/>
        </w:rPr>
        <w:t xml:space="preserve">and recorded by </w:t>
      </w:r>
      <w:r w:rsidRPr="004E7BD2">
        <w:rPr>
          <w:rFonts w:ascii="Garamond" w:hAnsi="Garamond"/>
          <w:lang w:val="en-GB"/>
        </w:rPr>
        <w:t xml:space="preserve">the police versus actual </w:t>
      </w:r>
      <w:r w:rsidR="0041286C" w:rsidRPr="004E7BD2">
        <w:rPr>
          <w:rFonts w:ascii="Garamond" w:hAnsi="Garamond"/>
          <w:lang w:val="en-GB"/>
        </w:rPr>
        <w:t>victimisation</w:t>
      </w:r>
      <w:r w:rsidRPr="004E7BD2">
        <w:rPr>
          <w:rFonts w:ascii="Garamond" w:hAnsi="Garamond"/>
          <w:lang w:val="en-GB"/>
        </w:rPr>
        <w:t xml:space="preserve"> rates to better understand what influences public attitudes </w:t>
      </w:r>
      <w:r w:rsidR="003C4DF4" w:rsidRPr="004E7BD2">
        <w:rPr>
          <w:rFonts w:ascii="Garamond" w:hAnsi="Garamond"/>
          <w:lang w:val="en-GB"/>
        </w:rPr>
        <w:t>in these domains</w:t>
      </w:r>
      <w:r w:rsidRPr="004E7BD2">
        <w:rPr>
          <w:rFonts w:ascii="Garamond" w:hAnsi="Garamond"/>
          <w:lang w:val="en-GB"/>
        </w:rPr>
        <w:t>.</w:t>
      </w:r>
    </w:p>
    <w:p w14:paraId="32A3517C" w14:textId="54D83C7A" w:rsidR="00E03D8A" w:rsidRPr="004E7BD2" w:rsidRDefault="004C18AA" w:rsidP="004A75F8">
      <w:pPr>
        <w:jc w:val="both"/>
        <w:rPr>
          <w:rFonts w:ascii="Garamond" w:hAnsi="Garamond"/>
          <w:iCs/>
          <w:lang w:val="en-GB"/>
        </w:rPr>
      </w:pPr>
      <w:r w:rsidRPr="004E7BD2">
        <w:rPr>
          <w:rFonts w:ascii="Garamond" w:hAnsi="Garamond"/>
          <w:iCs/>
          <w:lang w:val="en-GB"/>
        </w:rPr>
        <w:t xml:space="preserve">We start by disaggregating the data above, which reflect crimes </w:t>
      </w:r>
      <w:r w:rsidR="00FF4EEC">
        <w:rPr>
          <w:rFonts w:ascii="Garamond" w:hAnsi="Garamond"/>
          <w:iCs/>
          <w:lang w:val="en-GB"/>
        </w:rPr>
        <w:t>recorded</w:t>
      </w:r>
      <w:r w:rsidR="00FF4EEC" w:rsidRPr="004E7BD2">
        <w:rPr>
          <w:rFonts w:ascii="Garamond" w:hAnsi="Garamond"/>
          <w:iCs/>
          <w:lang w:val="en-GB"/>
        </w:rPr>
        <w:t xml:space="preserve"> </w:t>
      </w:r>
      <w:r w:rsidR="00FF4EEC">
        <w:rPr>
          <w:rFonts w:ascii="Garamond" w:hAnsi="Garamond"/>
          <w:iCs/>
          <w:lang w:val="en-GB"/>
        </w:rPr>
        <w:t>by</w:t>
      </w:r>
      <w:r w:rsidR="00FF4EEC" w:rsidRPr="004E7BD2">
        <w:rPr>
          <w:rFonts w:ascii="Garamond" w:hAnsi="Garamond"/>
          <w:iCs/>
          <w:lang w:val="en-GB"/>
        </w:rPr>
        <w:t xml:space="preserve"> </w:t>
      </w:r>
      <w:r w:rsidRPr="004E7BD2">
        <w:rPr>
          <w:rFonts w:ascii="Garamond" w:hAnsi="Garamond"/>
          <w:iCs/>
          <w:lang w:val="en-GB"/>
        </w:rPr>
        <w:t xml:space="preserve">the police, by various crime types. Figure 2 presents the homicide rates in the U.S. and England and Wales from 1993 to 2019. </w:t>
      </w:r>
      <w:r w:rsidR="00E03D8A" w:rsidRPr="004E7BD2">
        <w:rPr>
          <w:rFonts w:ascii="Garamond" w:hAnsi="Garamond"/>
          <w:iCs/>
          <w:lang w:val="en-GB"/>
        </w:rPr>
        <w:t>The U.S. data come from the FBI’s Uniform Crime Reports (UCR)</w:t>
      </w:r>
      <w:r w:rsidR="00D01573" w:rsidRPr="004E7BD2">
        <w:rPr>
          <w:rFonts w:ascii="Garamond" w:hAnsi="Garamond"/>
          <w:iCs/>
          <w:lang w:val="en-GB"/>
        </w:rPr>
        <w:t xml:space="preserve">, which document crimes </w:t>
      </w:r>
      <w:r w:rsidR="00FF4EEC">
        <w:rPr>
          <w:rFonts w:ascii="Garamond" w:hAnsi="Garamond"/>
          <w:iCs/>
          <w:lang w:val="en-GB"/>
        </w:rPr>
        <w:t>recorded by</w:t>
      </w:r>
      <w:r w:rsidR="00D01573" w:rsidRPr="004E7BD2">
        <w:rPr>
          <w:rFonts w:ascii="Garamond" w:hAnsi="Garamond"/>
          <w:iCs/>
          <w:lang w:val="en-GB"/>
        </w:rPr>
        <w:t xml:space="preserve"> the police</w:t>
      </w:r>
      <w:r w:rsidR="00E03D8A" w:rsidRPr="004E7BD2">
        <w:rPr>
          <w:rFonts w:ascii="Garamond" w:hAnsi="Garamond"/>
          <w:iCs/>
          <w:lang w:val="en-GB"/>
        </w:rPr>
        <w:t>.</w:t>
      </w:r>
      <w:r w:rsidR="001A06A4" w:rsidRPr="004E7BD2">
        <w:rPr>
          <w:rFonts w:ascii="Garamond" w:hAnsi="Garamond"/>
          <w:iCs/>
          <w:lang w:val="en-GB"/>
        </w:rPr>
        <w:t xml:space="preserve"> </w:t>
      </w:r>
      <w:r w:rsidR="00E03D8A" w:rsidRPr="004E7BD2">
        <w:rPr>
          <w:rFonts w:ascii="Garamond" w:hAnsi="Garamond"/>
          <w:iCs/>
          <w:lang w:val="en-GB"/>
        </w:rPr>
        <w:t>The UCR program was first established in 1930 and was the only authoritative source of national crime statistics in the U.S.</w:t>
      </w:r>
      <w:r w:rsidR="00185F35" w:rsidRPr="004E7BD2">
        <w:rPr>
          <w:rFonts w:ascii="Garamond" w:hAnsi="Garamond"/>
          <w:iCs/>
          <w:lang w:val="en-GB"/>
        </w:rPr>
        <w:t xml:space="preserve"> for several decades. It was not until 1972</w:t>
      </w:r>
      <w:r w:rsidR="00E03D8A" w:rsidRPr="004E7BD2">
        <w:rPr>
          <w:rFonts w:ascii="Garamond" w:hAnsi="Garamond"/>
          <w:iCs/>
          <w:lang w:val="en-GB"/>
        </w:rPr>
        <w:t xml:space="preserve"> </w:t>
      </w:r>
      <w:r w:rsidR="00185F35" w:rsidRPr="004E7BD2">
        <w:rPr>
          <w:rFonts w:ascii="Garamond" w:hAnsi="Garamond"/>
          <w:iCs/>
          <w:lang w:val="en-GB"/>
        </w:rPr>
        <w:t xml:space="preserve">when the National Crime </w:t>
      </w:r>
      <w:r w:rsidR="0041286C" w:rsidRPr="004E7BD2">
        <w:rPr>
          <w:rFonts w:ascii="Garamond" w:hAnsi="Garamond"/>
          <w:iCs/>
          <w:lang w:val="en-GB"/>
        </w:rPr>
        <w:t>Victimisation</w:t>
      </w:r>
      <w:r w:rsidR="00185F35" w:rsidRPr="004E7BD2">
        <w:rPr>
          <w:rFonts w:ascii="Garamond" w:hAnsi="Garamond"/>
          <w:iCs/>
          <w:lang w:val="en-GB"/>
        </w:rPr>
        <w:t xml:space="preserve"> Survey, a nationally representative survey of American households</w:t>
      </w:r>
      <w:r w:rsidR="001A06A4" w:rsidRPr="004E7BD2">
        <w:rPr>
          <w:rFonts w:ascii="Garamond" w:hAnsi="Garamond"/>
          <w:iCs/>
          <w:lang w:val="en-GB"/>
        </w:rPr>
        <w:t xml:space="preserve"> (which we </w:t>
      </w:r>
      <w:r w:rsidR="00E744A9" w:rsidRPr="004E7BD2">
        <w:rPr>
          <w:rFonts w:ascii="Garamond" w:hAnsi="Garamond"/>
          <w:iCs/>
          <w:lang w:val="en-GB"/>
        </w:rPr>
        <w:t>analyse</w:t>
      </w:r>
      <w:r w:rsidR="001A06A4" w:rsidRPr="004E7BD2">
        <w:rPr>
          <w:rFonts w:ascii="Garamond" w:hAnsi="Garamond"/>
          <w:iCs/>
          <w:lang w:val="en-GB"/>
        </w:rPr>
        <w:t xml:space="preserve"> below)</w:t>
      </w:r>
      <w:r w:rsidR="002D425F" w:rsidRPr="004E7BD2">
        <w:rPr>
          <w:rFonts w:ascii="Garamond" w:hAnsi="Garamond"/>
          <w:iCs/>
          <w:lang w:val="en-GB"/>
        </w:rPr>
        <w:t>,</w:t>
      </w:r>
      <w:r w:rsidR="00185F35" w:rsidRPr="004E7BD2">
        <w:rPr>
          <w:rFonts w:ascii="Garamond" w:hAnsi="Garamond"/>
          <w:iCs/>
          <w:lang w:val="en-GB"/>
        </w:rPr>
        <w:t xml:space="preserve"> provided an additional metric for </w:t>
      </w:r>
      <w:r w:rsidR="00E744A9" w:rsidRPr="004E7BD2">
        <w:rPr>
          <w:rFonts w:ascii="Garamond" w:hAnsi="Garamond"/>
          <w:iCs/>
          <w:lang w:val="en-GB"/>
        </w:rPr>
        <w:t>analysing</w:t>
      </w:r>
      <w:r w:rsidR="00185F35" w:rsidRPr="004E7BD2">
        <w:rPr>
          <w:rFonts w:ascii="Garamond" w:hAnsi="Garamond"/>
          <w:iCs/>
          <w:lang w:val="en-GB"/>
        </w:rPr>
        <w:t xml:space="preserve"> crime trends </w:t>
      </w:r>
      <w:r w:rsidR="00E03D8A" w:rsidRPr="004E7BD2">
        <w:rPr>
          <w:rFonts w:ascii="Garamond" w:hAnsi="Garamond"/>
          <w:iCs/>
          <w:lang w:val="en-GB"/>
        </w:rPr>
        <w:t>(Ansari and He 2015).</w:t>
      </w:r>
      <w:r w:rsidR="00072D30" w:rsidRPr="004E7BD2">
        <w:rPr>
          <w:rFonts w:ascii="Garamond" w:hAnsi="Garamond"/>
          <w:iCs/>
          <w:lang w:val="en-GB"/>
        </w:rPr>
        <w:t xml:space="preserve"> The data </w:t>
      </w:r>
      <w:r w:rsidR="00972620">
        <w:rPr>
          <w:rFonts w:ascii="Garamond" w:hAnsi="Garamond"/>
          <w:iCs/>
          <w:lang w:val="en-GB"/>
        </w:rPr>
        <w:t>for</w:t>
      </w:r>
      <w:r w:rsidR="00972620" w:rsidRPr="004E7BD2">
        <w:rPr>
          <w:rFonts w:ascii="Garamond" w:hAnsi="Garamond"/>
          <w:iCs/>
          <w:lang w:val="en-GB"/>
        </w:rPr>
        <w:t xml:space="preserve"> </w:t>
      </w:r>
      <w:r w:rsidR="00072D30" w:rsidRPr="004E7BD2">
        <w:rPr>
          <w:rFonts w:ascii="Garamond" w:hAnsi="Garamond"/>
          <w:iCs/>
          <w:lang w:val="en-GB"/>
        </w:rPr>
        <w:t>England and Wales come from</w:t>
      </w:r>
      <w:r w:rsidR="00972620">
        <w:rPr>
          <w:rFonts w:ascii="Garamond" w:hAnsi="Garamond"/>
          <w:iCs/>
          <w:lang w:val="en-GB"/>
        </w:rPr>
        <w:t xml:space="preserve"> </w:t>
      </w:r>
      <w:bookmarkStart w:id="3" w:name="_Hlk92580639"/>
      <w:r w:rsidR="00972620">
        <w:rPr>
          <w:rFonts w:ascii="Garamond" w:hAnsi="Garamond"/>
          <w:iCs/>
          <w:lang w:val="en-GB"/>
        </w:rPr>
        <w:t>the</w:t>
      </w:r>
      <w:r w:rsidR="004A75F8">
        <w:rPr>
          <w:rFonts w:ascii="Garamond" w:hAnsi="Garamond"/>
          <w:iCs/>
          <w:lang w:val="en-GB"/>
        </w:rPr>
        <w:t xml:space="preserve"> U.K.</w:t>
      </w:r>
      <w:r w:rsidR="00972620">
        <w:rPr>
          <w:rFonts w:ascii="Garamond" w:hAnsi="Garamond"/>
          <w:iCs/>
          <w:lang w:val="en-GB"/>
        </w:rPr>
        <w:t xml:space="preserve"> Home Office</w:t>
      </w:r>
      <w:r w:rsidR="004A75F8">
        <w:rPr>
          <w:rFonts w:ascii="Garamond" w:hAnsi="Garamond"/>
          <w:iCs/>
          <w:lang w:val="en-GB"/>
        </w:rPr>
        <w:t>, t</w:t>
      </w:r>
      <w:r w:rsidR="004A75F8" w:rsidRPr="004A75F8">
        <w:rPr>
          <w:rFonts w:ascii="Garamond" w:hAnsi="Garamond"/>
          <w:iCs/>
          <w:lang w:val="en-GB"/>
        </w:rPr>
        <w:t>he government department responsible for crime and policing</w:t>
      </w:r>
      <w:r w:rsidR="004A75F8">
        <w:rPr>
          <w:rFonts w:ascii="Garamond" w:hAnsi="Garamond"/>
          <w:iCs/>
          <w:lang w:val="en-GB"/>
        </w:rPr>
        <w:t xml:space="preserve">. </w:t>
      </w:r>
      <w:r w:rsidR="002B38FD">
        <w:rPr>
          <w:rFonts w:ascii="Garamond" w:hAnsi="Garamond"/>
          <w:iCs/>
          <w:lang w:val="en-GB"/>
        </w:rPr>
        <w:t>For most of the twentieth century there was r</w:t>
      </w:r>
      <w:r w:rsidR="004A75F8" w:rsidRPr="004A75F8">
        <w:rPr>
          <w:rFonts w:ascii="Garamond" w:hAnsi="Garamond"/>
          <w:iCs/>
          <w:lang w:val="en-GB"/>
        </w:rPr>
        <w:t>elative consistency in measurement practices</w:t>
      </w:r>
      <w:r w:rsidR="002B38FD">
        <w:rPr>
          <w:rFonts w:ascii="Garamond" w:hAnsi="Garamond"/>
          <w:iCs/>
          <w:lang w:val="en-GB"/>
        </w:rPr>
        <w:t>.</w:t>
      </w:r>
      <w:r w:rsidR="00C3569B">
        <w:rPr>
          <w:rFonts w:ascii="Garamond" w:hAnsi="Garamond"/>
          <w:iCs/>
          <w:lang w:val="en-GB"/>
        </w:rPr>
        <w:t xml:space="preserve"> R</w:t>
      </w:r>
      <w:r w:rsidR="002B38FD">
        <w:rPr>
          <w:rFonts w:ascii="Garamond" w:hAnsi="Garamond"/>
          <w:iCs/>
          <w:lang w:val="en-GB"/>
        </w:rPr>
        <w:t>ecent years</w:t>
      </w:r>
      <w:r w:rsidR="00C3569B">
        <w:rPr>
          <w:rFonts w:ascii="Garamond" w:hAnsi="Garamond"/>
          <w:iCs/>
          <w:lang w:val="en-GB"/>
        </w:rPr>
        <w:t>, however,</w:t>
      </w:r>
      <w:r w:rsidR="002B38FD">
        <w:rPr>
          <w:rFonts w:ascii="Garamond" w:hAnsi="Garamond"/>
          <w:iCs/>
          <w:lang w:val="en-GB"/>
        </w:rPr>
        <w:t xml:space="preserve"> have seen a number of significant changes in police recording practices</w:t>
      </w:r>
      <w:r w:rsidR="00C3569B">
        <w:rPr>
          <w:rFonts w:ascii="Garamond" w:hAnsi="Garamond"/>
          <w:iCs/>
          <w:lang w:val="en-GB"/>
        </w:rPr>
        <w:t xml:space="preserve"> </w:t>
      </w:r>
      <w:bookmarkEnd w:id="3"/>
      <w:r w:rsidR="002B38FD">
        <w:rPr>
          <w:rFonts w:ascii="Garamond" w:hAnsi="Garamond"/>
          <w:iCs/>
          <w:lang w:val="en-GB"/>
        </w:rPr>
        <w:t>(</w:t>
      </w:r>
      <w:r w:rsidR="00C3569B">
        <w:rPr>
          <w:rFonts w:ascii="Garamond" w:hAnsi="Garamond"/>
          <w:iCs/>
          <w:lang w:val="en-GB"/>
        </w:rPr>
        <w:t xml:space="preserve">as </w:t>
      </w:r>
      <w:r w:rsidR="002B38FD">
        <w:rPr>
          <w:rFonts w:ascii="Garamond" w:hAnsi="Garamond"/>
          <w:iCs/>
          <w:lang w:val="en-GB"/>
        </w:rPr>
        <w:t>discussed above</w:t>
      </w:r>
      <w:r w:rsidR="005A7BB6">
        <w:rPr>
          <w:rFonts w:ascii="Garamond" w:hAnsi="Garamond"/>
          <w:iCs/>
          <w:lang w:val="en-GB"/>
        </w:rPr>
        <w:t xml:space="preserve"> and in Appendix 1</w:t>
      </w:r>
      <w:r w:rsidR="002B38FD">
        <w:rPr>
          <w:rFonts w:ascii="Garamond" w:hAnsi="Garamond"/>
          <w:iCs/>
          <w:lang w:val="en-GB"/>
        </w:rPr>
        <w:t>).</w:t>
      </w:r>
      <w:r w:rsidR="004A75F8" w:rsidRPr="004A75F8">
        <w:rPr>
          <w:rFonts w:ascii="Garamond" w:hAnsi="Garamond"/>
          <w:iCs/>
          <w:lang w:val="en-GB"/>
        </w:rPr>
        <w:t xml:space="preserve"> </w:t>
      </w:r>
    </w:p>
    <w:p w14:paraId="6B80F294" w14:textId="1EBFBC65" w:rsidR="0021363A" w:rsidRPr="004E7BD2" w:rsidRDefault="004C18AA" w:rsidP="00B71A68">
      <w:pPr>
        <w:spacing w:after="120"/>
        <w:jc w:val="both"/>
        <w:rPr>
          <w:rFonts w:ascii="Garamond" w:hAnsi="Garamond"/>
          <w:iCs/>
          <w:lang w:val="en-GB"/>
        </w:rPr>
      </w:pPr>
      <w:r w:rsidRPr="004E7BD2">
        <w:rPr>
          <w:rFonts w:ascii="Garamond" w:hAnsi="Garamond"/>
          <w:iCs/>
          <w:lang w:val="en-GB"/>
        </w:rPr>
        <w:t>Several patterns stand out that are important to our analysis of public opinion. The consistently higher homicide rate in the U.S. suggests that if the public becomes more punitive in response to the murder rate, we would expect more punitive attitudes in the U.S. relative to England and Wales. However, if it is change that public</w:t>
      </w:r>
      <w:r w:rsidR="002D425F" w:rsidRPr="004E7BD2">
        <w:rPr>
          <w:rFonts w:ascii="Garamond" w:hAnsi="Garamond"/>
          <w:iCs/>
          <w:lang w:val="en-GB"/>
        </w:rPr>
        <w:t xml:space="preserve"> opinion</w:t>
      </w:r>
      <w:r w:rsidRPr="004E7BD2">
        <w:rPr>
          <w:rFonts w:ascii="Garamond" w:hAnsi="Garamond"/>
          <w:iCs/>
          <w:lang w:val="en-GB"/>
        </w:rPr>
        <w:t xml:space="preserve"> responds to (Enns 2016), then we might expect to observe declining punitiveness in the U.S. during this period and relatively consistent levels of punitiveness in England and Wales. </w:t>
      </w:r>
    </w:p>
    <w:p w14:paraId="5702A8B0" w14:textId="72561F7E" w:rsidR="0021363A" w:rsidRPr="004E7BD2" w:rsidRDefault="00CE61BA" w:rsidP="00F9041A">
      <w:pPr>
        <w:spacing w:after="0"/>
        <w:jc w:val="center"/>
        <w:rPr>
          <w:rFonts w:ascii="Garamond" w:hAnsi="Garamond"/>
          <w:iCs/>
          <w:lang w:val="en-GB"/>
        </w:rPr>
      </w:pPr>
      <w:r w:rsidRPr="004E7BD2">
        <w:rPr>
          <w:rFonts w:ascii="Garamond" w:hAnsi="Garamond"/>
          <w:iCs/>
          <w:noProof/>
          <w:lang w:val="en-GB"/>
        </w:rPr>
        <w:drawing>
          <wp:inline distT="0" distB="0" distL="0" distR="0" wp14:anchorId="5674B77D" wp14:editId="35710CE2">
            <wp:extent cx="2970000" cy="216000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0000" cy="2160000"/>
                    </a:xfrm>
                    <a:prstGeom prst="rect">
                      <a:avLst/>
                    </a:prstGeom>
                    <a:noFill/>
                    <a:ln>
                      <a:noFill/>
                    </a:ln>
                  </pic:spPr>
                </pic:pic>
              </a:graphicData>
            </a:graphic>
          </wp:inline>
        </w:drawing>
      </w:r>
    </w:p>
    <w:p w14:paraId="1BE0F5D1" w14:textId="54DDA917" w:rsidR="004C18AA" w:rsidRPr="004E7BD2" w:rsidRDefault="004C18AA" w:rsidP="00F9041A">
      <w:pPr>
        <w:spacing w:after="240"/>
        <w:jc w:val="center"/>
        <w:rPr>
          <w:rFonts w:ascii="Garamond" w:hAnsi="Garamond"/>
          <w:b/>
          <w:iCs/>
          <w:lang w:val="en-GB"/>
        </w:rPr>
      </w:pPr>
      <w:r w:rsidRPr="004E7BD2">
        <w:rPr>
          <w:rFonts w:ascii="Garamond" w:hAnsi="Garamond"/>
          <w:b/>
          <w:iCs/>
          <w:lang w:val="en-GB"/>
        </w:rPr>
        <w:t xml:space="preserve">Figure 2: </w:t>
      </w:r>
      <w:r w:rsidR="004557B6">
        <w:rPr>
          <w:rFonts w:ascii="Garamond" w:hAnsi="Garamond"/>
          <w:iCs/>
          <w:lang w:val="en-GB"/>
        </w:rPr>
        <w:t>H</w:t>
      </w:r>
      <w:r w:rsidRPr="004E7BD2">
        <w:rPr>
          <w:rFonts w:ascii="Garamond" w:hAnsi="Garamond"/>
          <w:iCs/>
          <w:lang w:val="en-GB"/>
        </w:rPr>
        <w:t xml:space="preserve">omicide </w:t>
      </w:r>
      <w:r w:rsidR="004557B6">
        <w:rPr>
          <w:rFonts w:ascii="Garamond" w:hAnsi="Garamond"/>
          <w:iCs/>
          <w:lang w:val="en-GB"/>
        </w:rPr>
        <w:t>R</w:t>
      </w:r>
      <w:r w:rsidRPr="004E7BD2">
        <w:rPr>
          <w:rFonts w:ascii="Garamond" w:hAnsi="Garamond"/>
          <w:iCs/>
          <w:lang w:val="en-GB"/>
        </w:rPr>
        <w:t>ate</w:t>
      </w:r>
      <w:r w:rsidR="004557B6">
        <w:rPr>
          <w:rFonts w:ascii="Garamond" w:hAnsi="Garamond"/>
          <w:iCs/>
          <w:lang w:val="en-GB"/>
        </w:rPr>
        <w:t>s</w:t>
      </w:r>
      <w:r w:rsidRPr="004E7BD2">
        <w:rPr>
          <w:rFonts w:ascii="Garamond" w:hAnsi="Garamond"/>
          <w:iCs/>
          <w:lang w:val="en-GB"/>
        </w:rPr>
        <w:t xml:space="preserve"> in the U.S. and England and Wales, 1993-2019</w:t>
      </w:r>
      <w:r w:rsidRPr="004E7BD2">
        <w:rPr>
          <w:rFonts w:ascii="Garamond" w:hAnsi="Garamond"/>
          <w:b/>
          <w:iCs/>
          <w:lang w:val="en-GB"/>
        </w:rPr>
        <w:t xml:space="preserve"> </w:t>
      </w:r>
    </w:p>
    <w:p w14:paraId="61B7154B" w14:textId="3D69768E" w:rsidR="0021363A" w:rsidRPr="004E7BD2" w:rsidRDefault="004C18AA" w:rsidP="00B71A68">
      <w:pPr>
        <w:spacing w:after="120"/>
        <w:jc w:val="both"/>
        <w:rPr>
          <w:rFonts w:ascii="Garamond" w:hAnsi="Garamond"/>
          <w:iCs/>
          <w:lang w:val="en-GB"/>
        </w:rPr>
      </w:pPr>
      <w:r w:rsidRPr="004E7BD2">
        <w:rPr>
          <w:rFonts w:ascii="Garamond" w:hAnsi="Garamond"/>
          <w:iCs/>
          <w:lang w:val="en-GB"/>
        </w:rPr>
        <w:lastRenderedPageBreak/>
        <w:t xml:space="preserve">Of course, homicides are relatively infrequent—at least when we consider the public as a whole (Miller </w:t>
      </w:r>
      <w:r w:rsidR="00442307" w:rsidRPr="004E7BD2">
        <w:rPr>
          <w:rFonts w:ascii="Garamond" w:hAnsi="Garamond"/>
          <w:iCs/>
          <w:lang w:val="en-GB"/>
        </w:rPr>
        <w:t>2016</w:t>
      </w:r>
      <w:r w:rsidRPr="004E7BD2">
        <w:rPr>
          <w:rFonts w:ascii="Garamond" w:hAnsi="Garamond"/>
          <w:iCs/>
          <w:lang w:val="en-GB"/>
        </w:rPr>
        <w:t>)—so it may be that other types of crime have a bigger impact on public attitudes.</w:t>
      </w:r>
      <w:r w:rsidR="0043760E" w:rsidRPr="004E7BD2">
        <w:rPr>
          <w:rFonts w:ascii="Garamond" w:hAnsi="Garamond"/>
          <w:iCs/>
          <w:lang w:val="en-GB"/>
        </w:rPr>
        <w:t xml:space="preserve"> Figures 3 and 4 report the rate of property crime and violent crime, respectively. </w:t>
      </w:r>
      <w:r w:rsidR="000D4E34" w:rsidRPr="004E7BD2">
        <w:rPr>
          <w:rFonts w:ascii="Garamond" w:hAnsi="Garamond"/>
          <w:iCs/>
          <w:lang w:val="en-GB"/>
        </w:rPr>
        <w:t xml:space="preserve">In both the U.S. and England and Wales, property crimes decreased during the period of analysis. This parallel shift is especially evident in the right panel where we rescale the series to have a common maximum and minimum value. Rescaling the data this way makes it </w:t>
      </w:r>
      <w:r w:rsidR="00185F35" w:rsidRPr="004E7BD2">
        <w:rPr>
          <w:rFonts w:ascii="Garamond" w:hAnsi="Garamond"/>
          <w:iCs/>
          <w:lang w:val="en-GB"/>
        </w:rPr>
        <w:t>easier</w:t>
      </w:r>
      <w:r w:rsidR="000D4E34" w:rsidRPr="004E7BD2">
        <w:rPr>
          <w:rFonts w:ascii="Garamond" w:hAnsi="Garamond"/>
          <w:iCs/>
          <w:lang w:val="en-GB"/>
        </w:rPr>
        <w:t xml:space="preserve"> to </w:t>
      </w:r>
      <w:r w:rsidR="00802833" w:rsidRPr="004E7BD2">
        <w:rPr>
          <w:rFonts w:ascii="Garamond" w:hAnsi="Garamond"/>
          <w:iCs/>
          <w:lang w:val="en-GB"/>
        </w:rPr>
        <w:t xml:space="preserve">evaluate the extent to which the </w:t>
      </w:r>
      <w:r w:rsidR="000D4E34" w:rsidRPr="004E7BD2">
        <w:rPr>
          <w:rFonts w:ascii="Garamond" w:hAnsi="Garamond"/>
          <w:iCs/>
          <w:lang w:val="en-GB"/>
        </w:rPr>
        <w:t>two series mov</w:t>
      </w:r>
      <w:r w:rsidR="00802833" w:rsidRPr="004E7BD2">
        <w:rPr>
          <w:rFonts w:ascii="Garamond" w:hAnsi="Garamond"/>
          <w:iCs/>
          <w:lang w:val="en-GB"/>
        </w:rPr>
        <w:t>e</w:t>
      </w:r>
      <w:r w:rsidR="000D4E34" w:rsidRPr="004E7BD2">
        <w:rPr>
          <w:rFonts w:ascii="Garamond" w:hAnsi="Garamond"/>
          <w:iCs/>
          <w:lang w:val="en-GB"/>
        </w:rPr>
        <w:t xml:space="preserve"> in tandem</w:t>
      </w:r>
      <w:r w:rsidR="00802833" w:rsidRPr="004E7BD2">
        <w:rPr>
          <w:rFonts w:ascii="Garamond" w:hAnsi="Garamond"/>
          <w:iCs/>
          <w:lang w:val="en-GB"/>
        </w:rPr>
        <w:t xml:space="preserve"> or distinctly</w:t>
      </w:r>
      <w:r w:rsidR="000D4E34" w:rsidRPr="004E7BD2">
        <w:rPr>
          <w:rFonts w:ascii="Garamond" w:hAnsi="Garamond"/>
          <w:iCs/>
          <w:lang w:val="en-GB"/>
        </w:rPr>
        <w:t>.</w:t>
      </w:r>
      <w:r w:rsidR="00E744A9">
        <w:rPr>
          <w:rStyle w:val="FootnoteReference"/>
          <w:rFonts w:ascii="Garamond" w:hAnsi="Garamond"/>
          <w:iCs/>
          <w:lang w:val="en-GB"/>
        </w:rPr>
        <w:footnoteReference w:id="5"/>
      </w:r>
      <w:r w:rsidR="002D425F" w:rsidRPr="004E7BD2">
        <w:rPr>
          <w:rFonts w:ascii="Garamond" w:hAnsi="Garamond"/>
          <w:iCs/>
          <w:lang w:val="en-GB"/>
        </w:rPr>
        <w:t xml:space="preserve"> What is remarkable here is </w:t>
      </w:r>
      <w:r w:rsidR="00690DBB">
        <w:rPr>
          <w:rFonts w:ascii="Garamond" w:hAnsi="Garamond"/>
          <w:iCs/>
          <w:lang w:val="en-GB"/>
        </w:rPr>
        <w:t xml:space="preserve">that despite distinct social, economic, and policy contexts, </w:t>
      </w:r>
      <w:r w:rsidR="002D425F" w:rsidRPr="004E7BD2">
        <w:rPr>
          <w:rFonts w:ascii="Garamond" w:hAnsi="Garamond"/>
          <w:iCs/>
          <w:lang w:val="en-GB"/>
        </w:rPr>
        <w:t xml:space="preserve">the property crime rates in the two countries tracked each other </w:t>
      </w:r>
      <w:r w:rsidR="00690DBB">
        <w:rPr>
          <w:rFonts w:ascii="Garamond" w:hAnsi="Garamond"/>
          <w:iCs/>
          <w:lang w:val="en-GB"/>
        </w:rPr>
        <w:t xml:space="preserve">extremely closely </w:t>
      </w:r>
      <w:r w:rsidR="002D425F" w:rsidRPr="004E7BD2">
        <w:rPr>
          <w:rFonts w:ascii="Garamond" w:hAnsi="Garamond"/>
          <w:iCs/>
          <w:lang w:val="en-GB"/>
        </w:rPr>
        <w:t xml:space="preserve">over this period. </w:t>
      </w:r>
    </w:p>
    <w:p w14:paraId="5F7683A2" w14:textId="1706BE93" w:rsidR="0043760E" w:rsidRPr="004E7BD2" w:rsidRDefault="008F1073" w:rsidP="0043760E">
      <w:pPr>
        <w:jc w:val="center"/>
        <w:rPr>
          <w:rFonts w:ascii="Garamond" w:hAnsi="Garamond"/>
          <w:iCs/>
          <w:lang w:val="en-GB"/>
        </w:rPr>
      </w:pPr>
      <w:r w:rsidRPr="004E7BD2">
        <w:rPr>
          <w:rFonts w:ascii="Garamond" w:hAnsi="Garamond"/>
          <w:iCs/>
          <w:noProof/>
          <w:lang w:val="en-GB"/>
        </w:rPr>
        <w:drawing>
          <wp:inline distT="0" distB="0" distL="0" distR="0" wp14:anchorId="04BCC84B" wp14:editId="2FB21C8A">
            <wp:extent cx="4305600" cy="2152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5600" cy="2152800"/>
                    </a:xfrm>
                    <a:prstGeom prst="rect">
                      <a:avLst/>
                    </a:prstGeom>
                    <a:noFill/>
                    <a:ln>
                      <a:noFill/>
                    </a:ln>
                  </pic:spPr>
                </pic:pic>
              </a:graphicData>
            </a:graphic>
          </wp:inline>
        </w:drawing>
      </w:r>
    </w:p>
    <w:p w14:paraId="580CB238" w14:textId="11F606C5" w:rsidR="0043760E" w:rsidRPr="004E7BD2" w:rsidRDefault="0043760E" w:rsidP="00802833">
      <w:pPr>
        <w:spacing w:after="0"/>
        <w:ind w:left="1440"/>
        <w:rPr>
          <w:rFonts w:ascii="Garamond" w:hAnsi="Garamond"/>
          <w:iCs/>
          <w:lang w:val="en-GB"/>
        </w:rPr>
      </w:pPr>
      <w:r w:rsidRPr="004E7BD2">
        <w:rPr>
          <w:rFonts w:ascii="Garamond" w:hAnsi="Garamond"/>
          <w:b/>
          <w:iCs/>
          <w:lang w:val="en-GB"/>
        </w:rPr>
        <w:t xml:space="preserve">Figure 3: </w:t>
      </w:r>
      <w:r w:rsidRPr="004E7BD2">
        <w:rPr>
          <w:rFonts w:ascii="Garamond" w:hAnsi="Garamond"/>
          <w:iCs/>
          <w:lang w:val="en-GB"/>
        </w:rPr>
        <w:t>Property Crime Rates in the U.S. and England and Wales, 1993-20</w:t>
      </w:r>
      <w:r w:rsidR="00CE61BA" w:rsidRPr="004E7BD2">
        <w:rPr>
          <w:rFonts w:ascii="Garamond" w:hAnsi="Garamond"/>
          <w:iCs/>
          <w:lang w:val="en-GB"/>
        </w:rPr>
        <w:t>19</w:t>
      </w:r>
    </w:p>
    <w:p w14:paraId="2AF45897" w14:textId="2CDE75AE" w:rsidR="0043760E" w:rsidRPr="000B4C87" w:rsidRDefault="0043760E" w:rsidP="00984C44">
      <w:pPr>
        <w:spacing w:before="60" w:after="0"/>
        <w:ind w:left="1440"/>
        <w:rPr>
          <w:rFonts w:ascii="Garamond" w:hAnsi="Garamond"/>
          <w:iCs/>
          <w:sz w:val="18"/>
          <w:szCs w:val="18"/>
          <w:lang w:val="en-GB"/>
        </w:rPr>
      </w:pPr>
      <w:r w:rsidRPr="000B4C87">
        <w:rPr>
          <w:rFonts w:ascii="Garamond" w:hAnsi="Garamond"/>
          <w:i/>
          <w:iCs/>
          <w:sz w:val="18"/>
          <w:szCs w:val="18"/>
          <w:lang w:val="en-GB"/>
        </w:rPr>
        <w:t>Note:</w:t>
      </w:r>
      <w:r w:rsidRPr="000B4C87">
        <w:rPr>
          <w:rFonts w:ascii="Garamond" w:hAnsi="Garamond"/>
          <w:iCs/>
          <w:sz w:val="18"/>
          <w:szCs w:val="18"/>
          <w:lang w:val="en-GB"/>
        </w:rPr>
        <w:t xml:space="preserve"> the left panel reports actual rates, the right panel rescales the series to a common minimum and maximum value to aid over-time comparison.</w:t>
      </w:r>
    </w:p>
    <w:p w14:paraId="2AF6C9AA" w14:textId="59744B5D" w:rsidR="0043760E" w:rsidRPr="004E7BD2" w:rsidRDefault="0043760E" w:rsidP="000B4C87">
      <w:pPr>
        <w:spacing w:after="0"/>
        <w:rPr>
          <w:rFonts w:ascii="Garamond" w:hAnsi="Garamond"/>
          <w:iCs/>
          <w:lang w:val="en-GB"/>
        </w:rPr>
      </w:pPr>
    </w:p>
    <w:p w14:paraId="23B6109C" w14:textId="6CAE4380" w:rsidR="00A2314D" w:rsidRPr="004E7BD2" w:rsidRDefault="00762EE7" w:rsidP="00F9041A">
      <w:pPr>
        <w:spacing w:after="0"/>
        <w:jc w:val="center"/>
        <w:rPr>
          <w:rFonts w:ascii="Garamond" w:hAnsi="Garamond"/>
          <w:iCs/>
          <w:lang w:val="en-GB"/>
        </w:rPr>
      </w:pPr>
      <w:r w:rsidRPr="004E7BD2">
        <w:rPr>
          <w:rFonts w:ascii="Garamond" w:hAnsi="Garamond"/>
          <w:iCs/>
          <w:noProof/>
          <w:lang w:val="en-GB"/>
        </w:rPr>
        <w:drawing>
          <wp:inline distT="0" distB="0" distL="0" distR="0" wp14:anchorId="0A87CF2A" wp14:editId="2B5C96AC">
            <wp:extent cx="4219200" cy="210960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9200" cy="2109600"/>
                    </a:xfrm>
                    <a:prstGeom prst="rect">
                      <a:avLst/>
                    </a:prstGeom>
                    <a:noFill/>
                    <a:ln>
                      <a:noFill/>
                    </a:ln>
                  </pic:spPr>
                </pic:pic>
              </a:graphicData>
            </a:graphic>
          </wp:inline>
        </w:drawing>
      </w:r>
    </w:p>
    <w:p w14:paraId="36B4F6D1" w14:textId="7062BD58" w:rsidR="00A2314D" w:rsidRPr="004E7BD2" w:rsidRDefault="00A2314D" w:rsidP="00B71A68">
      <w:pPr>
        <w:spacing w:after="0"/>
        <w:ind w:left="720" w:firstLine="720"/>
        <w:rPr>
          <w:rFonts w:ascii="Garamond" w:hAnsi="Garamond"/>
          <w:iCs/>
          <w:lang w:val="en-GB"/>
        </w:rPr>
      </w:pPr>
      <w:r w:rsidRPr="004E7BD2">
        <w:rPr>
          <w:rFonts w:ascii="Garamond" w:hAnsi="Garamond"/>
          <w:b/>
          <w:iCs/>
          <w:lang w:val="en-GB"/>
        </w:rPr>
        <w:t xml:space="preserve">Figure 4: </w:t>
      </w:r>
      <w:r w:rsidRPr="004E7BD2">
        <w:rPr>
          <w:rFonts w:ascii="Garamond" w:hAnsi="Garamond"/>
          <w:iCs/>
          <w:lang w:val="en-GB"/>
        </w:rPr>
        <w:t>Violent Crime Rates in the U.S. and England and Wales, 1993-20</w:t>
      </w:r>
      <w:r w:rsidR="00762EE7" w:rsidRPr="004E7BD2">
        <w:rPr>
          <w:rFonts w:ascii="Garamond" w:hAnsi="Garamond"/>
          <w:iCs/>
          <w:lang w:val="en-GB"/>
        </w:rPr>
        <w:t>19</w:t>
      </w:r>
    </w:p>
    <w:p w14:paraId="06BC0D30" w14:textId="141E5C39" w:rsidR="004E7BD2" w:rsidRDefault="004E7BD2" w:rsidP="000B4C87">
      <w:pPr>
        <w:spacing w:after="0"/>
        <w:jc w:val="both"/>
        <w:rPr>
          <w:rFonts w:ascii="Garamond" w:hAnsi="Garamond"/>
          <w:iCs/>
          <w:lang w:val="en-GB"/>
        </w:rPr>
      </w:pPr>
    </w:p>
    <w:p w14:paraId="7726FA05" w14:textId="0AFFC3EF" w:rsidR="00984C44" w:rsidRPr="004E7BD2" w:rsidRDefault="00984C44" w:rsidP="00984C44">
      <w:pPr>
        <w:jc w:val="both"/>
        <w:rPr>
          <w:rFonts w:ascii="Garamond" w:hAnsi="Garamond"/>
          <w:iCs/>
          <w:lang w:val="en-GB"/>
        </w:rPr>
      </w:pPr>
      <w:r w:rsidRPr="004E7BD2">
        <w:rPr>
          <w:rFonts w:ascii="Garamond" w:hAnsi="Garamond"/>
          <w:iCs/>
          <w:lang w:val="en-GB"/>
        </w:rPr>
        <w:t xml:space="preserve">Figure 4 presents violent crimes </w:t>
      </w:r>
      <w:r>
        <w:rPr>
          <w:rFonts w:ascii="Garamond" w:hAnsi="Garamond"/>
          <w:iCs/>
          <w:lang w:val="en-GB"/>
        </w:rPr>
        <w:t>recorded by</w:t>
      </w:r>
      <w:r w:rsidRPr="004E7BD2">
        <w:rPr>
          <w:rFonts w:ascii="Garamond" w:hAnsi="Garamond"/>
          <w:iCs/>
          <w:lang w:val="en-GB"/>
        </w:rPr>
        <w:t xml:space="preserve"> the police</w:t>
      </w:r>
      <w:r>
        <w:rPr>
          <w:rFonts w:ascii="Garamond" w:hAnsi="Garamond"/>
          <w:iCs/>
          <w:lang w:val="en-GB"/>
        </w:rPr>
        <w:t>, again with the left panel reporting rates and the right panel rescaling the values to facilitate overtime comparison</w:t>
      </w:r>
      <w:r w:rsidRPr="004E7BD2">
        <w:rPr>
          <w:rFonts w:ascii="Garamond" w:hAnsi="Garamond"/>
          <w:iCs/>
          <w:lang w:val="en-GB"/>
        </w:rPr>
        <w:t xml:space="preserve">. </w:t>
      </w:r>
      <w:r>
        <w:rPr>
          <w:rFonts w:ascii="Garamond" w:hAnsi="Garamond"/>
          <w:iCs/>
          <w:lang w:val="en-GB"/>
        </w:rPr>
        <w:t>T</w:t>
      </w:r>
      <w:r w:rsidRPr="004E7BD2">
        <w:rPr>
          <w:rFonts w:ascii="Garamond" w:hAnsi="Garamond"/>
          <w:iCs/>
          <w:lang w:val="en-GB"/>
        </w:rPr>
        <w:t xml:space="preserve">he U.S. measure of violent crime includes murder/non-negligent manslaughter, aggravated assault, rape, and robbery, while </w:t>
      </w:r>
      <w:r>
        <w:rPr>
          <w:rFonts w:ascii="Garamond" w:hAnsi="Garamond"/>
          <w:iCs/>
          <w:lang w:val="en-GB"/>
        </w:rPr>
        <w:t xml:space="preserve">that </w:t>
      </w:r>
      <w:r w:rsidRPr="004E7BD2">
        <w:rPr>
          <w:rFonts w:ascii="Garamond" w:hAnsi="Garamond"/>
          <w:iCs/>
          <w:lang w:val="en-GB"/>
        </w:rPr>
        <w:t xml:space="preserve">for England and Wales </w:t>
      </w:r>
      <w:r w:rsidRPr="004E7BD2">
        <w:rPr>
          <w:rFonts w:ascii="Garamond" w:hAnsi="Garamond"/>
          <w:iCs/>
          <w:lang w:val="en-GB"/>
        </w:rPr>
        <w:lastRenderedPageBreak/>
        <w:t xml:space="preserve">includes homicide, violence with injury, rape and robbery. </w:t>
      </w:r>
      <w:bookmarkStart w:id="4" w:name="_Hlk92473086"/>
      <w:r>
        <w:rPr>
          <w:rFonts w:ascii="Garamond" w:hAnsi="Garamond"/>
          <w:iCs/>
          <w:lang w:val="en-GB"/>
        </w:rPr>
        <w:t xml:space="preserve">The different definitions of “violent crime” in the two countries, as well as shifts in reporting practices in England and Wales (see Appendix 1 for a full discussion of these changes), give rise to very different trends. </w:t>
      </w:r>
      <w:bookmarkEnd w:id="4"/>
      <w:r>
        <w:rPr>
          <w:rFonts w:ascii="Garamond" w:hAnsi="Garamond"/>
          <w:iCs/>
          <w:lang w:val="en-GB"/>
        </w:rPr>
        <w:t>In t</w:t>
      </w:r>
      <w:r w:rsidRPr="004E7BD2">
        <w:rPr>
          <w:rFonts w:ascii="Garamond" w:hAnsi="Garamond"/>
          <w:iCs/>
          <w:lang w:val="en-GB"/>
        </w:rPr>
        <w:t>he U.S.</w:t>
      </w:r>
      <w:r>
        <w:rPr>
          <w:rFonts w:ascii="Garamond" w:hAnsi="Garamond"/>
          <w:iCs/>
          <w:lang w:val="en-GB"/>
        </w:rPr>
        <w:t>, the violent crime rate has declined steadily since</w:t>
      </w:r>
      <w:r w:rsidRPr="004E7BD2">
        <w:rPr>
          <w:rFonts w:ascii="Garamond" w:hAnsi="Garamond"/>
          <w:iCs/>
          <w:lang w:val="en-GB"/>
        </w:rPr>
        <w:t xml:space="preserve"> 1993, whereas</w:t>
      </w:r>
      <w:r>
        <w:rPr>
          <w:rFonts w:ascii="Garamond" w:hAnsi="Garamond"/>
          <w:iCs/>
          <w:lang w:val="en-GB"/>
        </w:rPr>
        <w:t xml:space="preserve"> in</w:t>
      </w:r>
      <w:r w:rsidRPr="004E7BD2">
        <w:rPr>
          <w:rFonts w:ascii="Garamond" w:hAnsi="Garamond"/>
          <w:iCs/>
          <w:lang w:val="en-GB"/>
        </w:rPr>
        <w:t xml:space="preserve"> England and Wales </w:t>
      </w:r>
      <w:r>
        <w:rPr>
          <w:rFonts w:ascii="Garamond" w:hAnsi="Garamond"/>
          <w:iCs/>
          <w:lang w:val="en-GB"/>
        </w:rPr>
        <w:t>it rose until</w:t>
      </w:r>
      <w:r w:rsidRPr="004E7BD2">
        <w:rPr>
          <w:rFonts w:ascii="Garamond" w:hAnsi="Garamond"/>
          <w:iCs/>
          <w:lang w:val="en-GB"/>
        </w:rPr>
        <w:t xml:space="preserve"> 2005, </w:t>
      </w:r>
      <w:r>
        <w:rPr>
          <w:rFonts w:ascii="Garamond" w:hAnsi="Garamond"/>
          <w:iCs/>
          <w:lang w:val="en-GB"/>
        </w:rPr>
        <w:t xml:space="preserve">then fell sharply </w:t>
      </w:r>
      <w:r w:rsidRPr="004E7BD2">
        <w:rPr>
          <w:rFonts w:ascii="Garamond" w:hAnsi="Garamond"/>
          <w:iCs/>
          <w:lang w:val="en-GB"/>
        </w:rPr>
        <w:t>until 2012,</w:t>
      </w:r>
      <w:r>
        <w:rPr>
          <w:rFonts w:ascii="Garamond" w:hAnsi="Garamond"/>
          <w:iCs/>
          <w:lang w:val="en-GB"/>
        </w:rPr>
        <w:t xml:space="preserve"> before</w:t>
      </w:r>
      <w:r w:rsidRPr="004E7BD2">
        <w:rPr>
          <w:rFonts w:ascii="Garamond" w:hAnsi="Garamond"/>
          <w:iCs/>
          <w:lang w:val="en-GB"/>
        </w:rPr>
        <w:t xml:space="preserve"> </w:t>
      </w:r>
      <w:r>
        <w:rPr>
          <w:rFonts w:ascii="Garamond" w:hAnsi="Garamond"/>
          <w:iCs/>
          <w:lang w:val="en-GB"/>
        </w:rPr>
        <w:t>undergoing</w:t>
      </w:r>
      <w:r w:rsidRPr="004E7BD2">
        <w:rPr>
          <w:rFonts w:ascii="Garamond" w:hAnsi="Garamond"/>
          <w:iCs/>
          <w:lang w:val="en-GB"/>
        </w:rPr>
        <w:t xml:space="preserve"> an upturn in violent crime that has continued to the present day. </w:t>
      </w:r>
    </w:p>
    <w:p w14:paraId="24142611" w14:textId="110C5CBA" w:rsidR="00B03059" w:rsidRPr="004E7BD2" w:rsidRDefault="00850F25" w:rsidP="00F9041A">
      <w:pPr>
        <w:spacing w:after="0"/>
        <w:jc w:val="both"/>
        <w:rPr>
          <w:rFonts w:ascii="Garamond" w:hAnsi="Garamond"/>
          <w:iCs/>
          <w:lang w:val="en-GB"/>
        </w:rPr>
      </w:pPr>
      <w:r w:rsidRPr="004E7BD2">
        <w:rPr>
          <w:rFonts w:ascii="Garamond" w:hAnsi="Garamond"/>
          <w:iCs/>
          <w:lang w:val="en-GB"/>
        </w:rPr>
        <w:t>The changes in crime reporting in England and Wales</w:t>
      </w:r>
      <w:r w:rsidR="00373BCA" w:rsidRPr="004E7BD2">
        <w:rPr>
          <w:rFonts w:ascii="Garamond" w:hAnsi="Garamond"/>
          <w:iCs/>
          <w:lang w:val="en-GB"/>
        </w:rPr>
        <w:t xml:space="preserve"> offer both a challenge and opportunity for our analysis. </w:t>
      </w:r>
      <w:r w:rsidR="00653D00" w:rsidRPr="004E7BD2">
        <w:rPr>
          <w:rFonts w:ascii="Garamond" w:hAnsi="Garamond"/>
          <w:iCs/>
          <w:lang w:val="en-GB"/>
        </w:rPr>
        <w:t xml:space="preserve">The challenge, of course, is that the rates are not directly comparable across time because </w:t>
      </w:r>
      <w:r w:rsidR="001126BA" w:rsidRPr="004E7BD2">
        <w:rPr>
          <w:rFonts w:ascii="Garamond" w:hAnsi="Garamond"/>
          <w:iCs/>
          <w:lang w:val="en-GB"/>
        </w:rPr>
        <w:t>the definitions for crime</w:t>
      </w:r>
      <w:r w:rsidR="00973AD6" w:rsidRPr="004E7BD2">
        <w:rPr>
          <w:rFonts w:ascii="Garamond" w:hAnsi="Garamond"/>
          <w:iCs/>
          <w:lang w:val="en-GB"/>
        </w:rPr>
        <w:t xml:space="preserve"> and how crimes are counted</w:t>
      </w:r>
      <w:r w:rsidR="00653D00" w:rsidRPr="004E7BD2">
        <w:rPr>
          <w:rFonts w:ascii="Garamond" w:hAnsi="Garamond"/>
          <w:iCs/>
          <w:lang w:val="en-GB"/>
        </w:rPr>
        <w:t xml:space="preserve"> has shifted. In other words, while crime has actually declined (as we </w:t>
      </w:r>
      <w:r w:rsidR="00947201">
        <w:rPr>
          <w:rFonts w:ascii="Garamond" w:hAnsi="Garamond"/>
          <w:iCs/>
          <w:lang w:val="en-GB"/>
        </w:rPr>
        <w:t>show</w:t>
      </w:r>
      <w:r w:rsidR="00653D00" w:rsidRPr="004E7BD2">
        <w:rPr>
          <w:rFonts w:ascii="Garamond" w:hAnsi="Garamond"/>
          <w:iCs/>
          <w:lang w:val="en-GB"/>
        </w:rPr>
        <w:t xml:space="preserve"> below), because more </w:t>
      </w:r>
      <w:r w:rsidR="00973AD6" w:rsidRPr="004E7BD2">
        <w:rPr>
          <w:rFonts w:ascii="Garamond" w:hAnsi="Garamond"/>
          <w:iCs/>
          <w:lang w:val="en-GB"/>
        </w:rPr>
        <w:t>offences</w:t>
      </w:r>
      <w:r w:rsidR="00653D00" w:rsidRPr="004E7BD2">
        <w:rPr>
          <w:rFonts w:ascii="Garamond" w:hAnsi="Garamond"/>
          <w:iCs/>
          <w:lang w:val="en-GB"/>
        </w:rPr>
        <w:t xml:space="preserve"> are now counted in the data, it appears that crime rates have increased substantially.</w:t>
      </w:r>
      <w:r w:rsidR="003A1DDC" w:rsidRPr="004E7BD2">
        <w:rPr>
          <w:rFonts w:ascii="Garamond" w:hAnsi="Garamond"/>
          <w:iCs/>
          <w:lang w:val="en-GB"/>
        </w:rPr>
        <w:t xml:space="preserve"> </w:t>
      </w:r>
      <w:bookmarkStart w:id="5" w:name="_Hlk92473151"/>
      <w:r w:rsidR="003A1DDC" w:rsidRPr="004E7BD2">
        <w:rPr>
          <w:rFonts w:ascii="Garamond" w:hAnsi="Garamond"/>
          <w:iCs/>
          <w:lang w:val="en-GB"/>
        </w:rPr>
        <w:t>This reporting change also presents an opportunity, however, because we are ultimately interested in the relationship between crime rates and public opinion.</w:t>
      </w:r>
      <w:r w:rsidR="00B03059" w:rsidRPr="004E7BD2">
        <w:rPr>
          <w:rFonts w:ascii="Garamond" w:hAnsi="Garamond"/>
          <w:iCs/>
          <w:lang w:val="en-GB"/>
        </w:rPr>
        <w:t xml:space="preserve"> </w:t>
      </w:r>
      <w:bookmarkEnd w:id="5"/>
      <w:r w:rsidR="00B03059" w:rsidRPr="004E7BD2">
        <w:rPr>
          <w:rFonts w:ascii="Garamond" w:hAnsi="Garamond"/>
          <w:iCs/>
          <w:lang w:val="en-GB"/>
        </w:rPr>
        <w:t>One mechanism by which shifting crime rates can influence public attitudes is through media coverage of crime (Enns 2016</w:t>
      </w:r>
      <w:r w:rsidR="00722025" w:rsidRPr="004E7BD2">
        <w:rPr>
          <w:rFonts w:ascii="Garamond" w:hAnsi="Garamond"/>
          <w:iCs/>
          <w:lang w:val="en-GB"/>
        </w:rPr>
        <w:t>; Rosenberger and Callanan 2012</w:t>
      </w:r>
      <w:r w:rsidR="00B03059" w:rsidRPr="004E7BD2">
        <w:rPr>
          <w:rFonts w:ascii="Garamond" w:hAnsi="Garamond"/>
          <w:iCs/>
          <w:lang w:val="en-GB"/>
        </w:rPr>
        <w:t xml:space="preserve">). If this is the primary mechanism involved, even </w:t>
      </w:r>
      <w:r w:rsidR="00072D30" w:rsidRPr="004E7BD2">
        <w:rPr>
          <w:rFonts w:ascii="Garamond" w:hAnsi="Garamond"/>
          <w:iCs/>
          <w:lang w:val="en-GB"/>
        </w:rPr>
        <w:t>when</w:t>
      </w:r>
      <w:r w:rsidR="00B03059" w:rsidRPr="004E7BD2">
        <w:rPr>
          <w:rFonts w:ascii="Garamond" w:hAnsi="Garamond"/>
          <w:iCs/>
          <w:lang w:val="en-GB"/>
        </w:rPr>
        <w:t xml:space="preserve"> the actual crime rate remained steady or declined, if media covered the </w:t>
      </w:r>
      <w:r w:rsidR="00B03059" w:rsidRPr="004E7BD2">
        <w:rPr>
          <w:rFonts w:ascii="Garamond" w:hAnsi="Garamond"/>
          <w:i/>
          <w:iCs/>
          <w:lang w:val="en-GB"/>
        </w:rPr>
        <w:t xml:space="preserve">increased </w:t>
      </w:r>
      <w:r w:rsidR="00B03059" w:rsidRPr="004E7BD2">
        <w:rPr>
          <w:rFonts w:ascii="Garamond" w:hAnsi="Garamond"/>
          <w:iCs/>
          <w:lang w:val="en-GB"/>
        </w:rPr>
        <w:t xml:space="preserve">crime reported </w:t>
      </w:r>
      <w:r w:rsidR="00FF4EEC">
        <w:rPr>
          <w:rFonts w:ascii="Garamond" w:hAnsi="Garamond"/>
          <w:iCs/>
          <w:lang w:val="en-GB"/>
        </w:rPr>
        <w:t>to</w:t>
      </w:r>
      <w:r w:rsidR="00B03059" w:rsidRPr="004E7BD2">
        <w:rPr>
          <w:rFonts w:ascii="Garamond" w:hAnsi="Garamond"/>
          <w:iCs/>
          <w:lang w:val="en-GB"/>
        </w:rPr>
        <w:t xml:space="preserve"> the police, we would expect the public to become more punitive in England and Wales as crime reporting changed to be more encompassing. However, if crime influences public attitudes directly based on experience with crime, or if media cover </w:t>
      </w:r>
      <w:r w:rsidR="0041286C" w:rsidRPr="004E7BD2">
        <w:rPr>
          <w:rFonts w:ascii="Garamond" w:hAnsi="Garamond"/>
          <w:iCs/>
          <w:lang w:val="en-GB"/>
        </w:rPr>
        <w:t>victimisation</w:t>
      </w:r>
      <w:r w:rsidR="00B03059" w:rsidRPr="004E7BD2">
        <w:rPr>
          <w:rFonts w:ascii="Garamond" w:hAnsi="Garamond"/>
          <w:iCs/>
          <w:lang w:val="en-GB"/>
        </w:rPr>
        <w:t xml:space="preserve"> (not crimes recorded by the police), we would not expect such as relationship. We highlight this possibility in more detail below.</w:t>
      </w:r>
    </w:p>
    <w:p w14:paraId="1AF8447D" w14:textId="77777777" w:rsidR="00973AD6" w:rsidRPr="004E7BD2" w:rsidRDefault="00973AD6" w:rsidP="00F60459">
      <w:pPr>
        <w:spacing w:after="0"/>
        <w:jc w:val="both"/>
        <w:rPr>
          <w:rFonts w:ascii="Garamond" w:hAnsi="Garamond"/>
          <w:iCs/>
          <w:lang w:val="en-GB"/>
        </w:rPr>
      </w:pPr>
    </w:p>
    <w:p w14:paraId="3BEFD39A" w14:textId="269CF141" w:rsidR="00B03059" w:rsidRPr="004E7BD2" w:rsidRDefault="00B03059" w:rsidP="00F9041A">
      <w:pPr>
        <w:spacing w:after="120"/>
        <w:rPr>
          <w:rFonts w:ascii="Garamond" w:hAnsi="Garamond"/>
          <w:b/>
          <w:iCs/>
          <w:lang w:val="en-GB"/>
        </w:rPr>
      </w:pPr>
      <w:r w:rsidRPr="004E7BD2">
        <w:rPr>
          <w:rFonts w:ascii="Garamond" w:hAnsi="Garamond"/>
          <w:b/>
          <w:iCs/>
          <w:lang w:val="en-GB"/>
        </w:rPr>
        <w:t>Crime Victimi</w:t>
      </w:r>
      <w:r w:rsidR="00566CBA" w:rsidRPr="004E7BD2">
        <w:rPr>
          <w:rFonts w:ascii="Garamond" w:hAnsi="Garamond"/>
          <w:b/>
          <w:iCs/>
          <w:lang w:val="en-GB"/>
        </w:rPr>
        <w:t>s</w:t>
      </w:r>
      <w:r w:rsidRPr="004E7BD2">
        <w:rPr>
          <w:rFonts w:ascii="Garamond" w:hAnsi="Garamond"/>
          <w:b/>
          <w:iCs/>
          <w:lang w:val="en-GB"/>
        </w:rPr>
        <w:t xml:space="preserve">ation Rates vs Crimes </w:t>
      </w:r>
      <w:r w:rsidR="00FF4EEC">
        <w:rPr>
          <w:rFonts w:ascii="Garamond" w:hAnsi="Garamond"/>
          <w:b/>
          <w:iCs/>
          <w:lang w:val="en-GB"/>
        </w:rPr>
        <w:t>Recorded by</w:t>
      </w:r>
      <w:r w:rsidRPr="004E7BD2">
        <w:rPr>
          <w:rFonts w:ascii="Garamond" w:hAnsi="Garamond"/>
          <w:b/>
          <w:iCs/>
          <w:lang w:val="en-GB"/>
        </w:rPr>
        <w:t xml:space="preserve"> the Police</w:t>
      </w:r>
    </w:p>
    <w:p w14:paraId="2D21E23F" w14:textId="6DE01FF4" w:rsidR="00373BCA" w:rsidRPr="004E7BD2" w:rsidRDefault="00B03059" w:rsidP="00367136">
      <w:pPr>
        <w:jc w:val="both"/>
        <w:rPr>
          <w:rFonts w:ascii="Garamond" w:hAnsi="Garamond"/>
          <w:iCs/>
          <w:lang w:val="en-GB"/>
        </w:rPr>
      </w:pPr>
      <w:r w:rsidRPr="004E7BD2">
        <w:rPr>
          <w:rFonts w:ascii="Garamond" w:hAnsi="Garamond"/>
          <w:iCs/>
          <w:lang w:val="en-GB"/>
        </w:rPr>
        <w:t>The data above focused on crimes reported to</w:t>
      </w:r>
      <w:r w:rsidR="00FF4EEC">
        <w:rPr>
          <w:rFonts w:ascii="Garamond" w:hAnsi="Garamond"/>
          <w:iCs/>
          <w:lang w:val="en-GB"/>
        </w:rPr>
        <w:t xml:space="preserve"> and recorded by</w:t>
      </w:r>
      <w:r w:rsidRPr="004E7BD2">
        <w:rPr>
          <w:rFonts w:ascii="Garamond" w:hAnsi="Garamond"/>
          <w:iCs/>
          <w:lang w:val="en-GB"/>
        </w:rPr>
        <w:t xml:space="preserve"> the police. In this section, we introduce measures of crime </w:t>
      </w:r>
      <w:r w:rsidR="0041286C" w:rsidRPr="004E7BD2">
        <w:rPr>
          <w:rFonts w:ascii="Garamond" w:hAnsi="Garamond"/>
          <w:iCs/>
          <w:lang w:val="en-GB"/>
        </w:rPr>
        <w:t>victimisation</w:t>
      </w:r>
      <w:r w:rsidR="002226D3" w:rsidRPr="004E7BD2">
        <w:rPr>
          <w:rFonts w:ascii="Garamond" w:hAnsi="Garamond"/>
          <w:iCs/>
          <w:lang w:val="en-GB"/>
        </w:rPr>
        <w:t xml:space="preserve"> based on large high-quality </w:t>
      </w:r>
      <w:r w:rsidR="00E976CC" w:rsidRPr="004E7BD2">
        <w:rPr>
          <w:rFonts w:ascii="Garamond" w:hAnsi="Garamond"/>
          <w:iCs/>
          <w:lang w:val="en-GB"/>
        </w:rPr>
        <w:t xml:space="preserve">government </w:t>
      </w:r>
      <w:r w:rsidR="002226D3" w:rsidRPr="004E7BD2">
        <w:rPr>
          <w:rFonts w:ascii="Garamond" w:hAnsi="Garamond"/>
          <w:iCs/>
          <w:lang w:val="en-GB"/>
        </w:rPr>
        <w:t xml:space="preserve">surveys of the general population. </w:t>
      </w:r>
      <w:r w:rsidR="00E976CC" w:rsidRPr="004E7BD2">
        <w:rPr>
          <w:rFonts w:ascii="Garamond" w:hAnsi="Garamond"/>
          <w:iCs/>
          <w:lang w:val="en-GB"/>
        </w:rPr>
        <w:t xml:space="preserve">These </w:t>
      </w:r>
      <w:r w:rsidR="0041286C" w:rsidRPr="004E7BD2">
        <w:rPr>
          <w:rFonts w:ascii="Garamond" w:hAnsi="Garamond"/>
          <w:iCs/>
          <w:lang w:val="en-GB"/>
        </w:rPr>
        <w:t>victimisation</w:t>
      </w:r>
      <w:r w:rsidR="00E976CC" w:rsidRPr="004E7BD2">
        <w:rPr>
          <w:rFonts w:ascii="Garamond" w:hAnsi="Garamond"/>
          <w:iCs/>
          <w:lang w:val="en-GB"/>
        </w:rPr>
        <w:t xml:space="preserve"> surveys offer an important complement to the data above because they measure actual </w:t>
      </w:r>
      <w:r w:rsidR="0041286C" w:rsidRPr="004E7BD2">
        <w:rPr>
          <w:rFonts w:ascii="Garamond" w:hAnsi="Garamond"/>
          <w:iCs/>
          <w:lang w:val="en-GB"/>
        </w:rPr>
        <w:t>victimisation</w:t>
      </w:r>
      <w:r w:rsidR="00E976CC" w:rsidRPr="004E7BD2">
        <w:rPr>
          <w:rFonts w:ascii="Garamond" w:hAnsi="Garamond"/>
          <w:iCs/>
          <w:lang w:val="en-GB"/>
        </w:rPr>
        <w:t xml:space="preserve"> rates—not just crimes </w:t>
      </w:r>
      <w:r w:rsidR="00FF4EEC">
        <w:rPr>
          <w:rFonts w:ascii="Garamond" w:hAnsi="Garamond"/>
          <w:iCs/>
          <w:lang w:val="en-GB"/>
        </w:rPr>
        <w:t>recorded by</w:t>
      </w:r>
      <w:r w:rsidR="00E976CC" w:rsidRPr="004E7BD2">
        <w:rPr>
          <w:rFonts w:ascii="Garamond" w:hAnsi="Garamond"/>
          <w:iCs/>
          <w:lang w:val="en-GB"/>
        </w:rPr>
        <w:t xml:space="preserve"> the police. We begin with data from England and Wales and then present </w:t>
      </w:r>
      <w:r w:rsidR="0041286C" w:rsidRPr="004E7BD2">
        <w:rPr>
          <w:rFonts w:ascii="Garamond" w:hAnsi="Garamond"/>
          <w:iCs/>
          <w:lang w:val="en-GB"/>
        </w:rPr>
        <w:t>victimisation</w:t>
      </w:r>
      <w:r w:rsidR="00E976CC" w:rsidRPr="004E7BD2">
        <w:rPr>
          <w:rFonts w:ascii="Garamond" w:hAnsi="Garamond"/>
          <w:iCs/>
          <w:lang w:val="en-GB"/>
        </w:rPr>
        <w:t xml:space="preserve"> data from the </w:t>
      </w:r>
      <w:r w:rsidR="00CD0672">
        <w:rPr>
          <w:rFonts w:ascii="Garamond" w:hAnsi="Garamond"/>
          <w:iCs/>
          <w:lang w:val="en-GB"/>
        </w:rPr>
        <w:t>U.S</w:t>
      </w:r>
      <w:r w:rsidR="00E976CC" w:rsidRPr="004E7BD2">
        <w:rPr>
          <w:rFonts w:ascii="Garamond" w:hAnsi="Garamond"/>
          <w:iCs/>
          <w:lang w:val="en-GB"/>
        </w:rPr>
        <w:t xml:space="preserve">. </w:t>
      </w:r>
      <w:r w:rsidR="002226D3" w:rsidRPr="004E7BD2">
        <w:rPr>
          <w:rFonts w:ascii="Garamond" w:hAnsi="Garamond"/>
          <w:iCs/>
          <w:lang w:val="en-GB"/>
        </w:rPr>
        <w:t xml:space="preserve"> </w:t>
      </w:r>
    </w:p>
    <w:p w14:paraId="0DD320EA" w14:textId="2D4C89DA" w:rsidR="00E976CC" w:rsidRPr="004E7BD2" w:rsidRDefault="00E976CC" w:rsidP="00367136">
      <w:pPr>
        <w:jc w:val="both"/>
        <w:rPr>
          <w:rFonts w:ascii="Garamond" w:eastAsia="Times New Roman" w:hAnsi="Garamond" w:cstheme="minorHAnsi"/>
          <w:lang w:val="en-GB"/>
        </w:rPr>
      </w:pPr>
      <w:r w:rsidRPr="004E7BD2">
        <w:rPr>
          <w:rFonts w:ascii="Garamond" w:eastAsia="Times New Roman" w:hAnsi="Garamond" w:cstheme="minorHAnsi"/>
          <w:lang w:val="en-GB"/>
        </w:rPr>
        <w:t>In the late 1970s and early 1980s, officials working in the</w:t>
      </w:r>
      <w:r w:rsidR="00973AD6" w:rsidRPr="004E7BD2">
        <w:rPr>
          <w:rFonts w:ascii="Garamond" w:eastAsia="Times New Roman" w:hAnsi="Garamond" w:cstheme="minorHAnsi"/>
          <w:lang w:val="en-GB"/>
        </w:rPr>
        <w:t xml:space="preserve"> U.K.</w:t>
      </w:r>
      <w:r w:rsidRPr="004E7BD2">
        <w:rPr>
          <w:rFonts w:ascii="Garamond" w:eastAsia="Times New Roman" w:hAnsi="Garamond" w:cstheme="minorHAnsi"/>
          <w:lang w:val="en-GB"/>
        </w:rPr>
        <w:t xml:space="preserve"> Home Office became interested in a national </w:t>
      </w:r>
      <w:r w:rsidR="0041286C" w:rsidRPr="004E7BD2">
        <w:rPr>
          <w:rFonts w:ascii="Garamond" w:eastAsia="Times New Roman" w:hAnsi="Garamond" w:cstheme="minorHAnsi"/>
          <w:lang w:val="en-GB"/>
        </w:rPr>
        <w:t>victimisation</w:t>
      </w:r>
      <w:r w:rsidRPr="004E7BD2">
        <w:rPr>
          <w:rFonts w:ascii="Garamond" w:eastAsia="Times New Roman" w:hAnsi="Garamond" w:cstheme="minorHAnsi"/>
          <w:lang w:val="en-GB"/>
        </w:rPr>
        <w:t xml:space="preserve"> survey that might provide a more comprehensive assessment of the extent of various crimes, independent of those recorded by the police (Mayhew and Hough 1983). These developments were significantly influenced by the National Crime Survey programme in the U</w:t>
      </w:r>
      <w:r w:rsidR="00973AD6" w:rsidRPr="004E7BD2">
        <w:rPr>
          <w:rFonts w:ascii="Garamond" w:eastAsia="Times New Roman" w:hAnsi="Garamond" w:cstheme="minorHAnsi"/>
          <w:lang w:val="en-GB"/>
        </w:rPr>
        <w:t>.</w:t>
      </w:r>
      <w:r w:rsidRPr="004E7BD2">
        <w:rPr>
          <w:rFonts w:ascii="Garamond" w:eastAsia="Times New Roman" w:hAnsi="Garamond" w:cstheme="minorHAnsi"/>
          <w:lang w:val="en-GB"/>
        </w:rPr>
        <w:t>S</w:t>
      </w:r>
      <w:r w:rsidR="00973AD6" w:rsidRPr="004E7BD2">
        <w:rPr>
          <w:rFonts w:ascii="Garamond" w:eastAsia="Times New Roman" w:hAnsi="Garamond" w:cstheme="minorHAnsi"/>
          <w:lang w:val="en-GB"/>
        </w:rPr>
        <w:t>.</w:t>
      </w:r>
      <w:r w:rsidRPr="004E7BD2">
        <w:rPr>
          <w:rFonts w:ascii="Garamond" w:eastAsia="Times New Roman" w:hAnsi="Garamond" w:cstheme="minorHAnsi"/>
          <w:lang w:val="en-GB"/>
        </w:rPr>
        <w:t xml:space="preserve"> (Mayhew and Hough 1992). The first </w:t>
      </w:r>
      <w:r w:rsidR="00973AD6" w:rsidRPr="004E7BD2">
        <w:rPr>
          <w:rFonts w:ascii="Garamond" w:eastAsia="Times New Roman" w:hAnsi="Garamond" w:cstheme="minorHAnsi"/>
          <w:lang w:val="en-GB"/>
        </w:rPr>
        <w:t>‘</w:t>
      </w:r>
      <w:r w:rsidRPr="004E7BD2">
        <w:rPr>
          <w:rFonts w:ascii="Garamond" w:eastAsia="Times New Roman" w:hAnsi="Garamond" w:cstheme="minorHAnsi"/>
          <w:lang w:val="en-GB"/>
        </w:rPr>
        <w:t>British Crime Survey</w:t>
      </w:r>
      <w:r w:rsidR="00973AD6" w:rsidRPr="004E7BD2">
        <w:rPr>
          <w:rFonts w:ascii="Garamond" w:eastAsia="Times New Roman" w:hAnsi="Garamond" w:cstheme="minorHAnsi"/>
          <w:lang w:val="en-GB"/>
        </w:rPr>
        <w:t>’</w:t>
      </w:r>
      <w:r w:rsidRPr="004E7BD2">
        <w:rPr>
          <w:rFonts w:ascii="Garamond" w:eastAsia="Times New Roman" w:hAnsi="Garamond" w:cstheme="minorHAnsi"/>
          <w:lang w:val="en-GB"/>
        </w:rPr>
        <w:t xml:space="preserve"> (BCS) was fielded in 1982 (asking about </w:t>
      </w:r>
      <w:r w:rsidR="0041286C" w:rsidRPr="004E7BD2">
        <w:rPr>
          <w:rFonts w:ascii="Garamond" w:eastAsia="Times New Roman" w:hAnsi="Garamond" w:cstheme="minorHAnsi"/>
          <w:lang w:val="en-GB"/>
        </w:rPr>
        <w:t>victimisation</w:t>
      </w:r>
      <w:r w:rsidRPr="004E7BD2">
        <w:rPr>
          <w:rFonts w:ascii="Garamond" w:eastAsia="Times New Roman" w:hAnsi="Garamond" w:cstheme="minorHAnsi"/>
          <w:lang w:val="en-GB"/>
        </w:rPr>
        <w:t xml:space="preserve"> in the previous year) and found property offences were four times more common than suggested by official statistics and five times more for violent offences. In the early years the survey was fielded periodically, in 1982, 1984, 1988, 1992, 1994, 1996, 1998 and 2000, before switching to a rolling annual basis in 2002.</w:t>
      </w:r>
      <w:r w:rsidR="00076352" w:rsidRPr="004E7BD2">
        <w:rPr>
          <w:rStyle w:val="FootnoteReference"/>
          <w:rFonts w:ascii="Garamond" w:eastAsia="Times New Roman" w:hAnsi="Garamond" w:cstheme="minorHAnsi"/>
          <w:lang w:val="en-GB"/>
        </w:rPr>
        <w:footnoteReference w:id="6"/>
      </w:r>
      <w:r w:rsidRPr="004E7BD2">
        <w:rPr>
          <w:rFonts w:ascii="Garamond" w:eastAsia="Times New Roman" w:hAnsi="Garamond" w:cstheme="minorHAnsi"/>
          <w:lang w:val="en-GB"/>
        </w:rPr>
        <w:t xml:space="preserve"> It was renamed the </w:t>
      </w:r>
      <w:r w:rsidR="00947201">
        <w:rPr>
          <w:rFonts w:ascii="Garamond" w:eastAsia="Times New Roman" w:hAnsi="Garamond" w:cstheme="minorHAnsi"/>
          <w:lang w:val="en-GB"/>
        </w:rPr>
        <w:t>‘</w:t>
      </w:r>
      <w:r w:rsidRPr="004E7BD2">
        <w:rPr>
          <w:rFonts w:ascii="Garamond" w:eastAsia="Times New Roman" w:hAnsi="Garamond" w:cstheme="minorHAnsi"/>
          <w:lang w:val="en-GB"/>
        </w:rPr>
        <w:t xml:space="preserve">Crime Survey for England and </w:t>
      </w:r>
      <w:proofErr w:type="spellStart"/>
      <w:r w:rsidRPr="004E7BD2">
        <w:rPr>
          <w:rFonts w:ascii="Garamond" w:eastAsia="Times New Roman" w:hAnsi="Garamond" w:cstheme="minorHAnsi"/>
          <w:lang w:val="en-GB"/>
        </w:rPr>
        <w:t>Wales</w:t>
      </w:r>
      <w:r w:rsidR="00947201">
        <w:rPr>
          <w:rFonts w:ascii="Garamond" w:eastAsia="Times New Roman" w:hAnsi="Garamond" w:cstheme="minorHAnsi"/>
          <w:lang w:val="en-GB"/>
        </w:rPr>
        <w:t>’</w:t>
      </w:r>
      <w:proofErr w:type="spellEnd"/>
      <w:r w:rsidRPr="004E7BD2">
        <w:rPr>
          <w:rFonts w:ascii="Garamond" w:eastAsia="Times New Roman" w:hAnsi="Garamond" w:cstheme="minorHAnsi"/>
          <w:lang w:val="en-GB"/>
        </w:rPr>
        <w:t xml:space="preserve"> (CSEW) in 2012, to better reflect its geographical coverage (which had ceased to include Scotland in 1988). The sample size also increased considerably through this period, with the early surveys interviewing around 11,000 people while those conducted in the 2000s expanded to a sample of 35,000 and above (for an extended discussion, see Flatley 2014).</w:t>
      </w:r>
    </w:p>
    <w:p w14:paraId="5045212D" w14:textId="237B6DA3" w:rsidR="00373BCA" w:rsidRPr="004E7BD2" w:rsidRDefault="00202DAF" w:rsidP="00B71A68">
      <w:pPr>
        <w:spacing w:after="120"/>
        <w:jc w:val="both"/>
        <w:rPr>
          <w:rFonts w:ascii="Garamond" w:hAnsi="Garamond"/>
          <w:iCs/>
          <w:lang w:val="en-GB"/>
        </w:rPr>
      </w:pPr>
      <w:r>
        <w:rPr>
          <w:rFonts w:ascii="Garamond" w:hAnsi="Garamond"/>
          <w:iCs/>
          <w:lang w:val="en-GB"/>
        </w:rPr>
        <w:t>In Figure 5, w</w:t>
      </w:r>
      <w:r w:rsidR="00161CD4" w:rsidRPr="004E7BD2">
        <w:rPr>
          <w:rFonts w:ascii="Garamond" w:hAnsi="Garamond"/>
          <w:iCs/>
          <w:lang w:val="en-GB"/>
        </w:rPr>
        <w:t xml:space="preserve">e </w:t>
      </w:r>
      <w:r w:rsidR="00A12723" w:rsidRPr="004E7BD2">
        <w:rPr>
          <w:rFonts w:ascii="Garamond" w:hAnsi="Garamond"/>
          <w:iCs/>
          <w:lang w:val="en-GB"/>
        </w:rPr>
        <w:t>plot the measure of property</w:t>
      </w:r>
      <w:r w:rsidR="00161CD4" w:rsidRPr="004E7BD2">
        <w:rPr>
          <w:rFonts w:ascii="Garamond" w:hAnsi="Garamond"/>
          <w:iCs/>
          <w:lang w:val="en-GB"/>
        </w:rPr>
        <w:t xml:space="preserve"> crime </w:t>
      </w:r>
      <w:r w:rsidR="0041286C" w:rsidRPr="004E7BD2">
        <w:rPr>
          <w:rFonts w:ascii="Garamond" w:hAnsi="Garamond"/>
          <w:iCs/>
          <w:lang w:val="en-GB"/>
        </w:rPr>
        <w:t>victimisation</w:t>
      </w:r>
      <w:r w:rsidR="00161CD4" w:rsidRPr="004E7BD2">
        <w:rPr>
          <w:rFonts w:ascii="Garamond" w:hAnsi="Garamond"/>
          <w:iCs/>
          <w:lang w:val="en-GB"/>
        </w:rPr>
        <w:t xml:space="preserve"> </w:t>
      </w:r>
      <w:r>
        <w:rPr>
          <w:rFonts w:ascii="Garamond" w:hAnsi="Garamond"/>
          <w:iCs/>
          <w:lang w:val="en-GB"/>
        </w:rPr>
        <w:t>alongside the property crime rate analysed above (again reporting rates in the left panel and standardised series in the right)</w:t>
      </w:r>
      <w:r w:rsidR="00A12723" w:rsidRPr="004E7BD2">
        <w:rPr>
          <w:rFonts w:ascii="Garamond" w:hAnsi="Garamond"/>
          <w:iCs/>
          <w:lang w:val="en-GB"/>
        </w:rPr>
        <w:t>. Th</w:t>
      </w:r>
      <w:r>
        <w:rPr>
          <w:rFonts w:ascii="Garamond" w:hAnsi="Garamond"/>
          <w:iCs/>
          <w:lang w:val="en-GB"/>
        </w:rPr>
        <w:t>e figure</w:t>
      </w:r>
      <w:r w:rsidR="00A12723" w:rsidRPr="004E7BD2">
        <w:rPr>
          <w:rFonts w:ascii="Garamond" w:hAnsi="Garamond"/>
          <w:iCs/>
          <w:lang w:val="en-GB"/>
        </w:rPr>
        <w:t xml:space="preserve"> reveals a peak in 1993,</w:t>
      </w:r>
      <w:r w:rsidR="00C4753D" w:rsidRPr="004E7BD2">
        <w:rPr>
          <w:rFonts w:ascii="Garamond" w:hAnsi="Garamond"/>
          <w:iCs/>
          <w:lang w:val="en-GB"/>
        </w:rPr>
        <w:t xml:space="preserve"> at </w:t>
      </w:r>
      <w:r w:rsidR="00947201">
        <w:rPr>
          <w:rFonts w:ascii="Garamond" w:hAnsi="Garamond"/>
          <w:iCs/>
          <w:lang w:val="en-GB"/>
        </w:rPr>
        <w:t>almost</w:t>
      </w:r>
      <w:r w:rsidR="00947201" w:rsidRPr="004E7BD2">
        <w:rPr>
          <w:rFonts w:ascii="Garamond" w:hAnsi="Garamond"/>
          <w:iCs/>
          <w:lang w:val="en-GB"/>
        </w:rPr>
        <w:t xml:space="preserve"> </w:t>
      </w:r>
      <w:r w:rsidR="00947201">
        <w:rPr>
          <w:rFonts w:ascii="Garamond" w:hAnsi="Garamond"/>
          <w:iCs/>
          <w:lang w:val="en-GB"/>
        </w:rPr>
        <w:t>37</w:t>
      </w:r>
      <w:r w:rsidR="00C4753D" w:rsidRPr="004E7BD2">
        <w:rPr>
          <w:rFonts w:ascii="Garamond" w:hAnsi="Garamond"/>
          <w:iCs/>
          <w:lang w:val="en-GB"/>
        </w:rPr>
        <w:t>,</w:t>
      </w:r>
      <w:r w:rsidR="00947201">
        <w:rPr>
          <w:rFonts w:ascii="Garamond" w:hAnsi="Garamond"/>
          <w:iCs/>
          <w:lang w:val="en-GB"/>
        </w:rPr>
        <w:t>000</w:t>
      </w:r>
      <w:r w:rsidR="00947201" w:rsidRPr="004E7BD2">
        <w:rPr>
          <w:rFonts w:ascii="Garamond" w:hAnsi="Garamond"/>
          <w:iCs/>
          <w:lang w:val="en-GB"/>
        </w:rPr>
        <w:t xml:space="preserve"> </w:t>
      </w:r>
      <w:r w:rsidR="00C4753D" w:rsidRPr="004E7BD2">
        <w:rPr>
          <w:rFonts w:ascii="Garamond" w:hAnsi="Garamond"/>
          <w:iCs/>
          <w:lang w:val="en-GB"/>
        </w:rPr>
        <w:t>property crimes per 100,000 people,</w:t>
      </w:r>
      <w:r w:rsidR="00A12723" w:rsidRPr="004E7BD2">
        <w:rPr>
          <w:rFonts w:ascii="Garamond" w:hAnsi="Garamond"/>
          <w:iCs/>
          <w:lang w:val="en-GB"/>
        </w:rPr>
        <w:t xml:space="preserve"> and a decline in rates of </w:t>
      </w:r>
      <w:r w:rsidR="0041286C" w:rsidRPr="004E7BD2">
        <w:rPr>
          <w:rFonts w:ascii="Garamond" w:hAnsi="Garamond"/>
          <w:iCs/>
          <w:lang w:val="en-GB"/>
        </w:rPr>
        <w:t>victimisation</w:t>
      </w:r>
      <w:r w:rsidR="00A12723" w:rsidRPr="004E7BD2">
        <w:rPr>
          <w:rFonts w:ascii="Garamond" w:hAnsi="Garamond"/>
          <w:iCs/>
          <w:lang w:val="en-GB"/>
        </w:rPr>
        <w:t xml:space="preserve"> ever since. This </w:t>
      </w:r>
      <w:r>
        <w:rPr>
          <w:rFonts w:ascii="Garamond" w:hAnsi="Garamond"/>
          <w:iCs/>
          <w:lang w:val="en-GB"/>
        </w:rPr>
        <w:t xml:space="preserve">pattern </w:t>
      </w:r>
      <w:r w:rsidR="00A12723" w:rsidRPr="004E7BD2">
        <w:rPr>
          <w:rFonts w:ascii="Garamond" w:hAnsi="Garamond"/>
          <w:iCs/>
          <w:lang w:val="en-GB"/>
        </w:rPr>
        <w:t xml:space="preserve">aligns closely with the trend for recorded crime discussed previously, </w:t>
      </w:r>
      <w:r w:rsidR="00C4753D" w:rsidRPr="004E7BD2">
        <w:rPr>
          <w:rFonts w:ascii="Garamond" w:hAnsi="Garamond"/>
          <w:iCs/>
          <w:lang w:val="en-GB"/>
        </w:rPr>
        <w:t>also</w:t>
      </w:r>
      <w:r w:rsidR="00A12723" w:rsidRPr="004E7BD2">
        <w:rPr>
          <w:rFonts w:ascii="Garamond" w:hAnsi="Garamond"/>
          <w:iCs/>
          <w:lang w:val="en-GB"/>
        </w:rPr>
        <w:t xml:space="preserve"> </w:t>
      </w:r>
      <w:r w:rsidR="00B77D05">
        <w:rPr>
          <w:rFonts w:ascii="Garamond" w:hAnsi="Garamond"/>
          <w:iCs/>
          <w:lang w:val="en-GB"/>
        </w:rPr>
        <w:t>shown</w:t>
      </w:r>
      <w:r w:rsidR="00A12723" w:rsidRPr="004E7BD2">
        <w:rPr>
          <w:rFonts w:ascii="Garamond" w:hAnsi="Garamond"/>
          <w:iCs/>
          <w:lang w:val="en-GB"/>
        </w:rPr>
        <w:t xml:space="preserve">. While the rate of crime in the CSEW is over twice that for recorded property crime, </w:t>
      </w:r>
      <w:r w:rsidR="00B77D05">
        <w:rPr>
          <w:rFonts w:ascii="Garamond" w:hAnsi="Garamond"/>
          <w:iCs/>
          <w:lang w:val="en-GB"/>
        </w:rPr>
        <w:t xml:space="preserve">the standardised series on  the right show </w:t>
      </w:r>
      <w:r w:rsidR="00A12723" w:rsidRPr="004E7BD2">
        <w:rPr>
          <w:rFonts w:ascii="Garamond" w:hAnsi="Garamond"/>
          <w:iCs/>
          <w:lang w:val="en-GB"/>
        </w:rPr>
        <w:t xml:space="preserve">the two series fall </w:t>
      </w:r>
      <w:r w:rsidR="00C4753D" w:rsidRPr="004E7BD2">
        <w:rPr>
          <w:rFonts w:ascii="Garamond" w:hAnsi="Garamond"/>
          <w:iCs/>
          <w:lang w:val="en-GB"/>
        </w:rPr>
        <w:t xml:space="preserve">largely </w:t>
      </w:r>
      <w:r w:rsidR="00A12723" w:rsidRPr="004E7BD2">
        <w:rPr>
          <w:rFonts w:ascii="Garamond" w:hAnsi="Garamond"/>
          <w:iCs/>
          <w:lang w:val="en-GB"/>
        </w:rPr>
        <w:t>in tandem over the period since 1993</w:t>
      </w:r>
      <w:r w:rsidR="00C4753D" w:rsidRPr="004E7BD2">
        <w:rPr>
          <w:rFonts w:ascii="Garamond" w:hAnsi="Garamond"/>
          <w:iCs/>
          <w:lang w:val="en-GB"/>
        </w:rPr>
        <w:t xml:space="preserve">. </w:t>
      </w:r>
    </w:p>
    <w:p w14:paraId="1CEE6D3F" w14:textId="56A6BAB1" w:rsidR="00A12723" w:rsidRPr="004E7BD2" w:rsidRDefault="00633CE8" w:rsidP="00F9041A">
      <w:pPr>
        <w:spacing w:after="0"/>
        <w:jc w:val="center"/>
        <w:rPr>
          <w:rFonts w:ascii="Garamond" w:hAnsi="Garamond"/>
          <w:iCs/>
          <w:lang w:val="en-GB"/>
        </w:rPr>
      </w:pPr>
      <w:r w:rsidRPr="004E7BD2">
        <w:rPr>
          <w:rFonts w:ascii="Garamond" w:hAnsi="Garamond"/>
          <w:iCs/>
          <w:noProof/>
          <w:lang w:val="en-GB"/>
        </w:rPr>
        <w:lastRenderedPageBreak/>
        <w:drawing>
          <wp:inline distT="0" distB="0" distL="0" distR="0" wp14:anchorId="78653282" wp14:editId="58AB7FCC">
            <wp:extent cx="4233600" cy="2116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3600" cy="2116800"/>
                    </a:xfrm>
                    <a:prstGeom prst="rect">
                      <a:avLst/>
                    </a:prstGeom>
                    <a:noFill/>
                    <a:ln>
                      <a:noFill/>
                    </a:ln>
                  </pic:spPr>
                </pic:pic>
              </a:graphicData>
            </a:graphic>
          </wp:inline>
        </w:drawing>
      </w:r>
    </w:p>
    <w:p w14:paraId="4146EBCD" w14:textId="0661456B" w:rsidR="008502D4" w:rsidRPr="004E7BD2" w:rsidRDefault="008502D4" w:rsidP="00F9041A">
      <w:pPr>
        <w:spacing w:after="0"/>
        <w:ind w:left="1440"/>
        <w:rPr>
          <w:rFonts w:ascii="Garamond" w:hAnsi="Garamond"/>
          <w:iCs/>
          <w:lang w:val="en-GB"/>
        </w:rPr>
      </w:pPr>
      <w:r w:rsidRPr="004E7BD2">
        <w:rPr>
          <w:rFonts w:ascii="Garamond" w:hAnsi="Garamond"/>
          <w:b/>
          <w:iCs/>
          <w:lang w:val="en-GB"/>
        </w:rPr>
        <w:t xml:space="preserve">Figure 5: </w:t>
      </w:r>
      <w:r w:rsidRPr="004E7BD2">
        <w:rPr>
          <w:rFonts w:ascii="Garamond" w:hAnsi="Garamond"/>
          <w:iCs/>
          <w:lang w:val="en-GB"/>
        </w:rPr>
        <w:t xml:space="preserve">Property Crime </w:t>
      </w:r>
      <w:r w:rsidR="0041286C" w:rsidRPr="004E7BD2">
        <w:rPr>
          <w:rFonts w:ascii="Garamond" w:hAnsi="Garamond"/>
          <w:iCs/>
          <w:lang w:val="en-GB"/>
        </w:rPr>
        <w:t>Victimisation</w:t>
      </w:r>
      <w:r w:rsidRPr="004E7BD2">
        <w:rPr>
          <w:rFonts w:ascii="Garamond" w:hAnsi="Garamond"/>
          <w:iCs/>
          <w:lang w:val="en-GB"/>
        </w:rPr>
        <w:t xml:space="preserve"> Rate (number of crimes per 100,000 people) in England and Wales, 1991-20</w:t>
      </w:r>
      <w:r w:rsidR="00633CE8" w:rsidRPr="004E7BD2">
        <w:rPr>
          <w:rFonts w:ascii="Garamond" w:hAnsi="Garamond"/>
          <w:iCs/>
          <w:lang w:val="en-GB"/>
        </w:rPr>
        <w:t>19</w:t>
      </w:r>
    </w:p>
    <w:p w14:paraId="20EFA454" w14:textId="77777777" w:rsidR="00A12723" w:rsidRPr="004E7BD2" w:rsidRDefault="00A12723" w:rsidP="000B4C87">
      <w:pPr>
        <w:spacing w:after="0"/>
        <w:rPr>
          <w:rFonts w:ascii="Garamond" w:hAnsi="Garamond"/>
          <w:iCs/>
          <w:lang w:val="en-GB"/>
        </w:rPr>
      </w:pPr>
    </w:p>
    <w:p w14:paraId="3F1486A3" w14:textId="167976C0" w:rsidR="009C00BC" w:rsidRPr="004E7BD2" w:rsidRDefault="00C4753D" w:rsidP="00B71A68">
      <w:pPr>
        <w:spacing w:after="120"/>
        <w:jc w:val="both"/>
        <w:rPr>
          <w:rFonts w:ascii="Garamond" w:hAnsi="Garamond"/>
          <w:iCs/>
          <w:lang w:val="en-GB"/>
        </w:rPr>
      </w:pPr>
      <w:r w:rsidRPr="004E7BD2">
        <w:rPr>
          <w:rFonts w:ascii="Garamond" w:hAnsi="Garamond"/>
          <w:iCs/>
          <w:lang w:val="en-GB"/>
        </w:rPr>
        <w:t xml:space="preserve">Turning next to violent crime, </w:t>
      </w:r>
      <w:r w:rsidR="000C01E7">
        <w:rPr>
          <w:rFonts w:ascii="Garamond" w:hAnsi="Garamond"/>
          <w:iCs/>
          <w:lang w:val="en-GB"/>
        </w:rPr>
        <w:t>plotted</w:t>
      </w:r>
      <w:r w:rsidR="000C01E7" w:rsidRPr="004E7BD2">
        <w:rPr>
          <w:rFonts w:ascii="Garamond" w:hAnsi="Garamond"/>
          <w:iCs/>
          <w:lang w:val="en-GB"/>
        </w:rPr>
        <w:t xml:space="preserve"> </w:t>
      </w:r>
      <w:r w:rsidR="00AE7426" w:rsidRPr="004E7BD2">
        <w:rPr>
          <w:rFonts w:ascii="Garamond" w:hAnsi="Garamond"/>
          <w:iCs/>
          <w:lang w:val="en-GB"/>
        </w:rPr>
        <w:t xml:space="preserve">in Figure 6, </w:t>
      </w:r>
      <w:r w:rsidRPr="004E7BD2">
        <w:rPr>
          <w:rFonts w:ascii="Garamond" w:hAnsi="Garamond"/>
          <w:iCs/>
          <w:lang w:val="en-GB"/>
        </w:rPr>
        <w:t xml:space="preserve">we see a more significant divergence between </w:t>
      </w:r>
      <w:r w:rsidR="0041286C" w:rsidRPr="004E7BD2">
        <w:rPr>
          <w:rFonts w:ascii="Garamond" w:hAnsi="Garamond"/>
          <w:iCs/>
          <w:lang w:val="en-GB"/>
        </w:rPr>
        <w:t>victimisation</w:t>
      </w:r>
      <w:r w:rsidRPr="004E7BD2">
        <w:rPr>
          <w:rFonts w:ascii="Garamond" w:hAnsi="Garamond"/>
          <w:iCs/>
          <w:lang w:val="en-GB"/>
        </w:rPr>
        <w:t xml:space="preserve"> rates and recorded crime rates. </w:t>
      </w:r>
      <w:r w:rsidR="00401A4F" w:rsidRPr="004E7BD2">
        <w:rPr>
          <w:rFonts w:ascii="Garamond" w:hAnsi="Garamond"/>
          <w:iCs/>
          <w:lang w:val="en-GB"/>
        </w:rPr>
        <w:t xml:space="preserve">When we </w:t>
      </w:r>
      <w:r w:rsidR="000C01E7">
        <w:rPr>
          <w:rFonts w:ascii="Garamond" w:hAnsi="Garamond"/>
          <w:iCs/>
          <w:lang w:val="en-GB"/>
        </w:rPr>
        <w:t>consider</w:t>
      </w:r>
      <w:r w:rsidR="000C01E7" w:rsidRPr="004E7BD2">
        <w:rPr>
          <w:rFonts w:ascii="Garamond" w:hAnsi="Garamond"/>
          <w:iCs/>
          <w:lang w:val="en-GB"/>
        </w:rPr>
        <w:t xml:space="preserve"> </w:t>
      </w:r>
      <w:r w:rsidR="00401A4F" w:rsidRPr="004E7BD2">
        <w:rPr>
          <w:rFonts w:ascii="Garamond" w:hAnsi="Garamond"/>
          <w:iCs/>
          <w:lang w:val="en-GB"/>
        </w:rPr>
        <w:t>victimisation,</w:t>
      </w:r>
      <w:r w:rsidR="000C01E7">
        <w:rPr>
          <w:rFonts w:ascii="Garamond" w:hAnsi="Garamond"/>
          <w:iCs/>
          <w:lang w:val="en-GB"/>
        </w:rPr>
        <w:t xml:space="preserve"> measured in the CSEW as the number of times individuals have been hit, kicked or had a weapon used against them as well as being </w:t>
      </w:r>
      <w:r w:rsidR="000C01E7" w:rsidRPr="00F60459">
        <w:rPr>
          <w:rFonts w:ascii="Garamond" w:hAnsi="Garamond"/>
          <w:i/>
          <w:lang w:val="en-GB"/>
        </w:rPr>
        <w:t>threatened with</w:t>
      </w:r>
      <w:r w:rsidR="000C01E7">
        <w:rPr>
          <w:rFonts w:ascii="Garamond" w:hAnsi="Garamond"/>
          <w:iCs/>
          <w:lang w:val="en-GB"/>
        </w:rPr>
        <w:t xml:space="preserve"> force or violence,</w:t>
      </w:r>
      <w:r w:rsidR="00401A4F" w:rsidRPr="004E7BD2">
        <w:rPr>
          <w:rFonts w:ascii="Garamond" w:hAnsi="Garamond"/>
          <w:iCs/>
          <w:lang w:val="en-GB"/>
        </w:rPr>
        <w:t xml:space="preserve"> t</w:t>
      </w:r>
      <w:r w:rsidRPr="004E7BD2">
        <w:rPr>
          <w:rFonts w:ascii="Garamond" w:hAnsi="Garamond"/>
          <w:iCs/>
          <w:lang w:val="en-GB"/>
        </w:rPr>
        <w:t>he rate of violent crimes per 100,000 people</w:t>
      </w:r>
      <w:r w:rsidR="005738CC" w:rsidRPr="004E7BD2">
        <w:rPr>
          <w:rFonts w:ascii="Garamond" w:hAnsi="Garamond"/>
          <w:iCs/>
          <w:lang w:val="en-GB"/>
        </w:rPr>
        <w:t xml:space="preserve"> in England and Wales</w:t>
      </w:r>
      <w:r w:rsidRPr="004E7BD2">
        <w:rPr>
          <w:rFonts w:ascii="Garamond" w:hAnsi="Garamond"/>
          <w:iCs/>
          <w:lang w:val="en-GB"/>
        </w:rPr>
        <w:t xml:space="preserve"> peaks in 1995 at over 20,000 per 100,000 people (over one violent crime for every five people in the genera</w:t>
      </w:r>
      <w:r w:rsidR="005738CC" w:rsidRPr="004E7BD2">
        <w:rPr>
          <w:rFonts w:ascii="Garamond" w:hAnsi="Garamond"/>
          <w:iCs/>
          <w:lang w:val="en-GB"/>
        </w:rPr>
        <w:t>l</w:t>
      </w:r>
      <w:r w:rsidRPr="004E7BD2">
        <w:rPr>
          <w:rFonts w:ascii="Garamond" w:hAnsi="Garamond"/>
          <w:iCs/>
          <w:lang w:val="en-GB"/>
        </w:rPr>
        <w:t xml:space="preserve"> population).</w:t>
      </w:r>
      <w:r w:rsidR="00EA4D84">
        <w:rPr>
          <w:rFonts w:ascii="Garamond" w:hAnsi="Garamond"/>
          <w:iCs/>
          <w:lang w:val="en-GB"/>
        </w:rPr>
        <w:t xml:space="preserve"> </w:t>
      </w:r>
      <w:r w:rsidR="00EA4D84" w:rsidRPr="00EA4D84">
        <w:rPr>
          <w:rFonts w:ascii="Garamond" w:hAnsi="Garamond"/>
          <w:iCs/>
          <w:lang w:val="en-GB"/>
        </w:rPr>
        <w:t>This is clearly a much more encompassing measure than recorded violent crime</w:t>
      </w:r>
      <w:r w:rsidR="00EA4D84">
        <w:rPr>
          <w:rFonts w:ascii="Garamond" w:hAnsi="Garamond"/>
          <w:iCs/>
          <w:lang w:val="en-GB"/>
        </w:rPr>
        <w:t xml:space="preserve"> </w:t>
      </w:r>
      <w:r w:rsidR="00EA4D84" w:rsidRPr="00EA4D84">
        <w:rPr>
          <w:rFonts w:ascii="Garamond" w:hAnsi="Garamond"/>
          <w:iCs/>
          <w:lang w:val="en-GB"/>
        </w:rPr>
        <w:t xml:space="preserve">(which </w:t>
      </w:r>
      <w:r w:rsidR="003C595E">
        <w:rPr>
          <w:rFonts w:ascii="Garamond" w:hAnsi="Garamond"/>
          <w:iCs/>
          <w:lang w:val="en-GB"/>
        </w:rPr>
        <w:t xml:space="preserve">has </w:t>
      </w:r>
      <w:r w:rsidR="00EA4D84" w:rsidRPr="00EA4D84">
        <w:rPr>
          <w:rFonts w:ascii="Garamond" w:hAnsi="Garamond"/>
          <w:iCs/>
          <w:lang w:val="en-GB"/>
        </w:rPr>
        <w:t>never exceed</w:t>
      </w:r>
      <w:r w:rsidR="00EA4D84">
        <w:rPr>
          <w:rFonts w:ascii="Garamond" w:hAnsi="Garamond"/>
          <w:iCs/>
          <w:lang w:val="en-GB"/>
        </w:rPr>
        <w:t>ed</w:t>
      </w:r>
      <w:r w:rsidR="00EA4D84" w:rsidRPr="00EA4D84">
        <w:rPr>
          <w:rFonts w:ascii="Garamond" w:hAnsi="Garamond"/>
          <w:iCs/>
          <w:lang w:val="en-GB"/>
        </w:rPr>
        <w:t xml:space="preserve"> 1,200 crimes per 100,000 people, reflecting its focus on more serious incidents, even allowing for the expectation that recorded crime will tend to under-count the true extent of victimisation)</w:t>
      </w:r>
      <w:r w:rsidR="003C595E">
        <w:rPr>
          <w:rFonts w:ascii="Garamond" w:hAnsi="Garamond"/>
          <w:iCs/>
          <w:lang w:val="en-GB"/>
        </w:rPr>
        <w:t>.</w:t>
      </w:r>
      <w:r w:rsidRPr="004E7BD2">
        <w:rPr>
          <w:rFonts w:ascii="Garamond" w:hAnsi="Garamond"/>
          <w:iCs/>
          <w:lang w:val="en-GB"/>
        </w:rPr>
        <w:t xml:space="preserve"> </w:t>
      </w:r>
      <w:r w:rsidR="005738CC" w:rsidRPr="004E7BD2">
        <w:rPr>
          <w:rFonts w:ascii="Garamond" w:hAnsi="Garamond"/>
          <w:iCs/>
          <w:lang w:val="en-GB"/>
        </w:rPr>
        <w:t xml:space="preserve">After 1995, the </w:t>
      </w:r>
      <w:r w:rsidR="0041286C" w:rsidRPr="004E7BD2">
        <w:rPr>
          <w:rFonts w:ascii="Garamond" w:hAnsi="Garamond"/>
          <w:iCs/>
          <w:lang w:val="en-GB"/>
        </w:rPr>
        <w:t>victimisation</w:t>
      </w:r>
      <w:r w:rsidR="005738CC" w:rsidRPr="004E7BD2">
        <w:rPr>
          <w:rFonts w:ascii="Garamond" w:hAnsi="Garamond"/>
          <w:iCs/>
          <w:lang w:val="en-GB"/>
        </w:rPr>
        <w:t xml:space="preserve"> rate drops steadily stabilizing at around 8,000 crimes per 100,000 people in 2019.</w:t>
      </w:r>
      <w:r w:rsidR="00401A4F" w:rsidRPr="004E7BD2">
        <w:rPr>
          <w:rFonts w:ascii="Garamond" w:hAnsi="Garamond"/>
          <w:iCs/>
          <w:lang w:val="en-GB"/>
        </w:rPr>
        <w:t xml:space="preserve"> </w:t>
      </w:r>
      <w:r w:rsidR="00CD0672">
        <w:rPr>
          <w:rFonts w:ascii="Garamond" w:hAnsi="Garamond"/>
          <w:iCs/>
          <w:lang w:val="en-GB"/>
        </w:rPr>
        <w:t>While the rate of</w:t>
      </w:r>
      <w:r w:rsidR="00401A4F" w:rsidRPr="004E7BD2">
        <w:rPr>
          <w:rFonts w:ascii="Garamond" w:hAnsi="Garamond"/>
          <w:iCs/>
          <w:lang w:val="en-GB"/>
        </w:rPr>
        <w:t xml:space="preserve"> </w:t>
      </w:r>
      <w:r w:rsidR="00CD0672">
        <w:rPr>
          <w:rFonts w:ascii="Garamond" w:hAnsi="Garamond"/>
          <w:iCs/>
          <w:lang w:val="en-GB"/>
        </w:rPr>
        <w:t xml:space="preserve">reported </w:t>
      </w:r>
      <w:r w:rsidR="00401A4F" w:rsidRPr="004E7BD2">
        <w:rPr>
          <w:rFonts w:ascii="Garamond" w:hAnsi="Garamond"/>
          <w:iCs/>
          <w:lang w:val="en-GB"/>
        </w:rPr>
        <w:t xml:space="preserve">violent crimes (shown in the left panel) </w:t>
      </w:r>
      <w:r w:rsidR="00CD0672">
        <w:rPr>
          <w:rFonts w:ascii="Garamond" w:hAnsi="Garamond"/>
          <w:iCs/>
          <w:lang w:val="en-GB"/>
        </w:rPr>
        <w:t xml:space="preserve">is </w:t>
      </w:r>
      <w:r w:rsidR="003C595E">
        <w:rPr>
          <w:rFonts w:ascii="Garamond" w:hAnsi="Garamond"/>
          <w:iCs/>
          <w:lang w:val="en-GB"/>
        </w:rPr>
        <w:t xml:space="preserve">therefore consistently </w:t>
      </w:r>
      <w:r w:rsidR="00CD0672">
        <w:rPr>
          <w:rFonts w:ascii="Garamond" w:hAnsi="Garamond"/>
          <w:iCs/>
          <w:lang w:val="en-GB"/>
        </w:rPr>
        <w:t>much lower</w:t>
      </w:r>
      <w:r w:rsidR="00401A4F" w:rsidRPr="004E7BD2">
        <w:rPr>
          <w:rFonts w:ascii="Garamond" w:hAnsi="Garamond"/>
          <w:iCs/>
          <w:lang w:val="en-GB"/>
        </w:rPr>
        <w:t>, actual victimisations have declined while police reporting of violent crimes has increased (right panel).</w:t>
      </w:r>
      <w:r w:rsidR="009C00BC">
        <w:rPr>
          <w:rFonts w:ascii="Garamond" w:hAnsi="Garamond"/>
          <w:iCs/>
          <w:lang w:val="en-GB"/>
        </w:rPr>
        <w:t xml:space="preserve"> </w:t>
      </w:r>
      <w:r w:rsidR="009C00BC" w:rsidRPr="004E7BD2">
        <w:rPr>
          <w:rFonts w:ascii="Garamond" w:hAnsi="Garamond"/>
          <w:iCs/>
          <w:lang w:val="en-GB"/>
        </w:rPr>
        <w:t xml:space="preserve">The absence of </w:t>
      </w:r>
      <w:r w:rsidR="009C00BC">
        <w:rPr>
          <w:rFonts w:ascii="Garamond" w:hAnsi="Garamond"/>
          <w:iCs/>
          <w:lang w:val="en-GB"/>
        </w:rPr>
        <w:t xml:space="preserve">steep </w:t>
      </w:r>
      <w:r w:rsidR="009C00BC" w:rsidRPr="004E7BD2">
        <w:rPr>
          <w:rFonts w:ascii="Garamond" w:hAnsi="Garamond"/>
          <w:iCs/>
          <w:lang w:val="en-GB"/>
        </w:rPr>
        <w:t>upturns in victimisation in 2002</w:t>
      </w:r>
      <w:r w:rsidR="009C00BC">
        <w:rPr>
          <w:rFonts w:ascii="Garamond" w:hAnsi="Garamond"/>
          <w:iCs/>
          <w:lang w:val="en-GB"/>
        </w:rPr>
        <w:t>-</w:t>
      </w:r>
      <w:r w:rsidR="009C00BC" w:rsidRPr="004E7BD2">
        <w:rPr>
          <w:rFonts w:ascii="Garamond" w:hAnsi="Garamond"/>
          <w:iCs/>
          <w:lang w:val="en-GB"/>
        </w:rPr>
        <w:t xml:space="preserve">3 and after 2015, in contrast to the </w:t>
      </w:r>
      <w:r w:rsidR="009C00BC">
        <w:rPr>
          <w:rFonts w:ascii="Garamond" w:hAnsi="Garamond"/>
          <w:iCs/>
          <w:lang w:val="en-GB"/>
        </w:rPr>
        <w:t>police data</w:t>
      </w:r>
      <w:r w:rsidR="009C00BC" w:rsidRPr="004E7BD2">
        <w:rPr>
          <w:rFonts w:ascii="Garamond" w:hAnsi="Garamond"/>
          <w:iCs/>
          <w:lang w:val="en-GB"/>
        </w:rPr>
        <w:t xml:space="preserve">, </w:t>
      </w:r>
      <w:r w:rsidR="009C00BC">
        <w:rPr>
          <w:rFonts w:ascii="Garamond" w:hAnsi="Garamond"/>
          <w:iCs/>
          <w:lang w:val="en-GB"/>
        </w:rPr>
        <w:t xml:space="preserve">provide evidence that the uptick in crime rates in Figure 1 and </w:t>
      </w:r>
      <w:r w:rsidR="009C00BC" w:rsidRPr="004E7BD2">
        <w:rPr>
          <w:rFonts w:ascii="Garamond" w:hAnsi="Garamond"/>
          <w:iCs/>
          <w:lang w:val="en-GB"/>
        </w:rPr>
        <w:t xml:space="preserve">Figure </w:t>
      </w:r>
      <w:r w:rsidR="009C00BC">
        <w:rPr>
          <w:rFonts w:ascii="Garamond" w:hAnsi="Garamond"/>
          <w:iCs/>
          <w:lang w:val="en-GB"/>
        </w:rPr>
        <w:t>4</w:t>
      </w:r>
      <w:r w:rsidR="009C00BC" w:rsidRPr="004E7BD2">
        <w:rPr>
          <w:rFonts w:ascii="Garamond" w:hAnsi="Garamond"/>
          <w:iCs/>
          <w:lang w:val="en-GB"/>
        </w:rPr>
        <w:t xml:space="preserve"> </w:t>
      </w:r>
      <w:r w:rsidR="009C00BC">
        <w:rPr>
          <w:rFonts w:ascii="Garamond" w:hAnsi="Garamond"/>
          <w:iCs/>
          <w:lang w:val="en-GB"/>
        </w:rPr>
        <w:t>are</w:t>
      </w:r>
      <w:r w:rsidR="009C00BC" w:rsidRPr="004E7BD2">
        <w:rPr>
          <w:rFonts w:ascii="Garamond" w:hAnsi="Garamond"/>
          <w:iCs/>
          <w:lang w:val="en-GB"/>
        </w:rPr>
        <w:t xml:space="preserve"> due </w:t>
      </w:r>
      <w:r w:rsidR="009C00BC">
        <w:rPr>
          <w:rFonts w:ascii="Garamond" w:hAnsi="Garamond"/>
          <w:iCs/>
          <w:lang w:val="en-GB"/>
        </w:rPr>
        <w:t xml:space="preserve">primarily </w:t>
      </w:r>
      <w:r w:rsidR="009C00BC" w:rsidRPr="004E7BD2">
        <w:rPr>
          <w:rFonts w:ascii="Garamond" w:hAnsi="Garamond"/>
          <w:iCs/>
          <w:lang w:val="en-GB"/>
        </w:rPr>
        <w:t>to changes in counting practices</w:t>
      </w:r>
      <w:r w:rsidR="009C00BC">
        <w:rPr>
          <w:rFonts w:ascii="Garamond" w:hAnsi="Garamond"/>
          <w:iCs/>
          <w:lang w:val="en-GB"/>
        </w:rPr>
        <w:t>—not actual increases in British crime during this period</w:t>
      </w:r>
      <w:r w:rsidR="009C00BC" w:rsidRPr="004E7BD2">
        <w:rPr>
          <w:rFonts w:ascii="Garamond" w:hAnsi="Garamond"/>
          <w:iCs/>
          <w:lang w:val="en-GB"/>
        </w:rPr>
        <w:t>.</w:t>
      </w:r>
    </w:p>
    <w:p w14:paraId="05731900" w14:textId="115BC75A" w:rsidR="00076352" w:rsidRPr="004E7BD2" w:rsidRDefault="0011187C" w:rsidP="00F9041A">
      <w:pPr>
        <w:spacing w:after="0"/>
        <w:jc w:val="center"/>
        <w:rPr>
          <w:rFonts w:ascii="Garamond" w:hAnsi="Garamond"/>
          <w:iCs/>
          <w:lang w:val="en-GB"/>
        </w:rPr>
      </w:pPr>
      <w:r w:rsidRPr="004E7BD2">
        <w:rPr>
          <w:rFonts w:ascii="Garamond" w:hAnsi="Garamond"/>
          <w:iCs/>
          <w:noProof/>
          <w:lang w:val="en-GB"/>
        </w:rPr>
        <w:drawing>
          <wp:inline distT="0" distB="0" distL="0" distR="0" wp14:anchorId="08FB8045" wp14:editId="0ECA79B9">
            <wp:extent cx="4233600" cy="2116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3600" cy="2116800"/>
                    </a:xfrm>
                    <a:prstGeom prst="rect">
                      <a:avLst/>
                    </a:prstGeom>
                    <a:noFill/>
                    <a:ln>
                      <a:noFill/>
                    </a:ln>
                  </pic:spPr>
                </pic:pic>
              </a:graphicData>
            </a:graphic>
          </wp:inline>
        </w:drawing>
      </w:r>
    </w:p>
    <w:p w14:paraId="3F6F5AD6" w14:textId="150E8F8C" w:rsidR="00343E0A" w:rsidRPr="004E7BD2" w:rsidRDefault="00343E0A" w:rsidP="00F9041A">
      <w:pPr>
        <w:spacing w:after="0"/>
        <w:ind w:left="1440"/>
        <w:rPr>
          <w:rFonts w:ascii="Garamond" w:hAnsi="Garamond"/>
          <w:iCs/>
          <w:lang w:val="en-GB"/>
        </w:rPr>
      </w:pPr>
      <w:r w:rsidRPr="004E7BD2">
        <w:rPr>
          <w:rFonts w:ascii="Garamond" w:hAnsi="Garamond"/>
          <w:b/>
          <w:iCs/>
          <w:lang w:val="en-GB"/>
        </w:rPr>
        <w:t xml:space="preserve">Figure 6: </w:t>
      </w:r>
      <w:r w:rsidRPr="004E7BD2">
        <w:rPr>
          <w:rFonts w:ascii="Garamond" w:hAnsi="Garamond"/>
          <w:iCs/>
          <w:lang w:val="en-GB"/>
        </w:rPr>
        <w:t xml:space="preserve">Violent Crime </w:t>
      </w:r>
      <w:r w:rsidR="0041286C" w:rsidRPr="004E7BD2">
        <w:rPr>
          <w:rFonts w:ascii="Garamond" w:hAnsi="Garamond"/>
          <w:iCs/>
          <w:lang w:val="en-GB"/>
        </w:rPr>
        <w:t>Victimisation</w:t>
      </w:r>
      <w:r w:rsidRPr="004E7BD2">
        <w:rPr>
          <w:rFonts w:ascii="Garamond" w:hAnsi="Garamond"/>
          <w:iCs/>
          <w:lang w:val="en-GB"/>
        </w:rPr>
        <w:t xml:space="preserve"> Rate (number of crimes per 100,000 people) in England and Wales, 1991-2019</w:t>
      </w:r>
    </w:p>
    <w:p w14:paraId="2CCD7F82" w14:textId="62A165B5" w:rsidR="00E976CC" w:rsidRPr="004E7BD2" w:rsidRDefault="00E976CC" w:rsidP="00F9041A">
      <w:pPr>
        <w:spacing w:after="0"/>
        <w:jc w:val="center"/>
        <w:rPr>
          <w:rFonts w:ascii="Garamond" w:hAnsi="Garamond"/>
          <w:iCs/>
          <w:lang w:val="en-GB"/>
        </w:rPr>
      </w:pPr>
    </w:p>
    <w:p w14:paraId="6CBFD570" w14:textId="7C801852" w:rsidR="00185F35" w:rsidRPr="004E7BD2" w:rsidRDefault="0038622E" w:rsidP="00343E0A">
      <w:pPr>
        <w:jc w:val="both"/>
        <w:rPr>
          <w:rFonts w:ascii="Garamond" w:eastAsia="Times New Roman" w:hAnsi="Garamond" w:cstheme="minorHAnsi"/>
          <w:lang w:val="en-GB"/>
        </w:rPr>
      </w:pPr>
      <w:r>
        <w:rPr>
          <w:rFonts w:ascii="Garamond" w:hAnsi="Garamond"/>
          <w:iCs/>
          <w:lang w:val="en-GB"/>
        </w:rPr>
        <w:t xml:space="preserve">Next, we report </w:t>
      </w:r>
      <w:r w:rsidR="00BA6809" w:rsidRPr="004E7BD2">
        <w:rPr>
          <w:rFonts w:ascii="Garamond" w:hAnsi="Garamond"/>
          <w:iCs/>
          <w:lang w:val="en-GB"/>
        </w:rPr>
        <w:t xml:space="preserve">U.S. crime </w:t>
      </w:r>
      <w:r w:rsidR="0041286C" w:rsidRPr="004E7BD2">
        <w:rPr>
          <w:rFonts w:ascii="Garamond" w:hAnsi="Garamond"/>
          <w:iCs/>
          <w:lang w:val="en-GB"/>
        </w:rPr>
        <w:t>victimisation</w:t>
      </w:r>
      <w:r w:rsidR="00BA6809" w:rsidRPr="004E7BD2">
        <w:rPr>
          <w:rFonts w:ascii="Garamond" w:hAnsi="Garamond"/>
          <w:iCs/>
          <w:lang w:val="en-GB"/>
        </w:rPr>
        <w:t xml:space="preserve"> data</w:t>
      </w:r>
      <w:r>
        <w:rPr>
          <w:rFonts w:ascii="Garamond" w:hAnsi="Garamond"/>
          <w:iCs/>
          <w:lang w:val="en-GB"/>
        </w:rPr>
        <w:t>, which</w:t>
      </w:r>
      <w:r w:rsidR="00BA6809" w:rsidRPr="004E7BD2">
        <w:rPr>
          <w:rFonts w:ascii="Garamond" w:hAnsi="Garamond"/>
          <w:iCs/>
          <w:lang w:val="en-GB"/>
        </w:rPr>
        <w:t xml:space="preserve"> come from </w:t>
      </w:r>
      <w:r w:rsidR="3A1BA8C2" w:rsidRPr="004E7BD2">
        <w:rPr>
          <w:rFonts w:ascii="Garamond" w:eastAsia="Times New Roman" w:hAnsi="Garamond" w:cstheme="minorHAnsi"/>
          <w:lang w:val="en-GB"/>
        </w:rPr>
        <w:t xml:space="preserve">the National Crime </w:t>
      </w:r>
      <w:r w:rsidR="0041286C" w:rsidRPr="004E7BD2">
        <w:rPr>
          <w:rFonts w:ascii="Garamond" w:eastAsia="Times New Roman" w:hAnsi="Garamond" w:cstheme="minorHAnsi"/>
          <w:lang w:val="en-GB"/>
        </w:rPr>
        <w:t>Victimisation</w:t>
      </w:r>
      <w:r w:rsidR="3A1BA8C2" w:rsidRPr="004E7BD2">
        <w:rPr>
          <w:rFonts w:ascii="Garamond" w:eastAsia="Times New Roman" w:hAnsi="Garamond" w:cstheme="minorHAnsi"/>
          <w:lang w:val="en-GB"/>
        </w:rPr>
        <w:t xml:space="preserve"> Survey (NCVS)</w:t>
      </w:r>
      <w:r w:rsidR="00BA6809" w:rsidRPr="004E7BD2">
        <w:rPr>
          <w:rFonts w:ascii="Garamond" w:eastAsia="Times New Roman" w:hAnsi="Garamond" w:cstheme="minorHAnsi"/>
          <w:lang w:val="en-GB"/>
        </w:rPr>
        <w:t xml:space="preserve"> conducted by the Bureau of Justice Statistics. </w:t>
      </w:r>
      <w:r w:rsidR="00185F35" w:rsidRPr="004E7BD2">
        <w:rPr>
          <w:rFonts w:ascii="Garamond" w:eastAsia="Times New Roman" w:hAnsi="Garamond" w:cstheme="minorHAnsi"/>
          <w:lang w:val="en-GB"/>
        </w:rPr>
        <w:t xml:space="preserve">The NCVS collects data on a nationally representative sample of U.S. households on nonfatal </w:t>
      </w:r>
      <w:r w:rsidR="0041286C" w:rsidRPr="004E7BD2">
        <w:rPr>
          <w:rFonts w:ascii="Garamond" w:eastAsia="Times New Roman" w:hAnsi="Garamond" w:cstheme="minorHAnsi"/>
          <w:lang w:val="en-GB"/>
        </w:rPr>
        <w:t>victimisation</w:t>
      </w:r>
      <w:r w:rsidR="00185F35" w:rsidRPr="004E7BD2">
        <w:rPr>
          <w:rFonts w:ascii="Garamond" w:eastAsia="Times New Roman" w:hAnsi="Garamond" w:cstheme="minorHAnsi"/>
          <w:lang w:val="en-GB"/>
        </w:rPr>
        <w:t xml:space="preserve">s against individuals 12 and older (Bureau of Justice Statistics 2021b). Households selected for the NCVS are interviewed biannually over a three-year period. Each </w:t>
      </w:r>
      <w:r w:rsidR="00185F35" w:rsidRPr="004E7BD2">
        <w:rPr>
          <w:rFonts w:ascii="Garamond" w:eastAsia="Times New Roman" w:hAnsi="Garamond" w:cstheme="minorHAnsi"/>
          <w:lang w:val="en-GB"/>
        </w:rPr>
        <w:lastRenderedPageBreak/>
        <w:t>initial interview is conducted in person with the majority of follow-up interviews conducted over the phone. Since 1993, an average of</w:t>
      </w:r>
      <w:r w:rsidR="00BA6809" w:rsidRPr="004E7BD2">
        <w:rPr>
          <w:rFonts w:ascii="Garamond" w:eastAsia="Times New Roman" w:hAnsi="Garamond" w:cstheme="minorHAnsi"/>
          <w:lang w:val="en-GB"/>
        </w:rPr>
        <w:t xml:space="preserve"> </w:t>
      </w:r>
      <w:r w:rsidR="00185F35" w:rsidRPr="004E7BD2">
        <w:rPr>
          <w:rFonts w:ascii="Garamond" w:eastAsia="Times New Roman" w:hAnsi="Garamond" w:cstheme="minorHAnsi"/>
          <w:lang w:val="en-GB"/>
        </w:rPr>
        <w:t>94,000 household and 166,000 personal interviews have been conducted each year (Bureau of Justice Statistics 2021b)</w:t>
      </w:r>
      <w:r w:rsidR="00BA6809" w:rsidRPr="004E7BD2">
        <w:rPr>
          <w:rFonts w:ascii="Garamond" w:eastAsia="Times New Roman" w:hAnsi="Garamond" w:cstheme="minorHAnsi"/>
          <w:lang w:val="en-GB"/>
        </w:rPr>
        <w:t xml:space="preserve">. </w:t>
      </w:r>
      <w:r w:rsidR="00185F35" w:rsidRPr="004E7BD2">
        <w:rPr>
          <w:rFonts w:ascii="Garamond" w:eastAsia="Times New Roman" w:hAnsi="Garamond" w:cstheme="minorHAnsi"/>
          <w:lang w:val="en-GB"/>
        </w:rPr>
        <w:t xml:space="preserve">One unfortunate complication of comparing U.S. </w:t>
      </w:r>
      <w:r w:rsidR="0041286C" w:rsidRPr="004E7BD2">
        <w:rPr>
          <w:rFonts w:ascii="Garamond" w:eastAsia="Times New Roman" w:hAnsi="Garamond" w:cstheme="minorHAnsi"/>
          <w:lang w:val="en-GB"/>
        </w:rPr>
        <w:t>victimisation</w:t>
      </w:r>
      <w:r w:rsidR="00185F35" w:rsidRPr="004E7BD2">
        <w:rPr>
          <w:rFonts w:ascii="Garamond" w:eastAsia="Times New Roman" w:hAnsi="Garamond" w:cstheme="minorHAnsi"/>
          <w:lang w:val="en-GB"/>
        </w:rPr>
        <w:t xml:space="preserve"> trends over time is that the NCVS made major methodological adjustments in 1993 that make comparisons to pre-1992 rates tenuous. Some of the most significant changes include more direct questioning about sexual and violent crimes, questions specifically designed to aid victims in recalling past </w:t>
      </w:r>
      <w:r w:rsidR="0041286C" w:rsidRPr="004E7BD2">
        <w:rPr>
          <w:rFonts w:ascii="Garamond" w:eastAsia="Times New Roman" w:hAnsi="Garamond" w:cstheme="minorHAnsi"/>
          <w:lang w:val="en-GB"/>
        </w:rPr>
        <w:t>victimisation</w:t>
      </w:r>
      <w:r w:rsidR="00185F35" w:rsidRPr="004E7BD2">
        <w:rPr>
          <w:rFonts w:ascii="Garamond" w:eastAsia="Times New Roman" w:hAnsi="Garamond" w:cstheme="minorHAnsi"/>
          <w:lang w:val="en-GB"/>
        </w:rPr>
        <w:t xml:space="preserve">s, additional sexual </w:t>
      </w:r>
      <w:r w:rsidR="0041286C" w:rsidRPr="004E7BD2">
        <w:rPr>
          <w:rFonts w:ascii="Garamond" w:eastAsia="Times New Roman" w:hAnsi="Garamond" w:cstheme="minorHAnsi"/>
          <w:lang w:val="en-GB"/>
        </w:rPr>
        <w:t>victimisation</w:t>
      </w:r>
      <w:r w:rsidR="00185F35" w:rsidRPr="004E7BD2">
        <w:rPr>
          <w:rFonts w:ascii="Garamond" w:eastAsia="Times New Roman" w:hAnsi="Garamond" w:cstheme="minorHAnsi"/>
          <w:lang w:val="en-GB"/>
        </w:rPr>
        <w:t xml:space="preserve"> measures beyond rape and attempted rape, and a greater number of interviews conducted using computer assisted telephone interviews (Bureau of Justice Statistics 2021b). Together, these changes served to detect higher levels of </w:t>
      </w:r>
      <w:r w:rsidR="0041286C" w:rsidRPr="004E7BD2">
        <w:rPr>
          <w:rFonts w:ascii="Garamond" w:eastAsia="Times New Roman" w:hAnsi="Garamond" w:cstheme="minorHAnsi"/>
          <w:lang w:val="en-GB"/>
        </w:rPr>
        <w:t>victimisation</w:t>
      </w:r>
      <w:r w:rsidR="00185F35" w:rsidRPr="004E7BD2">
        <w:rPr>
          <w:rFonts w:ascii="Garamond" w:eastAsia="Times New Roman" w:hAnsi="Garamond" w:cstheme="minorHAnsi"/>
          <w:lang w:val="en-GB"/>
        </w:rPr>
        <w:t xml:space="preserve"> and improve the validity of the NCVS moving forward. Because our focus is on the crime </w:t>
      </w:r>
      <w:r w:rsidR="00185F35" w:rsidRPr="004E7BD2">
        <w:rPr>
          <w:rFonts w:ascii="Garamond" w:eastAsia="Times New Roman" w:hAnsi="Garamond" w:cstheme="minorHAnsi"/>
          <w:i/>
          <w:iCs/>
          <w:lang w:val="en-GB"/>
        </w:rPr>
        <w:t>decline</w:t>
      </w:r>
      <w:r w:rsidR="00185F35" w:rsidRPr="004E7BD2">
        <w:rPr>
          <w:rFonts w:ascii="Garamond" w:eastAsia="Times New Roman" w:hAnsi="Garamond" w:cstheme="minorHAnsi"/>
          <w:lang w:val="en-GB"/>
        </w:rPr>
        <w:t xml:space="preserve"> in the U.S. and England and Wales, we eschew the difficulties of using U.S. </w:t>
      </w:r>
      <w:r w:rsidR="0041286C" w:rsidRPr="004E7BD2">
        <w:rPr>
          <w:rFonts w:ascii="Garamond" w:eastAsia="Times New Roman" w:hAnsi="Garamond" w:cstheme="minorHAnsi"/>
          <w:lang w:val="en-GB"/>
        </w:rPr>
        <w:t>victimisation</w:t>
      </w:r>
      <w:r w:rsidR="00185F35" w:rsidRPr="004E7BD2">
        <w:rPr>
          <w:rFonts w:ascii="Garamond" w:eastAsia="Times New Roman" w:hAnsi="Garamond" w:cstheme="minorHAnsi"/>
          <w:lang w:val="en-GB"/>
        </w:rPr>
        <w:t xml:space="preserve"> data before and after these changes and </w:t>
      </w:r>
      <w:r w:rsidR="00183EB7" w:rsidRPr="004E7BD2">
        <w:rPr>
          <w:rFonts w:ascii="Garamond" w:eastAsia="Times New Roman" w:hAnsi="Garamond" w:cstheme="minorHAnsi"/>
          <w:lang w:val="en-GB"/>
        </w:rPr>
        <w:t>focus exclusively on NCVS</w:t>
      </w:r>
      <w:r w:rsidR="00185F35" w:rsidRPr="004E7BD2">
        <w:rPr>
          <w:rFonts w:ascii="Garamond" w:eastAsia="Times New Roman" w:hAnsi="Garamond" w:cstheme="minorHAnsi"/>
          <w:lang w:val="en-GB"/>
        </w:rPr>
        <w:t xml:space="preserve"> data from 1993 and forward.</w:t>
      </w:r>
      <w:r w:rsidR="00185F35" w:rsidRPr="004E7BD2">
        <w:rPr>
          <w:rStyle w:val="FootnoteReference"/>
          <w:rFonts w:ascii="Garamond" w:eastAsia="Times New Roman" w:hAnsi="Garamond" w:cstheme="minorHAnsi"/>
          <w:lang w:val="en-GB"/>
        </w:rPr>
        <w:footnoteReference w:id="7"/>
      </w:r>
      <w:r w:rsidR="00332F3F" w:rsidRPr="004E7BD2">
        <w:rPr>
          <w:rFonts w:ascii="Garamond" w:eastAsia="Times New Roman" w:hAnsi="Garamond" w:cstheme="minorHAnsi"/>
          <w:lang w:val="en-GB"/>
        </w:rPr>
        <w:t xml:space="preserve"> </w:t>
      </w:r>
    </w:p>
    <w:p w14:paraId="4A38FCEE" w14:textId="1C6E0237" w:rsidR="00BC59FC" w:rsidRPr="004E7BD2" w:rsidRDefault="00A34524" w:rsidP="00BC59FC">
      <w:pPr>
        <w:jc w:val="both"/>
        <w:rPr>
          <w:rFonts w:ascii="Garamond" w:hAnsi="Garamond"/>
          <w:lang w:val="en-GB"/>
        </w:rPr>
      </w:pPr>
      <w:r w:rsidRPr="004E7BD2">
        <w:rPr>
          <w:rFonts w:ascii="Garamond" w:eastAsia="Times New Roman" w:hAnsi="Garamond" w:cstheme="minorHAnsi"/>
          <w:lang w:val="en-GB"/>
        </w:rPr>
        <w:t xml:space="preserve">Figures </w:t>
      </w:r>
      <w:r w:rsidR="00AE7426" w:rsidRPr="004E7BD2">
        <w:rPr>
          <w:rFonts w:ascii="Garamond" w:eastAsia="Times New Roman" w:hAnsi="Garamond" w:cstheme="minorHAnsi"/>
          <w:lang w:val="en-GB"/>
        </w:rPr>
        <w:t>7</w:t>
      </w:r>
      <w:r w:rsidRPr="004E7BD2">
        <w:rPr>
          <w:rFonts w:ascii="Garamond" w:eastAsia="Times New Roman" w:hAnsi="Garamond" w:cstheme="minorHAnsi"/>
          <w:lang w:val="en-GB"/>
        </w:rPr>
        <w:t xml:space="preserve"> </w:t>
      </w:r>
      <w:r w:rsidR="00425F12" w:rsidRPr="004E7BD2">
        <w:rPr>
          <w:rFonts w:ascii="Garamond" w:eastAsia="Times New Roman" w:hAnsi="Garamond" w:cstheme="minorHAnsi"/>
          <w:lang w:val="en-GB"/>
        </w:rPr>
        <w:t xml:space="preserve">and </w:t>
      </w:r>
      <w:r w:rsidR="00AE7426" w:rsidRPr="004E7BD2">
        <w:rPr>
          <w:rFonts w:ascii="Garamond" w:eastAsia="Times New Roman" w:hAnsi="Garamond" w:cstheme="minorHAnsi"/>
          <w:lang w:val="en-GB"/>
        </w:rPr>
        <w:t>8</w:t>
      </w:r>
      <w:r w:rsidR="00425F12" w:rsidRPr="004E7BD2">
        <w:rPr>
          <w:rFonts w:ascii="Garamond" w:eastAsia="Times New Roman" w:hAnsi="Garamond" w:cstheme="minorHAnsi"/>
          <w:lang w:val="en-GB"/>
        </w:rPr>
        <w:t xml:space="preserve"> </w:t>
      </w:r>
      <w:r w:rsidRPr="004E7BD2">
        <w:rPr>
          <w:rFonts w:ascii="Garamond" w:eastAsia="Times New Roman" w:hAnsi="Garamond" w:cstheme="minorHAnsi"/>
          <w:lang w:val="en-GB"/>
        </w:rPr>
        <w:t xml:space="preserve">consider </w:t>
      </w:r>
      <w:r w:rsidR="00425F12" w:rsidRPr="004E7BD2">
        <w:rPr>
          <w:rFonts w:ascii="Garamond" w:eastAsia="Times New Roman" w:hAnsi="Garamond" w:cstheme="minorHAnsi"/>
          <w:lang w:val="en-GB"/>
        </w:rPr>
        <w:t xml:space="preserve">property crime and </w:t>
      </w:r>
      <w:r w:rsidRPr="004E7BD2">
        <w:rPr>
          <w:rFonts w:ascii="Garamond" w:eastAsia="Times New Roman" w:hAnsi="Garamond" w:cstheme="minorHAnsi"/>
          <w:lang w:val="en-GB"/>
        </w:rPr>
        <w:t>violent crime</w:t>
      </w:r>
      <w:r w:rsidR="00BC02D7" w:rsidRPr="004E7BD2">
        <w:rPr>
          <w:rFonts w:ascii="Garamond" w:eastAsia="Times New Roman" w:hAnsi="Garamond" w:cstheme="minorHAnsi"/>
          <w:lang w:val="en-GB"/>
        </w:rPr>
        <w:t xml:space="preserve">, respectively. </w:t>
      </w:r>
      <w:r w:rsidR="005A133B" w:rsidRPr="004E7BD2">
        <w:rPr>
          <w:rFonts w:ascii="Garamond" w:eastAsia="Times New Roman" w:hAnsi="Garamond" w:cstheme="minorHAnsi"/>
          <w:lang w:val="en-GB"/>
        </w:rPr>
        <w:t xml:space="preserve">Each figure contains two measures of crime </w:t>
      </w:r>
      <w:r w:rsidR="0041286C" w:rsidRPr="004E7BD2">
        <w:rPr>
          <w:rFonts w:ascii="Garamond" w:eastAsia="Times New Roman" w:hAnsi="Garamond" w:cstheme="minorHAnsi"/>
          <w:lang w:val="en-GB"/>
        </w:rPr>
        <w:t>victimisation</w:t>
      </w:r>
      <w:r w:rsidR="005A133B" w:rsidRPr="004E7BD2">
        <w:rPr>
          <w:rFonts w:ascii="Garamond" w:eastAsia="Times New Roman" w:hAnsi="Garamond" w:cstheme="minorHAnsi"/>
          <w:lang w:val="en-GB"/>
        </w:rPr>
        <w:t xml:space="preserve"> from the NCVS, overall </w:t>
      </w:r>
      <w:r w:rsidR="0041286C" w:rsidRPr="004E7BD2">
        <w:rPr>
          <w:rFonts w:ascii="Garamond" w:eastAsia="Times New Roman" w:hAnsi="Garamond" w:cstheme="minorHAnsi"/>
          <w:lang w:val="en-GB"/>
        </w:rPr>
        <w:t>victimisation</w:t>
      </w:r>
      <w:r w:rsidR="005A133B" w:rsidRPr="004E7BD2">
        <w:rPr>
          <w:rFonts w:ascii="Garamond" w:eastAsia="Times New Roman" w:hAnsi="Garamond" w:cstheme="minorHAnsi"/>
          <w:lang w:val="en-GB"/>
        </w:rPr>
        <w:t xml:space="preserve"> and </w:t>
      </w:r>
      <w:r w:rsidR="0041286C" w:rsidRPr="004E7BD2">
        <w:rPr>
          <w:rFonts w:ascii="Garamond" w:eastAsia="Times New Roman" w:hAnsi="Garamond" w:cstheme="minorHAnsi"/>
          <w:lang w:val="en-GB"/>
        </w:rPr>
        <w:t>victimisation</w:t>
      </w:r>
      <w:r w:rsidR="005A133B" w:rsidRPr="004E7BD2">
        <w:rPr>
          <w:rFonts w:ascii="Garamond" w:eastAsia="Times New Roman" w:hAnsi="Garamond" w:cstheme="minorHAnsi"/>
          <w:lang w:val="en-GB"/>
        </w:rPr>
        <w:t xml:space="preserve">s that were </w:t>
      </w:r>
      <w:r w:rsidR="00FF4EEC">
        <w:rPr>
          <w:rFonts w:ascii="Garamond" w:eastAsia="Times New Roman" w:hAnsi="Garamond" w:cstheme="minorHAnsi"/>
          <w:lang w:val="en-GB"/>
        </w:rPr>
        <w:t>recorded by</w:t>
      </w:r>
      <w:r w:rsidR="005A133B" w:rsidRPr="004E7BD2">
        <w:rPr>
          <w:rFonts w:ascii="Garamond" w:eastAsia="Times New Roman" w:hAnsi="Garamond" w:cstheme="minorHAnsi"/>
          <w:lang w:val="en-GB"/>
        </w:rPr>
        <w:t xml:space="preserve"> the police. </w:t>
      </w:r>
      <w:r w:rsidR="003B371B" w:rsidRPr="004E7BD2">
        <w:rPr>
          <w:rFonts w:ascii="Garamond" w:eastAsia="Times New Roman" w:hAnsi="Garamond" w:cstheme="minorHAnsi"/>
          <w:lang w:val="en-GB"/>
        </w:rPr>
        <w:t xml:space="preserve">This second measure offers a more direct comparison between the NCVS </w:t>
      </w:r>
      <w:r w:rsidR="0041286C" w:rsidRPr="004E7BD2">
        <w:rPr>
          <w:rFonts w:ascii="Garamond" w:eastAsia="Times New Roman" w:hAnsi="Garamond" w:cstheme="minorHAnsi"/>
          <w:lang w:val="en-GB"/>
        </w:rPr>
        <w:t>victimisation</w:t>
      </w:r>
      <w:r w:rsidR="003B371B" w:rsidRPr="004E7BD2">
        <w:rPr>
          <w:rFonts w:ascii="Garamond" w:eastAsia="Times New Roman" w:hAnsi="Garamond" w:cstheme="minorHAnsi"/>
          <w:lang w:val="en-GB"/>
        </w:rPr>
        <w:t xml:space="preserve"> data and the UCR data based on crimes </w:t>
      </w:r>
      <w:r w:rsidR="00FF4EEC">
        <w:rPr>
          <w:rFonts w:ascii="Garamond" w:eastAsia="Times New Roman" w:hAnsi="Garamond" w:cstheme="minorHAnsi"/>
          <w:lang w:val="en-GB"/>
        </w:rPr>
        <w:t>recorded by</w:t>
      </w:r>
      <w:r w:rsidR="003B371B" w:rsidRPr="004E7BD2">
        <w:rPr>
          <w:rFonts w:ascii="Garamond" w:eastAsia="Times New Roman" w:hAnsi="Garamond" w:cstheme="minorHAnsi"/>
          <w:lang w:val="en-GB"/>
        </w:rPr>
        <w:t xml:space="preserve"> police (described above) which we also include in these figures.</w:t>
      </w:r>
      <w:r w:rsidR="00185F35" w:rsidRPr="004E7BD2">
        <w:rPr>
          <w:rStyle w:val="FootnoteReference"/>
          <w:rFonts w:ascii="Garamond" w:eastAsia="Times New Roman" w:hAnsi="Garamond" w:cstheme="minorHAnsi"/>
          <w:lang w:val="en-GB"/>
        </w:rPr>
        <w:footnoteReference w:id="8"/>
      </w:r>
      <w:r w:rsidR="00BC59FC" w:rsidRPr="004E7BD2">
        <w:rPr>
          <w:rFonts w:ascii="Garamond" w:eastAsia="Times New Roman" w:hAnsi="Garamond" w:cstheme="minorHAnsi"/>
          <w:lang w:val="en-GB"/>
        </w:rPr>
        <w:t xml:space="preserve"> The data show that victimisation rates greatly exceed official crime data </w:t>
      </w:r>
      <w:r w:rsidR="00FF4EEC">
        <w:rPr>
          <w:rFonts w:ascii="Garamond" w:eastAsia="Times New Roman" w:hAnsi="Garamond" w:cstheme="minorHAnsi"/>
          <w:lang w:val="en-GB"/>
        </w:rPr>
        <w:t>recorded by</w:t>
      </w:r>
      <w:r w:rsidR="00BC59FC" w:rsidRPr="004E7BD2">
        <w:rPr>
          <w:rFonts w:ascii="Garamond" w:eastAsia="Times New Roman" w:hAnsi="Garamond" w:cstheme="minorHAnsi"/>
          <w:lang w:val="en-GB"/>
        </w:rPr>
        <w:t xml:space="preserve"> the police (UCR dashed line) for both property crime (Figure 7) and violent crime (Figure 8). However, when respondents in the NCVS are asked if they reported the crime to the police, the NCVS data are much more closely aligned with the UCR data. </w:t>
      </w:r>
      <w:r w:rsidR="00CD7AF6">
        <w:rPr>
          <w:rFonts w:ascii="Garamond" w:eastAsia="Times New Roman" w:hAnsi="Garamond" w:cstheme="minorHAnsi"/>
          <w:lang w:val="en-GB"/>
        </w:rPr>
        <w:t>With violent crime (Figure 8), t</w:t>
      </w:r>
      <w:r w:rsidR="00BC59FC" w:rsidRPr="004E7BD2">
        <w:rPr>
          <w:rFonts w:ascii="Garamond" w:eastAsia="Times New Roman" w:hAnsi="Garamond" w:cstheme="minorHAnsi"/>
          <w:lang w:val="en-GB"/>
        </w:rPr>
        <w:t>he UCR data actually exceed the NCVS police reported statistics for property crime and the two series overlap in many years starting in 2007, a pattern that is consistent with research documenting a growing convergence between the NCVS and UCR crime rates since 1993 (</w:t>
      </w:r>
      <w:r w:rsidR="00BC59FC" w:rsidRPr="004E7BD2">
        <w:rPr>
          <w:rFonts w:ascii="Garamond" w:hAnsi="Garamond"/>
          <w:lang w:val="en-GB"/>
        </w:rPr>
        <w:t>Ansari and He 2015; Catalano 2007; McDowall and Loftin 2007).</w:t>
      </w:r>
    </w:p>
    <w:p w14:paraId="5AFC0915" w14:textId="4357AE14" w:rsidR="00F922D2" w:rsidRPr="004E7BD2" w:rsidRDefault="00F922D2" w:rsidP="00B71A68">
      <w:pPr>
        <w:spacing w:after="120"/>
        <w:jc w:val="both"/>
        <w:rPr>
          <w:rFonts w:ascii="Garamond" w:eastAsia="Times New Roman" w:hAnsi="Garamond" w:cstheme="minorHAnsi"/>
          <w:lang w:val="en-GB"/>
        </w:rPr>
      </w:pPr>
      <w:r w:rsidRPr="004E7BD2">
        <w:rPr>
          <w:rFonts w:ascii="Garamond" w:eastAsia="Times New Roman" w:hAnsi="Garamond" w:cstheme="minorHAnsi"/>
          <w:lang w:val="en-GB"/>
        </w:rPr>
        <w:t xml:space="preserve">In addition to similar rates once we account for what is reported to police, we see that NCVS victimisation data and UCR police report data suggest the same overall trends—declining violent and property crime since the early 1990s. These similar trajectories are especially noticeable in the right panels of Figures 7 and 8, where the series </w:t>
      </w:r>
      <w:r w:rsidR="001A7F11">
        <w:rPr>
          <w:rFonts w:ascii="Garamond" w:eastAsia="Times New Roman" w:hAnsi="Garamond" w:cstheme="minorHAnsi"/>
          <w:lang w:val="en-GB"/>
        </w:rPr>
        <w:t>are</w:t>
      </w:r>
      <w:r w:rsidR="001A7F11" w:rsidRPr="004E7BD2">
        <w:rPr>
          <w:rFonts w:ascii="Garamond" w:eastAsia="Times New Roman" w:hAnsi="Garamond" w:cstheme="minorHAnsi"/>
          <w:lang w:val="en-GB"/>
        </w:rPr>
        <w:t xml:space="preserve"> </w:t>
      </w:r>
      <w:r w:rsidRPr="004E7BD2">
        <w:rPr>
          <w:rFonts w:ascii="Garamond" w:eastAsia="Times New Roman" w:hAnsi="Garamond" w:cstheme="minorHAnsi"/>
          <w:lang w:val="en-GB"/>
        </w:rPr>
        <w:t xml:space="preserve">rescaled to a </w:t>
      </w:r>
      <w:r w:rsidR="0038622E">
        <w:rPr>
          <w:rFonts w:ascii="Garamond" w:eastAsia="Times New Roman" w:hAnsi="Garamond" w:cstheme="minorHAnsi"/>
          <w:lang w:val="en-GB"/>
        </w:rPr>
        <w:t>common</w:t>
      </w:r>
      <w:r w:rsidR="0038622E" w:rsidRPr="004E7BD2">
        <w:rPr>
          <w:rFonts w:ascii="Garamond" w:eastAsia="Times New Roman" w:hAnsi="Garamond" w:cstheme="minorHAnsi"/>
          <w:lang w:val="en-GB"/>
        </w:rPr>
        <w:t xml:space="preserve"> </w:t>
      </w:r>
      <w:r w:rsidRPr="004E7BD2">
        <w:rPr>
          <w:rFonts w:ascii="Garamond" w:eastAsia="Times New Roman" w:hAnsi="Garamond" w:cstheme="minorHAnsi"/>
          <w:lang w:val="en-GB"/>
        </w:rPr>
        <w:t>minimum and maximum value.</w:t>
      </w:r>
    </w:p>
    <w:p w14:paraId="0A4F9C18" w14:textId="06C31666" w:rsidR="0011187C" w:rsidRPr="004E7BD2" w:rsidRDefault="002A32F9" w:rsidP="00F9041A">
      <w:pPr>
        <w:spacing w:after="0"/>
        <w:jc w:val="center"/>
        <w:rPr>
          <w:rFonts w:ascii="Garamond" w:hAnsi="Garamond"/>
          <w:lang w:val="en-GB"/>
        </w:rPr>
      </w:pPr>
      <w:r w:rsidRPr="004E7BD2">
        <w:rPr>
          <w:rFonts w:ascii="Garamond" w:hAnsi="Garamond"/>
          <w:noProof/>
          <w:lang w:val="en-GB"/>
        </w:rPr>
        <w:drawing>
          <wp:inline distT="0" distB="0" distL="0" distR="0" wp14:anchorId="42A5087C" wp14:editId="52D9EF83">
            <wp:extent cx="4233600" cy="2116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3600" cy="2116800"/>
                    </a:xfrm>
                    <a:prstGeom prst="rect">
                      <a:avLst/>
                    </a:prstGeom>
                    <a:noFill/>
                    <a:ln>
                      <a:noFill/>
                    </a:ln>
                  </pic:spPr>
                </pic:pic>
              </a:graphicData>
            </a:graphic>
          </wp:inline>
        </w:drawing>
      </w:r>
    </w:p>
    <w:p w14:paraId="47B05BD4" w14:textId="5C7295E1" w:rsidR="00425F12" w:rsidRPr="004E7BD2" w:rsidRDefault="00425F12" w:rsidP="00B71A68">
      <w:pPr>
        <w:spacing w:after="120"/>
        <w:ind w:left="720"/>
        <w:rPr>
          <w:rFonts w:ascii="Garamond" w:hAnsi="Garamond"/>
          <w:lang w:val="en-GB"/>
        </w:rPr>
      </w:pPr>
      <w:r w:rsidRPr="004E7BD2">
        <w:rPr>
          <w:rFonts w:ascii="Garamond" w:hAnsi="Garamond"/>
          <w:b/>
          <w:bCs/>
          <w:lang w:val="en-GB"/>
        </w:rPr>
        <w:t>Figure 7</w:t>
      </w:r>
      <w:r w:rsidRPr="004E7BD2">
        <w:rPr>
          <w:rFonts w:ascii="Garamond" w:hAnsi="Garamond"/>
          <w:lang w:val="en-GB"/>
        </w:rPr>
        <w:t xml:space="preserve">: Rate of Property Crime </w:t>
      </w:r>
      <w:r w:rsidR="0041286C" w:rsidRPr="004E7BD2">
        <w:rPr>
          <w:rFonts w:ascii="Garamond" w:hAnsi="Garamond"/>
          <w:lang w:val="en-GB"/>
        </w:rPr>
        <w:t>Victimisation</w:t>
      </w:r>
      <w:r w:rsidRPr="004E7BD2">
        <w:rPr>
          <w:rFonts w:ascii="Garamond" w:hAnsi="Garamond"/>
          <w:lang w:val="en-GB"/>
        </w:rPr>
        <w:t xml:space="preserve">, </w:t>
      </w:r>
      <w:r w:rsidR="0041286C" w:rsidRPr="004E7BD2">
        <w:rPr>
          <w:rFonts w:ascii="Garamond" w:hAnsi="Garamond"/>
          <w:lang w:val="en-GB"/>
        </w:rPr>
        <w:t>Victimisation</w:t>
      </w:r>
      <w:r w:rsidRPr="004E7BD2">
        <w:rPr>
          <w:rFonts w:ascii="Garamond" w:hAnsi="Garamond"/>
          <w:lang w:val="en-GB"/>
        </w:rPr>
        <w:t xml:space="preserve"> Reported to the Police (NCVS data) and Violent Crime Rates based on the UCR, 1993</w:t>
      </w:r>
      <w:r w:rsidR="00545406">
        <w:rPr>
          <w:rFonts w:ascii="Garamond" w:hAnsi="Garamond"/>
          <w:lang w:val="en-GB"/>
        </w:rPr>
        <w:t>-</w:t>
      </w:r>
      <w:r w:rsidRPr="004E7BD2">
        <w:rPr>
          <w:rFonts w:ascii="Garamond" w:hAnsi="Garamond"/>
          <w:lang w:val="en-GB"/>
        </w:rPr>
        <w:t>2019</w:t>
      </w:r>
    </w:p>
    <w:p w14:paraId="1AE5960A" w14:textId="02D3B376" w:rsidR="002A32F9" w:rsidRPr="004E7BD2" w:rsidRDefault="002A32F9" w:rsidP="00F9041A">
      <w:pPr>
        <w:spacing w:after="0"/>
        <w:jc w:val="center"/>
        <w:rPr>
          <w:rFonts w:ascii="Garamond" w:hAnsi="Garamond"/>
          <w:lang w:val="en-GB"/>
        </w:rPr>
      </w:pPr>
      <w:r w:rsidRPr="004E7BD2">
        <w:rPr>
          <w:rFonts w:ascii="Garamond" w:hAnsi="Garamond"/>
          <w:noProof/>
          <w:lang w:val="en-GB"/>
        </w:rPr>
        <w:lastRenderedPageBreak/>
        <w:drawing>
          <wp:inline distT="0" distB="0" distL="0" distR="0" wp14:anchorId="127334DB" wp14:editId="0370D7B5">
            <wp:extent cx="4233600" cy="2116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3600" cy="2116800"/>
                    </a:xfrm>
                    <a:prstGeom prst="rect">
                      <a:avLst/>
                    </a:prstGeom>
                    <a:noFill/>
                    <a:ln>
                      <a:noFill/>
                    </a:ln>
                  </pic:spPr>
                </pic:pic>
              </a:graphicData>
            </a:graphic>
          </wp:inline>
        </w:drawing>
      </w:r>
    </w:p>
    <w:p w14:paraId="41BEF4CD" w14:textId="00070AB5" w:rsidR="00726D8D" w:rsidRPr="004E7BD2" w:rsidRDefault="7563E27E" w:rsidP="00A354B2">
      <w:pPr>
        <w:spacing w:after="0"/>
        <w:ind w:left="720"/>
        <w:rPr>
          <w:rFonts w:ascii="Garamond" w:hAnsi="Garamond"/>
          <w:lang w:val="en-GB"/>
        </w:rPr>
      </w:pPr>
      <w:r w:rsidRPr="004E7BD2">
        <w:rPr>
          <w:rFonts w:ascii="Garamond" w:hAnsi="Garamond"/>
          <w:b/>
          <w:bCs/>
          <w:lang w:val="en-GB"/>
        </w:rPr>
        <w:t xml:space="preserve">Figure </w:t>
      </w:r>
      <w:r w:rsidR="00425F12" w:rsidRPr="004E7BD2">
        <w:rPr>
          <w:rFonts w:ascii="Garamond" w:hAnsi="Garamond"/>
          <w:b/>
          <w:bCs/>
          <w:lang w:val="en-GB"/>
        </w:rPr>
        <w:t>8</w:t>
      </w:r>
      <w:r w:rsidRPr="004E7BD2">
        <w:rPr>
          <w:rFonts w:ascii="Garamond" w:hAnsi="Garamond"/>
          <w:lang w:val="en-GB"/>
        </w:rPr>
        <w:t xml:space="preserve">: </w:t>
      </w:r>
      <w:r w:rsidR="00717777" w:rsidRPr="004E7BD2">
        <w:rPr>
          <w:rFonts w:ascii="Garamond" w:hAnsi="Garamond"/>
          <w:lang w:val="en-GB"/>
        </w:rPr>
        <w:t xml:space="preserve">Rate of </w:t>
      </w:r>
      <w:r w:rsidRPr="004E7BD2">
        <w:rPr>
          <w:rFonts w:ascii="Garamond" w:hAnsi="Garamond"/>
          <w:lang w:val="en-GB"/>
        </w:rPr>
        <w:t xml:space="preserve">Violent Crime </w:t>
      </w:r>
      <w:r w:rsidR="0041286C" w:rsidRPr="004E7BD2">
        <w:rPr>
          <w:rFonts w:ascii="Garamond" w:hAnsi="Garamond"/>
          <w:lang w:val="en-GB"/>
        </w:rPr>
        <w:t>Victimisation</w:t>
      </w:r>
      <w:r w:rsidR="00717777" w:rsidRPr="004E7BD2">
        <w:rPr>
          <w:rFonts w:ascii="Garamond" w:hAnsi="Garamond"/>
          <w:lang w:val="en-GB"/>
        </w:rPr>
        <w:t xml:space="preserve">, </w:t>
      </w:r>
      <w:r w:rsidR="0041286C" w:rsidRPr="004E7BD2">
        <w:rPr>
          <w:rFonts w:ascii="Garamond" w:hAnsi="Garamond"/>
          <w:lang w:val="en-GB"/>
        </w:rPr>
        <w:t>Victimisation</w:t>
      </w:r>
      <w:r w:rsidR="00717777" w:rsidRPr="004E7BD2">
        <w:rPr>
          <w:rFonts w:ascii="Garamond" w:hAnsi="Garamond"/>
          <w:lang w:val="en-GB"/>
        </w:rPr>
        <w:t xml:space="preserve"> Reported to the Police (NCVS data) and Violent Crime Rates based on the UCR, </w:t>
      </w:r>
      <w:r w:rsidRPr="004E7BD2">
        <w:rPr>
          <w:rFonts w:ascii="Garamond" w:hAnsi="Garamond"/>
          <w:lang w:val="en-GB"/>
        </w:rPr>
        <w:t>1993</w:t>
      </w:r>
      <w:r w:rsidR="00545406">
        <w:rPr>
          <w:rFonts w:ascii="Garamond" w:hAnsi="Garamond"/>
          <w:lang w:val="en-GB"/>
        </w:rPr>
        <w:t>-</w:t>
      </w:r>
      <w:r w:rsidRPr="004E7BD2">
        <w:rPr>
          <w:rFonts w:ascii="Garamond" w:hAnsi="Garamond"/>
          <w:lang w:val="en-GB"/>
        </w:rPr>
        <w:t>2019</w:t>
      </w:r>
    </w:p>
    <w:p w14:paraId="699A76A6" w14:textId="77777777" w:rsidR="004E7BD2" w:rsidRDefault="004E7BD2" w:rsidP="00F9041A">
      <w:pPr>
        <w:spacing w:after="0"/>
        <w:jc w:val="both"/>
        <w:rPr>
          <w:rFonts w:ascii="Garamond" w:hAnsi="Garamond"/>
          <w:lang w:val="en-GB"/>
        </w:rPr>
      </w:pPr>
    </w:p>
    <w:p w14:paraId="01AE6FDE" w14:textId="382B06E9" w:rsidR="00973D0A" w:rsidRPr="004E7BD2" w:rsidRDefault="00C40F71" w:rsidP="00F9041A">
      <w:pPr>
        <w:spacing w:after="0"/>
        <w:jc w:val="both"/>
        <w:rPr>
          <w:rFonts w:ascii="Garamond" w:hAnsi="Garamond"/>
          <w:lang w:val="en-GB"/>
        </w:rPr>
      </w:pPr>
      <w:r w:rsidRPr="004E7BD2">
        <w:rPr>
          <w:rFonts w:ascii="Garamond" w:hAnsi="Garamond"/>
          <w:lang w:val="en-GB"/>
        </w:rPr>
        <w:t xml:space="preserve">Together, the </w:t>
      </w:r>
      <w:r w:rsidR="0041286C" w:rsidRPr="004E7BD2">
        <w:rPr>
          <w:rFonts w:ascii="Garamond" w:hAnsi="Garamond"/>
          <w:lang w:val="en-GB"/>
        </w:rPr>
        <w:t>victimisation</w:t>
      </w:r>
      <w:r w:rsidRPr="004E7BD2">
        <w:rPr>
          <w:rFonts w:ascii="Garamond" w:hAnsi="Garamond"/>
          <w:lang w:val="en-GB"/>
        </w:rPr>
        <w:t xml:space="preserve"> data from England and Wales and the U.S. </w:t>
      </w:r>
      <w:r w:rsidR="0038622E">
        <w:rPr>
          <w:rFonts w:ascii="Garamond" w:hAnsi="Garamond"/>
          <w:lang w:val="en-GB"/>
        </w:rPr>
        <w:t>(</w:t>
      </w:r>
      <w:r w:rsidR="001E093C" w:rsidRPr="004E7BD2">
        <w:rPr>
          <w:rFonts w:ascii="Garamond" w:hAnsi="Garamond"/>
          <w:lang w:val="en-GB"/>
        </w:rPr>
        <w:t>Figures 5-8</w:t>
      </w:r>
      <w:r w:rsidR="0038622E">
        <w:rPr>
          <w:rFonts w:ascii="Garamond" w:hAnsi="Garamond"/>
          <w:lang w:val="en-GB"/>
        </w:rPr>
        <w:t>)</w:t>
      </w:r>
      <w:r w:rsidR="001E093C" w:rsidRPr="004E7BD2">
        <w:rPr>
          <w:rFonts w:ascii="Garamond" w:hAnsi="Garamond"/>
          <w:lang w:val="en-GB"/>
        </w:rPr>
        <w:t xml:space="preserve"> </w:t>
      </w:r>
      <w:r w:rsidRPr="004E7BD2">
        <w:rPr>
          <w:rFonts w:ascii="Garamond" w:hAnsi="Garamond"/>
          <w:lang w:val="en-GB"/>
        </w:rPr>
        <w:t xml:space="preserve">produce </w:t>
      </w:r>
      <w:r w:rsidR="001E093C" w:rsidRPr="004E7BD2">
        <w:rPr>
          <w:rFonts w:ascii="Garamond" w:hAnsi="Garamond"/>
          <w:lang w:val="en-GB"/>
        </w:rPr>
        <w:t xml:space="preserve">two </w:t>
      </w:r>
      <w:r w:rsidRPr="004E7BD2">
        <w:rPr>
          <w:rFonts w:ascii="Garamond" w:hAnsi="Garamond"/>
          <w:lang w:val="en-GB"/>
        </w:rPr>
        <w:t>patterns</w:t>
      </w:r>
      <w:r w:rsidR="001E093C" w:rsidRPr="004E7BD2">
        <w:rPr>
          <w:rFonts w:ascii="Garamond" w:hAnsi="Garamond"/>
          <w:lang w:val="en-GB"/>
        </w:rPr>
        <w:t xml:space="preserve"> with implications for </w:t>
      </w:r>
      <w:r w:rsidR="00F9041A" w:rsidRPr="004E7BD2">
        <w:rPr>
          <w:rFonts w:ascii="Garamond" w:hAnsi="Garamond"/>
          <w:lang w:val="en-GB"/>
        </w:rPr>
        <w:t>analysing</w:t>
      </w:r>
      <w:r w:rsidR="001E093C" w:rsidRPr="004E7BD2">
        <w:rPr>
          <w:rFonts w:ascii="Garamond" w:hAnsi="Garamond"/>
          <w:lang w:val="en-GB"/>
        </w:rPr>
        <w:t xml:space="preserve"> public attitudes toward crime and punishment</w:t>
      </w:r>
      <w:r w:rsidRPr="004E7BD2">
        <w:rPr>
          <w:rFonts w:ascii="Garamond" w:hAnsi="Garamond"/>
          <w:lang w:val="en-GB"/>
        </w:rPr>
        <w:t>.</w:t>
      </w:r>
      <w:r w:rsidR="006B08DD" w:rsidRPr="004E7BD2">
        <w:rPr>
          <w:rFonts w:ascii="Garamond" w:hAnsi="Garamond"/>
          <w:lang w:val="en-GB"/>
        </w:rPr>
        <w:t xml:space="preserve"> First, consistent with past research, in almost all cases, </w:t>
      </w:r>
      <w:r w:rsidR="0041286C" w:rsidRPr="004E7BD2">
        <w:rPr>
          <w:rFonts w:ascii="Garamond" w:hAnsi="Garamond"/>
          <w:lang w:val="en-GB"/>
        </w:rPr>
        <w:t>victimisation</w:t>
      </w:r>
      <w:r w:rsidR="006B08DD" w:rsidRPr="004E7BD2">
        <w:rPr>
          <w:rFonts w:ascii="Garamond" w:hAnsi="Garamond"/>
          <w:lang w:val="en-GB"/>
        </w:rPr>
        <w:t xml:space="preserve"> rates greatly exceed crimes reported to the police. </w:t>
      </w:r>
      <w:r w:rsidR="001E093C" w:rsidRPr="004E7BD2">
        <w:rPr>
          <w:rFonts w:ascii="Garamond" w:hAnsi="Garamond"/>
          <w:lang w:val="en-GB"/>
        </w:rPr>
        <w:t xml:space="preserve">However, much of this difference appears to stem from crimes </w:t>
      </w:r>
      <w:r w:rsidR="001E093C" w:rsidRPr="00B71A68">
        <w:rPr>
          <w:rFonts w:ascii="Garamond" w:hAnsi="Garamond"/>
          <w:i/>
          <w:lang w:val="en-GB"/>
        </w:rPr>
        <w:t>not</w:t>
      </w:r>
      <w:r w:rsidR="001E093C" w:rsidRPr="004E7BD2">
        <w:rPr>
          <w:rFonts w:ascii="Garamond" w:hAnsi="Garamond"/>
          <w:lang w:val="en-GB"/>
        </w:rPr>
        <w:t xml:space="preserve"> reported to the police. </w:t>
      </w:r>
      <w:r w:rsidR="006B08DD" w:rsidRPr="004E7BD2">
        <w:rPr>
          <w:rFonts w:ascii="Garamond" w:hAnsi="Garamond"/>
          <w:lang w:val="en-GB"/>
        </w:rPr>
        <w:t xml:space="preserve">The U.S. data </w:t>
      </w:r>
      <w:r w:rsidR="001E093C" w:rsidRPr="004E7BD2">
        <w:rPr>
          <w:rFonts w:ascii="Garamond" w:hAnsi="Garamond"/>
          <w:lang w:val="en-GB"/>
        </w:rPr>
        <w:t xml:space="preserve">allow us to </w:t>
      </w:r>
      <w:r w:rsidR="00F9041A" w:rsidRPr="004E7BD2">
        <w:rPr>
          <w:rFonts w:ascii="Garamond" w:hAnsi="Garamond"/>
          <w:lang w:val="en-GB"/>
        </w:rPr>
        <w:t>analyse</w:t>
      </w:r>
      <w:r w:rsidR="001E093C" w:rsidRPr="004E7BD2">
        <w:rPr>
          <w:rFonts w:ascii="Garamond" w:hAnsi="Garamond"/>
          <w:lang w:val="en-GB"/>
        </w:rPr>
        <w:t xml:space="preserve"> victimisation among crimes reported to the police, and the data are much closer to actual police statistics. Second,</w:t>
      </w:r>
      <w:r w:rsidR="006B08DD" w:rsidRPr="004E7BD2">
        <w:rPr>
          <w:rFonts w:ascii="Garamond" w:hAnsi="Garamond"/>
          <w:lang w:val="en-GB"/>
        </w:rPr>
        <w:t xml:space="preserve"> </w:t>
      </w:r>
      <w:r w:rsidR="001E093C" w:rsidRPr="004E7BD2">
        <w:rPr>
          <w:rFonts w:ascii="Garamond" w:hAnsi="Garamond"/>
          <w:lang w:val="en-GB"/>
        </w:rPr>
        <w:t>w</w:t>
      </w:r>
      <w:r w:rsidR="006B08DD" w:rsidRPr="004E7BD2">
        <w:rPr>
          <w:rFonts w:ascii="Garamond" w:hAnsi="Garamond"/>
          <w:lang w:val="en-GB"/>
        </w:rPr>
        <w:t xml:space="preserve">ith the exception of violent crime in England and Wales, despite the cross-sectional differences between </w:t>
      </w:r>
      <w:r w:rsidR="0041286C" w:rsidRPr="004E7BD2">
        <w:rPr>
          <w:rFonts w:ascii="Garamond" w:hAnsi="Garamond"/>
          <w:lang w:val="en-GB"/>
        </w:rPr>
        <w:t>victimisation</w:t>
      </w:r>
      <w:r w:rsidR="006B08DD" w:rsidRPr="004E7BD2">
        <w:rPr>
          <w:rFonts w:ascii="Garamond" w:hAnsi="Garamond"/>
          <w:lang w:val="en-GB"/>
        </w:rPr>
        <w:t xml:space="preserve"> and police data, both measures show declining crime rates. The similar over-time patterns are especially evident in the right panels of the previous figures where we scaled each measure to a common minimum and maximum value</w:t>
      </w:r>
      <w:r w:rsidR="0038622E">
        <w:rPr>
          <w:rFonts w:ascii="Garamond" w:hAnsi="Garamond"/>
          <w:lang w:val="en-GB"/>
        </w:rPr>
        <w:t xml:space="preserve"> to facilitate over-time comparisons</w:t>
      </w:r>
      <w:r w:rsidR="006B08DD" w:rsidRPr="004E7BD2">
        <w:rPr>
          <w:rFonts w:ascii="Garamond" w:hAnsi="Garamond"/>
          <w:lang w:val="en-GB"/>
        </w:rPr>
        <w:t xml:space="preserve">. These similarities mean </w:t>
      </w:r>
      <w:r w:rsidR="008A3221" w:rsidRPr="004E7BD2">
        <w:rPr>
          <w:rFonts w:ascii="Garamond" w:hAnsi="Garamond"/>
          <w:lang w:val="en-GB"/>
        </w:rPr>
        <w:t xml:space="preserve">that in most cases, it is not possible to evaluate whether the public </w:t>
      </w:r>
      <w:r w:rsidR="001E093C" w:rsidRPr="004E7BD2">
        <w:rPr>
          <w:rFonts w:ascii="Garamond" w:hAnsi="Garamond"/>
          <w:lang w:val="en-GB"/>
        </w:rPr>
        <w:t xml:space="preserve">(or news coverage of crime, if news mediates the crime-opinion relationships) </w:t>
      </w:r>
      <w:r w:rsidR="008A3221" w:rsidRPr="004E7BD2">
        <w:rPr>
          <w:rFonts w:ascii="Garamond" w:hAnsi="Garamond"/>
          <w:lang w:val="en-GB"/>
        </w:rPr>
        <w:t xml:space="preserve">responds to shifts in crimes reported to police or shifts in actual </w:t>
      </w:r>
      <w:r w:rsidR="0041286C" w:rsidRPr="004E7BD2">
        <w:rPr>
          <w:rFonts w:ascii="Garamond" w:hAnsi="Garamond"/>
          <w:lang w:val="en-GB"/>
        </w:rPr>
        <w:t>victimisation</w:t>
      </w:r>
      <w:r w:rsidR="008A3221" w:rsidRPr="004E7BD2">
        <w:rPr>
          <w:rFonts w:ascii="Garamond" w:hAnsi="Garamond"/>
          <w:lang w:val="en-GB"/>
        </w:rPr>
        <w:t xml:space="preserve">—over time, the two are nearly perfectly correlated. The one exception is violent crime in England and Wales, where police data have moved </w:t>
      </w:r>
      <w:r w:rsidR="00F756D8" w:rsidRPr="004E7BD2">
        <w:rPr>
          <w:rFonts w:ascii="Garamond" w:hAnsi="Garamond"/>
          <w:lang w:val="en-GB"/>
        </w:rPr>
        <w:t xml:space="preserve">in the </w:t>
      </w:r>
      <w:r w:rsidR="008A3221" w:rsidRPr="004E7BD2">
        <w:rPr>
          <w:rFonts w:ascii="Garamond" w:hAnsi="Garamond"/>
          <w:lang w:val="en-GB"/>
        </w:rPr>
        <w:t>opposite</w:t>
      </w:r>
      <w:r w:rsidR="00F756D8" w:rsidRPr="004E7BD2">
        <w:rPr>
          <w:rFonts w:ascii="Garamond" w:hAnsi="Garamond"/>
          <w:lang w:val="en-GB"/>
        </w:rPr>
        <w:t xml:space="preserve"> direction to the trend of</w:t>
      </w:r>
      <w:r w:rsidR="008A3221" w:rsidRPr="004E7BD2">
        <w:rPr>
          <w:rFonts w:ascii="Garamond" w:hAnsi="Garamond"/>
          <w:lang w:val="en-GB"/>
        </w:rPr>
        <w:t xml:space="preserve"> actual </w:t>
      </w:r>
      <w:r w:rsidR="0041286C" w:rsidRPr="004E7BD2">
        <w:rPr>
          <w:rFonts w:ascii="Garamond" w:hAnsi="Garamond"/>
          <w:lang w:val="en-GB"/>
        </w:rPr>
        <w:t>victimisation</w:t>
      </w:r>
      <w:r w:rsidR="008A3221" w:rsidRPr="004E7BD2">
        <w:rPr>
          <w:rFonts w:ascii="Garamond" w:hAnsi="Garamond"/>
          <w:lang w:val="en-GB"/>
        </w:rPr>
        <w:t xml:space="preserve"> in recent years.</w:t>
      </w:r>
      <w:r w:rsidR="001E093C" w:rsidRPr="004E7BD2">
        <w:rPr>
          <w:rFonts w:ascii="Garamond" w:hAnsi="Garamond"/>
          <w:lang w:val="en-GB"/>
        </w:rPr>
        <w:t xml:space="preserve"> We exploit this variation in our analyses below.</w:t>
      </w:r>
    </w:p>
    <w:p w14:paraId="713A6F61" w14:textId="77777777" w:rsidR="008A3221" w:rsidRPr="004E7BD2" w:rsidRDefault="008A3221" w:rsidP="00165D57">
      <w:pPr>
        <w:spacing w:after="0"/>
        <w:rPr>
          <w:rFonts w:ascii="Garamond" w:hAnsi="Garamond"/>
          <w:b/>
          <w:lang w:val="en-GB"/>
        </w:rPr>
      </w:pPr>
    </w:p>
    <w:p w14:paraId="2E291B4E" w14:textId="7C05B2EF" w:rsidR="00822AA7" w:rsidRPr="004E7BD2" w:rsidRDefault="002A485D" w:rsidP="00F9041A">
      <w:pPr>
        <w:spacing w:after="120"/>
        <w:rPr>
          <w:rFonts w:ascii="Garamond" w:hAnsi="Garamond"/>
          <w:sz w:val="28"/>
          <w:lang w:val="en-GB"/>
        </w:rPr>
      </w:pPr>
      <w:r w:rsidRPr="004E7BD2">
        <w:rPr>
          <w:rFonts w:ascii="Garamond" w:hAnsi="Garamond"/>
          <w:b/>
          <w:sz w:val="28"/>
          <w:lang w:val="en-GB"/>
        </w:rPr>
        <w:t>Public Reactions to Declining Crime</w:t>
      </w:r>
    </w:p>
    <w:p w14:paraId="0D79ABD4" w14:textId="078E7973" w:rsidR="0026680F" w:rsidRPr="004E7BD2" w:rsidRDefault="00D32BE1" w:rsidP="008A2CE1">
      <w:pPr>
        <w:jc w:val="both"/>
        <w:rPr>
          <w:rFonts w:ascii="Garamond" w:hAnsi="Garamond"/>
          <w:lang w:val="en-GB"/>
        </w:rPr>
      </w:pPr>
      <w:r w:rsidRPr="004E7BD2">
        <w:rPr>
          <w:rFonts w:ascii="Garamond" w:hAnsi="Garamond"/>
          <w:lang w:val="en-GB"/>
        </w:rPr>
        <w:t xml:space="preserve">Although </w:t>
      </w:r>
      <w:r w:rsidR="00A50ADF" w:rsidRPr="004E7BD2">
        <w:rPr>
          <w:rFonts w:ascii="Garamond" w:hAnsi="Garamond"/>
          <w:lang w:val="en-GB"/>
        </w:rPr>
        <w:t xml:space="preserve">an emerging consensus finds that public attitudes </w:t>
      </w:r>
      <w:r w:rsidR="00A33FCF">
        <w:rPr>
          <w:rFonts w:ascii="Garamond" w:hAnsi="Garamond"/>
          <w:lang w:val="en-GB"/>
        </w:rPr>
        <w:t>were responsive to rising</w:t>
      </w:r>
      <w:r w:rsidR="00A50ADF" w:rsidRPr="004E7BD2">
        <w:rPr>
          <w:rFonts w:ascii="Garamond" w:hAnsi="Garamond"/>
          <w:lang w:val="en-GB"/>
        </w:rPr>
        <w:t xml:space="preserve"> crime rate</w:t>
      </w:r>
      <w:r w:rsidR="00A33FCF">
        <w:rPr>
          <w:rFonts w:ascii="Garamond" w:hAnsi="Garamond"/>
          <w:lang w:val="en-GB"/>
        </w:rPr>
        <w:t>s</w:t>
      </w:r>
      <w:r w:rsidR="00A50ADF" w:rsidRPr="004E7BD2">
        <w:rPr>
          <w:rFonts w:ascii="Garamond" w:hAnsi="Garamond"/>
          <w:lang w:val="en-GB"/>
        </w:rPr>
        <w:t xml:space="preserve"> (Enns 2016; Jennings</w:t>
      </w:r>
      <w:r w:rsidR="003D1CB2">
        <w:rPr>
          <w:rFonts w:ascii="Garamond" w:hAnsi="Garamond"/>
          <w:lang w:val="en-GB"/>
        </w:rPr>
        <w:t xml:space="preserve"> et al.</w:t>
      </w:r>
      <w:r w:rsidR="00A50ADF" w:rsidRPr="004E7BD2">
        <w:rPr>
          <w:rFonts w:ascii="Garamond" w:hAnsi="Garamond"/>
          <w:lang w:val="en-GB"/>
        </w:rPr>
        <w:t xml:space="preserve"> 2017), there is no such consensus regarding the decline in crime rates observed above (e.g. Enns 2016; Jennings</w:t>
      </w:r>
      <w:r w:rsidR="003D1CB2">
        <w:rPr>
          <w:rFonts w:ascii="Garamond" w:hAnsi="Garamond"/>
          <w:lang w:val="en-GB"/>
        </w:rPr>
        <w:t xml:space="preserve"> et al.</w:t>
      </w:r>
      <w:r w:rsidR="00A50ADF" w:rsidRPr="004E7BD2">
        <w:rPr>
          <w:rFonts w:ascii="Garamond" w:hAnsi="Garamond"/>
          <w:lang w:val="en-GB"/>
        </w:rPr>
        <w:t xml:space="preserve"> 2017; </w:t>
      </w:r>
      <w:proofErr w:type="spellStart"/>
      <w:r w:rsidR="00A50ADF" w:rsidRPr="004E7BD2">
        <w:rPr>
          <w:rFonts w:ascii="Garamond" w:hAnsi="Garamond"/>
          <w:lang w:val="en-GB"/>
        </w:rPr>
        <w:t>Koerth</w:t>
      </w:r>
      <w:proofErr w:type="spellEnd"/>
      <w:r w:rsidR="00A50ADF" w:rsidRPr="004E7BD2">
        <w:rPr>
          <w:rFonts w:ascii="Garamond" w:hAnsi="Garamond"/>
          <w:lang w:val="en-GB"/>
        </w:rPr>
        <w:t xml:space="preserve"> and Thomson-</w:t>
      </w:r>
      <w:proofErr w:type="spellStart"/>
      <w:r w:rsidR="00A50ADF" w:rsidRPr="004E7BD2">
        <w:rPr>
          <w:rFonts w:ascii="Garamond" w:hAnsi="Garamond"/>
          <w:lang w:val="en-GB"/>
        </w:rPr>
        <w:t>DeVeaux</w:t>
      </w:r>
      <w:proofErr w:type="spellEnd"/>
      <w:r w:rsidR="00A50ADF" w:rsidRPr="004E7BD2">
        <w:rPr>
          <w:rFonts w:ascii="Garamond" w:hAnsi="Garamond"/>
          <w:lang w:val="en-GB"/>
        </w:rPr>
        <w:t xml:space="preserve"> 2020; </w:t>
      </w:r>
      <w:proofErr w:type="spellStart"/>
      <w:r w:rsidR="00A50ADF" w:rsidRPr="004E7BD2">
        <w:rPr>
          <w:rFonts w:ascii="Garamond" w:hAnsi="Garamond"/>
          <w:lang w:val="en-GB"/>
        </w:rPr>
        <w:t>Gramlich</w:t>
      </w:r>
      <w:proofErr w:type="spellEnd"/>
      <w:r w:rsidR="00A50ADF" w:rsidRPr="004E7BD2">
        <w:rPr>
          <w:rFonts w:ascii="Garamond" w:hAnsi="Garamond"/>
          <w:lang w:val="en-GB"/>
        </w:rPr>
        <w:t xml:space="preserve"> 2020). </w:t>
      </w:r>
      <w:r w:rsidR="00626FDB">
        <w:rPr>
          <w:rFonts w:ascii="Garamond" w:hAnsi="Garamond"/>
          <w:lang w:val="en-GB"/>
        </w:rPr>
        <w:t>In addition to these mixed conclusions, s</w:t>
      </w:r>
      <w:r w:rsidR="00A50ADF" w:rsidRPr="004E7BD2">
        <w:rPr>
          <w:rFonts w:ascii="Garamond" w:hAnsi="Garamond"/>
          <w:lang w:val="en-GB"/>
        </w:rPr>
        <w:t xml:space="preserve">everal </w:t>
      </w:r>
      <w:r w:rsidR="00626FDB">
        <w:rPr>
          <w:rFonts w:ascii="Garamond" w:hAnsi="Garamond"/>
          <w:lang w:val="en-GB"/>
        </w:rPr>
        <w:t xml:space="preserve">theoretical </w:t>
      </w:r>
      <w:r w:rsidR="00A50ADF" w:rsidRPr="004E7BD2">
        <w:rPr>
          <w:rFonts w:ascii="Garamond" w:hAnsi="Garamond"/>
          <w:lang w:val="en-GB"/>
        </w:rPr>
        <w:t xml:space="preserve">considerations complicate our expectations. Public opinion does not always respond to positive and negative information </w:t>
      </w:r>
      <w:r w:rsidR="00A33FCF">
        <w:rPr>
          <w:rFonts w:ascii="Garamond" w:hAnsi="Garamond"/>
          <w:lang w:val="en-GB"/>
        </w:rPr>
        <w:t>symmetrically</w:t>
      </w:r>
      <w:r w:rsidR="00A50ADF" w:rsidRPr="004E7BD2">
        <w:rPr>
          <w:rFonts w:ascii="Garamond" w:hAnsi="Garamond"/>
          <w:lang w:val="en-GB"/>
        </w:rPr>
        <w:t xml:space="preserve"> (</w:t>
      </w:r>
      <w:proofErr w:type="spellStart"/>
      <w:r w:rsidR="00A50ADF" w:rsidRPr="004E7BD2">
        <w:rPr>
          <w:rFonts w:ascii="Garamond" w:hAnsi="Garamond"/>
          <w:lang w:val="en-GB"/>
        </w:rPr>
        <w:t>Soroka</w:t>
      </w:r>
      <w:proofErr w:type="spellEnd"/>
      <w:r w:rsidR="00A50ADF" w:rsidRPr="004E7BD2">
        <w:rPr>
          <w:rFonts w:ascii="Garamond" w:hAnsi="Garamond"/>
          <w:lang w:val="en-GB"/>
        </w:rPr>
        <w:t xml:space="preserve"> 2014). It</w:t>
      </w:r>
      <w:r w:rsidR="00A33FCF">
        <w:rPr>
          <w:rFonts w:ascii="Garamond" w:hAnsi="Garamond"/>
          <w:lang w:val="en-GB"/>
        </w:rPr>
        <w:t xml:space="preserve"> i</w:t>
      </w:r>
      <w:r w:rsidR="00A50ADF" w:rsidRPr="004E7BD2">
        <w:rPr>
          <w:rFonts w:ascii="Garamond" w:hAnsi="Garamond"/>
          <w:lang w:val="en-GB"/>
        </w:rPr>
        <w:t xml:space="preserve">s possible that the public becomes more punitive as crime </w:t>
      </w:r>
      <w:r w:rsidR="00A33FCF">
        <w:rPr>
          <w:rFonts w:ascii="Garamond" w:hAnsi="Garamond"/>
          <w:lang w:val="en-GB"/>
        </w:rPr>
        <w:t>rises</w:t>
      </w:r>
      <w:r w:rsidR="00A50ADF" w:rsidRPr="004E7BD2">
        <w:rPr>
          <w:rFonts w:ascii="Garamond" w:hAnsi="Garamond"/>
          <w:lang w:val="en-GB"/>
        </w:rPr>
        <w:t xml:space="preserve">, but </w:t>
      </w:r>
      <w:r w:rsidR="00A33FCF">
        <w:rPr>
          <w:rFonts w:ascii="Garamond" w:hAnsi="Garamond"/>
          <w:lang w:val="en-GB"/>
        </w:rPr>
        <w:t xml:space="preserve">support for being tough on crime </w:t>
      </w:r>
      <w:r w:rsidR="00A50ADF" w:rsidRPr="004E7BD2">
        <w:rPr>
          <w:rFonts w:ascii="Garamond" w:hAnsi="Garamond"/>
          <w:lang w:val="en-GB"/>
        </w:rPr>
        <w:t>do</w:t>
      </w:r>
      <w:r w:rsidR="00A33FCF">
        <w:rPr>
          <w:rFonts w:ascii="Garamond" w:hAnsi="Garamond"/>
          <w:lang w:val="en-GB"/>
        </w:rPr>
        <w:t>es</w:t>
      </w:r>
      <w:r w:rsidR="00A50ADF" w:rsidRPr="004E7BD2">
        <w:rPr>
          <w:rFonts w:ascii="Garamond" w:hAnsi="Garamond"/>
          <w:lang w:val="en-GB"/>
        </w:rPr>
        <w:t xml:space="preserve"> not recede</w:t>
      </w:r>
      <w:r w:rsidR="00A33FCF">
        <w:rPr>
          <w:rFonts w:ascii="Garamond" w:hAnsi="Garamond"/>
          <w:lang w:val="en-GB"/>
        </w:rPr>
        <w:t xml:space="preserve"> </w:t>
      </w:r>
      <w:r w:rsidR="00A50ADF" w:rsidRPr="004E7BD2">
        <w:rPr>
          <w:rFonts w:ascii="Garamond" w:hAnsi="Garamond"/>
          <w:lang w:val="en-GB"/>
        </w:rPr>
        <w:t xml:space="preserve">when crime goes down. Or, the public may respond </w:t>
      </w:r>
      <w:r w:rsidR="00015DE6">
        <w:rPr>
          <w:rFonts w:ascii="Garamond" w:hAnsi="Garamond"/>
          <w:lang w:val="en-GB"/>
        </w:rPr>
        <w:t>to increases and decreases in crime symmetrically</w:t>
      </w:r>
      <w:r w:rsidR="00A50ADF" w:rsidRPr="004E7BD2">
        <w:rPr>
          <w:rFonts w:ascii="Garamond" w:hAnsi="Garamond"/>
          <w:lang w:val="en-GB"/>
        </w:rPr>
        <w:t>, but</w:t>
      </w:r>
      <w:r w:rsidR="00015DE6">
        <w:rPr>
          <w:rFonts w:ascii="Garamond" w:hAnsi="Garamond"/>
          <w:lang w:val="en-GB"/>
        </w:rPr>
        <w:t xml:space="preserve"> negativity bias in</w:t>
      </w:r>
      <w:r w:rsidR="00A50ADF" w:rsidRPr="004E7BD2">
        <w:rPr>
          <w:rFonts w:ascii="Garamond" w:hAnsi="Garamond"/>
          <w:lang w:val="en-GB"/>
        </w:rPr>
        <w:t xml:space="preserve"> media</w:t>
      </w:r>
      <w:r w:rsidR="00015DE6">
        <w:rPr>
          <w:rFonts w:ascii="Garamond" w:hAnsi="Garamond"/>
          <w:lang w:val="en-GB"/>
        </w:rPr>
        <w:t xml:space="preserve"> reporting (</w:t>
      </w:r>
      <w:r w:rsidR="00A473B2">
        <w:rPr>
          <w:rFonts w:ascii="Garamond" w:hAnsi="Garamond"/>
          <w:lang w:val="en-GB"/>
        </w:rPr>
        <w:t xml:space="preserve">i.e., more </w:t>
      </w:r>
      <w:r w:rsidR="00015DE6">
        <w:rPr>
          <w:rFonts w:ascii="Garamond" w:hAnsi="Garamond"/>
          <w:lang w:val="en-GB"/>
        </w:rPr>
        <w:t xml:space="preserve">focus on crime </w:t>
      </w:r>
      <w:r w:rsidR="00A473B2">
        <w:rPr>
          <w:rFonts w:ascii="Garamond" w:hAnsi="Garamond"/>
          <w:lang w:val="en-GB"/>
        </w:rPr>
        <w:t>increases than decreases</w:t>
      </w:r>
      <w:r w:rsidR="00015DE6">
        <w:rPr>
          <w:rFonts w:ascii="Garamond" w:hAnsi="Garamond"/>
          <w:lang w:val="en-GB"/>
        </w:rPr>
        <w:t>)</w:t>
      </w:r>
      <w:r w:rsidR="00A50ADF" w:rsidRPr="004E7BD2">
        <w:rPr>
          <w:rFonts w:ascii="Garamond" w:hAnsi="Garamond"/>
          <w:lang w:val="en-GB"/>
        </w:rPr>
        <w:t xml:space="preserve"> may </w:t>
      </w:r>
      <w:r w:rsidR="00015DE6">
        <w:rPr>
          <w:rFonts w:ascii="Garamond" w:hAnsi="Garamond"/>
          <w:lang w:val="en-GB"/>
        </w:rPr>
        <w:t>produce such a pattern</w:t>
      </w:r>
      <w:r w:rsidR="00A50ADF" w:rsidRPr="004E7BD2">
        <w:rPr>
          <w:rFonts w:ascii="Garamond" w:hAnsi="Garamond"/>
          <w:lang w:val="en-GB"/>
        </w:rPr>
        <w:t xml:space="preserve">. The increasingly polarized nature of politics in the </w:t>
      </w:r>
      <w:r w:rsidR="00015DE6">
        <w:rPr>
          <w:rFonts w:ascii="Garamond" w:hAnsi="Garamond"/>
          <w:lang w:val="en-GB"/>
        </w:rPr>
        <w:t>U.S.</w:t>
      </w:r>
      <w:r w:rsidR="00A50ADF" w:rsidRPr="004E7BD2">
        <w:rPr>
          <w:rFonts w:ascii="Garamond" w:hAnsi="Garamond"/>
          <w:lang w:val="en-GB"/>
        </w:rPr>
        <w:t xml:space="preserve"> since the early 1990s presents another complicating factor. It may be that the process of updating political attitudes</w:t>
      </w:r>
      <w:r w:rsidR="00A473B2">
        <w:rPr>
          <w:rFonts w:ascii="Garamond" w:hAnsi="Garamond"/>
          <w:lang w:val="en-GB"/>
        </w:rPr>
        <w:t>—particularly among different partisan groups—</w:t>
      </w:r>
      <w:r w:rsidR="00A50ADF" w:rsidRPr="004E7BD2">
        <w:rPr>
          <w:rFonts w:ascii="Garamond" w:hAnsi="Garamond"/>
          <w:lang w:val="en-GB"/>
        </w:rPr>
        <w:t xml:space="preserve">has changed </w:t>
      </w:r>
      <w:r w:rsidR="00A473B2">
        <w:rPr>
          <w:rFonts w:ascii="Garamond" w:hAnsi="Garamond"/>
          <w:lang w:val="en-GB"/>
        </w:rPr>
        <w:t>during</w:t>
      </w:r>
      <w:r w:rsidR="00A50ADF" w:rsidRPr="004E7BD2">
        <w:rPr>
          <w:rFonts w:ascii="Garamond" w:hAnsi="Garamond"/>
          <w:lang w:val="en-GB"/>
        </w:rPr>
        <w:t xml:space="preserve"> our period of analysis</w:t>
      </w:r>
      <w:r w:rsidR="008A490B">
        <w:rPr>
          <w:rFonts w:ascii="Garamond" w:hAnsi="Garamond"/>
          <w:lang w:val="en-GB"/>
        </w:rPr>
        <w:t>, leading to a reduced relationship between crime rates and attitudes</w:t>
      </w:r>
      <w:r w:rsidR="00A50ADF" w:rsidRPr="004E7BD2">
        <w:rPr>
          <w:rFonts w:ascii="Garamond" w:hAnsi="Garamond"/>
          <w:lang w:val="en-GB"/>
        </w:rPr>
        <w:t xml:space="preserve">. While our own </w:t>
      </w:r>
      <w:r w:rsidR="008A490B">
        <w:rPr>
          <w:rFonts w:ascii="Garamond" w:hAnsi="Garamond"/>
          <w:lang w:val="en-GB"/>
        </w:rPr>
        <w:t xml:space="preserve">prior </w:t>
      </w:r>
      <w:r w:rsidR="00A50ADF" w:rsidRPr="004E7BD2">
        <w:rPr>
          <w:rFonts w:ascii="Garamond" w:hAnsi="Garamond"/>
          <w:lang w:val="en-GB"/>
        </w:rPr>
        <w:t xml:space="preserve">research, as well as many others, have found that political attitudes in these countries tend to follow objective conditions in this and other policy domains (e.g., </w:t>
      </w:r>
      <w:r w:rsidR="0035639D" w:rsidRPr="004E7BD2">
        <w:rPr>
          <w:rFonts w:ascii="Garamond" w:hAnsi="Garamond"/>
          <w:lang w:val="en-GB"/>
        </w:rPr>
        <w:t xml:space="preserve">Enns and </w:t>
      </w:r>
      <w:proofErr w:type="spellStart"/>
      <w:r w:rsidR="0035639D" w:rsidRPr="004E7BD2">
        <w:rPr>
          <w:rFonts w:ascii="Garamond" w:hAnsi="Garamond"/>
          <w:lang w:val="en-GB"/>
        </w:rPr>
        <w:t>Kellstedt</w:t>
      </w:r>
      <w:proofErr w:type="spellEnd"/>
      <w:r w:rsidR="0035639D" w:rsidRPr="004E7BD2">
        <w:rPr>
          <w:rFonts w:ascii="Garamond" w:hAnsi="Garamond"/>
          <w:lang w:val="en-GB"/>
        </w:rPr>
        <w:t xml:space="preserve"> 2008; Jennings</w:t>
      </w:r>
      <w:r w:rsidR="00D34222" w:rsidRPr="004E7BD2">
        <w:rPr>
          <w:rFonts w:ascii="Garamond" w:hAnsi="Garamond"/>
          <w:lang w:val="en-GB"/>
        </w:rPr>
        <w:t xml:space="preserve"> et al.</w:t>
      </w:r>
      <w:r w:rsidR="0035639D" w:rsidRPr="004E7BD2">
        <w:rPr>
          <w:rFonts w:ascii="Garamond" w:hAnsi="Garamond"/>
          <w:lang w:val="en-GB"/>
        </w:rPr>
        <w:t xml:space="preserve"> 2017; Enns 2016</w:t>
      </w:r>
      <w:r w:rsidR="00A50ADF" w:rsidRPr="004E7BD2">
        <w:rPr>
          <w:rFonts w:ascii="Garamond" w:hAnsi="Garamond"/>
          <w:lang w:val="en-GB"/>
        </w:rPr>
        <w:t xml:space="preserve">), we recognize </w:t>
      </w:r>
      <w:r w:rsidR="0035639D" w:rsidRPr="004E7BD2">
        <w:rPr>
          <w:rFonts w:ascii="Garamond" w:hAnsi="Garamond"/>
          <w:lang w:val="en-GB"/>
        </w:rPr>
        <w:t xml:space="preserve">it is possible that this relationship may be </w:t>
      </w:r>
      <w:r w:rsidR="00015DE6">
        <w:rPr>
          <w:rFonts w:ascii="Garamond" w:hAnsi="Garamond"/>
          <w:lang w:val="en-GB"/>
        </w:rPr>
        <w:t>weaker</w:t>
      </w:r>
      <w:r w:rsidR="00015DE6" w:rsidRPr="004E7BD2">
        <w:rPr>
          <w:rFonts w:ascii="Garamond" w:hAnsi="Garamond"/>
          <w:lang w:val="en-GB"/>
        </w:rPr>
        <w:t xml:space="preserve"> </w:t>
      </w:r>
      <w:r w:rsidR="0035639D" w:rsidRPr="004E7BD2">
        <w:rPr>
          <w:rFonts w:ascii="Garamond" w:hAnsi="Garamond"/>
          <w:lang w:val="en-GB"/>
        </w:rPr>
        <w:t>than we might otherwise expect in the subsequent analysis.</w:t>
      </w:r>
      <w:r w:rsidR="008A2CE1" w:rsidRPr="004E7BD2">
        <w:rPr>
          <w:rFonts w:ascii="Garamond" w:hAnsi="Garamond"/>
          <w:lang w:val="en-GB"/>
        </w:rPr>
        <w:t xml:space="preserve"> </w:t>
      </w:r>
    </w:p>
    <w:p w14:paraId="1C68AAF0" w14:textId="7FD5D809" w:rsidR="00B759DE" w:rsidRPr="004E7BD2" w:rsidRDefault="008A2CE1" w:rsidP="00BF01E1">
      <w:pPr>
        <w:spacing w:after="0" w:line="240" w:lineRule="auto"/>
        <w:jc w:val="both"/>
        <w:rPr>
          <w:rFonts w:ascii="Garamond" w:hAnsi="Garamond"/>
          <w:lang w:val="en-GB"/>
        </w:rPr>
      </w:pPr>
      <w:r w:rsidRPr="004E7BD2">
        <w:rPr>
          <w:rFonts w:ascii="Garamond" w:hAnsi="Garamond"/>
          <w:lang w:val="en-GB"/>
        </w:rPr>
        <w:lastRenderedPageBreak/>
        <w:t>To evaluate these various considerations, we f</w:t>
      </w:r>
      <w:r w:rsidR="00BF01E1" w:rsidRPr="004E7BD2">
        <w:rPr>
          <w:rFonts w:ascii="Garamond" w:hAnsi="Garamond"/>
          <w:lang w:val="en-GB"/>
        </w:rPr>
        <w:t xml:space="preserve">ollow Enns (2014; 2016) and Jennings, Gray, Farrall and Hay (2017), </w:t>
      </w:r>
      <w:r w:rsidR="00320F53" w:rsidRPr="004E7BD2">
        <w:rPr>
          <w:rFonts w:ascii="Garamond" w:hAnsi="Garamond"/>
          <w:lang w:val="en-GB"/>
        </w:rPr>
        <w:t xml:space="preserve">and </w:t>
      </w:r>
      <w:r w:rsidR="00BF01E1" w:rsidRPr="004E7BD2">
        <w:rPr>
          <w:rFonts w:ascii="Garamond" w:hAnsi="Garamond"/>
          <w:lang w:val="en-GB"/>
        </w:rPr>
        <w:t xml:space="preserve">use Stimson’s (1991) ‘dyad ratios algorithm’ to </w:t>
      </w:r>
      <w:r w:rsidR="008A490B">
        <w:rPr>
          <w:rFonts w:ascii="Garamond" w:hAnsi="Garamond"/>
          <w:lang w:val="en-GB"/>
        </w:rPr>
        <w:t>combine all available survey questions (that have been asked at multiple time points) related to criminal justice attitudes into</w:t>
      </w:r>
      <w:r w:rsidR="008A490B" w:rsidRPr="004E7BD2">
        <w:rPr>
          <w:rFonts w:ascii="Garamond" w:hAnsi="Garamond"/>
          <w:lang w:val="en-GB"/>
        </w:rPr>
        <w:t xml:space="preserve"> </w:t>
      </w:r>
      <w:r w:rsidR="00B759DE" w:rsidRPr="004E7BD2">
        <w:rPr>
          <w:rFonts w:ascii="Garamond" w:hAnsi="Garamond"/>
          <w:lang w:val="en-GB"/>
        </w:rPr>
        <w:t xml:space="preserve">two </w:t>
      </w:r>
      <w:r w:rsidR="008A18EE" w:rsidRPr="004E7BD2">
        <w:rPr>
          <w:rFonts w:ascii="Garamond" w:hAnsi="Garamond"/>
          <w:lang w:val="en-GB"/>
        </w:rPr>
        <w:t>over-time measures</w:t>
      </w:r>
      <w:r w:rsidR="00B759DE" w:rsidRPr="004E7BD2">
        <w:rPr>
          <w:rFonts w:ascii="Garamond" w:hAnsi="Garamond"/>
          <w:lang w:val="en-GB"/>
        </w:rPr>
        <w:t>:</w:t>
      </w:r>
      <w:r w:rsidR="008A18EE" w:rsidRPr="004E7BD2">
        <w:rPr>
          <w:rFonts w:ascii="Garamond" w:hAnsi="Garamond"/>
          <w:lang w:val="en-GB"/>
        </w:rPr>
        <w:t xml:space="preserve"> public </w:t>
      </w:r>
      <w:r w:rsidR="00845795">
        <w:rPr>
          <w:rFonts w:ascii="Garamond" w:hAnsi="Garamond"/>
          <w:lang w:val="en-GB"/>
        </w:rPr>
        <w:t>concern about</w:t>
      </w:r>
      <w:r w:rsidR="00845795" w:rsidRPr="004E7BD2">
        <w:rPr>
          <w:rFonts w:ascii="Garamond" w:hAnsi="Garamond"/>
          <w:lang w:val="en-GB"/>
        </w:rPr>
        <w:t xml:space="preserve"> </w:t>
      </w:r>
      <w:r w:rsidR="008A18EE" w:rsidRPr="004E7BD2">
        <w:rPr>
          <w:rFonts w:ascii="Garamond" w:hAnsi="Garamond"/>
          <w:lang w:val="en-GB"/>
        </w:rPr>
        <w:t xml:space="preserve">crime </w:t>
      </w:r>
      <w:r w:rsidR="008A18EE" w:rsidRPr="004E7BD2">
        <w:rPr>
          <w:rFonts w:ascii="Garamond" w:hAnsi="Garamond"/>
          <w:i/>
          <w:lang w:val="en-GB"/>
        </w:rPr>
        <w:t>and</w:t>
      </w:r>
      <w:r w:rsidR="008A18EE" w:rsidRPr="004E7BD2">
        <w:rPr>
          <w:rFonts w:ascii="Garamond" w:hAnsi="Garamond"/>
          <w:lang w:val="en-GB"/>
        </w:rPr>
        <w:t xml:space="preserve"> punitive attitudes towards crime and punishment in the U.S. and Britain.</w:t>
      </w:r>
      <w:r w:rsidR="00BD2BAD" w:rsidRPr="004E7BD2">
        <w:rPr>
          <w:rStyle w:val="FootnoteReference"/>
          <w:rFonts w:ascii="Garamond" w:hAnsi="Garamond"/>
          <w:lang w:val="en-GB"/>
        </w:rPr>
        <w:footnoteReference w:id="9"/>
      </w:r>
      <w:r w:rsidR="008A18EE" w:rsidRPr="004E7BD2">
        <w:rPr>
          <w:rFonts w:ascii="Garamond" w:hAnsi="Garamond"/>
          <w:lang w:val="en-GB"/>
        </w:rPr>
        <w:t xml:space="preserve"> Our measure of </w:t>
      </w:r>
      <w:r w:rsidR="00B759DE" w:rsidRPr="004E7BD2">
        <w:rPr>
          <w:rFonts w:ascii="Garamond" w:hAnsi="Garamond"/>
          <w:lang w:val="en-GB"/>
        </w:rPr>
        <w:t xml:space="preserve">crime </w:t>
      </w:r>
      <w:r w:rsidR="00845795">
        <w:rPr>
          <w:rFonts w:ascii="Garamond" w:hAnsi="Garamond"/>
          <w:lang w:val="en-GB"/>
        </w:rPr>
        <w:t>concern</w:t>
      </w:r>
      <w:r w:rsidR="00845795" w:rsidRPr="004E7BD2">
        <w:rPr>
          <w:rFonts w:ascii="Garamond" w:hAnsi="Garamond"/>
          <w:lang w:val="en-GB"/>
        </w:rPr>
        <w:t xml:space="preserve"> </w:t>
      </w:r>
      <w:r w:rsidR="002F3DBA" w:rsidRPr="004E7BD2">
        <w:rPr>
          <w:rFonts w:ascii="Garamond" w:hAnsi="Garamond"/>
          <w:lang w:val="en-GB"/>
        </w:rPr>
        <w:t xml:space="preserve">is new and </w:t>
      </w:r>
      <w:r w:rsidR="008A18EE" w:rsidRPr="004E7BD2">
        <w:rPr>
          <w:rFonts w:ascii="Garamond" w:hAnsi="Garamond"/>
          <w:lang w:val="en-GB"/>
        </w:rPr>
        <w:t xml:space="preserve">captures </w:t>
      </w:r>
      <w:r w:rsidR="00B759DE" w:rsidRPr="004E7BD2">
        <w:rPr>
          <w:rFonts w:ascii="Garamond" w:hAnsi="Garamond"/>
          <w:lang w:val="en-GB"/>
        </w:rPr>
        <w:t xml:space="preserve">perceptions of the crime rate and </w:t>
      </w:r>
      <w:r w:rsidR="008A18EE" w:rsidRPr="004E7BD2">
        <w:rPr>
          <w:rFonts w:ascii="Garamond" w:hAnsi="Garamond"/>
          <w:lang w:val="en-GB"/>
        </w:rPr>
        <w:t>the degree to which the public is fearful or concerned about crime</w:t>
      </w:r>
      <w:r w:rsidR="00B759DE" w:rsidRPr="004E7BD2">
        <w:rPr>
          <w:rFonts w:ascii="Garamond" w:hAnsi="Garamond"/>
          <w:lang w:val="en-GB"/>
        </w:rPr>
        <w:t>.</w:t>
      </w:r>
      <w:r w:rsidR="008A18EE" w:rsidRPr="004E7BD2">
        <w:rPr>
          <w:rFonts w:ascii="Garamond" w:hAnsi="Garamond"/>
          <w:lang w:val="en-GB"/>
        </w:rPr>
        <w:t xml:space="preserve"> Our measure of punitive attitudes </w:t>
      </w:r>
      <w:r w:rsidR="00BF01E1" w:rsidRPr="004E7BD2">
        <w:rPr>
          <w:rFonts w:ascii="Garamond" w:hAnsi="Garamond"/>
          <w:lang w:val="en-GB"/>
        </w:rPr>
        <w:t xml:space="preserve">captures the degree to which public opinion </w:t>
      </w:r>
      <w:r w:rsidR="00B759DE" w:rsidRPr="004E7BD2">
        <w:rPr>
          <w:rFonts w:ascii="Garamond" w:hAnsi="Garamond"/>
          <w:lang w:val="en-GB"/>
        </w:rPr>
        <w:t>supports being tougher on crime or supports less punitive and more rehabilitative policies</w:t>
      </w:r>
      <w:r w:rsidR="00BF01E1" w:rsidRPr="004E7BD2">
        <w:rPr>
          <w:rFonts w:ascii="Garamond" w:hAnsi="Garamond"/>
          <w:lang w:val="en-GB"/>
        </w:rPr>
        <w:t xml:space="preserve">. </w:t>
      </w:r>
    </w:p>
    <w:p w14:paraId="1FB0FC92" w14:textId="77777777" w:rsidR="00B759DE" w:rsidRPr="004E7BD2" w:rsidRDefault="00B759DE" w:rsidP="00BF01E1">
      <w:pPr>
        <w:spacing w:after="0" w:line="240" w:lineRule="auto"/>
        <w:jc w:val="both"/>
        <w:rPr>
          <w:rFonts w:ascii="Garamond" w:hAnsi="Garamond" w:cstheme="minorHAnsi"/>
          <w:lang w:val="en-GB"/>
        </w:rPr>
      </w:pPr>
    </w:p>
    <w:p w14:paraId="45D22D0B" w14:textId="57E77491" w:rsidR="006F31FD" w:rsidRPr="00B71A68" w:rsidRDefault="00BF01E1" w:rsidP="00B71A68">
      <w:pPr>
        <w:spacing w:after="0" w:line="240" w:lineRule="auto"/>
        <w:jc w:val="both"/>
        <w:rPr>
          <w:rFonts w:ascii="Garamond" w:hAnsi="Garamond"/>
        </w:rPr>
      </w:pPr>
      <w:r w:rsidRPr="004E7BD2">
        <w:rPr>
          <w:rFonts w:ascii="Garamond" w:hAnsi="Garamond" w:cstheme="minorHAnsi"/>
          <w:lang w:val="en-GB"/>
        </w:rPr>
        <w:t xml:space="preserve">Stimson’s method offers a solution to the irregular and infrequent availability of nevertheless informative </w:t>
      </w:r>
      <w:r w:rsidR="008A18EE" w:rsidRPr="004E7BD2">
        <w:rPr>
          <w:rFonts w:ascii="Garamond" w:hAnsi="Garamond" w:cstheme="minorHAnsi"/>
          <w:lang w:val="en-GB"/>
        </w:rPr>
        <w:t>survey</w:t>
      </w:r>
      <w:r w:rsidRPr="004E7BD2">
        <w:rPr>
          <w:rFonts w:ascii="Garamond" w:hAnsi="Garamond" w:cstheme="minorHAnsi"/>
          <w:lang w:val="en-GB"/>
        </w:rPr>
        <w:t xml:space="preserve"> data at different points in time. The principle behind the algorithm is </w:t>
      </w:r>
      <w:r w:rsidR="008A18EE" w:rsidRPr="004E7BD2">
        <w:rPr>
          <w:rFonts w:ascii="Garamond" w:hAnsi="Garamond" w:cstheme="minorHAnsi"/>
          <w:lang w:val="en-GB"/>
        </w:rPr>
        <w:t xml:space="preserve">fairly </w:t>
      </w:r>
      <w:r w:rsidRPr="004E7BD2">
        <w:rPr>
          <w:rFonts w:ascii="Garamond" w:hAnsi="Garamond" w:cstheme="minorHAnsi"/>
          <w:lang w:val="en-GB"/>
        </w:rPr>
        <w:t>intuitive; the ratio of aggregate-level survey responses to the same question at different points in time provides meaningful information about the relative state of public opinion – telling us whether, on average,</w:t>
      </w:r>
      <w:r w:rsidR="008A18EE" w:rsidRPr="004E7BD2">
        <w:rPr>
          <w:rFonts w:ascii="Garamond" w:hAnsi="Garamond" w:cstheme="minorHAnsi"/>
          <w:lang w:val="en-GB"/>
        </w:rPr>
        <w:t xml:space="preserve"> the public has become more or less concerned about crime or whether</w:t>
      </w:r>
      <w:r w:rsidRPr="004E7BD2">
        <w:rPr>
          <w:rFonts w:ascii="Garamond" w:hAnsi="Garamond" w:cstheme="minorHAnsi"/>
          <w:lang w:val="en-GB"/>
        </w:rPr>
        <w:t xml:space="preserve"> </w:t>
      </w:r>
      <w:r w:rsidR="008A18EE" w:rsidRPr="004E7BD2">
        <w:rPr>
          <w:rFonts w:ascii="Garamond" w:hAnsi="Garamond" w:cstheme="minorHAnsi"/>
          <w:lang w:val="en-GB"/>
        </w:rPr>
        <w:t>it has</w:t>
      </w:r>
      <w:r w:rsidRPr="004E7BD2">
        <w:rPr>
          <w:rFonts w:ascii="Garamond" w:hAnsi="Garamond" w:cstheme="minorHAnsi"/>
          <w:lang w:val="en-GB"/>
        </w:rPr>
        <w:t xml:space="preserve"> become more or less punitive</w:t>
      </w:r>
      <w:r w:rsidR="008A18EE" w:rsidRPr="004E7BD2">
        <w:rPr>
          <w:rFonts w:ascii="Garamond" w:hAnsi="Garamond" w:cstheme="minorHAnsi"/>
          <w:lang w:val="en-GB"/>
        </w:rPr>
        <w:t xml:space="preserve"> in its opinions</w:t>
      </w:r>
      <w:r w:rsidRPr="004E7BD2">
        <w:rPr>
          <w:rFonts w:ascii="Garamond" w:hAnsi="Garamond"/>
          <w:lang w:val="en-GB"/>
        </w:rPr>
        <w:t>.</w:t>
      </w:r>
      <w:r w:rsidR="006F31FD">
        <w:rPr>
          <w:rFonts w:ascii="Garamond" w:hAnsi="Garamond"/>
          <w:lang w:val="en-GB"/>
        </w:rPr>
        <w:t xml:space="preserve"> </w:t>
      </w:r>
      <w:r w:rsidR="00D96F00">
        <w:rPr>
          <w:rFonts w:ascii="Garamond" w:hAnsi="Garamond"/>
        </w:rPr>
        <w:t>Every</w:t>
      </w:r>
      <w:r w:rsidR="006F31FD" w:rsidRPr="00B71A68">
        <w:rPr>
          <w:rFonts w:ascii="Garamond" w:hAnsi="Garamond"/>
        </w:rPr>
        <w:t xml:space="preserve"> survey item can be expressed as the ratio of attitudes on crime or punishment at two points in time: a ‘dyad’. This ratio provides an estimate of the relative opinion, for a given question, in years </w:t>
      </w:r>
      <w:proofErr w:type="spellStart"/>
      <w:r w:rsidR="006F31FD" w:rsidRPr="00B71A68">
        <w:rPr>
          <w:rFonts w:ascii="Garamond" w:hAnsi="Garamond"/>
          <w:i/>
        </w:rPr>
        <w:t>t+i</w:t>
      </w:r>
      <w:proofErr w:type="spellEnd"/>
      <w:r w:rsidR="006F31FD" w:rsidRPr="00B71A68">
        <w:rPr>
          <w:rFonts w:ascii="Garamond" w:hAnsi="Garamond"/>
        </w:rPr>
        <w:t xml:space="preserve"> and </w:t>
      </w:r>
      <w:proofErr w:type="spellStart"/>
      <w:r w:rsidR="006F31FD" w:rsidRPr="00B71A68">
        <w:rPr>
          <w:rFonts w:ascii="Garamond" w:hAnsi="Garamond"/>
          <w:i/>
        </w:rPr>
        <w:t>t+j</w:t>
      </w:r>
      <w:proofErr w:type="spellEnd"/>
      <w:r w:rsidR="006F31FD" w:rsidRPr="00B71A68">
        <w:rPr>
          <w:rFonts w:ascii="Garamond" w:hAnsi="Garamond"/>
        </w:rPr>
        <w:t>.</w:t>
      </w:r>
      <w:r w:rsidR="008C2432">
        <w:rPr>
          <w:rFonts w:ascii="Garamond" w:hAnsi="Garamond"/>
        </w:rPr>
        <w:t xml:space="preserve"> For example, if </w:t>
      </w:r>
      <w:r w:rsidR="00A80599">
        <w:rPr>
          <w:rFonts w:ascii="Garamond" w:hAnsi="Garamond"/>
        </w:rPr>
        <w:t>3</w:t>
      </w:r>
      <w:r w:rsidR="008C2432">
        <w:rPr>
          <w:rFonts w:ascii="Garamond" w:hAnsi="Garamond"/>
        </w:rPr>
        <w:t>0 per cent of respondents say they are worried about crime in 1995 and 60 per cent</w:t>
      </w:r>
      <w:r w:rsidR="00A80599">
        <w:rPr>
          <w:rFonts w:ascii="Garamond" w:hAnsi="Garamond"/>
        </w:rPr>
        <w:t xml:space="preserve"> say they are worried in 2005, this indicates that the public has become twice as concerned about crime between these two points in time</w:t>
      </w:r>
      <w:r w:rsidR="00F0676E">
        <w:rPr>
          <w:rFonts w:ascii="Garamond" w:hAnsi="Garamond"/>
        </w:rPr>
        <w:t>, according to this survey measure</w:t>
      </w:r>
      <w:r w:rsidR="00A80599">
        <w:rPr>
          <w:rFonts w:ascii="Garamond" w:hAnsi="Garamond"/>
        </w:rPr>
        <w:t>. Of course, in practice there are multiple dyads and considerable variation due to</w:t>
      </w:r>
      <w:r w:rsidR="00F0676E">
        <w:rPr>
          <w:rFonts w:ascii="Garamond" w:hAnsi="Garamond"/>
        </w:rPr>
        <w:t xml:space="preserve"> survey</w:t>
      </w:r>
      <w:r w:rsidR="00A80599">
        <w:rPr>
          <w:rFonts w:ascii="Garamond" w:hAnsi="Garamond"/>
        </w:rPr>
        <w:t xml:space="preserve"> sampling error</w:t>
      </w:r>
      <w:r w:rsidR="00F0676E">
        <w:rPr>
          <w:rFonts w:ascii="Garamond" w:hAnsi="Garamond"/>
        </w:rPr>
        <w:t>.</w:t>
      </w:r>
      <w:r w:rsidR="00A80599">
        <w:rPr>
          <w:rFonts w:ascii="Garamond" w:hAnsi="Garamond"/>
        </w:rPr>
        <w:t xml:space="preserve"> </w:t>
      </w:r>
    </w:p>
    <w:p w14:paraId="2B16E247" w14:textId="77777777" w:rsidR="006F31FD" w:rsidRPr="00B71A68" w:rsidRDefault="006F31FD" w:rsidP="006F31FD">
      <w:pPr>
        <w:pStyle w:val="FootnoteText"/>
        <w:spacing w:after="120"/>
        <w:ind w:firstLine="720"/>
        <w:rPr>
          <w:rFonts w:ascii="Garamond" w:hAnsi="Garamond"/>
          <w:i/>
          <w:iCs/>
          <w:sz w:val="22"/>
          <w:szCs w:val="22"/>
        </w:rPr>
      </w:pPr>
      <w:r w:rsidRPr="00B87C54">
        <w:rPr>
          <w:rFonts w:ascii="Garamond" w:hAnsi="Garamond"/>
          <w:i/>
          <w:iCs/>
          <w:noProof/>
          <w:position w:val="-32"/>
          <w:sz w:val="22"/>
          <w:szCs w:val="22"/>
          <w:lang w:eastAsia="en-GB"/>
        </w:rPr>
        <w:object w:dxaOrig="795" w:dyaOrig="645" w14:anchorId="0BE0B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75pt;height:33pt;mso-width-percent:0;mso-height-percent:0;mso-width-percent:0;mso-height-percent:0" o:ole="">
            <v:imagedata r:id="rId16" o:title=""/>
          </v:shape>
          <o:OLEObject Type="Embed" ProgID="Equation.3" ShapeID="_x0000_i1025" DrawAspect="Content" ObjectID="_1704748500" r:id="rId17"/>
        </w:object>
      </w:r>
    </w:p>
    <w:p w14:paraId="7728E7A2" w14:textId="4FCD2279" w:rsidR="006F31FD" w:rsidRPr="006F31FD" w:rsidRDefault="006F31FD" w:rsidP="006F31FD">
      <w:pPr>
        <w:spacing w:after="0" w:line="240" w:lineRule="auto"/>
        <w:jc w:val="both"/>
        <w:rPr>
          <w:rFonts w:ascii="Garamond" w:hAnsi="Garamond"/>
          <w:lang w:val="en-GB"/>
        </w:rPr>
      </w:pPr>
      <w:r w:rsidRPr="00B71A68">
        <w:rPr>
          <w:rFonts w:ascii="Garamond" w:hAnsi="Garamond"/>
          <w:iCs/>
        </w:rPr>
        <w:t>This</w:t>
      </w:r>
      <w:r w:rsidR="00F0676E">
        <w:rPr>
          <w:rFonts w:ascii="Garamond" w:hAnsi="Garamond"/>
          <w:iCs/>
        </w:rPr>
        <w:t xml:space="preserve"> method</w:t>
      </w:r>
      <w:r w:rsidRPr="00B71A68">
        <w:rPr>
          <w:rFonts w:ascii="Garamond" w:hAnsi="Garamond"/>
          <w:iCs/>
        </w:rPr>
        <w:t xml:space="preserve"> enables recursive estimation of the index of crime perceptions and punitive attitudes for each survey </w:t>
      </w:r>
      <w:r w:rsidR="00271FBE">
        <w:rPr>
          <w:rFonts w:ascii="Garamond" w:hAnsi="Garamond"/>
          <w:iCs/>
        </w:rPr>
        <w:t>question</w:t>
      </w:r>
      <w:r w:rsidRPr="00B71A68">
        <w:rPr>
          <w:rFonts w:ascii="Garamond" w:hAnsi="Garamond"/>
          <w:iCs/>
        </w:rPr>
        <w:t xml:space="preserve"> for each time period based on all data available.</w:t>
      </w:r>
      <w:r w:rsidRPr="006F31FD">
        <w:rPr>
          <w:rFonts w:ascii="Garamond" w:hAnsi="Garamond"/>
          <w:lang w:val="en-GB"/>
        </w:rPr>
        <w:t xml:space="preserve"> </w:t>
      </w:r>
      <w:r>
        <w:rPr>
          <w:rFonts w:ascii="Garamond" w:hAnsi="Garamond"/>
          <w:lang w:val="en-GB"/>
        </w:rPr>
        <w:t>As such the algorithm</w:t>
      </w:r>
      <w:r w:rsidRPr="004E7BD2">
        <w:rPr>
          <w:rFonts w:ascii="Garamond" w:hAnsi="Garamond"/>
          <w:lang w:val="en-GB"/>
        </w:rPr>
        <w:t xml:space="preserve"> extracts the underlying tendency of all survey items relating to crime and punishment, analogous to a principal components approach. </w:t>
      </w:r>
      <w:r w:rsidRPr="00B71A68">
        <w:rPr>
          <w:rFonts w:ascii="Garamond" w:hAnsi="Garamond"/>
          <w:iCs/>
        </w:rPr>
        <w:t xml:space="preserve">Because there are multiple estimates of public opinion (i.e. there are multiple survey </w:t>
      </w:r>
      <w:r w:rsidR="006E6A95">
        <w:rPr>
          <w:rFonts w:ascii="Garamond" w:hAnsi="Garamond"/>
          <w:iCs/>
        </w:rPr>
        <w:t>question</w:t>
      </w:r>
      <w:r w:rsidR="00A80599">
        <w:rPr>
          <w:rFonts w:ascii="Garamond" w:hAnsi="Garamond"/>
          <w:iCs/>
        </w:rPr>
        <w:t xml:space="preserve"> series</w:t>
      </w:r>
      <w:r w:rsidRPr="00B71A68">
        <w:rPr>
          <w:rFonts w:ascii="Garamond" w:hAnsi="Garamond"/>
          <w:iCs/>
        </w:rPr>
        <w:t>) and they are not all equivalent indicators of the latent construct, the dyad ratios algorithm estimates the squared correlation of each series with the underlying dimension and uses this to weight the series (Bartle et al. 2011, p. 269; Stimson 199</w:t>
      </w:r>
      <w:r w:rsidR="006E6A95">
        <w:rPr>
          <w:rFonts w:ascii="Garamond" w:hAnsi="Garamond"/>
          <w:iCs/>
        </w:rPr>
        <w:t>1</w:t>
      </w:r>
      <w:r w:rsidRPr="00B71A68">
        <w:rPr>
          <w:rFonts w:ascii="Garamond" w:hAnsi="Garamond"/>
          <w:iCs/>
        </w:rPr>
        <w:t>). This</w:t>
      </w:r>
      <w:r w:rsidR="008C2432">
        <w:rPr>
          <w:rFonts w:ascii="Garamond" w:hAnsi="Garamond"/>
          <w:iCs/>
        </w:rPr>
        <w:t xml:space="preserve"> item-scale</w:t>
      </w:r>
      <w:r w:rsidRPr="00B71A68">
        <w:rPr>
          <w:rFonts w:ascii="Garamond" w:hAnsi="Garamond"/>
          <w:iCs/>
        </w:rPr>
        <w:t xml:space="preserve"> correlation is interpretable as a factor loading, and is reported below for selected </w:t>
      </w:r>
      <w:r w:rsidR="007B3D17">
        <w:rPr>
          <w:rFonts w:ascii="Garamond" w:hAnsi="Garamond"/>
          <w:iCs/>
        </w:rPr>
        <w:t>question</w:t>
      </w:r>
      <w:r w:rsidR="008C2432">
        <w:rPr>
          <w:rFonts w:ascii="Garamond" w:hAnsi="Garamond"/>
          <w:iCs/>
        </w:rPr>
        <w:t xml:space="preserve"> </w:t>
      </w:r>
      <w:r w:rsidR="007B3D17">
        <w:rPr>
          <w:rFonts w:ascii="Garamond" w:hAnsi="Garamond"/>
          <w:iCs/>
        </w:rPr>
        <w:t>s</w:t>
      </w:r>
      <w:r w:rsidR="008C2432">
        <w:rPr>
          <w:rFonts w:ascii="Garamond" w:hAnsi="Garamond"/>
          <w:iCs/>
        </w:rPr>
        <w:t>eries</w:t>
      </w:r>
      <w:r w:rsidRPr="00B71A68">
        <w:rPr>
          <w:rFonts w:ascii="Garamond" w:hAnsi="Garamond"/>
          <w:iCs/>
        </w:rPr>
        <w:t>.</w:t>
      </w:r>
    </w:p>
    <w:p w14:paraId="03057332" w14:textId="77777777" w:rsidR="006F31FD" w:rsidRDefault="006F31FD" w:rsidP="00F9041A">
      <w:pPr>
        <w:spacing w:after="0" w:line="240" w:lineRule="auto"/>
        <w:jc w:val="both"/>
        <w:rPr>
          <w:rFonts w:ascii="Garamond" w:hAnsi="Garamond"/>
          <w:lang w:val="en-GB"/>
        </w:rPr>
      </w:pPr>
    </w:p>
    <w:p w14:paraId="2BC43C14" w14:textId="0EFFA734" w:rsidR="00BF01E1" w:rsidRPr="004E7BD2" w:rsidRDefault="00BF01E1" w:rsidP="00F9041A">
      <w:pPr>
        <w:spacing w:after="0" w:line="240" w:lineRule="auto"/>
        <w:jc w:val="both"/>
        <w:rPr>
          <w:rFonts w:ascii="Garamond" w:hAnsi="Garamond"/>
          <w:lang w:val="en-GB"/>
        </w:rPr>
      </w:pPr>
      <w:r w:rsidRPr="004E7BD2">
        <w:rPr>
          <w:rFonts w:ascii="Garamond" w:hAnsi="Garamond"/>
          <w:lang w:val="en-GB"/>
        </w:rPr>
        <w:t xml:space="preserve">While this method is somewhat inductive, avoiding prior assumptions about weights assigned to items in the extracted index, decisions do need to be taken regarding which survey items satisfy face validity requirement for inclusion – simply, the items need to </w:t>
      </w:r>
      <w:r w:rsidR="00BE7099" w:rsidRPr="004E7BD2">
        <w:rPr>
          <w:rFonts w:ascii="Garamond" w:hAnsi="Garamond"/>
          <w:lang w:val="en-GB"/>
        </w:rPr>
        <w:t xml:space="preserve">be credible measures of public concern about crime and serve to </w:t>
      </w:r>
      <w:r w:rsidRPr="004E7BD2">
        <w:rPr>
          <w:rFonts w:ascii="Garamond" w:hAnsi="Garamond"/>
          <w:lang w:val="en-GB"/>
        </w:rPr>
        <w:t xml:space="preserve">measure the public’s preference for more (or less) punitive policy with regard to criminal justice. </w:t>
      </w:r>
    </w:p>
    <w:p w14:paraId="22418CAE" w14:textId="77777777" w:rsidR="00BF01E1" w:rsidRPr="004E7BD2" w:rsidRDefault="00BF01E1" w:rsidP="00BF01E1">
      <w:pPr>
        <w:spacing w:after="0" w:line="240" w:lineRule="auto"/>
        <w:ind w:firstLine="720"/>
        <w:rPr>
          <w:rFonts w:ascii="Garamond" w:hAnsi="Garamond"/>
          <w:lang w:val="en-GB"/>
        </w:rPr>
      </w:pPr>
      <w:r w:rsidRPr="004E7BD2">
        <w:rPr>
          <w:rFonts w:ascii="Garamond" w:hAnsi="Garamond"/>
          <w:lang w:val="en-GB"/>
        </w:rPr>
        <w:t xml:space="preserve">  </w:t>
      </w:r>
    </w:p>
    <w:p w14:paraId="7A0947A3" w14:textId="75B9AB74" w:rsidR="00822AA7" w:rsidRPr="004E7BD2" w:rsidRDefault="005610D0" w:rsidP="00F9041A">
      <w:pPr>
        <w:spacing w:after="120"/>
        <w:rPr>
          <w:rFonts w:ascii="Garamond" w:hAnsi="Garamond"/>
          <w:b/>
          <w:lang w:val="en-GB"/>
        </w:rPr>
      </w:pPr>
      <w:r w:rsidRPr="004E7BD2">
        <w:rPr>
          <w:rFonts w:ascii="Garamond" w:hAnsi="Garamond"/>
          <w:b/>
          <w:lang w:val="en-GB"/>
        </w:rPr>
        <w:t>Crime</w:t>
      </w:r>
      <w:r w:rsidR="003D1CB2">
        <w:rPr>
          <w:rFonts w:ascii="Garamond" w:hAnsi="Garamond"/>
          <w:b/>
          <w:lang w:val="en-GB"/>
        </w:rPr>
        <w:t xml:space="preserve"> Concern</w:t>
      </w:r>
    </w:p>
    <w:p w14:paraId="4339F3EF" w14:textId="1B939B02" w:rsidR="00517DAA" w:rsidRDefault="002C3006" w:rsidP="00460192">
      <w:pPr>
        <w:jc w:val="both"/>
        <w:rPr>
          <w:rFonts w:ascii="Garamond" w:hAnsi="Garamond"/>
          <w:lang w:val="en-GB"/>
        </w:rPr>
      </w:pPr>
      <w:r w:rsidRPr="004E7BD2">
        <w:rPr>
          <w:rFonts w:ascii="Garamond" w:hAnsi="Garamond"/>
          <w:lang w:val="en-GB"/>
        </w:rPr>
        <w:t xml:space="preserve">We start by considering whether </w:t>
      </w:r>
      <w:r w:rsidR="003D1CB2">
        <w:rPr>
          <w:rFonts w:ascii="Garamond" w:hAnsi="Garamond"/>
          <w:lang w:val="en-GB"/>
        </w:rPr>
        <w:t>public concerns about</w:t>
      </w:r>
      <w:r w:rsidR="009D32EB" w:rsidRPr="004E7BD2">
        <w:rPr>
          <w:rFonts w:ascii="Garamond" w:hAnsi="Garamond"/>
          <w:lang w:val="en-GB"/>
        </w:rPr>
        <w:t xml:space="preserve"> crime reflect changes in the rates of recorded crime and </w:t>
      </w:r>
      <w:r w:rsidR="0041286C" w:rsidRPr="004E7BD2">
        <w:rPr>
          <w:rFonts w:ascii="Garamond" w:hAnsi="Garamond"/>
          <w:lang w:val="en-GB"/>
        </w:rPr>
        <w:t>victimisation</w:t>
      </w:r>
      <w:r w:rsidR="009D32EB" w:rsidRPr="004E7BD2">
        <w:rPr>
          <w:rFonts w:ascii="Garamond" w:hAnsi="Garamond"/>
          <w:lang w:val="en-GB"/>
        </w:rPr>
        <w:t xml:space="preserve"> in the two countries. </w:t>
      </w:r>
      <w:r w:rsidR="00517DAA" w:rsidRPr="004E7BD2">
        <w:rPr>
          <w:rFonts w:ascii="Garamond" w:hAnsi="Garamond"/>
          <w:lang w:val="en-GB"/>
        </w:rPr>
        <w:t>Some researchers have suggested a divergence in perceptions of crime between local and national levels, suggesting that in terms of perceptions of national trends there is no public responsiveness (</w:t>
      </w:r>
      <w:proofErr w:type="spellStart"/>
      <w:r w:rsidR="009A37A6" w:rsidRPr="004E7BD2">
        <w:rPr>
          <w:rFonts w:ascii="Garamond" w:hAnsi="Garamond"/>
          <w:lang w:val="en-GB"/>
        </w:rPr>
        <w:t>Gramlich</w:t>
      </w:r>
      <w:proofErr w:type="spellEnd"/>
      <w:r w:rsidR="009A37A6" w:rsidRPr="004E7BD2">
        <w:rPr>
          <w:rFonts w:ascii="Garamond" w:hAnsi="Garamond"/>
          <w:lang w:val="en-GB"/>
        </w:rPr>
        <w:t xml:space="preserve"> 2020; </w:t>
      </w:r>
      <w:proofErr w:type="spellStart"/>
      <w:r w:rsidR="009A37A6" w:rsidRPr="004E7BD2">
        <w:rPr>
          <w:rFonts w:ascii="Garamond" w:hAnsi="Garamond"/>
          <w:lang w:val="en-GB"/>
        </w:rPr>
        <w:t>Koerth</w:t>
      </w:r>
      <w:proofErr w:type="spellEnd"/>
      <w:r w:rsidR="009A37A6" w:rsidRPr="004E7BD2">
        <w:rPr>
          <w:rFonts w:ascii="Garamond" w:hAnsi="Garamond"/>
          <w:lang w:val="en-GB"/>
        </w:rPr>
        <w:t xml:space="preserve"> and Thomson-</w:t>
      </w:r>
      <w:proofErr w:type="spellStart"/>
      <w:r w:rsidR="009A37A6" w:rsidRPr="004E7BD2">
        <w:rPr>
          <w:rFonts w:ascii="Garamond" w:hAnsi="Garamond"/>
          <w:lang w:val="en-GB"/>
        </w:rPr>
        <w:t>DeVeaux</w:t>
      </w:r>
      <w:proofErr w:type="spellEnd"/>
      <w:r w:rsidR="009A37A6" w:rsidRPr="004E7BD2">
        <w:rPr>
          <w:rFonts w:ascii="Garamond" w:hAnsi="Garamond"/>
          <w:lang w:val="en-GB"/>
        </w:rPr>
        <w:t xml:space="preserve"> 2020; </w:t>
      </w:r>
      <w:r w:rsidR="00517DAA" w:rsidRPr="004E7BD2">
        <w:rPr>
          <w:rFonts w:ascii="Garamond" w:hAnsi="Garamond"/>
          <w:lang w:val="en-GB"/>
        </w:rPr>
        <w:t>Mohan et al. 2011)</w:t>
      </w:r>
      <w:r w:rsidR="008D5E87" w:rsidRPr="004E7BD2">
        <w:rPr>
          <w:rFonts w:ascii="Garamond" w:hAnsi="Garamond"/>
          <w:lang w:val="en-GB"/>
        </w:rPr>
        <w:t>.</w:t>
      </w:r>
      <w:r w:rsidR="009A37A6" w:rsidRPr="004E7BD2">
        <w:rPr>
          <w:rFonts w:ascii="Garamond" w:hAnsi="Garamond"/>
          <w:lang w:val="en-GB"/>
        </w:rPr>
        <w:t xml:space="preserve"> Our analysis differs from past work in both the U.S. and England and Wales, however, in that we consider property and violent crime, as measured through </w:t>
      </w:r>
      <w:r w:rsidR="0041286C" w:rsidRPr="004E7BD2">
        <w:rPr>
          <w:rFonts w:ascii="Garamond" w:hAnsi="Garamond"/>
          <w:lang w:val="en-GB"/>
        </w:rPr>
        <w:t>victimisation</w:t>
      </w:r>
      <w:r w:rsidR="009A37A6" w:rsidRPr="004E7BD2">
        <w:rPr>
          <w:rFonts w:ascii="Garamond" w:hAnsi="Garamond"/>
          <w:lang w:val="en-GB"/>
        </w:rPr>
        <w:t xml:space="preserve"> and police data, and we generate measures of crime </w:t>
      </w:r>
      <w:r w:rsidR="003D1CB2">
        <w:rPr>
          <w:rFonts w:ascii="Garamond" w:hAnsi="Garamond"/>
          <w:lang w:val="en-GB"/>
        </w:rPr>
        <w:t>concern</w:t>
      </w:r>
      <w:r w:rsidR="003D1CB2" w:rsidRPr="004E7BD2">
        <w:rPr>
          <w:rFonts w:ascii="Garamond" w:hAnsi="Garamond"/>
          <w:lang w:val="en-GB"/>
        </w:rPr>
        <w:t xml:space="preserve"> </w:t>
      </w:r>
      <w:r w:rsidR="009A37A6" w:rsidRPr="004E7BD2">
        <w:rPr>
          <w:rFonts w:ascii="Garamond" w:hAnsi="Garamond"/>
          <w:lang w:val="en-GB"/>
        </w:rPr>
        <w:t>based on all available data.</w:t>
      </w:r>
    </w:p>
    <w:p w14:paraId="69CB3E1C" w14:textId="3C43FEC8" w:rsidR="00984C44" w:rsidRDefault="00984C44" w:rsidP="00984C44">
      <w:pPr>
        <w:spacing w:after="240"/>
        <w:jc w:val="both"/>
        <w:rPr>
          <w:rFonts w:ascii="Garamond" w:hAnsi="Garamond"/>
          <w:lang w:val="en-GB"/>
        </w:rPr>
      </w:pPr>
      <w:r w:rsidRPr="004E7BD2">
        <w:rPr>
          <w:rFonts w:ascii="Garamond" w:hAnsi="Garamond"/>
          <w:lang w:val="en-GB"/>
        </w:rPr>
        <w:lastRenderedPageBreak/>
        <w:t xml:space="preserve">The U.S. measure relies on five survey questions about crime </w:t>
      </w:r>
      <w:r>
        <w:rPr>
          <w:rFonts w:ascii="Garamond" w:hAnsi="Garamond"/>
          <w:lang w:val="en-GB"/>
        </w:rPr>
        <w:t xml:space="preserve">concern, which were each asked repeatedly since 1965--giving us five time series </w:t>
      </w:r>
      <w:r w:rsidRPr="004E7BD2">
        <w:rPr>
          <w:rFonts w:ascii="Garamond" w:hAnsi="Garamond"/>
          <w:lang w:val="en-GB"/>
        </w:rPr>
        <w:t xml:space="preserve">(though we start our analysis in 1993 to match the crime data reported above). The data were obtained from the Roper </w:t>
      </w:r>
      <w:proofErr w:type="spellStart"/>
      <w:r w:rsidRPr="004E7BD2">
        <w:rPr>
          <w:rFonts w:ascii="Garamond" w:hAnsi="Garamond"/>
          <w:lang w:val="en-GB"/>
        </w:rPr>
        <w:t>Center</w:t>
      </w:r>
      <w:proofErr w:type="spellEnd"/>
      <w:r w:rsidRPr="004E7BD2">
        <w:rPr>
          <w:rFonts w:ascii="Garamond" w:hAnsi="Garamond"/>
          <w:lang w:val="en-GB"/>
        </w:rPr>
        <w:t xml:space="preserve"> for Public Opinion Research at Cornell University. Table 1(a) reports the question</w:t>
      </w:r>
      <w:r>
        <w:rPr>
          <w:rFonts w:ascii="Garamond" w:hAnsi="Garamond"/>
          <w:lang w:val="en-GB"/>
        </w:rPr>
        <w:t>s</w:t>
      </w:r>
      <w:r w:rsidRPr="004E7BD2">
        <w:rPr>
          <w:rFonts w:ascii="Garamond" w:hAnsi="Garamond"/>
          <w:lang w:val="en-GB"/>
        </w:rPr>
        <w:t xml:space="preserve"> and the relationship between each series and crime </w:t>
      </w:r>
      <w:r>
        <w:rPr>
          <w:rFonts w:ascii="Garamond" w:hAnsi="Garamond"/>
          <w:lang w:val="en-GB"/>
        </w:rPr>
        <w:t>concern</w:t>
      </w:r>
      <w:r w:rsidRPr="004E7BD2">
        <w:rPr>
          <w:rFonts w:ascii="Garamond" w:hAnsi="Garamond"/>
          <w:lang w:val="en-GB"/>
        </w:rPr>
        <w:t xml:space="preserve"> index generated with Stimson’s dyad ratios algorithm. Four of the individual series </w:t>
      </w:r>
      <w:r>
        <w:rPr>
          <w:rFonts w:ascii="Garamond" w:hAnsi="Garamond"/>
          <w:lang w:val="en-GB"/>
        </w:rPr>
        <w:t>load</w:t>
      </w:r>
      <w:r w:rsidRPr="004E7BD2">
        <w:rPr>
          <w:rFonts w:ascii="Garamond" w:hAnsi="Garamond"/>
          <w:lang w:val="en-GB"/>
        </w:rPr>
        <w:t xml:space="preserve"> at 0.93 or above and the fifth series </w:t>
      </w:r>
      <w:r>
        <w:rPr>
          <w:rFonts w:ascii="Garamond" w:hAnsi="Garamond"/>
          <w:lang w:val="en-GB"/>
        </w:rPr>
        <w:t>loads</w:t>
      </w:r>
      <w:r w:rsidRPr="004E7BD2">
        <w:rPr>
          <w:rFonts w:ascii="Garamond" w:hAnsi="Garamond"/>
          <w:lang w:val="en-GB"/>
        </w:rPr>
        <w:t xml:space="preserve"> at 0.80. These values show that all series are related and contribute to the overall measure. The high proportion of variance explained (88%) offers another indication that assessments of whether crime is going up and fear of crime are measuring the same underlying concept.</w:t>
      </w:r>
    </w:p>
    <w:p w14:paraId="0EE365BA" w14:textId="13F88A88" w:rsidR="001F6F59" w:rsidRPr="004E7BD2" w:rsidRDefault="001F6F59" w:rsidP="001F6F59">
      <w:pPr>
        <w:spacing w:after="120"/>
        <w:rPr>
          <w:rFonts w:ascii="Garamond" w:hAnsi="Garamond"/>
          <w:lang w:val="en-GB"/>
        </w:rPr>
      </w:pPr>
      <w:r w:rsidRPr="004E7BD2">
        <w:rPr>
          <w:rFonts w:ascii="Garamond" w:hAnsi="Garamond"/>
          <w:b/>
          <w:lang w:val="en-GB"/>
        </w:rPr>
        <w:t>Table 1(a).</w:t>
      </w:r>
      <w:r w:rsidRPr="004E7BD2">
        <w:rPr>
          <w:rFonts w:ascii="Garamond" w:hAnsi="Garamond"/>
          <w:lang w:val="en-GB"/>
        </w:rPr>
        <w:t xml:space="preserve"> </w:t>
      </w:r>
      <w:r w:rsidRPr="004E7BD2">
        <w:rPr>
          <w:rFonts w:ascii="Garamond" w:hAnsi="Garamond" w:cstheme="minorHAnsi"/>
          <w:lang w:val="en-GB"/>
        </w:rPr>
        <w:t xml:space="preserve">Factor Loadings of </w:t>
      </w:r>
      <w:r w:rsidR="006E3BFC">
        <w:rPr>
          <w:rFonts w:ascii="Garamond" w:hAnsi="Garamond" w:cstheme="minorHAnsi"/>
          <w:lang w:val="en-GB"/>
        </w:rPr>
        <w:t xml:space="preserve">Question </w:t>
      </w:r>
      <w:r w:rsidRPr="004E7BD2">
        <w:rPr>
          <w:rFonts w:ascii="Garamond" w:hAnsi="Garamond" w:cstheme="minorHAnsi"/>
          <w:lang w:val="en-GB"/>
        </w:rPr>
        <w:t xml:space="preserve">Series and the </w:t>
      </w:r>
      <w:r w:rsidR="00A34FBC">
        <w:rPr>
          <w:rFonts w:ascii="Garamond" w:hAnsi="Garamond" w:cstheme="minorHAnsi"/>
          <w:lang w:val="en-GB"/>
        </w:rPr>
        <w:t xml:space="preserve">Overall </w:t>
      </w:r>
      <w:r w:rsidRPr="004E7BD2">
        <w:rPr>
          <w:rFonts w:ascii="Garamond" w:hAnsi="Garamond" w:cstheme="minorHAnsi"/>
          <w:lang w:val="en-GB"/>
        </w:rPr>
        <w:t xml:space="preserve">Measure of </w:t>
      </w:r>
      <w:r w:rsidR="001B595B" w:rsidRPr="004E7BD2">
        <w:rPr>
          <w:rFonts w:ascii="Garamond" w:hAnsi="Garamond" w:cstheme="minorHAnsi"/>
          <w:lang w:val="en-GB"/>
        </w:rPr>
        <w:t xml:space="preserve">Crime </w:t>
      </w:r>
      <w:r w:rsidR="003D1CB2">
        <w:rPr>
          <w:rFonts w:ascii="Garamond" w:hAnsi="Garamond" w:cstheme="minorHAnsi"/>
          <w:lang w:val="en-GB"/>
        </w:rPr>
        <w:t>Concern</w:t>
      </w:r>
      <w:r w:rsidRPr="004E7BD2">
        <w:rPr>
          <w:rFonts w:ascii="Garamond" w:hAnsi="Garamond" w:cstheme="minorHAnsi"/>
          <w:lang w:val="en-GB"/>
        </w:rPr>
        <w:t>, U</w:t>
      </w:r>
      <w:r w:rsidR="005738CC" w:rsidRPr="004E7BD2">
        <w:rPr>
          <w:rFonts w:ascii="Garamond" w:hAnsi="Garamond" w:cstheme="minorHAnsi"/>
          <w:lang w:val="en-GB"/>
        </w:rPr>
        <w:t>.</w:t>
      </w:r>
      <w:r w:rsidRPr="004E7BD2">
        <w:rPr>
          <w:rFonts w:ascii="Garamond" w:hAnsi="Garamond" w:cstheme="minorHAnsi"/>
          <w:lang w:val="en-GB"/>
        </w:rPr>
        <w:t>S</w:t>
      </w:r>
      <w:r w:rsidR="005738CC" w:rsidRPr="004E7BD2">
        <w:rPr>
          <w:rFonts w:ascii="Garamond" w:hAnsi="Garamond" w:cstheme="minorHAnsi"/>
          <w:lang w:val="en-GB"/>
        </w:rPr>
        <w:t>.</w:t>
      </w:r>
    </w:p>
    <w:tbl>
      <w:tblPr>
        <w:tblW w:w="8557" w:type="dxa"/>
        <w:tblInd w:w="108" w:type="dxa"/>
        <w:tblLayout w:type="fixed"/>
        <w:tblLook w:val="0000" w:firstRow="0" w:lastRow="0" w:firstColumn="0" w:lastColumn="0" w:noHBand="0" w:noVBand="0"/>
      </w:tblPr>
      <w:tblGrid>
        <w:gridCol w:w="6815"/>
        <w:gridCol w:w="633"/>
        <w:gridCol w:w="1109"/>
      </w:tblGrid>
      <w:tr w:rsidR="001F6F59" w:rsidRPr="004E7BD2" w14:paraId="793CC890" w14:textId="77777777" w:rsidTr="003C3216">
        <w:trPr>
          <w:trHeight w:val="361"/>
        </w:trPr>
        <w:tc>
          <w:tcPr>
            <w:tcW w:w="6815" w:type="dxa"/>
            <w:tcBorders>
              <w:top w:val="double" w:sz="4" w:space="0" w:color="auto"/>
              <w:bottom w:val="single" w:sz="4" w:space="0" w:color="auto"/>
            </w:tcBorders>
            <w:shd w:val="clear" w:color="auto" w:fill="auto"/>
          </w:tcPr>
          <w:p w14:paraId="5AD0FB4D" w14:textId="1C513636" w:rsidR="001F6F59" w:rsidRPr="004E7BD2" w:rsidRDefault="001F6F59" w:rsidP="001F6F59">
            <w:pPr>
              <w:spacing w:before="60" w:after="60"/>
              <w:rPr>
                <w:rFonts w:ascii="Garamond" w:hAnsi="Garamond"/>
                <w:lang w:val="en-GB"/>
              </w:rPr>
            </w:pPr>
            <w:r w:rsidRPr="004E7BD2">
              <w:rPr>
                <w:rFonts w:ascii="Garamond" w:hAnsi="Garamond"/>
                <w:u w:val="single"/>
                <w:lang w:val="en-GB"/>
              </w:rPr>
              <w:t xml:space="preserve">Survey </w:t>
            </w:r>
            <w:r w:rsidR="006E3BFC">
              <w:rPr>
                <w:rFonts w:ascii="Garamond" w:hAnsi="Garamond"/>
                <w:u w:val="single"/>
                <w:lang w:val="en-GB"/>
              </w:rPr>
              <w:t>Question</w:t>
            </w:r>
            <w:r w:rsidR="00D96F00" w:rsidRPr="004E7BD2">
              <w:rPr>
                <w:rFonts w:ascii="Garamond" w:hAnsi="Garamond"/>
                <w:u w:val="single"/>
                <w:lang w:val="en-GB"/>
              </w:rPr>
              <w:t xml:space="preserve"> </w:t>
            </w:r>
            <w:r w:rsidRPr="004E7BD2">
              <w:rPr>
                <w:rFonts w:ascii="Garamond" w:hAnsi="Garamond"/>
                <w:u w:val="single"/>
                <w:lang w:val="en-GB"/>
              </w:rPr>
              <w:t>(</w:t>
            </w:r>
            <w:r w:rsidR="00C038D8">
              <w:rPr>
                <w:rFonts w:ascii="Garamond" w:hAnsi="Garamond"/>
                <w:u w:val="single"/>
                <w:lang w:val="en-GB"/>
              </w:rPr>
              <w:t>survey organisation</w:t>
            </w:r>
            <w:r w:rsidRPr="004E7BD2">
              <w:rPr>
                <w:rFonts w:ascii="Garamond" w:hAnsi="Garamond"/>
                <w:u w:val="single"/>
                <w:lang w:val="en-GB"/>
              </w:rPr>
              <w:t>)</w:t>
            </w:r>
          </w:p>
        </w:tc>
        <w:tc>
          <w:tcPr>
            <w:tcW w:w="633" w:type="dxa"/>
            <w:tcBorders>
              <w:top w:val="double" w:sz="4" w:space="0" w:color="auto"/>
              <w:bottom w:val="single" w:sz="4" w:space="0" w:color="auto"/>
            </w:tcBorders>
            <w:noWrap/>
            <w:tcMar>
              <w:left w:w="28" w:type="dxa"/>
              <w:right w:w="28" w:type="dxa"/>
            </w:tcMar>
            <w:vAlign w:val="center"/>
          </w:tcPr>
          <w:p w14:paraId="1E459968" w14:textId="77777777" w:rsidR="001F6F59" w:rsidRPr="004E7BD2" w:rsidRDefault="001F6F59" w:rsidP="001F6F59">
            <w:pPr>
              <w:spacing w:after="0" w:line="240" w:lineRule="auto"/>
              <w:jc w:val="center"/>
              <w:rPr>
                <w:rFonts w:ascii="Garamond" w:hAnsi="Garamond"/>
                <w:lang w:val="en-GB"/>
              </w:rPr>
            </w:pPr>
            <w:r w:rsidRPr="004E7BD2">
              <w:rPr>
                <w:rFonts w:ascii="Garamond" w:hAnsi="Garamond"/>
                <w:lang w:val="en-GB"/>
              </w:rPr>
              <w:t>Cases</w:t>
            </w:r>
          </w:p>
        </w:tc>
        <w:tc>
          <w:tcPr>
            <w:tcW w:w="1109" w:type="dxa"/>
            <w:tcBorders>
              <w:top w:val="double" w:sz="4" w:space="0" w:color="auto"/>
              <w:bottom w:val="single" w:sz="4" w:space="0" w:color="auto"/>
            </w:tcBorders>
            <w:noWrap/>
            <w:tcMar>
              <w:left w:w="28" w:type="dxa"/>
              <w:right w:w="28" w:type="dxa"/>
            </w:tcMar>
            <w:vAlign w:val="center"/>
          </w:tcPr>
          <w:p w14:paraId="6F1AFBDA" w14:textId="7299844A" w:rsidR="001F6F59" w:rsidRPr="004E7BD2" w:rsidRDefault="006E3BFC" w:rsidP="001F6F59">
            <w:pPr>
              <w:spacing w:after="0" w:line="240" w:lineRule="auto"/>
              <w:jc w:val="center"/>
              <w:rPr>
                <w:rFonts w:ascii="Garamond" w:hAnsi="Garamond"/>
                <w:lang w:val="en-GB"/>
              </w:rPr>
            </w:pPr>
            <w:r>
              <w:rPr>
                <w:rFonts w:ascii="Garamond" w:hAnsi="Garamond"/>
                <w:lang w:val="en-GB"/>
              </w:rPr>
              <w:t>Loading</w:t>
            </w:r>
          </w:p>
        </w:tc>
      </w:tr>
      <w:tr w:rsidR="001F6F59" w:rsidRPr="004E7BD2" w14:paraId="6EAC263E" w14:textId="77777777" w:rsidTr="001F6F59">
        <w:trPr>
          <w:trHeight w:hRule="exact" w:val="114"/>
        </w:trPr>
        <w:tc>
          <w:tcPr>
            <w:tcW w:w="6815" w:type="dxa"/>
            <w:shd w:val="clear" w:color="auto" w:fill="auto"/>
          </w:tcPr>
          <w:p w14:paraId="2BE72B95" w14:textId="77777777" w:rsidR="001F6F59" w:rsidRPr="004E7BD2" w:rsidRDefault="001F6F59" w:rsidP="001F6F59">
            <w:pPr>
              <w:spacing w:before="60" w:after="60"/>
              <w:rPr>
                <w:rFonts w:ascii="Garamond" w:hAnsi="Garamond"/>
                <w:lang w:val="en-GB"/>
              </w:rPr>
            </w:pPr>
          </w:p>
        </w:tc>
        <w:tc>
          <w:tcPr>
            <w:tcW w:w="633" w:type="dxa"/>
            <w:noWrap/>
            <w:tcMar>
              <w:left w:w="28" w:type="dxa"/>
              <w:right w:w="28" w:type="dxa"/>
            </w:tcMar>
            <w:vAlign w:val="center"/>
          </w:tcPr>
          <w:p w14:paraId="5E7FC2ED" w14:textId="77777777" w:rsidR="001F6F59" w:rsidRPr="004E7BD2" w:rsidRDefault="001F6F59" w:rsidP="001F6F59">
            <w:pPr>
              <w:spacing w:after="0" w:line="240" w:lineRule="auto"/>
              <w:jc w:val="center"/>
              <w:rPr>
                <w:rFonts w:ascii="Garamond" w:hAnsi="Garamond"/>
                <w:lang w:val="en-GB"/>
              </w:rPr>
            </w:pPr>
          </w:p>
        </w:tc>
        <w:tc>
          <w:tcPr>
            <w:tcW w:w="1109" w:type="dxa"/>
            <w:noWrap/>
            <w:tcMar>
              <w:left w:w="28" w:type="dxa"/>
              <w:right w:w="28" w:type="dxa"/>
            </w:tcMar>
            <w:vAlign w:val="center"/>
          </w:tcPr>
          <w:p w14:paraId="6665E918" w14:textId="77777777" w:rsidR="001F6F59" w:rsidRPr="004E7BD2" w:rsidRDefault="001F6F59" w:rsidP="001F6F59">
            <w:pPr>
              <w:jc w:val="center"/>
              <w:rPr>
                <w:rFonts w:ascii="Garamond" w:hAnsi="Garamond"/>
                <w:lang w:val="en-GB"/>
              </w:rPr>
            </w:pPr>
          </w:p>
        </w:tc>
      </w:tr>
      <w:tr w:rsidR="001F6F59" w:rsidRPr="004E7BD2" w14:paraId="495FCB8C" w14:textId="77777777" w:rsidTr="001F6F59">
        <w:trPr>
          <w:trHeight w:val="361"/>
        </w:trPr>
        <w:tc>
          <w:tcPr>
            <w:tcW w:w="6815" w:type="dxa"/>
            <w:shd w:val="clear" w:color="auto" w:fill="auto"/>
            <w:vAlign w:val="center"/>
          </w:tcPr>
          <w:p w14:paraId="5D440146" w14:textId="6D57F97A" w:rsidR="001F6F59" w:rsidRPr="004E7BD2" w:rsidRDefault="00A83ED9" w:rsidP="001F6F59">
            <w:pPr>
              <w:spacing w:before="60" w:after="60"/>
              <w:rPr>
                <w:rFonts w:ascii="Garamond" w:hAnsi="Garamond"/>
                <w:lang w:val="en-GB"/>
              </w:rPr>
            </w:pPr>
            <w:r>
              <w:rPr>
                <w:rFonts w:ascii="Garamond" w:hAnsi="Garamond"/>
                <w:lang w:val="en-GB"/>
              </w:rPr>
              <w:t>There i</w:t>
            </w:r>
            <w:r w:rsidR="003173B7" w:rsidRPr="004E7BD2">
              <w:rPr>
                <w:rFonts w:ascii="Garamond" w:hAnsi="Garamond"/>
                <w:lang w:val="en-GB"/>
              </w:rPr>
              <w:t>s more crime in this area than there was a year ago (</w:t>
            </w:r>
            <w:r w:rsidR="006D08BD" w:rsidRPr="004E7BD2">
              <w:rPr>
                <w:rFonts w:ascii="Garamond" w:hAnsi="Garamond"/>
                <w:lang w:val="en-GB"/>
              </w:rPr>
              <w:t>Gallup</w:t>
            </w:r>
            <w:r w:rsidR="003173B7" w:rsidRPr="004E7BD2">
              <w:rPr>
                <w:rFonts w:ascii="Garamond" w:hAnsi="Garamond"/>
                <w:lang w:val="en-GB"/>
              </w:rPr>
              <w:t>)</w:t>
            </w:r>
            <w:r w:rsidR="006D08BD" w:rsidRPr="004E7BD2">
              <w:rPr>
                <w:rFonts w:ascii="Garamond" w:hAnsi="Garamond"/>
                <w:lang w:val="en-GB"/>
              </w:rPr>
              <w:t xml:space="preserve"> </w:t>
            </w:r>
          </w:p>
        </w:tc>
        <w:tc>
          <w:tcPr>
            <w:tcW w:w="633" w:type="dxa"/>
            <w:noWrap/>
            <w:tcMar>
              <w:left w:w="28" w:type="dxa"/>
              <w:right w:w="28" w:type="dxa"/>
            </w:tcMar>
            <w:vAlign w:val="center"/>
          </w:tcPr>
          <w:p w14:paraId="14F1B1E0" w14:textId="3C0F17B3" w:rsidR="001F6F59" w:rsidRPr="004E7BD2" w:rsidRDefault="006D08BD" w:rsidP="001F6F59">
            <w:pPr>
              <w:spacing w:after="0" w:line="240" w:lineRule="auto"/>
              <w:jc w:val="center"/>
              <w:rPr>
                <w:rFonts w:ascii="Garamond" w:hAnsi="Garamond"/>
                <w:lang w:val="en-GB"/>
              </w:rPr>
            </w:pPr>
            <w:r w:rsidRPr="004E7BD2">
              <w:rPr>
                <w:rFonts w:ascii="Garamond" w:hAnsi="Garamond"/>
                <w:lang w:val="en-GB"/>
              </w:rPr>
              <w:t>33</w:t>
            </w:r>
          </w:p>
        </w:tc>
        <w:tc>
          <w:tcPr>
            <w:tcW w:w="1109" w:type="dxa"/>
            <w:noWrap/>
            <w:tcMar>
              <w:left w:w="28" w:type="dxa"/>
              <w:right w:w="28" w:type="dxa"/>
            </w:tcMar>
            <w:vAlign w:val="center"/>
          </w:tcPr>
          <w:p w14:paraId="174190E1" w14:textId="56997035" w:rsidR="001F6F59" w:rsidRPr="004E7BD2" w:rsidRDefault="006D08BD" w:rsidP="006D08BD">
            <w:pPr>
              <w:spacing w:after="0"/>
              <w:jc w:val="center"/>
              <w:rPr>
                <w:rFonts w:ascii="Garamond" w:hAnsi="Garamond"/>
                <w:lang w:val="en-GB"/>
              </w:rPr>
            </w:pPr>
            <w:r w:rsidRPr="004E7BD2">
              <w:rPr>
                <w:rFonts w:ascii="Garamond" w:hAnsi="Garamond"/>
                <w:lang w:val="en-GB"/>
              </w:rPr>
              <w:t>0.97</w:t>
            </w:r>
          </w:p>
        </w:tc>
      </w:tr>
      <w:tr w:rsidR="001F6F59" w:rsidRPr="004E7BD2" w14:paraId="5B298DE9" w14:textId="77777777" w:rsidTr="001F6F59">
        <w:trPr>
          <w:trHeight w:val="602"/>
        </w:trPr>
        <w:tc>
          <w:tcPr>
            <w:tcW w:w="6815" w:type="dxa"/>
            <w:shd w:val="clear" w:color="auto" w:fill="auto"/>
            <w:vAlign w:val="center"/>
          </w:tcPr>
          <w:p w14:paraId="7B10A275" w14:textId="437DAB31" w:rsidR="001F6F59" w:rsidRPr="004E7BD2" w:rsidRDefault="00A83ED9" w:rsidP="001F6F59">
            <w:pPr>
              <w:spacing w:before="60" w:after="60"/>
              <w:rPr>
                <w:rFonts w:ascii="Garamond" w:hAnsi="Garamond"/>
                <w:lang w:val="en-GB"/>
              </w:rPr>
            </w:pPr>
            <w:r>
              <w:rPr>
                <w:rFonts w:ascii="Garamond" w:hAnsi="Garamond"/>
                <w:lang w:val="en-GB"/>
              </w:rPr>
              <w:t>There i</w:t>
            </w:r>
            <w:r w:rsidR="001F3C36" w:rsidRPr="004E7BD2">
              <w:rPr>
                <w:rFonts w:ascii="Garamond" w:hAnsi="Garamond"/>
                <w:lang w:val="en-GB"/>
              </w:rPr>
              <w:t xml:space="preserve">s </w:t>
            </w:r>
            <w:r>
              <w:rPr>
                <w:rFonts w:ascii="Garamond" w:hAnsi="Garamond"/>
                <w:lang w:val="en-GB"/>
              </w:rPr>
              <w:t>an</w:t>
            </w:r>
            <w:r w:rsidR="001F3C36" w:rsidRPr="004E7BD2">
              <w:rPr>
                <w:rFonts w:ascii="Garamond" w:hAnsi="Garamond"/>
                <w:lang w:val="en-GB"/>
              </w:rPr>
              <w:t xml:space="preserve"> area near where you live</w:t>
            </w:r>
            <w:r>
              <w:rPr>
                <w:rFonts w:ascii="Garamond" w:hAnsi="Garamond"/>
                <w:lang w:val="en-GB"/>
              </w:rPr>
              <w:t xml:space="preserve"> </w:t>
            </w:r>
            <w:r w:rsidR="001F3C36" w:rsidRPr="004E7BD2">
              <w:rPr>
                <w:rFonts w:ascii="Garamond" w:hAnsi="Garamond"/>
                <w:lang w:val="en-GB"/>
              </w:rPr>
              <w:t>where afraid to walk alone at night (</w:t>
            </w:r>
            <w:r w:rsidR="006D08BD" w:rsidRPr="004E7BD2">
              <w:rPr>
                <w:rFonts w:ascii="Garamond" w:hAnsi="Garamond"/>
                <w:lang w:val="en-GB"/>
              </w:rPr>
              <w:t>Gallup</w:t>
            </w:r>
            <w:r w:rsidR="001F3C36" w:rsidRPr="004E7BD2">
              <w:rPr>
                <w:rFonts w:ascii="Garamond" w:hAnsi="Garamond"/>
                <w:lang w:val="en-GB"/>
              </w:rPr>
              <w:t>)</w:t>
            </w:r>
          </w:p>
        </w:tc>
        <w:tc>
          <w:tcPr>
            <w:tcW w:w="633" w:type="dxa"/>
            <w:noWrap/>
            <w:tcMar>
              <w:left w:w="28" w:type="dxa"/>
              <w:right w:w="28" w:type="dxa"/>
            </w:tcMar>
            <w:vAlign w:val="center"/>
          </w:tcPr>
          <w:p w14:paraId="48355239" w14:textId="69A8DFC8" w:rsidR="001F6F59" w:rsidRPr="004E7BD2" w:rsidRDefault="006D08BD" w:rsidP="001F6F59">
            <w:pPr>
              <w:spacing w:after="0" w:line="240" w:lineRule="auto"/>
              <w:jc w:val="center"/>
              <w:rPr>
                <w:rFonts w:ascii="Garamond" w:hAnsi="Garamond"/>
                <w:lang w:val="en-GB"/>
              </w:rPr>
            </w:pPr>
            <w:r w:rsidRPr="004E7BD2">
              <w:rPr>
                <w:rFonts w:ascii="Garamond" w:hAnsi="Garamond"/>
                <w:lang w:val="en-GB"/>
              </w:rPr>
              <w:t>34</w:t>
            </w:r>
          </w:p>
        </w:tc>
        <w:tc>
          <w:tcPr>
            <w:tcW w:w="1109" w:type="dxa"/>
            <w:noWrap/>
            <w:tcMar>
              <w:left w:w="28" w:type="dxa"/>
              <w:right w:w="28" w:type="dxa"/>
            </w:tcMar>
            <w:vAlign w:val="center"/>
          </w:tcPr>
          <w:p w14:paraId="40A027F4" w14:textId="3E617439" w:rsidR="001F6F59" w:rsidRPr="004E7BD2" w:rsidRDefault="006D08BD" w:rsidP="001F6F59">
            <w:pPr>
              <w:spacing w:after="0"/>
              <w:jc w:val="center"/>
              <w:rPr>
                <w:rFonts w:ascii="Garamond" w:hAnsi="Garamond"/>
                <w:lang w:val="en-GB"/>
              </w:rPr>
            </w:pPr>
            <w:r w:rsidRPr="004E7BD2">
              <w:rPr>
                <w:rFonts w:ascii="Garamond" w:hAnsi="Garamond"/>
                <w:lang w:val="en-GB"/>
              </w:rPr>
              <w:t>0.93</w:t>
            </w:r>
          </w:p>
        </w:tc>
      </w:tr>
      <w:tr w:rsidR="001F6F59" w:rsidRPr="004E7BD2" w14:paraId="1FD6DCD9" w14:textId="77777777" w:rsidTr="001F6F59">
        <w:trPr>
          <w:trHeight w:val="361"/>
        </w:trPr>
        <w:tc>
          <w:tcPr>
            <w:tcW w:w="6815" w:type="dxa"/>
            <w:shd w:val="clear" w:color="auto" w:fill="auto"/>
            <w:vAlign w:val="center"/>
          </w:tcPr>
          <w:p w14:paraId="64360E6A" w14:textId="47EE14CE" w:rsidR="001F6F59" w:rsidRPr="004E7BD2" w:rsidRDefault="003173B7" w:rsidP="001F6F59">
            <w:pPr>
              <w:spacing w:before="60" w:after="60"/>
              <w:rPr>
                <w:rFonts w:ascii="Garamond" w:hAnsi="Garamond"/>
                <w:lang w:val="en-GB"/>
              </w:rPr>
            </w:pPr>
            <w:r w:rsidRPr="004E7BD2">
              <w:rPr>
                <w:rFonts w:ascii="Garamond" w:hAnsi="Garamond"/>
                <w:lang w:val="en-GB"/>
              </w:rPr>
              <w:t>Is more crime in the U.S. than there was a year ago</w:t>
            </w:r>
            <w:r w:rsidR="001F3C36" w:rsidRPr="004E7BD2">
              <w:rPr>
                <w:rFonts w:ascii="Garamond" w:hAnsi="Garamond"/>
                <w:lang w:val="en-GB"/>
              </w:rPr>
              <w:t xml:space="preserve"> (</w:t>
            </w:r>
            <w:r w:rsidR="006D08BD" w:rsidRPr="004E7BD2">
              <w:rPr>
                <w:rFonts w:ascii="Garamond" w:hAnsi="Garamond"/>
                <w:lang w:val="en-GB"/>
              </w:rPr>
              <w:t>Gallup</w:t>
            </w:r>
            <w:r w:rsidR="001F3C36" w:rsidRPr="004E7BD2">
              <w:rPr>
                <w:rFonts w:ascii="Garamond" w:hAnsi="Garamond"/>
                <w:lang w:val="en-GB"/>
              </w:rPr>
              <w:t>)</w:t>
            </w:r>
            <w:r w:rsidR="006D08BD" w:rsidRPr="004E7BD2">
              <w:rPr>
                <w:rFonts w:ascii="Garamond" w:hAnsi="Garamond"/>
                <w:lang w:val="en-GB"/>
              </w:rPr>
              <w:t xml:space="preserve"> </w:t>
            </w:r>
          </w:p>
        </w:tc>
        <w:tc>
          <w:tcPr>
            <w:tcW w:w="633" w:type="dxa"/>
            <w:noWrap/>
            <w:tcMar>
              <w:left w:w="28" w:type="dxa"/>
              <w:right w:w="28" w:type="dxa"/>
            </w:tcMar>
            <w:vAlign w:val="center"/>
          </w:tcPr>
          <w:p w14:paraId="08D3F27F" w14:textId="72734A97" w:rsidR="001F6F59" w:rsidRPr="004E7BD2" w:rsidRDefault="006D08BD" w:rsidP="001F6F59">
            <w:pPr>
              <w:spacing w:after="0" w:line="240" w:lineRule="auto"/>
              <w:jc w:val="center"/>
              <w:rPr>
                <w:rFonts w:ascii="Garamond" w:hAnsi="Garamond"/>
                <w:lang w:val="en-GB"/>
              </w:rPr>
            </w:pPr>
            <w:r w:rsidRPr="004E7BD2">
              <w:rPr>
                <w:rFonts w:ascii="Garamond" w:hAnsi="Garamond"/>
                <w:lang w:val="en-GB"/>
              </w:rPr>
              <w:t>26</w:t>
            </w:r>
          </w:p>
        </w:tc>
        <w:tc>
          <w:tcPr>
            <w:tcW w:w="1109" w:type="dxa"/>
            <w:noWrap/>
            <w:tcMar>
              <w:left w:w="28" w:type="dxa"/>
              <w:right w:w="28" w:type="dxa"/>
            </w:tcMar>
            <w:vAlign w:val="center"/>
          </w:tcPr>
          <w:p w14:paraId="460A9A86" w14:textId="0B5420F7" w:rsidR="001F6F59" w:rsidRPr="004E7BD2" w:rsidRDefault="006D08BD" w:rsidP="001F6F59">
            <w:pPr>
              <w:spacing w:after="0"/>
              <w:jc w:val="center"/>
              <w:rPr>
                <w:rFonts w:ascii="Garamond" w:hAnsi="Garamond"/>
                <w:lang w:val="en-GB"/>
              </w:rPr>
            </w:pPr>
            <w:r w:rsidRPr="004E7BD2">
              <w:rPr>
                <w:rFonts w:ascii="Garamond" w:hAnsi="Garamond"/>
                <w:lang w:val="en-GB"/>
              </w:rPr>
              <w:t>0.96</w:t>
            </w:r>
          </w:p>
        </w:tc>
      </w:tr>
      <w:tr w:rsidR="001F6F59" w:rsidRPr="004E7BD2" w14:paraId="196DE547" w14:textId="77777777" w:rsidTr="001F6F59">
        <w:trPr>
          <w:trHeight w:val="369"/>
        </w:trPr>
        <w:tc>
          <w:tcPr>
            <w:tcW w:w="6815" w:type="dxa"/>
            <w:shd w:val="clear" w:color="auto" w:fill="auto"/>
            <w:vAlign w:val="center"/>
          </w:tcPr>
          <w:p w14:paraId="10E34654" w14:textId="2CB847AA" w:rsidR="001F6F59" w:rsidRPr="004E7BD2" w:rsidRDefault="00A83ED9" w:rsidP="001F6F59">
            <w:pPr>
              <w:spacing w:before="60" w:after="60"/>
              <w:rPr>
                <w:rFonts w:ascii="Garamond" w:hAnsi="Garamond"/>
                <w:lang w:val="en-GB"/>
              </w:rPr>
            </w:pPr>
            <w:r>
              <w:rPr>
                <w:rFonts w:ascii="Garamond" w:hAnsi="Garamond"/>
                <w:lang w:val="en-GB"/>
              </w:rPr>
              <w:t>F</w:t>
            </w:r>
            <w:r w:rsidR="003173B7" w:rsidRPr="004E7BD2">
              <w:rPr>
                <w:rFonts w:ascii="Garamond" w:hAnsi="Garamond"/>
                <w:lang w:val="en-GB"/>
              </w:rPr>
              <w:t>eel the crime rate in your area has been increasing</w:t>
            </w:r>
            <w:r>
              <w:rPr>
                <w:rFonts w:ascii="Garamond" w:hAnsi="Garamond"/>
                <w:lang w:val="en-GB"/>
              </w:rPr>
              <w:t xml:space="preserve"> in the past year</w:t>
            </w:r>
            <w:r w:rsidR="003173B7" w:rsidRPr="004E7BD2">
              <w:rPr>
                <w:rFonts w:ascii="Garamond" w:hAnsi="Garamond"/>
                <w:lang w:val="en-GB"/>
              </w:rPr>
              <w:t xml:space="preserve"> (</w:t>
            </w:r>
            <w:r w:rsidR="006D08BD" w:rsidRPr="004E7BD2">
              <w:rPr>
                <w:rFonts w:ascii="Garamond" w:hAnsi="Garamond"/>
                <w:lang w:val="en-GB"/>
              </w:rPr>
              <w:t>Harris</w:t>
            </w:r>
            <w:r w:rsidR="003173B7" w:rsidRPr="004E7BD2">
              <w:rPr>
                <w:rFonts w:ascii="Garamond" w:hAnsi="Garamond"/>
                <w:lang w:val="en-GB"/>
              </w:rPr>
              <w:t>)</w:t>
            </w:r>
          </w:p>
        </w:tc>
        <w:tc>
          <w:tcPr>
            <w:tcW w:w="633" w:type="dxa"/>
            <w:noWrap/>
            <w:tcMar>
              <w:left w:w="28" w:type="dxa"/>
              <w:right w:w="28" w:type="dxa"/>
            </w:tcMar>
            <w:vAlign w:val="center"/>
          </w:tcPr>
          <w:p w14:paraId="7A0DC1A7" w14:textId="3CA4D9C7" w:rsidR="001F6F59" w:rsidRPr="004E7BD2" w:rsidDel="00D2222B" w:rsidRDefault="006D08BD" w:rsidP="001F6F59">
            <w:pPr>
              <w:spacing w:after="0" w:line="240" w:lineRule="auto"/>
              <w:jc w:val="center"/>
              <w:rPr>
                <w:rFonts w:ascii="Garamond" w:hAnsi="Garamond"/>
                <w:lang w:val="en-GB"/>
              </w:rPr>
            </w:pPr>
            <w:r w:rsidRPr="004E7BD2">
              <w:rPr>
                <w:rFonts w:ascii="Garamond" w:hAnsi="Garamond"/>
                <w:lang w:val="en-GB"/>
              </w:rPr>
              <w:t>10</w:t>
            </w:r>
          </w:p>
        </w:tc>
        <w:tc>
          <w:tcPr>
            <w:tcW w:w="1109" w:type="dxa"/>
            <w:noWrap/>
            <w:tcMar>
              <w:left w:w="28" w:type="dxa"/>
              <w:right w:w="28" w:type="dxa"/>
            </w:tcMar>
            <w:vAlign w:val="center"/>
          </w:tcPr>
          <w:p w14:paraId="7CCB2C42" w14:textId="761B9625" w:rsidR="001F6F59" w:rsidRPr="004E7BD2" w:rsidDel="00D2222B" w:rsidRDefault="006D08BD" w:rsidP="001F6F59">
            <w:pPr>
              <w:spacing w:after="0"/>
              <w:jc w:val="center"/>
              <w:rPr>
                <w:rFonts w:ascii="Garamond" w:hAnsi="Garamond"/>
                <w:lang w:val="en-GB"/>
              </w:rPr>
            </w:pPr>
            <w:r w:rsidRPr="004E7BD2">
              <w:rPr>
                <w:rFonts w:ascii="Garamond" w:hAnsi="Garamond"/>
                <w:lang w:val="en-GB"/>
              </w:rPr>
              <w:t>0.93</w:t>
            </w:r>
          </w:p>
        </w:tc>
      </w:tr>
      <w:tr w:rsidR="001F6F59" w:rsidRPr="004E7BD2" w14:paraId="4B005B8C" w14:textId="77777777" w:rsidTr="001F6F59">
        <w:trPr>
          <w:trHeight w:val="602"/>
        </w:trPr>
        <w:tc>
          <w:tcPr>
            <w:tcW w:w="6815" w:type="dxa"/>
            <w:shd w:val="clear" w:color="auto" w:fill="auto"/>
            <w:vAlign w:val="center"/>
          </w:tcPr>
          <w:p w14:paraId="28018DAA" w14:textId="6C8AA8AC" w:rsidR="001F6F59" w:rsidRPr="004E7BD2" w:rsidRDefault="00A83ED9" w:rsidP="001F6F59">
            <w:pPr>
              <w:spacing w:before="60" w:after="60"/>
              <w:rPr>
                <w:rFonts w:ascii="Garamond" w:hAnsi="Garamond"/>
                <w:lang w:val="en-GB"/>
              </w:rPr>
            </w:pPr>
            <w:r>
              <w:rPr>
                <w:rFonts w:ascii="Garamond" w:hAnsi="Garamond"/>
                <w:lang w:val="en-GB"/>
              </w:rPr>
              <w:t>Don’t feel safe and secure</w:t>
            </w:r>
            <w:r w:rsidR="001F3C36" w:rsidRPr="004E7BD2">
              <w:rPr>
                <w:rFonts w:ascii="Garamond" w:hAnsi="Garamond"/>
                <w:lang w:val="en-GB"/>
              </w:rPr>
              <w:t xml:space="preserve"> when at home at night</w:t>
            </w:r>
            <w:r>
              <w:rPr>
                <w:rFonts w:ascii="Garamond" w:hAnsi="Garamond"/>
                <w:lang w:val="en-GB"/>
              </w:rPr>
              <w:t xml:space="preserve"> </w:t>
            </w:r>
            <w:r w:rsidR="001F3C36" w:rsidRPr="004E7BD2">
              <w:rPr>
                <w:rFonts w:ascii="Garamond" w:hAnsi="Garamond"/>
                <w:lang w:val="en-GB"/>
              </w:rPr>
              <w:t>(</w:t>
            </w:r>
            <w:r w:rsidR="006D08BD" w:rsidRPr="004E7BD2">
              <w:rPr>
                <w:rFonts w:ascii="Garamond" w:hAnsi="Garamond"/>
                <w:lang w:val="en-GB"/>
              </w:rPr>
              <w:t>Gallup</w:t>
            </w:r>
            <w:r w:rsidR="001F3C36" w:rsidRPr="004E7BD2">
              <w:rPr>
                <w:rFonts w:ascii="Garamond" w:hAnsi="Garamond"/>
                <w:lang w:val="en-GB"/>
              </w:rPr>
              <w:t>)</w:t>
            </w:r>
          </w:p>
        </w:tc>
        <w:tc>
          <w:tcPr>
            <w:tcW w:w="633" w:type="dxa"/>
            <w:noWrap/>
            <w:tcMar>
              <w:left w:w="28" w:type="dxa"/>
              <w:right w:w="28" w:type="dxa"/>
            </w:tcMar>
            <w:vAlign w:val="center"/>
          </w:tcPr>
          <w:p w14:paraId="5EA4876D" w14:textId="613FD9BA" w:rsidR="001F6F59" w:rsidRPr="004E7BD2" w:rsidRDefault="006D08BD" w:rsidP="001F6F59">
            <w:pPr>
              <w:spacing w:after="0" w:line="240" w:lineRule="auto"/>
              <w:jc w:val="center"/>
              <w:rPr>
                <w:rFonts w:ascii="Garamond" w:hAnsi="Garamond"/>
                <w:lang w:val="en-GB"/>
              </w:rPr>
            </w:pPr>
            <w:r w:rsidRPr="004E7BD2">
              <w:rPr>
                <w:rFonts w:ascii="Garamond" w:hAnsi="Garamond"/>
                <w:lang w:val="en-GB"/>
              </w:rPr>
              <w:t>10</w:t>
            </w:r>
          </w:p>
        </w:tc>
        <w:tc>
          <w:tcPr>
            <w:tcW w:w="1109" w:type="dxa"/>
            <w:noWrap/>
            <w:tcMar>
              <w:left w:w="28" w:type="dxa"/>
              <w:right w:w="28" w:type="dxa"/>
            </w:tcMar>
            <w:vAlign w:val="center"/>
          </w:tcPr>
          <w:p w14:paraId="68EC442D" w14:textId="527A4E32" w:rsidR="001F6F59" w:rsidRPr="004E7BD2" w:rsidRDefault="006D08BD" w:rsidP="001F6F59">
            <w:pPr>
              <w:spacing w:after="0"/>
              <w:jc w:val="center"/>
              <w:rPr>
                <w:rFonts w:ascii="Garamond" w:hAnsi="Garamond"/>
                <w:lang w:val="en-GB"/>
              </w:rPr>
            </w:pPr>
            <w:r w:rsidRPr="004E7BD2">
              <w:rPr>
                <w:rFonts w:ascii="Garamond" w:hAnsi="Garamond"/>
                <w:lang w:val="en-GB"/>
              </w:rPr>
              <w:t>0.80</w:t>
            </w:r>
          </w:p>
        </w:tc>
      </w:tr>
      <w:tr w:rsidR="00B61550" w:rsidRPr="004E7BD2" w14:paraId="796CD5B1" w14:textId="77777777" w:rsidTr="00B61550">
        <w:trPr>
          <w:trHeight w:hRule="exact" w:val="95"/>
        </w:trPr>
        <w:tc>
          <w:tcPr>
            <w:tcW w:w="6815" w:type="dxa"/>
            <w:shd w:val="clear" w:color="auto" w:fill="auto"/>
            <w:vAlign w:val="center"/>
          </w:tcPr>
          <w:p w14:paraId="77F3D230" w14:textId="77777777" w:rsidR="00B61550" w:rsidRPr="004E7BD2" w:rsidRDefault="00B61550" w:rsidP="001F6F59">
            <w:pPr>
              <w:spacing w:after="0"/>
              <w:rPr>
                <w:rFonts w:ascii="Garamond" w:hAnsi="Garamond"/>
                <w:u w:val="single"/>
                <w:lang w:val="en-GB"/>
              </w:rPr>
            </w:pPr>
          </w:p>
        </w:tc>
        <w:tc>
          <w:tcPr>
            <w:tcW w:w="633" w:type="dxa"/>
            <w:noWrap/>
            <w:tcMar>
              <w:left w:w="28" w:type="dxa"/>
              <w:right w:w="28" w:type="dxa"/>
            </w:tcMar>
            <w:vAlign w:val="center"/>
          </w:tcPr>
          <w:p w14:paraId="5FD37558" w14:textId="77777777" w:rsidR="00B61550" w:rsidRPr="004E7BD2" w:rsidRDefault="00B61550" w:rsidP="001F6F59">
            <w:pPr>
              <w:spacing w:after="0" w:line="240" w:lineRule="auto"/>
              <w:jc w:val="center"/>
              <w:rPr>
                <w:rFonts w:ascii="Garamond" w:hAnsi="Garamond"/>
                <w:lang w:val="en-GB"/>
              </w:rPr>
            </w:pPr>
          </w:p>
        </w:tc>
        <w:tc>
          <w:tcPr>
            <w:tcW w:w="1109" w:type="dxa"/>
            <w:noWrap/>
            <w:tcMar>
              <w:left w:w="28" w:type="dxa"/>
              <w:right w:w="28" w:type="dxa"/>
            </w:tcMar>
            <w:vAlign w:val="center"/>
          </w:tcPr>
          <w:p w14:paraId="4E499F30" w14:textId="77777777" w:rsidR="00B61550" w:rsidRPr="004E7BD2" w:rsidRDefault="00B61550" w:rsidP="001F6F59">
            <w:pPr>
              <w:jc w:val="center"/>
              <w:rPr>
                <w:rFonts w:ascii="Garamond" w:hAnsi="Garamond"/>
                <w:lang w:val="en-GB"/>
              </w:rPr>
            </w:pPr>
          </w:p>
        </w:tc>
      </w:tr>
      <w:tr w:rsidR="001F6F59" w:rsidRPr="004E7BD2" w14:paraId="26F6B959" w14:textId="77777777" w:rsidTr="001F6F59">
        <w:trPr>
          <w:trHeight w:hRule="exact" w:val="345"/>
        </w:trPr>
        <w:tc>
          <w:tcPr>
            <w:tcW w:w="6815" w:type="dxa"/>
            <w:shd w:val="clear" w:color="auto" w:fill="auto"/>
            <w:vAlign w:val="center"/>
          </w:tcPr>
          <w:p w14:paraId="54271527" w14:textId="77777777" w:rsidR="001F6F59" w:rsidRPr="004E7BD2" w:rsidRDefault="001F6F59" w:rsidP="001F6F59">
            <w:pPr>
              <w:spacing w:after="0"/>
              <w:rPr>
                <w:rFonts w:ascii="Garamond" w:hAnsi="Garamond"/>
                <w:u w:val="single"/>
                <w:lang w:val="en-GB"/>
              </w:rPr>
            </w:pPr>
            <w:r w:rsidRPr="004E7BD2">
              <w:rPr>
                <w:rFonts w:ascii="Garamond" w:hAnsi="Garamond"/>
                <w:u w:val="single"/>
                <w:lang w:val="en-GB"/>
              </w:rPr>
              <w:t>First dimension</w:t>
            </w:r>
          </w:p>
        </w:tc>
        <w:tc>
          <w:tcPr>
            <w:tcW w:w="633" w:type="dxa"/>
            <w:noWrap/>
            <w:tcMar>
              <w:left w:w="28" w:type="dxa"/>
              <w:right w:w="28" w:type="dxa"/>
            </w:tcMar>
            <w:vAlign w:val="center"/>
          </w:tcPr>
          <w:p w14:paraId="7A635062" w14:textId="77777777" w:rsidR="001F6F59" w:rsidRPr="004E7BD2" w:rsidRDefault="001F6F59" w:rsidP="001F6F59">
            <w:pPr>
              <w:spacing w:after="0" w:line="240" w:lineRule="auto"/>
              <w:jc w:val="center"/>
              <w:rPr>
                <w:rFonts w:ascii="Garamond" w:hAnsi="Garamond"/>
                <w:lang w:val="en-GB"/>
              </w:rPr>
            </w:pPr>
          </w:p>
        </w:tc>
        <w:tc>
          <w:tcPr>
            <w:tcW w:w="1109" w:type="dxa"/>
            <w:noWrap/>
            <w:tcMar>
              <w:left w:w="28" w:type="dxa"/>
              <w:right w:w="28" w:type="dxa"/>
            </w:tcMar>
            <w:vAlign w:val="center"/>
          </w:tcPr>
          <w:p w14:paraId="4F0FA9ED" w14:textId="77777777" w:rsidR="001F6F59" w:rsidRPr="004E7BD2" w:rsidRDefault="001F6F59" w:rsidP="001F6F59">
            <w:pPr>
              <w:jc w:val="center"/>
              <w:rPr>
                <w:rFonts w:ascii="Garamond" w:hAnsi="Garamond"/>
                <w:lang w:val="en-GB"/>
              </w:rPr>
            </w:pPr>
          </w:p>
        </w:tc>
      </w:tr>
      <w:tr w:rsidR="001F6F59" w:rsidRPr="004E7BD2" w14:paraId="26F27056" w14:textId="77777777" w:rsidTr="001F6F59">
        <w:trPr>
          <w:trHeight w:val="361"/>
        </w:trPr>
        <w:tc>
          <w:tcPr>
            <w:tcW w:w="6815" w:type="dxa"/>
            <w:shd w:val="clear" w:color="auto" w:fill="auto"/>
            <w:vAlign w:val="center"/>
          </w:tcPr>
          <w:p w14:paraId="62315369" w14:textId="77777777" w:rsidR="001F6F59" w:rsidRPr="004E7BD2" w:rsidRDefault="001F6F59" w:rsidP="001F6F59">
            <w:pPr>
              <w:spacing w:before="60" w:after="60"/>
              <w:rPr>
                <w:rFonts w:ascii="Garamond" w:hAnsi="Garamond"/>
                <w:lang w:val="en-GB"/>
              </w:rPr>
            </w:pPr>
            <w:r w:rsidRPr="004E7BD2">
              <w:rPr>
                <w:rFonts w:ascii="Garamond" w:hAnsi="Garamond"/>
                <w:lang w:val="en-GB"/>
              </w:rPr>
              <w:t>Proportion of variance explained</w:t>
            </w:r>
          </w:p>
        </w:tc>
        <w:tc>
          <w:tcPr>
            <w:tcW w:w="1742" w:type="dxa"/>
            <w:gridSpan w:val="2"/>
            <w:noWrap/>
            <w:tcMar>
              <w:left w:w="28" w:type="dxa"/>
              <w:right w:w="28" w:type="dxa"/>
            </w:tcMar>
            <w:vAlign w:val="center"/>
          </w:tcPr>
          <w:p w14:paraId="1959D94F" w14:textId="08319502" w:rsidR="001F6F59" w:rsidRPr="004E7BD2" w:rsidRDefault="006D08BD" w:rsidP="001F6F59">
            <w:pPr>
              <w:spacing w:after="0" w:line="240" w:lineRule="auto"/>
              <w:jc w:val="center"/>
              <w:rPr>
                <w:rFonts w:ascii="Garamond" w:hAnsi="Garamond"/>
                <w:lang w:val="en-GB"/>
              </w:rPr>
            </w:pPr>
            <w:r w:rsidRPr="004E7BD2">
              <w:rPr>
                <w:rFonts w:ascii="Garamond" w:hAnsi="Garamond"/>
                <w:lang w:val="en-GB"/>
              </w:rPr>
              <w:t>88.0</w:t>
            </w:r>
          </w:p>
        </w:tc>
      </w:tr>
      <w:tr w:rsidR="001F6F59" w:rsidRPr="004E7BD2" w14:paraId="749EFDE9" w14:textId="77777777" w:rsidTr="001F6F59">
        <w:trPr>
          <w:trHeight w:val="361"/>
        </w:trPr>
        <w:tc>
          <w:tcPr>
            <w:tcW w:w="6815" w:type="dxa"/>
            <w:shd w:val="clear" w:color="auto" w:fill="auto"/>
            <w:vAlign w:val="center"/>
          </w:tcPr>
          <w:p w14:paraId="3DCC5568" w14:textId="519EEF1A" w:rsidR="001F6F59" w:rsidRPr="004E7BD2" w:rsidRDefault="00A34FBC" w:rsidP="001F6F59">
            <w:pPr>
              <w:spacing w:before="60" w:after="60"/>
              <w:rPr>
                <w:rFonts w:ascii="Garamond" w:hAnsi="Garamond"/>
                <w:lang w:val="en-GB"/>
              </w:rPr>
            </w:pPr>
            <w:r>
              <w:rPr>
                <w:rFonts w:ascii="Garamond" w:hAnsi="Garamond"/>
                <w:lang w:val="en-GB"/>
              </w:rPr>
              <w:t xml:space="preserve">N of </w:t>
            </w:r>
            <w:r w:rsidR="006E3BFC">
              <w:rPr>
                <w:rFonts w:ascii="Garamond" w:hAnsi="Garamond"/>
                <w:lang w:val="en-GB"/>
              </w:rPr>
              <w:t xml:space="preserve">question </w:t>
            </w:r>
            <w:r>
              <w:rPr>
                <w:rFonts w:ascii="Garamond" w:hAnsi="Garamond"/>
                <w:lang w:val="en-GB"/>
              </w:rPr>
              <w:t>series used to estimate the overall measure</w:t>
            </w:r>
          </w:p>
        </w:tc>
        <w:tc>
          <w:tcPr>
            <w:tcW w:w="1742" w:type="dxa"/>
            <w:gridSpan w:val="2"/>
            <w:noWrap/>
            <w:tcMar>
              <w:left w:w="28" w:type="dxa"/>
              <w:right w:w="28" w:type="dxa"/>
            </w:tcMar>
            <w:vAlign w:val="center"/>
          </w:tcPr>
          <w:p w14:paraId="62F5392A" w14:textId="13D34183" w:rsidR="001F6F59" w:rsidRPr="004E7BD2" w:rsidRDefault="006D08BD" w:rsidP="001F6F59">
            <w:pPr>
              <w:spacing w:after="0" w:line="240" w:lineRule="auto"/>
              <w:jc w:val="center"/>
              <w:rPr>
                <w:rFonts w:ascii="Garamond" w:hAnsi="Garamond"/>
                <w:lang w:val="en-GB"/>
              </w:rPr>
            </w:pPr>
            <w:r w:rsidRPr="004E7BD2">
              <w:rPr>
                <w:rFonts w:ascii="Garamond" w:hAnsi="Garamond"/>
                <w:lang w:val="en-GB"/>
              </w:rPr>
              <w:t>5</w:t>
            </w:r>
          </w:p>
        </w:tc>
      </w:tr>
      <w:tr w:rsidR="001F6F59" w:rsidRPr="004E7BD2" w14:paraId="4EC3C703" w14:textId="77777777" w:rsidTr="001F6F59">
        <w:trPr>
          <w:trHeight w:val="361"/>
        </w:trPr>
        <w:tc>
          <w:tcPr>
            <w:tcW w:w="6815" w:type="dxa"/>
            <w:shd w:val="clear" w:color="auto" w:fill="auto"/>
            <w:vAlign w:val="center"/>
          </w:tcPr>
          <w:p w14:paraId="127FC4F0" w14:textId="1C69BA1E" w:rsidR="001F6F59" w:rsidRPr="004E7BD2" w:rsidRDefault="00475E57" w:rsidP="001F6F59">
            <w:pPr>
              <w:spacing w:before="60" w:after="60"/>
              <w:rPr>
                <w:rFonts w:ascii="Garamond" w:hAnsi="Garamond"/>
                <w:lang w:val="en-GB"/>
              </w:rPr>
            </w:pPr>
            <w:r>
              <w:rPr>
                <w:rFonts w:ascii="Garamond" w:hAnsi="Garamond"/>
                <w:lang w:val="en-GB"/>
              </w:rPr>
              <w:t xml:space="preserve">Total </w:t>
            </w:r>
            <w:r w:rsidR="001F6F59" w:rsidRPr="004E7BD2">
              <w:rPr>
                <w:rFonts w:ascii="Garamond" w:hAnsi="Garamond"/>
                <w:lang w:val="en-GB"/>
              </w:rPr>
              <w:t>N of survey items</w:t>
            </w:r>
          </w:p>
        </w:tc>
        <w:tc>
          <w:tcPr>
            <w:tcW w:w="1742" w:type="dxa"/>
            <w:gridSpan w:val="2"/>
            <w:noWrap/>
            <w:tcMar>
              <w:left w:w="28" w:type="dxa"/>
              <w:right w:w="28" w:type="dxa"/>
            </w:tcMar>
            <w:vAlign w:val="center"/>
          </w:tcPr>
          <w:p w14:paraId="4AB2F73D" w14:textId="65177EBE" w:rsidR="001F6F59" w:rsidRPr="004E7BD2" w:rsidRDefault="006D08BD" w:rsidP="001F6F59">
            <w:pPr>
              <w:spacing w:after="0" w:line="240" w:lineRule="auto"/>
              <w:jc w:val="center"/>
              <w:rPr>
                <w:rFonts w:ascii="Garamond" w:hAnsi="Garamond"/>
                <w:lang w:val="en-GB"/>
              </w:rPr>
            </w:pPr>
            <w:r w:rsidRPr="004E7BD2">
              <w:rPr>
                <w:rFonts w:ascii="Garamond" w:hAnsi="Garamond"/>
                <w:lang w:val="en-GB"/>
              </w:rPr>
              <w:t>120</w:t>
            </w:r>
          </w:p>
        </w:tc>
      </w:tr>
      <w:tr w:rsidR="001F6F59" w:rsidRPr="004E7BD2" w14:paraId="68687620" w14:textId="77777777" w:rsidTr="001F6F59">
        <w:trPr>
          <w:trHeight w:val="361"/>
        </w:trPr>
        <w:tc>
          <w:tcPr>
            <w:tcW w:w="6815" w:type="dxa"/>
            <w:shd w:val="clear" w:color="auto" w:fill="auto"/>
            <w:vAlign w:val="center"/>
          </w:tcPr>
          <w:p w14:paraId="250AA9B4" w14:textId="77777777" w:rsidR="001F6F59" w:rsidRPr="004E7BD2" w:rsidRDefault="001F6F59" w:rsidP="001F6F59">
            <w:pPr>
              <w:spacing w:before="60" w:after="60"/>
              <w:rPr>
                <w:rFonts w:ascii="Garamond" w:hAnsi="Garamond"/>
                <w:lang w:val="en-GB"/>
              </w:rPr>
            </w:pPr>
            <w:r w:rsidRPr="004E7BD2">
              <w:rPr>
                <w:rFonts w:ascii="Garamond" w:hAnsi="Garamond"/>
                <w:lang w:val="en-GB"/>
              </w:rPr>
              <w:t>Start</w:t>
            </w:r>
          </w:p>
        </w:tc>
        <w:tc>
          <w:tcPr>
            <w:tcW w:w="1742" w:type="dxa"/>
            <w:gridSpan w:val="2"/>
            <w:noWrap/>
            <w:tcMar>
              <w:left w:w="28" w:type="dxa"/>
              <w:right w:w="28" w:type="dxa"/>
            </w:tcMar>
            <w:vAlign w:val="center"/>
          </w:tcPr>
          <w:p w14:paraId="251D1983" w14:textId="7041F04E" w:rsidR="001F6F59" w:rsidRPr="004E7BD2" w:rsidDel="00D2222B" w:rsidRDefault="006D08BD" w:rsidP="001F6F59">
            <w:pPr>
              <w:spacing w:after="0" w:line="240" w:lineRule="auto"/>
              <w:jc w:val="center"/>
              <w:rPr>
                <w:rFonts w:ascii="Garamond" w:hAnsi="Garamond"/>
                <w:lang w:val="en-GB"/>
              </w:rPr>
            </w:pPr>
            <w:r w:rsidRPr="004E7BD2">
              <w:rPr>
                <w:rFonts w:ascii="Garamond" w:hAnsi="Garamond"/>
                <w:lang w:val="en-GB"/>
              </w:rPr>
              <w:t>1965</w:t>
            </w:r>
          </w:p>
        </w:tc>
      </w:tr>
      <w:tr w:rsidR="001F6F59" w:rsidRPr="004E7BD2" w14:paraId="3E160694" w14:textId="77777777" w:rsidTr="001F6F59">
        <w:trPr>
          <w:trHeight w:val="361"/>
        </w:trPr>
        <w:tc>
          <w:tcPr>
            <w:tcW w:w="6815" w:type="dxa"/>
            <w:shd w:val="clear" w:color="auto" w:fill="auto"/>
            <w:vAlign w:val="center"/>
          </w:tcPr>
          <w:p w14:paraId="0A88AB08" w14:textId="77777777" w:rsidR="001F6F59" w:rsidRPr="004E7BD2" w:rsidRDefault="001F6F59" w:rsidP="001F6F59">
            <w:pPr>
              <w:spacing w:before="60" w:after="60"/>
              <w:rPr>
                <w:rFonts w:ascii="Garamond" w:hAnsi="Garamond"/>
                <w:lang w:val="en-GB"/>
              </w:rPr>
            </w:pPr>
            <w:r w:rsidRPr="004E7BD2">
              <w:rPr>
                <w:rFonts w:ascii="Garamond" w:hAnsi="Garamond"/>
                <w:lang w:val="en-GB"/>
              </w:rPr>
              <w:t>End</w:t>
            </w:r>
          </w:p>
        </w:tc>
        <w:tc>
          <w:tcPr>
            <w:tcW w:w="1742" w:type="dxa"/>
            <w:gridSpan w:val="2"/>
            <w:noWrap/>
            <w:tcMar>
              <w:left w:w="28" w:type="dxa"/>
              <w:right w:w="28" w:type="dxa"/>
            </w:tcMar>
            <w:vAlign w:val="center"/>
          </w:tcPr>
          <w:p w14:paraId="3815F99E" w14:textId="29C25CC8" w:rsidR="001F6F59" w:rsidRPr="004E7BD2" w:rsidDel="00D2222B" w:rsidRDefault="001F6F59" w:rsidP="001F6F59">
            <w:pPr>
              <w:spacing w:after="0" w:line="240" w:lineRule="auto"/>
              <w:jc w:val="center"/>
              <w:rPr>
                <w:rFonts w:ascii="Garamond" w:hAnsi="Garamond"/>
                <w:lang w:val="en-GB"/>
              </w:rPr>
            </w:pPr>
            <w:r w:rsidRPr="004E7BD2">
              <w:rPr>
                <w:rFonts w:ascii="Garamond" w:hAnsi="Garamond"/>
                <w:lang w:val="en-GB"/>
              </w:rPr>
              <w:t>202</w:t>
            </w:r>
            <w:r w:rsidR="00B53F53" w:rsidRPr="004E7BD2">
              <w:rPr>
                <w:rFonts w:ascii="Garamond" w:hAnsi="Garamond"/>
                <w:lang w:val="en-GB"/>
              </w:rPr>
              <w:t>1</w:t>
            </w:r>
          </w:p>
        </w:tc>
      </w:tr>
      <w:tr w:rsidR="001F6F59" w:rsidRPr="004E7BD2" w14:paraId="43150CD9" w14:textId="77777777" w:rsidTr="001F6F59">
        <w:trPr>
          <w:trHeight w:hRule="exact" w:val="172"/>
        </w:trPr>
        <w:tc>
          <w:tcPr>
            <w:tcW w:w="6815" w:type="dxa"/>
            <w:tcBorders>
              <w:bottom w:val="double" w:sz="4" w:space="0" w:color="auto"/>
            </w:tcBorders>
            <w:shd w:val="clear" w:color="auto" w:fill="auto"/>
            <w:vAlign w:val="center"/>
          </w:tcPr>
          <w:p w14:paraId="6E072FFC" w14:textId="77777777" w:rsidR="001F6F59" w:rsidRPr="004E7BD2" w:rsidRDefault="001F6F59" w:rsidP="001F6F59">
            <w:pPr>
              <w:rPr>
                <w:rFonts w:ascii="Garamond" w:hAnsi="Garamond"/>
                <w:lang w:val="en-GB"/>
              </w:rPr>
            </w:pPr>
          </w:p>
        </w:tc>
        <w:tc>
          <w:tcPr>
            <w:tcW w:w="1742" w:type="dxa"/>
            <w:gridSpan w:val="2"/>
            <w:tcBorders>
              <w:bottom w:val="double" w:sz="4" w:space="0" w:color="auto"/>
            </w:tcBorders>
            <w:noWrap/>
            <w:tcMar>
              <w:left w:w="28" w:type="dxa"/>
              <w:right w:w="28" w:type="dxa"/>
            </w:tcMar>
            <w:vAlign w:val="center"/>
          </w:tcPr>
          <w:p w14:paraId="24C8B6AF" w14:textId="77777777" w:rsidR="001F6F59" w:rsidRPr="004E7BD2" w:rsidRDefault="001F6F59" w:rsidP="001F6F59">
            <w:pPr>
              <w:spacing w:after="0" w:line="240" w:lineRule="auto"/>
              <w:jc w:val="center"/>
              <w:rPr>
                <w:rFonts w:ascii="Garamond" w:hAnsi="Garamond"/>
                <w:lang w:val="en-GB"/>
              </w:rPr>
            </w:pPr>
          </w:p>
        </w:tc>
      </w:tr>
    </w:tbl>
    <w:p w14:paraId="4D8240AA" w14:textId="3411B756" w:rsidR="003C3216" w:rsidRDefault="003C3216" w:rsidP="003C3216">
      <w:pPr>
        <w:spacing w:after="0"/>
        <w:jc w:val="both"/>
        <w:rPr>
          <w:rFonts w:ascii="Garamond" w:hAnsi="Garamond"/>
          <w:lang w:val="en-GB"/>
        </w:rPr>
      </w:pPr>
    </w:p>
    <w:p w14:paraId="26B31E9C" w14:textId="77777777" w:rsidR="00984C44" w:rsidRDefault="00984C44" w:rsidP="003C3216">
      <w:pPr>
        <w:spacing w:after="0"/>
        <w:jc w:val="both"/>
        <w:rPr>
          <w:rFonts w:ascii="Garamond" w:hAnsi="Garamond"/>
          <w:lang w:val="en-GB"/>
        </w:rPr>
      </w:pPr>
    </w:p>
    <w:p w14:paraId="00ED8E0A" w14:textId="5947A28B" w:rsidR="00984C44" w:rsidRPr="004E7BD2" w:rsidRDefault="00984C44" w:rsidP="00984C44">
      <w:pPr>
        <w:spacing w:after="240"/>
        <w:jc w:val="both"/>
        <w:rPr>
          <w:rFonts w:ascii="Garamond" w:hAnsi="Garamond"/>
          <w:lang w:val="en-GB"/>
        </w:rPr>
      </w:pPr>
      <w:r w:rsidRPr="004E7BD2">
        <w:rPr>
          <w:rFonts w:ascii="Garamond" w:hAnsi="Garamond"/>
          <w:lang w:val="en-GB"/>
        </w:rPr>
        <w:t xml:space="preserve">The measure of crime </w:t>
      </w:r>
      <w:r>
        <w:rPr>
          <w:rFonts w:ascii="Garamond" w:hAnsi="Garamond"/>
          <w:lang w:val="en-GB"/>
        </w:rPr>
        <w:t>concerns</w:t>
      </w:r>
      <w:r w:rsidRPr="004E7BD2">
        <w:rPr>
          <w:rFonts w:ascii="Garamond" w:hAnsi="Garamond"/>
          <w:lang w:val="en-GB"/>
        </w:rPr>
        <w:t xml:space="preserve"> for England and Wales uses a number of series in the </w:t>
      </w:r>
      <w:r>
        <w:rPr>
          <w:rFonts w:ascii="Garamond" w:hAnsi="Garamond"/>
          <w:lang w:val="en-GB"/>
        </w:rPr>
        <w:t>CSEW</w:t>
      </w:r>
      <w:r w:rsidRPr="004E7BD2">
        <w:rPr>
          <w:rFonts w:ascii="Garamond" w:hAnsi="Garamond"/>
          <w:lang w:val="en-GB"/>
        </w:rPr>
        <w:t xml:space="preserve"> and the British Election Study (including its ‘Continuous Monitoring Survey’ that ran monthly between 2004 and 2013 and its Internet Panel </w:t>
      </w:r>
      <w:r>
        <w:rPr>
          <w:rFonts w:ascii="Garamond" w:hAnsi="Garamond"/>
          <w:lang w:val="en-GB"/>
        </w:rPr>
        <w:t>fielded</w:t>
      </w:r>
      <w:r w:rsidRPr="004E7BD2">
        <w:rPr>
          <w:rFonts w:ascii="Garamond" w:hAnsi="Garamond"/>
          <w:lang w:val="en-GB"/>
        </w:rPr>
        <w:t xml:space="preserve"> at periodic intervals since 2014), plus questions asked by YouGov. Since 1982, the CSEW has asked people about their fear of crime, using </w:t>
      </w:r>
      <w:r>
        <w:rPr>
          <w:rFonts w:ascii="Garamond" w:hAnsi="Garamond"/>
          <w:lang w:val="en-GB"/>
        </w:rPr>
        <w:t>a</w:t>
      </w:r>
      <w:r w:rsidRPr="004E7BD2">
        <w:rPr>
          <w:rFonts w:ascii="Garamond" w:hAnsi="Garamond"/>
          <w:lang w:val="en-GB"/>
        </w:rPr>
        <w:t xml:space="preserve"> question asking how safe respondents feel when walking alone in their area after dark (as with the U.S. opinion data, we again focus our analysis on the period that aligns with the previous crime data). Research has found that this measure tends to capture diffuse anxiety about the risk of crime more than everyday personal concerns over safety (Gray et al. 2008). We include this series and a number of other survey questions capturing worry about crime and belief that the crime rate is rising (2,939 items in total), and find that mostly these items load strongly onto the underlying dimension of public concern about crime. The single estimated dimension accounts for nearly 80 per cent of the variance in the component measures of public opinion. Although the measure of crime </w:t>
      </w:r>
      <w:r>
        <w:rPr>
          <w:rFonts w:ascii="Garamond" w:hAnsi="Garamond"/>
          <w:lang w:val="en-GB"/>
        </w:rPr>
        <w:t>concern</w:t>
      </w:r>
      <w:r w:rsidRPr="004E7BD2">
        <w:rPr>
          <w:rFonts w:ascii="Garamond" w:hAnsi="Garamond"/>
          <w:lang w:val="en-GB"/>
        </w:rPr>
        <w:t xml:space="preserve"> in England and Wales includes more survey questions than the U.S. measure, we see that the proportion of variance explained and relationships between each series and the resulting index are very similar to what we found in the U.S in Table 1(a).</w:t>
      </w:r>
    </w:p>
    <w:p w14:paraId="76887495" w14:textId="77777777" w:rsidR="00984C44" w:rsidRDefault="00984C44" w:rsidP="003C3216">
      <w:pPr>
        <w:spacing w:after="0"/>
        <w:jc w:val="both"/>
        <w:rPr>
          <w:rFonts w:ascii="Garamond" w:hAnsi="Garamond"/>
          <w:lang w:val="en-GB"/>
        </w:rPr>
      </w:pPr>
    </w:p>
    <w:p w14:paraId="20382FDC" w14:textId="3560CCEE" w:rsidR="003C3216" w:rsidRPr="004E7BD2" w:rsidRDefault="003C3216" w:rsidP="003C3216">
      <w:pPr>
        <w:spacing w:after="120"/>
        <w:rPr>
          <w:rFonts w:ascii="Garamond" w:hAnsi="Garamond"/>
          <w:lang w:val="en-GB"/>
        </w:rPr>
      </w:pPr>
      <w:r w:rsidRPr="004E7BD2">
        <w:rPr>
          <w:rFonts w:ascii="Garamond" w:hAnsi="Garamond"/>
          <w:b/>
          <w:lang w:val="en-GB"/>
        </w:rPr>
        <w:lastRenderedPageBreak/>
        <w:t>Table 1(b).</w:t>
      </w:r>
      <w:r w:rsidRPr="004E7BD2">
        <w:rPr>
          <w:rFonts w:ascii="Garamond" w:hAnsi="Garamond"/>
          <w:lang w:val="en-GB"/>
        </w:rPr>
        <w:t xml:space="preserve"> </w:t>
      </w:r>
      <w:r w:rsidRPr="004E7BD2">
        <w:rPr>
          <w:rFonts w:ascii="Garamond" w:hAnsi="Garamond" w:cstheme="minorHAnsi"/>
          <w:lang w:val="en-GB"/>
        </w:rPr>
        <w:t xml:space="preserve">Factor Loadings of </w:t>
      </w:r>
      <w:r w:rsidR="006E3BFC">
        <w:rPr>
          <w:rFonts w:ascii="Garamond" w:hAnsi="Garamond" w:cstheme="minorHAnsi"/>
          <w:lang w:val="en-GB"/>
        </w:rPr>
        <w:t xml:space="preserve">Question </w:t>
      </w:r>
      <w:r w:rsidRPr="004E7BD2">
        <w:rPr>
          <w:rFonts w:ascii="Garamond" w:hAnsi="Garamond" w:cstheme="minorHAnsi"/>
          <w:lang w:val="en-GB"/>
        </w:rPr>
        <w:t xml:space="preserve">Series and the </w:t>
      </w:r>
      <w:r w:rsidR="00766408">
        <w:rPr>
          <w:rFonts w:ascii="Garamond" w:hAnsi="Garamond" w:cstheme="minorHAnsi"/>
          <w:lang w:val="en-GB"/>
        </w:rPr>
        <w:t xml:space="preserve">Overall </w:t>
      </w:r>
      <w:r w:rsidRPr="004E7BD2">
        <w:rPr>
          <w:rFonts w:ascii="Garamond" w:hAnsi="Garamond" w:cstheme="minorHAnsi"/>
          <w:lang w:val="en-GB"/>
        </w:rPr>
        <w:t xml:space="preserve">Measure of Crime </w:t>
      </w:r>
      <w:r>
        <w:rPr>
          <w:rFonts w:ascii="Garamond" w:hAnsi="Garamond" w:cstheme="minorHAnsi"/>
          <w:lang w:val="en-GB"/>
        </w:rPr>
        <w:t>Concern</w:t>
      </w:r>
      <w:r w:rsidRPr="004E7BD2">
        <w:rPr>
          <w:rFonts w:ascii="Garamond" w:hAnsi="Garamond" w:cstheme="minorHAnsi"/>
          <w:lang w:val="en-GB"/>
        </w:rPr>
        <w:t>, England &amp; Wales</w:t>
      </w:r>
    </w:p>
    <w:tbl>
      <w:tblPr>
        <w:tblW w:w="8557" w:type="dxa"/>
        <w:tblInd w:w="108" w:type="dxa"/>
        <w:tblLayout w:type="fixed"/>
        <w:tblLook w:val="0000" w:firstRow="0" w:lastRow="0" w:firstColumn="0" w:lastColumn="0" w:noHBand="0" w:noVBand="0"/>
      </w:tblPr>
      <w:tblGrid>
        <w:gridCol w:w="6815"/>
        <w:gridCol w:w="633"/>
        <w:gridCol w:w="1109"/>
      </w:tblGrid>
      <w:tr w:rsidR="003C3216" w:rsidRPr="004E7BD2" w14:paraId="57F6FFB0" w14:textId="77777777" w:rsidTr="003C3216">
        <w:trPr>
          <w:trHeight w:val="361"/>
        </w:trPr>
        <w:tc>
          <w:tcPr>
            <w:tcW w:w="6815" w:type="dxa"/>
            <w:tcBorders>
              <w:top w:val="double" w:sz="4" w:space="0" w:color="auto"/>
              <w:bottom w:val="single" w:sz="4" w:space="0" w:color="auto"/>
            </w:tcBorders>
            <w:shd w:val="clear" w:color="auto" w:fill="auto"/>
          </w:tcPr>
          <w:p w14:paraId="2D5766EE" w14:textId="512D0F77" w:rsidR="003C3216" w:rsidRPr="004E7BD2" w:rsidRDefault="003C3216" w:rsidP="00B87C54">
            <w:pPr>
              <w:spacing w:before="60" w:after="60"/>
              <w:rPr>
                <w:rFonts w:ascii="Garamond" w:hAnsi="Garamond"/>
                <w:lang w:val="en-GB"/>
              </w:rPr>
            </w:pPr>
            <w:r w:rsidRPr="004E7BD2">
              <w:rPr>
                <w:rFonts w:ascii="Garamond" w:hAnsi="Garamond"/>
                <w:u w:val="single"/>
                <w:lang w:val="en-GB"/>
              </w:rPr>
              <w:t xml:space="preserve">Survey </w:t>
            </w:r>
            <w:r w:rsidR="006E3BFC">
              <w:rPr>
                <w:rFonts w:ascii="Garamond" w:hAnsi="Garamond"/>
                <w:u w:val="single"/>
                <w:lang w:val="en-GB"/>
              </w:rPr>
              <w:t>Question</w:t>
            </w:r>
            <w:r w:rsidR="006E3BFC" w:rsidRPr="004E7BD2">
              <w:rPr>
                <w:rFonts w:ascii="Garamond" w:hAnsi="Garamond"/>
                <w:u w:val="single"/>
                <w:lang w:val="en-GB"/>
              </w:rPr>
              <w:t xml:space="preserve"> </w:t>
            </w:r>
            <w:r w:rsidRPr="004E7BD2">
              <w:rPr>
                <w:rFonts w:ascii="Garamond" w:hAnsi="Garamond"/>
                <w:u w:val="single"/>
                <w:lang w:val="en-GB"/>
              </w:rPr>
              <w:t>(</w:t>
            </w:r>
            <w:r w:rsidR="006E3BFC">
              <w:rPr>
                <w:rFonts w:ascii="Garamond" w:hAnsi="Garamond"/>
                <w:u w:val="single"/>
                <w:lang w:val="en-GB"/>
              </w:rPr>
              <w:t>survey organisation</w:t>
            </w:r>
            <w:r w:rsidRPr="004E7BD2">
              <w:rPr>
                <w:rFonts w:ascii="Garamond" w:hAnsi="Garamond"/>
                <w:u w:val="single"/>
                <w:lang w:val="en-GB"/>
              </w:rPr>
              <w:t>)</w:t>
            </w:r>
          </w:p>
        </w:tc>
        <w:tc>
          <w:tcPr>
            <w:tcW w:w="633" w:type="dxa"/>
            <w:tcBorders>
              <w:top w:val="double" w:sz="4" w:space="0" w:color="auto"/>
              <w:bottom w:val="single" w:sz="4" w:space="0" w:color="auto"/>
            </w:tcBorders>
            <w:noWrap/>
            <w:tcMar>
              <w:left w:w="28" w:type="dxa"/>
              <w:right w:w="28" w:type="dxa"/>
            </w:tcMar>
            <w:vAlign w:val="center"/>
          </w:tcPr>
          <w:p w14:paraId="0D148EA2"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Cases</w:t>
            </w:r>
          </w:p>
        </w:tc>
        <w:tc>
          <w:tcPr>
            <w:tcW w:w="1109" w:type="dxa"/>
            <w:tcBorders>
              <w:top w:val="double" w:sz="4" w:space="0" w:color="auto"/>
              <w:bottom w:val="single" w:sz="4" w:space="0" w:color="auto"/>
            </w:tcBorders>
            <w:noWrap/>
            <w:tcMar>
              <w:left w:w="28" w:type="dxa"/>
              <w:right w:w="28" w:type="dxa"/>
            </w:tcMar>
            <w:vAlign w:val="center"/>
          </w:tcPr>
          <w:p w14:paraId="68B08BFB" w14:textId="48B71B07" w:rsidR="003C3216" w:rsidRPr="004E7BD2" w:rsidRDefault="006E3BFC" w:rsidP="00B87C54">
            <w:pPr>
              <w:spacing w:after="0" w:line="240" w:lineRule="auto"/>
              <w:jc w:val="center"/>
              <w:rPr>
                <w:rFonts w:ascii="Garamond" w:hAnsi="Garamond"/>
                <w:lang w:val="en-GB"/>
              </w:rPr>
            </w:pPr>
            <w:r>
              <w:rPr>
                <w:rFonts w:ascii="Garamond" w:hAnsi="Garamond"/>
                <w:lang w:val="en-GB"/>
              </w:rPr>
              <w:t>Loading</w:t>
            </w:r>
          </w:p>
        </w:tc>
      </w:tr>
      <w:tr w:rsidR="003C3216" w:rsidRPr="004E7BD2" w14:paraId="78BC1A45" w14:textId="77777777" w:rsidTr="00B87C54">
        <w:trPr>
          <w:trHeight w:hRule="exact" w:val="114"/>
        </w:trPr>
        <w:tc>
          <w:tcPr>
            <w:tcW w:w="6815" w:type="dxa"/>
            <w:shd w:val="clear" w:color="auto" w:fill="auto"/>
          </w:tcPr>
          <w:p w14:paraId="39BBE52B" w14:textId="77777777" w:rsidR="003C3216" w:rsidRPr="004E7BD2" w:rsidRDefault="003C3216" w:rsidP="00B87C54">
            <w:pPr>
              <w:spacing w:before="60" w:after="60"/>
              <w:rPr>
                <w:rFonts w:ascii="Garamond" w:hAnsi="Garamond"/>
                <w:lang w:val="en-GB"/>
              </w:rPr>
            </w:pPr>
          </w:p>
        </w:tc>
        <w:tc>
          <w:tcPr>
            <w:tcW w:w="633" w:type="dxa"/>
            <w:noWrap/>
            <w:tcMar>
              <w:left w:w="28" w:type="dxa"/>
              <w:right w:w="28" w:type="dxa"/>
            </w:tcMar>
            <w:vAlign w:val="center"/>
          </w:tcPr>
          <w:p w14:paraId="7853817A" w14:textId="77777777" w:rsidR="003C3216" w:rsidRPr="004E7BD2" w:rsidRDefault="003C3216" w:rsidP="00B87C54">
            <w:pPr>
              <w:spacing w:after="0" w:line="240" w:lineRule="auto"/>
              <w:jc w:val="center"/>
              <w:rPr>
                <w:rFonts w:ascii="Garamond" w:hAnsi="Garamond"/>
                <w:lang w:val="en-GB"/>
              </w:rPr>
            </w:pPr>
          </w:p>
        </w:tc>
        <w:tc>
          <w:tcPr>
            <w:tcW w:w="1109" w:type="dxa"/>
            <w:noWrap/>
            <w:tcMar>
              <w:left w:w="28" w:type="dxa"/>
              <w:right w:w="28" w:type="dxa"/>
            </w:tcMar>
            <w:vAlign w:val="center"/>
          </w:tcPr>
          <w:p w14:paraId="369B23E0" w14:textId="77777777" w:rsidR="003C3216" w:rsidRPr="004E7BD2" w:rsidRDefault="003C3216" w:rsidP="00B87C54">
            <w:pPr>
              <w:jc w:val="center"/>
              <w:rPr>
                <w:rFonts w:ascii="Garamond" w:hAnsi="Garamond"/>
                <w:lang w:val="en-GB"/>
              </w:rPr>
            </w:pPr>
          </w:p>
        </w:tc>
      </w:tr>
      <w:tr w:rsidR="003C3216" w:rsidRPr="004E7BD2" w14:paraId="2F7731A3" w14:textId="77777777" w:rsidTr="00B87C54">
        <w:trPr>
          <w:trHeight w:val="340"/>
        </w:trPr>
        <w:tc>
          <w:tcPr>
            <w:tcW w:w="6815" w:type="dxa"/>
            <w:shd w:val="clear" w:color="auto" w:fill="auto"/>
            <w:vAlign w:val="center"/>
          </w:tcPr>
          <w:p w14:paraId="6348B75C"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Crime rate in area going up (YouGov)</w:t>
            </w:r>
          </w:p>
        </w:tc>
        <w:tc>
          <w:tcPr>
            <w:tcW w:w="633" w:type="dxa"/>
            <w:noWrap/>
            <w:tcMar>
              <w:left w:w="28" w:type="dxa"/>
              <w:right w:w="28" w:type="dxa"/>
            </w:tcMar>
            <w:vAlign w:val="center"/>
          </w:tcPr>
          <w:p w14:paraId="77AF2CA5"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3</w:t>
            </w:r>
          </w:p>
        </w:tc>
        <w:tc>
          <w:tcPr>
            <w:tcW w:w="1109" w:type="dxa"/>
            <w:noWrap/>
            <w:tcMar>
              <w:left w:w="28" w:type="dxa"/>
              <w:right w:w="28" w:type="dxa"/>
            </w:tcMar>
            <w:vAlign w:val="center"/>
          </w:tcPr>
          <w:p w14:paraId="1650A92F"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1.00</w:t>
            </w:r>
          </w:p>
        </w:tc>
      </w:tr>
      <w:tr w:rsidR="003C3216" w:rsidRPr="004E7BD2" w14:paraId="1E24392F" w14:textId="77777777" w:rsidTr="00B87C54">
        <w:trPr>
          <w:trHeight w:val="340"/>
        </w:trPr>
        <w:tc>
          <w:tcPr>
            <w:tcW w:w="6815" w:type="dxa"/>
            <w:shd w:val="clear" w:color="auto" w:fill="auto"/>
            <w:vAlign w:val="center"/>
          </w:tcPr>
          <w:p w14:paraId="0AB81196"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Crime rate nationally going up (YouGov)</w:t>
            </w:r>
          </w:p>
        </w:tc>
        <w:tc>
          <w:tcPr>
            <w:tcW w:w="633" w:type="dxa"/>
            <w:noWrap/>
            <w:tcMar>
              <w:left w:w="28" w:type="dxa"/>
              <w:right w:w="28" w:type="dxa"/>
            </w:tcMar>
            <w:vAlign w:val="center"/>
          </w:tcPr>
          <w:p w14:paraId="52875306"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3</w:t>
            </w:r>
          </w:p>
        </w:tc>
        <w:tc>
          <w:tcPr>
            <w:tcW w:w="1109" w:type="dxa"/>
            <w:noWrap/>
            <w:tcMar>
              <w:left w:w="28" w:type="dxa"/>
              <w:right w:w="28" w:type="dxa"/>
            </w:tcMar>
            <w:vAlign w:val="center"/>
          </w:tcPr>
          <w:p w14:paraId="2C88FB7A"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1.00</w:t>
            </w:r>
          </w:p>
        </w:tc>
      </w:tr>
      <w:tr w:rsidR="003C3216" w:rsidRPr="004E7BD2" w14:paraId="2137B9F7" w14:textId="77777777" w:rsidTr="00B87C54">
        <w:trPr>
          <w:trHeight w:val="340"/>
        </w:trPr>
        <w:tc>
          <w:tcPr>
            <w:tcW w:w="6815" w:type="dxa"/>
            <w:shd w:val="clear" w:color="auto" w:fill="auto"/>
            <w:vAlign w:val="center"/>
          </w:tcPr>
          <w:p w14:paraId="6EB28CF3"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Worry about being mugged and robbed (CSEW)</w:t>
            </w:r>
          </w:p>
        </w:tc>
        <w:tc>
          <w:tcPr>
            <w:tcW w:w="633" w:type="dxa"/>
            <w:noWrap/>
            <w:tcMar>
              <w:left w:w="28" w:type="dxa"/>
              <w:right w:w="28" w:type="dxa"/>
            </w:tcMar>
            <w:vAlign w:val="center"/>
          </w:tcPr>
          <w:p w14:paraId="52D62E0D"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26</w:t>
            </w:r>
          </w:p>
        </w:tc>
        <w:tc>
          <w:tcPr>
            <w:tcW w:w="1109" w:type="dxa"/>
            <w:noWrap/>
            <w:tcMar>
              <w:left w:w="28" w:type="dxa"/>
              <w:right w:w="28" w:type="dxa"/>
            </w:tcMar>
            <w:vAlign w:val="center"/>
          </w:tcPr>
          <w:p w14:paraId="7DB19896"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0.99</w:t>
            </w:r>
          </w:p>
        </w:tc>
      </w:tr>
      <w:tr w:rsidR="003C3216" w:rsidRPr="004E7BD2" w14:paraId="09EA2A8E" w14:textId="77777777" w:rsidTr="00B87C54">
        <w:trPr>
          <w:trHeight w:val="340"/>
        </w:trPr>
        <w:tc>
          <w:tcPr>
            <w:tcW w:w="6815" w:type="dxa"/>
            <w:shd w:val="clear" w:color="auto" w:fill="auto"/>
            <w:vAlign w:val="center"/>
          </w:tcPr>
          <w:p w14:paraId="71E5FBCA"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Worried about being attacked (CSEW)</w:t>
            </w:r>
          </w:p>
        </w:tc>
        <w:tc>
          <w:tcPr>
            <w:tcW w:w="633" w:type="dxa"/>
            <w:noWrap/>
            <w:tcMar>
              <w:left w:w="28" w:type="dxa"/>
              <w:right w:w="28" w:type="dxa"/>
            </w:tcMar>
            <w:vAlign w:val="center"/>
          </w:tcPr>
          <w:p w14:paraId="1EF96407" w14:textId="77777777" w:rsidR="003C3216" w:rsidRPr="004E7BD2" w:rsidDel="00D2222B" w:rsidRDefault="003C3216" w:rsidP="00B87C54">
            <w:pPr>
              <w:spacing w:after="0" w:line="240" w:lineRule="auto"/>
              <w:jc w:val="center"/>
              <w:rPr>
                <w:rFonts w:ascii="Garamond" w:hAnsi="Garamond"/>
                <w:lang w:val="en-GB"/>
              </w:rPr>
            </w:pPr>
            <w:r w:rsidRPr="004E7BD2">
              <w:rPr>
                <w:rFonts w:ascii="Garamond" w:hAnsi="Garamond"/>
                <w:lang w:val="en-GB"/>
              </w:rPr>
              <w:t>16</w:t>
            </w:r>
          </w:p>
        </w:tc>
        <w:tc>
          <w:tcPr>
            <w:tcW w:w="1109" w:type="dxa"/>
            <w:noWrap/>
            <w:tcMar>
              <w:left w:w="28" w:type="dxa"/>
              <w:right w:w="28" w:type="dxa"/>
            </w:tcMar>
            <w:vAlign w:val="center"/>
          </w:tcPr>
          <w:p w14:paraId="607F2CE5" w14:textId="77777777" w:rsidR="003C3216" w:rsidRPr="004E7BD2" w:rsidDel="00D2222B" w:rsidRDefault="003C3216" w:rsidP="00B87C54">
            <w:pPr>
              <w:spacing w:after="0" w:line="240" w:lineRule="auto"/>
              <w:jc w:val="center"/>
              <w:rPr>
                <w:rFonts w:ascii="Garamond" w:hAnsi="Garamond"/>
                <w:lang w:val="en-GB"/>
              </w:rPr>
            </w:pPr>
            <w:r w:rsidRPr="004E7BD2">
              <w:rPr>
                <w:rFonts w:ascii="Garamond" w:hAnsi="Garamond"/>
                <w:lang w:val="en-GB"/>
              </w:rPr>
              <w:t>0.99</w:t>
            </w:r>
          </w:p>
        </w:tc>
      </w:tr>
      <w:tr w:rsidR="003C3216" w:rsidRPr="004E7BD2" w14:paraId="4AB9EE92" w14:textId="77777777" w:rsidTr="00B87C54">
        <w:trPr>
          <w:trHeight w:val="340"/>
        </w:trPr>
        <w:tc>
          <w:tcPr>
            <w:tcW w:w="6815" w:type="dxa"/>
            <w:shd w:val="clear" w:color="auto" w:fill="auto"/>
            <w:vAlign w:val="center"/>
          </w:tcPr>
          <w:p w14:paraId="776F497F"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Worried about having car stolen (CSEW)</w:t>
            </w:r>
          </w:p>
        </w:tc>
        <w:tc>
          <w:tcPr>
            <w:tcW w:w="633" w:type="dxa"/>
            <w:noWrap/>
            <w:tcMar>
              <w:left w:w="28" w:type="dxa"/>
              <w:right w:w="28" w:type="dxa"/>
            </w:tcMar>
            <w:vAlign w:val="center"/>
          </w:tcPr>
          <w:p w14:paraId="03638B05"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26</w:t>
            </w:r>
          </w:p>
        </w:tc>
        <w:tc>
          <w:tcPr>
            <w:tcW w:w="1109" w:type="dxa"/>
            <w:noWrap/>
            <w:tcMar>
              <w:left w:w="28" w:type="dxa"/>
              <w:right w:w="28" w:type="dxa"/>
            </w:tcMar>
            <w:vAlign w:val="center"/>
          </w:tcPr>
          <w:p w14:paraId="1CD8F84A"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0.99</w:t>
            </w:r>
          </w:p>
        </w:tc>
      </w:tr>
      <w:tr w:rsidR="003C3216" w:rsidRPr="004E7BD2" w14:paraId="3E1240F4" w14:textId="77777777" w:rsidTr="00B87C54">
        <w:trPr>
          <w:trHeight w:val="340"/>
        </w:trPr>
        <w:tc>
          <w:tcPr>
            <w:tcW w:w="6815" w:type="dxa"/>
            <w:shd w:val="clear" w:color="auto" w:fill="auto"/>
            <w:vAlign w:val="center"/>
          </w:tcPr>
          <w:p w14:paraId="5A024003"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Worried about having your home broken into and something stolen (CSEW)</w:t>
            </w:r>
          </w:p>
        </w:tc>
        <w:tc>
          <w:tcPr>
            <w:tcW w:w="633" w:type="dxa"/>
            <w:noWrap/>
            <w:tcMar>
              <w:left w:w="28" w:type="dxa"/>
              <w:right w:w="28" w:type="dxa"/>
            </w:tcMar>
            <w:vAlign w:val="center"/>
          </w:tcPr>
          <w:p w14:paraId="235E9F4A"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26</w:t>
            </w:r>
          </w:p>
        </w:tc>
        <w:tc>
          <w:tcPr>
            <w:tcW w:w="1109" w:type="dxa"/>
            <w:noWrap/>
            <w:tcMar>
              <w:left w:w="28" w:type="dxa"/>
              <w:right w:w="28" w:type="dxa"/>
            </w:tcMar>
            <w:vAlign w:val="center"/>
          </w:tcPr>
          <w:p w14:paraId="00119874"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0.98</w:t>
            </w:r>
          </w:p>
        </w:tc>
      </w:tr>
      <w:tr w:rsidR="003C3216" w:rsidRPr="004E7BD2" w14:paraId="0321596F" w14:textId="77777777" w:rsidTr="00B87C54">
        <w:trPr>
          <w:trHeight w:val="340"/>
        </w:trPr>
        <w:tc>
          <w:tcPr>
            <w:tcW w:w="6815" w:type="dxa"/>
            <w:shd w:val="clear" w:color="auto" w:fill="auto"/>
            <w:vAlign w:val="center"/>
          </w:tcPr>
          <w:p w14:paraId="5D52ADED"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Worried about having things stolen from car (CSEW)</w:t>
            </w:r>
          </w:p>
        </w:tc>
        <w:tc>
          <w:tcPr>
            <w:tcW w:w="633" w:type="dxa"/>
            <w:noWrap/>
            <w:tcMar>
              <w:left w:w="28" w:type="dxa"/>
              <w:right w:w="28" w:type="dxa"/>
            </w:tcMar>
            <w:vAlign w:val="center"/>
          </w:tcPr>
          <w:p w14:paraId="47E74A0B"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26</w:t>
            </w:r>
          </w:p>
        </w:tc>
        <w:tc>
          <w:tcPr>
            <w:tcW w:w="1109" w:type="dxa"/>
            <w:noWrap/>
            <w:tcMar>
              <w:left w:w="28" w:type="dxa"/>
              <w:right w:w="28" w:type="dxa"/>
            </w:tcMar>
            <w:vAlign w:val="center"/>
          </w:tcPr>
          <w:p w14:paraId="0F1065E2"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0.98</w:t>
            </w:r>
          </w:p>
        </w:tc>
      </w:tr>
      <w:tr w:rsidR="003C3216" w:rsidRPr="004E7BD2" w14:paraId="75D8455D" w14:textId="77777777" w:rsidTr="00B87C54">
        <w:trPr>
          <w:trHeight w:val="340"/>
        </w:trPr>
        <w:tc>
          <w:tcPr>
            <w:tcW w:w="6815" w:type="dxa"/>
            <w:shd w:val="clear" w:color="auto" w:fill="auto"/>
            <w:vAlign w:val="center"/>
          </w:tcPr>
          <w:p w14:paraId="3170B1FF"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Don’t feel safe walking about in the dark (CSEW)</w:t>
            </w:r>
          </w:p>
        </w:tc>
        <w:tc>
          <w:tcPr>
            <w:tcW w:w="633" w:type="dxa"/>
            <w:noWrap/>
            <w:tcMar>
              <w:left w:w="28" w:type="dxa"/>
              <w:right w:w="28" w:type="dxa"/>
            </w:tcMar>
            <w:vAlign w:val="center"/>
          </w:tcPr>
          <w:p w14:paraId="4B693FBB"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24</w:t>
            </w:r>
          </w:p>
        </w:tc>
        <w:tc>
          <w:tcPr>
            <w:tcW w:w="1109" w:type="dxa"/>
            <w:noWrap/>
            <w:tcMar>
              <w:left w:w="28" w:type="dxa"/>
              <w:right w:w="28" w:type="dxa"/>
            </w:tcMar>
            <w:vAlign w:val="center"/>
          </w:tcPr>
          <w:p w14:paraId="1FBECD57"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0.93</w:t>
            </w:r>
          </w:p>
        </w:tc>
      </w:tr>
      <w:tr w:rsidR="003C3216" w:rsidRPr="004E7BD2" w14:paraId="3D735BE6" w14:textId="77777777" w:rsidTr="00B87C54">
        <w:trPr>
          <w:trHeight w:val="340"/>
        </w:trPr>
        <w:tc>
          <w:tcPr>
            <w:tcW w:w="6815" w:type="dxa"/>
            <w:shd w:val="clear" w:color="auto" w:fill="auto"/>
            <w:vAlign w:val="center"/>
          </w:tcPr>
          <w:p w14:paraId="04E9FAEC"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Crime situation getting worse these days (BES-CMS)</w:t>
            </w:r>
          </w:p>
        </w:tc>
        <w:tc>
          <w:tcPr>
            <w:tcW w:w="633" w:type="dxa"/>
            <w:noWrap/>
            <w:tcMar>
              <w:left w:w="28" w:type="dxa"/>
              <w:right w:w="28" w:type="dxa"/>
            </w:tcMar>
            <w:vAlign w:val="center"/>
          </w:tcPr>
          <w:p w14:paraId="1F4BE636"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10</w:t>
            </w:r>
          </w:p>
        </w:tc>
        <w:tc>
          <w:tcPr>
            <w:tcW w:w="1109" w:type="dxa"/>
            <w:noWrap/>
            <w:tcMar>
              <w:left w:w="28" w:type="dxa"/>
              <w:right w:w="28" w:type="dxa"/>
            </w:tcMar>
            <w:vAlign w:val="center"/>
          </w:tcPr>
          <w:p w14:paraId="3DCB5B1E"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0.92</w:t>
            </w:r>
          </w:p>
        </w:tc>
      </w:tr>
      <w:tr w:rsidR="003C3216" w:rsidRPr="004E7BD2" w14:paraId="31241EB3" w14:textId="77777777" w:rsidTr="00B87C54">
        <w:trPr>
          <w:trHeight w:val="340"/>
        </w:trPr>
        <w:tc>
          <w:tcPr>
            <w:tcW w:w="6815" w:type="dxa"/>
            <w:shd w:val="clear" w:color="auto" w:fill="auto"/>
            <w:vAlign w:val="center"/>
          </w:tcPr>
          <w:p w14:paraId="0D9963C5"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Worried about being raped (CSEW)</w:t>
            </w:r>
          </w:p>
        </w:tc>
        <w:tc>
          <w:tcPr>
            <w:tcW w:w="633" w:type="dxa"/>
            <w:noWrap/>
            <w:tcMar>
              <w:left w:w="28" w:type="dxa"/>
              <w:right w:w="28" w:type="dxa"/>
            </w:tcMar>
            <w:vAlign w:val="center"/>
          </w:tcPr>
          <w:p w14:paraId="50952E8B"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26</w:t>
            </w:r>
          </w:p>
        </w:tc>
        <w:tc>
          <w:tcPr>
            <w:tcW w:w="1109" w:type="dxa"/>
            <w:noWrap/>
            <w:tcMar>
              <w:left w:w="28" w:type="dxa"/>
              <w:right w:w="28" w:type="dxa"/>
            </w:tcMar>
            <w:vAlign w:val="center"/>
          </w:tcPr>
          <w:p w14:paraId="06276A42"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0.92</w:t>
            </w:r>
          </w:p>
        </w:tc>
      </w:tr>
      <w:tr w:rsidR="003C3216" w:rsidRPr="004E7BD2" w14:paraId="5D85A661" w14:textId="77777777" w:rsidTr="00B87C54">
        <w:trPr>
          <w:trHeight w:val="340"/>
        </w:trPr>
        <w:tc>
          <w:tcPr>
            <w:tcW w:w="6815" w:type="dxa"/>
            <w:shd w:val="clear" w:color="auto" w:fill="auto"/>
            <w:vAlign w:val="center"/>
          </w:tcPr>
          <w:p w14:paraId="51BA7FC2"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Crime makes feel angry (BES-CMS)</w:t>
            </w:r>
          </w:p>
        </w:tc>
        <w:tc>
          <w:tcPr>
            <w:tcW w:w="633" w:type="dxa"/>
            <w:noWrap/>
            <w:tcMar>
              <w:left w:w="28" w:type="dxa"/>
              <w:right w:w="28" w:type="dxa"/>
            </w:tcMar>
            <w:vAlign w:val="center"/>
          </w:tcPr>
          <w:p w14:paraId="7AC4214C"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10</w:t>
            </w:r>
          </w:p>
        </w:tc>
        <w:tc>
          <w:tcPr>
            <w:tcW w:w="1109" w:type="dxa"/>
            <w:noWrap/>
            <w:tcMar>
              <w:left w:w="28" w:type="dxa"/>
              <w:right w:w="28" w:type="dxa"/>
            </w:tcMar>
            <w:vAlign w:val="center"/>
          </w:tcPr>
          <w:p w14:paraId="513E490F"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0.91</w:t>
            </w:r>
          </w:p>
        </w:tc>
      </w:tr>
      <w:tr w:rsidR="003C3216" w:rsidRPr="004E7BD2" w14:paraId="67380AE8" w14:textId="77777777" w:rsidTr="00B87C54">
        <w:trPr>
          <w:trHeight w:val="340"/>
        </w:trPr>
        <w:tc>
          <w:tcPr>
            <w:tcW w:w="6815" w:type="dxa"/>
            <w:shd w:val="clear" w:color="auto" w:fill="auto"/>
            <w:vAlign w:val="center"/>
          </w:tcPr>
          <w:p w14:paraId="6B4CC096" w14:textId="77777777" w:rsidR="003C3216" w:rsidRPr="004E7BD2" w:rsidRDefault="003C3216" w:rsidP="00B87C54">
            <w:pPr>
              <w:spacing w:after="0" w:line="240" w:lineRule="auto"/>
              <w:rPr>
                <w:rFonts w:ascii="Garamond" w:hAnsi="Garamond"/>
                <w:lang w:val="en-GB"/>
              </w:rPr>
            </w:pPr>
            <w:r w:rsidRPr="004E7BD2">
              <w:rPr>
                <w:rFonts w:ascii="Garamond" w:hAnsi="Garamond"/>
                <w:lang w:val="en-GB"/>
              </w:rPr>
              <w:t>Crime makes feel afraid (BES-CMS)</w:t>
            </w:r>
          </w:p>
        </w:tc>
        <w:tc>
          <w:tcPr>
            <w:tcW w:w="633" w:type="dxa"/>
            <w:noWrap/>
            <w:tcMar>
              <w:left w:w="28" w:type="dxa"/>
              <w:right w:w="28" w:type="dxa"/>
            </w:tcMar>
            <w:vAlign w:val="center"/>
          </w:tcPr>
          <w:p w14:paraId="7A85232A"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10</w:t>
            </w:r>
          </w:p>
        </w:tc>
        <w:tc>
          <w:tcPr>
            <w:tcW w:w="1109" w:type="dxa"/>
            <w:noWrap/>
            <w:tcMar>
              <w:left w:w="28" w:type="dxa"/>
              <w:right w:w="28" w:type="dxa"/>
            </w:tcMar>
            <w:vAlign w:val="center"/>
          </w:tcPr>
          <w:p w14:paraId="60A2F904"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0.90</w:t>
            </w:r>
          </w:p>
        </w:tc>
      </w:tr>
      <w:tr w:rsidR="003C3216" w:rsidRPr="004E7BD2" w14:paraId="1096AD5A" w14:textId="77777777" w:rsidTr="00B87C54">
        <w:trPr>
          <w:trHeight w:hRule="exact" w:val="114"/>
        </w:trPr>
        <w:tc>
          <w:tcPr>
            <w:tcW w:w="6815" w:type="dxa"/>
            <w:shd w:val="clear" w:color="auto" w:fill="auto"/>
            <w:vAlign w:val="center"/>
          </w:tcPr>
          <w:p w14:paraId="6C075B2B" w14:textId="77777777" w:rsidR="003C3216" w:rsidRPr="004E7BD2" w:rsidRDefault="003C3216" w:rsidP="00B87C54">
            <w:pPr>
              <w:spacing w:before="60" w:after="60"/>
              <w:rPr>
                <w:rFonts w:ascii="Garamond" w:hAnsi="Garamond"/>
                <w:lang w:val="en-GB"/>
              </w:rPr>
            </w:pPr>
          </w:p>
        </w:tc>
        <w:tc>
          <w:tcPr>
            <w:tcW w:w="633" w:type="dxa"/>
            <w:noWrap/>
            <w:tcMar>
              <w:left w:w="28" w:type="dxa"/>
              <w:right w:w="28" w:type="dxa"/>
            </w:tcMar>
            <w:vAlign w:val="center"/>
          </w:tcPr>
          <w:p w14:paraId="7141683F" w14:textId="77777777" w:rsidR="003C3216" w:rsidRPr="004E7BD2" w:rsidRDefault="003C3216" w:rsidP="00B87C54">
            <w:pPr>
              <w:spacing w:after="0" w:line="240" w:lineRule="auto"/>
              <w:jc w:val="center"/>
              <w:rPr>
                <w:rFonts w:ascii="Garamond" w:hAnsi="Garamond"/>
                <w:lang w:val="en-GB"/>
              </w:rPr>
            </w:pPr>
          </w:p>
        </w:tc>
        <w:tc>
          <w:tcPr>
            <w:tcW w:w="1109" w:type="dxa"/>
            <w:noWrap/>
            <w:tcMar>
              <w:left w:w="28" w:type="dxa"/>
              <w:right w:w="28" w:type="dxa"/>
            </w:tcMar>
            <w:vAlign w:val="center"/>
          </w:tcPr>
          <w:p w14:paraId="75491AD1" w14:textId="77777777" w:rsidR="003C3216" w:rsidRPr="004E7BD2" w:rsidRDefault="003C3216" w:rsidP="00B87C54">
            <w:pPr>
              <w:jc w:val="center"/>
              <w:rPr>
                <w:rFonts w:ascii="Garamond" w:hAnsi="Garamond"/>
                <w:lang w:val="en-GB"/>
              </w:rPr>
            </w:pPr>
          </w:p>
        </w:tc>
      </w:tr>
      <w:tr w:rsidR="003C3216" w:rsidRPr="004E7BD2" w14:paraId="25460469" w14:textId="77777777" w:rsidTr="00B87C54">
        <w:trPr>
          <w:trHeight w:hRule="exact" w:val="345"/>
        </w:trPr>
        <w:tc>
          <w:tcPr>
            <w:tcW w:w="6815" w:type="dxa"/>
            <w:shd w:val="clear" w:color="auto" w:fill="auto"/>
            <w:vAlign w:val="center"/>
          </w:tcPr>
          <w:p w14:paraId="7F851F0C" w14:textId="77777777" w:rsidR="003C3216" w:rsidRPr="004E7BD2" w:rsidRDefault="003C3216" w:rsidP="00B87C54">
            <w:pPr>
              <w:spacing w:after="0"/>
              <w:rPr>
                <w:rFonts w:ascii="Garamond" w:hAnsi="Garamond"/>
                <w:u w:val="single"/>
                <w:lang w:val="en-GB"/>
              </w:rPr>
            </w:pPr>
            <w:r w:rsidRPr="004E7BD2">
              <w:rPr>
                <w:rFonts w:ascii="Garamond" w:hAnsi="Garamond"/>
                <w:u w:val="single"/>
                <w:lang w:val="en-GB"/>
              </w:rPr>
              <w:t>First dimension</w:t>
            </w:r>
          </w:p>
        </w:tc>
        <w:tc>
          <w:tcPr>
            <w:tcW w:w="633" w:type="dxa"/>
            <w:noWrap/>
            <w:tcMar>
              <w:left w:w="28" w:type="dxa"/>
              <w:right w:w="28" w:type="dxa"/>
            </w:tcMar>
            <w:vAlign w:val="center"/>
          </w:tcPr>
          <w:p w14:paraId="310508E5" w14:textId="77777777" w:rsidR="003C3216" w:rsidRPr="004E7BD2" w:rsidRDefault="003C3216" w:rsidP="00B87C54">
            <w:pPr>
              <w:spacing w:after="0" w:line="240" w:lineRule="auto"/>
              <w:jc w:val="center"/>
              <w:rPr>
                <w:rFonts w:ascii="Garamond" w:hAnsi="Garamond"/>
                <w:lang w:val="en-GB"/>
              </w:rPr>
            </w:pPr>
          </w:p>
        </w:tc>
        <w:tc>
          <w:tcPr>
            <w:tcW w:w="1109" w:type="dxa"/>
            <w:noWrap/>
            <w:tcMar>
              <w:left w:w="28" w:type="dxa"/>
              <w:right w:w="28" w:type="dxa"/>
            </w:tcMar>
            <w:vAlign w:val="center"/>
          </w:tcPr>
          <w:p w14:paraId="293304A5" w14:textId="77777777" w:rsidR="003C3216" w:rsidRPr="004E7BD2" w:rsidRDefault="003C3216" w:rsidP="00B87C54">
            <w:pPr>
              <w:jc w:val="center"/>
              <w:rPr>
                <w:rFonts w:ascii="Garamond" w:hAnsi="Garamond"/>
                <w:lang w:val="en-GB"/>
              </w:rPr>
            </w:pPr>
          </w:p>
        </w:tc>
      </w:tr>
      <w:tr w:rsidR="003C3216" w:rsidRPr="004E7BD2" w14:paraId="7C0D8961" w14:textId="77777777" w:rsidTr="00B87C54">
        <w:trPr>
          <w:trHeight w:val="361"/>
        </w:trPr>
        <w:tc>
          <w:tcPr>
            <w:tcW w:w="6815" w:type="dxa"/>
            <w:shd w:val="clear" w:color="auto" w:fill="auto"/>
            <w:vAlign w:val="center"/>
          </w:tcPr>
          <w:p w14:paraId="0A23FB27" w14:textId="77777777" w:rsidR="003C3216" w:rsidRPr="004E7BD2" w:rsidRDefault="003C3216" w:rsidP="00B87C54">
            <w:pPr>
              <w:spacing w:before="60" w:after="60"/>
              <w:rPr>
                <w:rFonts w:ascii="Garamond" w:hAnsi="Garamond"/>
                <w:lang w:val="en-GB"/>
              </w:rPr>
            </w:pPr>
            <w:r w:rsidRPr="004E7BD2">
              <w:rPr>
                <w:rFonts w:ascii="Garamond" w:hAnsi="Garamond"/>
                <w:lang w:val="en-GB"/>
              </w:rPr>
              <w:t>Proportion of variance explained</w:t>
            </w:r>
          </w:p>
        </w:tc>
        <w:tc>
          <w:tcPr>
            <w:tcW w:w="1742" w:type="dxa"/>
            <w:gridSpan w:val="2"/>
            <w:noWrap/>
            <w:tcMar>
              <w:left w:w="28" w:type="dxa"/>
              <w:right w:w="28" w:type="dxa"/>
            </w:tcMar>
            <w:vAlign w:val="center"/>
          </w:tcPr>
          <w:p w14:paraId="2166B3D4"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79.9</w:t>
            </w:r>
          </w:p>
        </w:tc>
      </w:tr>
      <w:tr w:rsidR="003C3216" w:rsidRPr="004E7BD2" w14:paraId="69287E8C" w14:textId="77777777" w:rsidTr="00B87C54">
        <w:trPr>
          <w:trHeight w:val="361"/>
        </w:trPr>
        <w:tc>
          <w:tcPr>
            <w:tcW w:w="6815" w:type="dxa"/>
            <w:shd w:val="clear" w:color="auto" w:fill="auto"/>
            <w:vAlign w:val="center"/>
          </w:tcPr>
          <w:p w14:paraId="1BE0F70E" w14:textId="6958B548" w:rsidR="003C3216" w:rsidRPr="004E7BD2" w:rsidRDefault="00A34FBC" w:rsidP="00B87C54">
            <w:pPr>
              <w:spacing w:before="60" w:after="60"/>
              <w:rPr>
                <w:rFonts w:ascii="Garamond" w:hAnsi="Garamond"/>
                <w:lang w:val="en-GB"/>
              </w:rPr>
            </w:pPr>
            <w:r>
              <w:rPr>
                <w:rFonts w:ascii="Garamond" w:hAnsi="Garamond"/>
                <w:lang w:val="en-GB"/>
              </w:rPr>
              <w:t xml:space="preserve">N of </w:t>
            </w:r>
            <w:r w:rsidR="006E3BFC">
              <w:rPr>
                <w:rFonts w:ascii="Garamond" w:hAnsi="Garamond"/>
                <w:lang w:val="en-GB"/>
              </w:rPr>
              <w:t xml:space="preserve">question </w:t>
            </w:r>
            <w:r>
              <w:rPr>
                <w:rFonts w:ascii="Garamond" w:hAnsi="Garamond"/>
                <w:lang w:val="en-GB"/>
              </w:rPr>
              <w:t>series used to estimate the overall measure</w:t>
            </w:r>
          </w:p>
        </w:tc>
        <w:tc>
          <w:tcPr>
            <w:tcW w:w="1742" w:type="dxa"/>
            <w:gridSpan w:val="2"/>
            <w:noWrap/>
            <w:tcMar>
              <w:left w:w="28" w:type="dxa"/>
              <w:right w:w="28" w:type="dxa"/>
            </w:tcMar>
            <w:vAlign w:val="center"/>
          </w:tcPr>
          <w:p w14:paraId="2072A4C9"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19</w:t>
            </w:r>
          </w:p>
        </w:tc>
      </w:tr>
      <w:tr w:rsidR="003C3216" w:rsidRPr="004E7BD2" w14:paraId="0568052C" w14:textId="77777777" w:rsidTr="00B87C54">
        <w:trPr>
          <w:trHeight w:val="361"/>
        </w:trPr>
        <w:tc>
          <w:tcPr>
            <w:tcW w:w="6815" w:type="dxa"/>
            <w:shd w:val="clear" w:color="auto" w:fill="auto"/>
            <w:vAlign w:val="center"/>
          </w:tcPr>
          <w:p w14:paraId="518B9E4B" w14:textId="77777777" w:rsidR="003C3216" w:rsidRPr="004E7BD2" w:rsidRDefault="003C3216" w:rsidP="00B87C54">
            <w:pPr>
              <w:spacing w:before="60" w:after="60"/>
              <w:rPr>
                <w:rFonts w:ascii="Garamond" w:hAnsi="Garamond"/>
                <w:lang w:val="en-GB"/>
              </w:rPr>
            </w:pPr>
            <w:r w:rsidRPr="004E7BD2">
              <w:rPr>
                <w:rFonts w:ascii="Garamond" w:hAnsi="Garamond"/>
                <w:lang w:val="en-GB"/>
              </w:rPr>
              <w:t>N of survey items</w:t>
            </w:r>
          </w:p>
        </w:tc>
        <w:tc>
          <w:tcPr>
            <w:tcW w:w="1742" w:type="dxa"/>
            <w:gridSpan w:val="2"/>
            <w:noWrap/>
            <w:tcMar>
              <w:left w:w="28" w:type="dxa"/>
              <w:right w:w="28" w:type="dxa"/>
            </w:tcMar>
            <w:vAlign w:val="center"/>
          </w:tcPr>
          <w:p w14:paraId="7444907D" w14:textId="77777777" w:rsidR="003C3216" w:rsidRPr="004E7BD2" w:rsidRDefault="003C3216" w:rsidP="00B87C54">
            <w:pPr>
              <w:spacing w:after="0" w:line="240" w:lineRule="auto"/>
              <w:jc w:val="center"/>
              <w:rPr>
                <w:rFonts w:ascii="Garamond" w:hAnsi="Garamond"/>
                <w:lang w:val="en-GB"/>
              </w:rPr>
            </w:pPr>
            <w:r w:rsidRPr="004E7BD2">
              <w:rPr>
                <w:rFonts w:ascii="Garamond" w:hAnsi="Garamond"/>
                <w:lang w:val="en-GB"/>
              </w:rPr>
              <w:t>2,939</w:t>
            </w:r>
          </w:p>
        </w:tc>
      </w:tr>
      <w:tr w:rsidR="003C3216" w:rsidRPr="004E7BD2" w14:paraId="0EDE4C82" w14:textId="77777777" w:rsidTr="00B87C54">
        <w:trPr>
          <w:trHeight w:val="361"/>
        </w:trPr>
        <w:tc>
          <w:tcPr>
            <w:tcW w:w="6815" w:type="dxa"/>
            <w:shd w:val="clear" w:color="auto" w:fill="auto"/>
            <w:vAlign w:val="center"/>
          </w:tcPr>
          <w:p w14:paraId="2A560259" w14:textId="77777777" w:rsidR="003C3216" w:rsidRPr="004E7BD2" w:rsidRDefault="003C3216" w:rsidP="00B87C54">
            <w:pPr>
              <w:spacing w:before="60" w:after="60"/>
              <w:rPr>
                <w:rFonts w:ascii="Garamond" w:hAnsi="Garamond"/>
                <w:lang w:val="en-GB"/>
              </w:rPr>
            </w:pPr>
            <w:r w:rsidRPr="004E7BD2">
              <w:rPr>
                <w:rFonts w:ascii="Garamond" w:hAnsi="Garamond"/>
                <w:lang w:val="en-GB"/>
              </w:rPr>
              <w:t>Start</w:t>
            </w:r>
          </w:p>
        </w:tc>
        <w:tc>
          <w:tcPr>
            <w:tcW w:w="1742" w:type="dxa"/>
            <w:gridSpan w:val="2"/>
            <w:noWrap/>
            <w:tcMar>
              <w:left w:w="28" w:type="dxa"/>
              <w:right w:w="28" w:type="dxa"/>
            </w:tcMar>
            <w:vAlign w:val="center"/>
          </w:tcPr>
          <w:p w14:paraId="40A4D724" w14:textId="77777777" w:rsidR="003C3216" w:rsidRPr="004E7BD2" w:rsidDel="00D2222B" w:rsidRDefault="003C3216" w:rsidP="00B87C54">
            <w:pPr>
              <w:spacing w:after="0" w:line="240" w:lineRule="auto"/>
              <w:jc w:val="center"/>
              <w:rPr>
                <w:rFonts w:ascii="Garamond" w:hAnsi="Garamond"/>
                <w:lang w:val="en-GB"/>
              </w:rPr>
            </w:pPr>
            <w:r w:rsidRPr="004E7BD2">
              <w:rPr>
                <w:rFonts w:ascii="Garamond" w:hAnsi="Garamond"/>
                <w:lang w:val="en-GB"/>
              </w:rPr>
              <w:t>1981</w:t>
            </w:r>
          </w:p>
        </w:tc>
      </w:tr>
      <w:tr w:rsidR="003C3216" w:rsidRPr="004E7BD2" w14:paraId="291980E6" w14:textId="77777777" w:rsidTr="00B87C54">
        <w:trPr>
          <w:trHeight w:val="361"/>
        </w:trPr>
        <w:tc>
          <w:tcPr>
            <w:tcW w:w="6815" w:type="dxa"/>
            <w:shd w:val="clear" w:color="auto" w:fill="auto"/>
            <w:vAlign w:val="center"/>
          </w:tcPr>
          <w:p w14:paraId="0129D532" w14:textId="77777777" w:rsidR="003C3216" w:rsidRPr="004E7BD2" w:rsidRDefault="003C3216" w:rsidP="00B87C54">
            <w:pPr>
              <w:spacing w:before="60" w:after="60"/>
              <w:rPr>
                <w:rFonts w:ascii="Garamond" w:hAnsi="Garamond"/>
                <w:lang w:val="en-GB"/>
              </w:rPr>
            </w:pPr>
            <w:r w:rsidRPr="004E7BD2">
              <w:rPr>
                <w:rFonts w:ascii="Garamond" w:hAnsi="Garamond"/>
                <w:lang w:val="en-GB"/>
              </w:rPr>
              <w:t>End</w:t>
            </w:r>
          </w:p>
        </w:tc>
        <w:tc>
          <w:tcPr>
            <w:tcW w:w="1742" w:type="dxa"/>
            <w:gridSpan w:val="2"/>
            <w:noWrap/>
            <w:tcMar>
              <w:left w:w="28" w:type="dxa"/>
              <w:right w:w="28" w:type="dxa"/>
            </w:tcMar>
            <w:vAlign w:val="center"/>
          </w:tcPr>
          <w:p w14:paraId="3CE49AF5" w14:textId="77777777" w:rsidR="003C3216" w:rsidRPr="004E7BD2" w:rsidDel="00D2222B" w:rsidRDefault="003C3216" w:rsidP="00B87C54">
            <w:pPr>
              <w:spacing w:after="0" w:line="240" w:lineRule="auto"/>
              <w:jc w:val="center"/>
              <w:rPr>
                <w:rFonts w:ascii="Garamond" w:hAnsi="Garamond"/>
                <w:lang w:val="en-GB"/>
              </w:rPr>
            </w:pPr>
            <w:r w:rsidRPr="004E7BD2">
              <w:rPr>
                <w:rFonts w:ascii="Garamond" w:hAnsi="Garamond"/>
                <w:lang w:val="en-GB"/>
              </w:rPr>
              <w:t>2021</w:t>
            </w:r>
          </w:p>
        </w:tc>
      </w:tr>
      <w:tr w:rsidR="003C3216" w:rsidRPr="004E7BD2" w14:paraId="1C42ADD2" w14:textId="77777777" w:rsidTr="00B87C54">
        <w:trPr>
          <w:trHeight w:hRule="exact" w:val="172"/>
        </w:trPr>
        <w:tc>
          <w:tcPr>
            <w:tcW w:w="6815" w:type="dxa"/>
            <w:tcBorders>
              <w:bottom w:val="double" w:sz="4" w:space="0" w:color="auto"/>
            </w:tcBorders>
            <w:shd w:val="clear" w:color="auto" w:fill="auto"/>
            <w:vAlign w:val="center"/>
          </w:tcPr>
          <w:p w14:paraId="5272B8F7" w14:textId="77777777" w:rsidR="003C3216" w:rsidRPr="004E7BD2" w:rsidRDefault="003C3216" w:rsidP="00B87C54">
            <w:pPr>
              <w:rPr>
                <w:rFonts w:ascii="Garamond" w:hAnsi="Garamond"/>
                <w:lang w:val="en-GB"/>
              </w:rPr>
            </w:pPr>
          </w:p>
        </w:tc>
        <w:tc>
          <w:tcPr>
            <w:tcW w:w="1742" w:type="dxa"/>
            <w:gridSpan w:val="2"/>
            <w:tcBorders>
              <w:bottom w:val="double" w:sz="4" w:space="0" w:color="auto"/>
            </w:tcBorders>
            <w:noWrap/>
            <w:tcMar>
              <w:left w:w="28" w:type="dxa"/>
              <w:right w:w="28" w:type="dxa"/>
            </w:tcMar>
            <w:vAlign w:val="center"/>
          </w:tcPr>
          <w:p w14:paraId="162ECB87" w14:textId="77777777" w:rsidR="003C3216" w:rsidRPr="004E7BD2" w:rsidRDefault="003C3216" w:rsidP="00B87C54">
            <w:pPr>
              <w:spacing w:after="0" w:line="240" w:lineRule="auto"/>
              <w:jc w:val="center"/>
              <w:rPr>
                <w:rFonts w:ascii="Garamond" w:hAnsi="Garamond"/>
                <w:lang w:val="en-GB"/>
              </w:rPr>
            </w:pPr>
          </w:p>
        </w:tc>
      </w:tr>
    </w:tbl>
    <w:p w14:paraId="45131879" w14:textId="31094823" w:rsidR="003C3216" w:rsidRPr="00ED4292" w:rsidRDefault="003C3216" w:rsidP="003C3216">
      <w:pPr>
        <w:spacing w:before="120" w:after="0" w:line="240" w:lineRule="auto"/>
        <w:rPr>
          <w:rFonts w:ascii="Garamond" w:hAnsi="Garamond" w:cstheme="minorHAnsi"/>
          <w:i/>
          <w:iCs/>
          <w:sz w:val="18"/>
          <w:szCs w:val="18"/>
          <w:lang w:val="en-GB"/>
        </w:rPr>
      </w:pPr>
      <w:r w:rsidRPr="00ED4292">
        <w:rPr>
          <w:rFonts w:ascii="Garamond" w:hAnsi="Garamond" w:cstheme="minorHAnsi"/>
          <w:i/>
          <w:iCs/>
          <w:sz w:val="18"/>
          <w:szCs w:val="18"/>
          <w:lang w:val="en-GB"/>
        </w:rPr>
        <w:t>Note: Given the large number of survey items in the series, the threshold for inclusion</w:t>
      </w:r>
      <w:r w:rsidR="0006168A">
        <w:rPr>
          <w:rFonts w:ascii="Garamond" w:hAnsi="Garamond" w:cstheme="minorHAnsi"/>
          <w:i/>
          <w:iCs/>
          <w:sz w:val="18"/>
          <w:szCs w:val="18"/>
          <w:lang w:val="en-GB"/>
        </w:rPr>
        <w:t xml:space="preserve"> in the table</w:t>
      </w:r>
      <w:r w:rsidRPr="00ED4292">
        <w:rPr>
          <w:rFonts w:ascii="Garamond" w:hAnsi="Garamond" w:cstheme="minorHAnsi"/>
          <w:i/>
          <w:iCs/>
          <w:sz w:val="18"/>
          <w:szCs w:val="18"/>
          <w:lang w:val="en-GB"/>
        </w:rPr>
        <w:t xml:space="preserve"> is a correlation of greater than ±0.9 and more than two cases (i.e. cases are survey-years, so one case can include multiple surveys).</w:t>
      </w:r>
      <w:r w:rsidR="00A34FBC">
        <w:rPr>
          <w:rFonts w:ascii="Garamond" w:hAnsi="Garamond" w:cstheme="minorHAnsi"/>
          <w:i/>
          <w:iCs/>
          <w:sz w:val="18"/>
          <w:szCs w:val="18"/>
          <w:lang w:val="en-GB"/>
        </w:rPr>
        <w:t xml:space="preserve"> Thus, the total number of series (19) is greater than the number of series listed in the table.</w:t>
      </w:r>
    </w:p>
    <w:p w14:paraId="2E702B41" w14:textId="77777777" w:rsidR="003C3216" w:rsidRPr="004E7BD2" w:rsidRDefault="003C3216" w:rsidP="003C3216">
      <w:pPr>
        <w:spacing w:after="0"/>
        <w:jc w:val="both"/>
        <w:rPr>
          <w:rFonts w:ascii="Garamond" w:hAnsi="Garamond"/>
          <w:lang w:val="en-GB"/>
        </w:rPr>
      </w:pPr>
    </w:p>
    <w:p w14:paraId="004C3D1E" w14:textId="3FD6B751" w:rsidR="001C081B" w:rsidRPr="004E7BD2" w:rsidRDefault="00035F51" w:rsidP="00B71A68">
      <w:pPr>
        <w:spacing w:after="120"/>
        <w:jc w:val="both"/>
        <w:rPr>
          <w:rFonts w:ascii="Garamond" w:hAnsi="Garamond"/>
          <w:lang w:val="en-GB"/>
        </w:rPr>
      </w:pPr>
      <w:r w:rsidRPr="004E7BD2">
        <w:rPr>
          <w:rFonts w:ascii="Garamond" w:hAnsi="Garamond"/>
          <w:lang w:val="en-GB"/>
        </w:rPr>
        <w:t xml:space="preserve">Figures 9 and 10 plot the resulting </w:t>
      </w:r>
      <w:r w:rsidR="00271FBE">
        <w:rPr>
          <w:rFonts w:ascii="Garamond" w:hAnsi="Garamond"/>
          <w:lang w:val="en-GB"/>
        </w:rPr>
        <w:t>measures of public crime concern</w:t>
      </w:r>
      <w:r w:rsidR="00271FBE" w:rsidRPr="004E7BD2">
        <w:rPr>
          <w:rFonts w:ascii="Garamond" w:hAnsi="Garamond"/>
          <w:lang w:val="en-GB"/>
        </w:rPr>
        <w:t xml:space="preserve"> </w:t>
      </w:r>
      <w:r w:rsidRPr="004E7BD2">
        <w:rPr>
          <w:rFonts w:ascii="Garamond" w:hAnsi="Garamond"/>
          <w:lang w:val="en-GB"/>
        </w:rPr>
        <w:t xml:space="preserve">for the U.S. and England and Wales, respectively. </w:t>
      </w:r>
      <w:r w:rsidR="003A6992" w:rsidRPr="004E7BD2">
        <w:rPr>
          <w:rFonts w:ascii="Garamond" w:hAnsi="Garamond"/>
          <w:lang w:val="en-GB"/>
        </w:rPr>
        <w:t xml:space="preserve">In the U.S., we see that concern with crime declined from the early 1990s to about 2001. This aligns with the declining crime rates observed above. But from 2003 to 2007, crime concern moved </w:t>
      </w:r>
      <w:r w:rsidR="003A6992" w:rsidRPr="004E7BD2">
        <w:rPr>
          <w:rFonts w:ascii="Garamond" w:hAnsi="Garamond"/>
          <w:i/>
          <w:lang w:val="en-GB"/>
        </w:rPr>
        <w:t xml:space="preserve">opposite </w:t>
      </w:r>
      <w:r w:rsidR="003A6992" w:rsidRPr="004E7BD2">
        <w:rPr>
          <w:rFonts w:ascii="Garamond" w:hAnsi="Garamond"/>
          <w:lang w:val="en-GB"/>
        </w:rPr>
        <w:t xml:space="preserve">declining crime rates. </w:t>
      </w:r>
      <w:r w:rsidR="00576EA6" w:rsidRPr="004E7BD2">
        <w:rPr>
          <w:rFonts w:ascii="Garamond" w:hAnsi="Garamond"/>
          <w:lang w:val="en-GB"/>
        </w:rPr>
        <w:t xml:space="preserve">Then, since 2007, concern again declined—in line with actual crime rates—though to a much lesser extent than the decline in the 1990s. </w:t>
      </w:r>
      <w:r w:rsidR="00894845" w:rsidRPr="004E7BD2">
        <w:rPr>
          <w:rFonts w:ascii="Garamond" w:hAnsi="Garamond"/>
          <w:lang w:val="en-GB"/>
        </w:rPr>
        <w:t>The patterns in Figure 9 are thus somewhat puzzling. On one hand, the public was less concerned with crime in 2019 than in 1993, which aligns with the declining crime rates during this period. On the other hand, the increase in concern during the early 2000s does not align with actual crime rates. This increase is a particularly important puzzle for future research to engage.</w:t>
      </w:r>
      <w:r w:rsidR="00332EE8">
        <w:rPr>
          <w:rStyle w:val="FootnoteReference"/>
          <w:rFonts w:ascii="Garamond" w:hAnsi="Garamond"/>
          <w:lang w:val="en-GB"/>
        </w:rPr>
        <w:footnoteReference w:id="10"/>
      </w:r>
    </w:p>
    <w:p w14:paraId="2219B161" w14:textId="264EB559" w:rsidR="008D5E87" w:rsidRPr="004E7BD2" w:rsidRDefault="004574D0" w:rsidP="003C3216">
      <w:pPr>
        <w:spacing w:after="0"/>
        <w:jc w:val="center"/>
        <w:rPr>
          <w:rFonts w:ascii="Garamond" w:hAnsi="Garamond"/>
          <w:lang w:val="en-GB"/>
        </w:rPr>
      </w:pPr>
      <w:r>
        <w:rPr>
          <w:rFonts w:ascii="Garamond" w:hAnsi="Garamond"/>
          <w:noProof/>
          <w:lang w:val="en-GB"/>
        </w:rPr>
        <w:lastRenderedPageBreak/>
        <w:drawing>
          <wp:inline distT="0" distB="0" distL="0" distR="0" wp14:anchorId="6CBDEAC1" wp14:editId="141D7826">
            <wp:extent cx="2970000" cy="2160000"/>
            <wp:effectExtent l="0" t="0" r="190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70000" cy="2160000"/>
                    </a:xfrm>
                    <a:prstGeom prst="rect">
                      <a:avLst/>
                    </a:prstGeom>
                    <a:noFill/>
                    <a:ln>
                      <a:noFill/>
                    </a:ln>
                  </pic:spPr>
                </pic:pic>
              </a:graphicData>
            </a:graphic>
          </wp:inline>
        </w:drawing>
      </w:r>
    </w:p>
    <w:p w14:paraId="4C0D404F" w14:textId="348FE58F" w:rsidR="008D5E87" w:rsidRPr="004E7BD2" w:rsidRDefault="005625F5" w:rsidP="00B71A68">
      <w:pPr>
        <w:spacing w:after="240"/>
        <w:jc w:val="center"/>
        <w:rPr>
          <w:rFonts w:ascii="Garamond" w:hAnsi="Garamond"/>
          <w:iCs/>
          <w:lang w:val="en-GB"/>
        </w:rPr>
      </w:pPr>
      <w:r w:rsidRPr="004E7BD2">
        <w:rPr>
          <w:rFonts w:ascii="Garamond" w:hAnsi="Garamond"/>
          <w:b/>
          <w:iCs/>
          <w:lang w:val="en-GB"/>
        </w:rPr>
        <w:t xml:space="preserve">Figure </w:t>
      </w:r>
      <w:r w:rsidR="00D54551" w:rsidRPr="004E7BD2">
        <w:rPr>
          <w:rFonts w:ascii="Garamond" w:hAnsi="Garamond"/>
          <w:b/>
          <w:iCs/>
          <w:lang w:val="en-GB"/>
        </w:rPr>
        <w:t>9</w:t>
      </w:r>
      <w:r w:rsidRPr="004E7BD2">
        <w:rPr>
          <w:rFonts w:ascii="Garamond" w:hAnsi="Garamond"/>
          <w:b/>
          <w:iCs/>
          <w:lang w:val="en-GB"/>
        </w:rPr>
        <w:t xml:space="preserve">: </w:t>
      </w:r>
      <w:r w:rsidRPr="004E7BD2">
        <w:rPr>
          <w:rFonts w:ascii="Garamond" w:hAnsi="Garamond"/>
          <w:iCs/>
          <w:lang w:val="en-GB"/>
        </w:rPr>
        <w:t>Crime</w:t>
      </w:r>
      <w:r w:rsidR="003D1CB2">
        <w:rPr>
          <w:rFonts w:ascii="Garamond" w:hAnsi="Garamond"/>
          <w:iCs/>
          <w:lang w:val="en-GB"/>
        </w:rPr>
        <w:t xml:space="preserve"> Concern</w:t>
      </w:r>
      <w:r w:rsidRPr="004E7BD2">
        <w:rPr>
          <w:rFonts w:ascii="Garamond" w:hAnsi="Garamond"/>
          <w:iCs/>
          <w:lang w:val="en-GB"/>
        </w:rPr>
        <w:t xml:space="preserve"> in the U.S., 199</w:t>
      </w:r>
      <w:r w:rsidR="003A6992" w:rsidRPr="004E7BD2">
        <w:rPr>
          <w:rFonts w:ascii="Garamond" w:hAnsi="Garamond"/>
          <w:iCs/>
          <w:lang w:val="en-GB"/>
        </w:rPr>
        <w:t>3</w:t>
      </w:r>
      <w:r w:rsidRPr="004E7BD2">
        <w:rPr>
          <w:rFonts w:ascii="Garamond" w:hAnsi="Garamond"/>
          <w:iCs/>
          <w:lang w:val="en-GB"/>
        </w:rPr>
        <w:t>-2019</w:t>
      </w:r>
    </w:p>
    <w:p w14:paraId="7AD3E698" w14:textId="5CD3E554" w:rsidR="005625F5" w:rsidRPr="004E7BD2" w:rsidRDefault="004574D0" w:rsidP="003C3216">
      <w:pPr>
        <w:spacing w:after="0"/>
        <w:jc w:val="center"/>
        <w:rPr>
          <w:rFonts w:ascii="Garamond" w:hAnsi="Garamond"/>
          <w:lang w:val="en-GB"/>
        </w:rPr>
      </w:pPr>
      <w:r>
        <w:rPr>
          <w:rFonts w:ascii="Garamond" w:hAnsi="Garamond"/>
          <w:noProof/>
          <w:lang w:val="en-GB"/>
        </w:rPr>
        <w:drawing>
          <wp:inline distT="0" distB="0" distL="0" distR="0" wp14:anchorId="501AE229" wp14:editId="399E61AF">
            <wp:extent cx="2970000" cy="2160000"/>
            <wp:effectExtent l="0" t="0" r="190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0000" cy="2160000"/>
                    </a:xfrm>
                    <a:prstGeom prst="rect">
                      <a:avLst/>
                    </a:prstGeom>
                    <a:noFill/>
                    <a:ln>
                      <a:noFill/>
                    </a:ln>
                  </pic:spPr>
                </pic:pic>
              </a:graphicData>
            </a:graphic>
          </wp:inline>
        </w:drawing>
      </w:r>
    </w:p>
    <w:p w14:paraId="4A1528A7" w14:textId="1D98D7B7" w:rsidR="005625F5" w:rsidRPr="004E7BD2" w:rsidRDefault="005625F5" w:rsidP="00165D57">
      <w:pPr>
        <w:jc w:val="center"/>
        <w:rPr>
          <w:rFonts w:ascii="Garamond" w:hAnsi="Garamond"/>
          <w:iCs/>
          <w:lang w:val="en-GB"/>
        </w:rPr>
      </w:pPr>
      <w:r w:rsidRPr="004E7BD2">
        <w:rPr>
          <w:rFonts w:ascii="Garamond" w:hAnsi="Garamond"/>
          <w:b/>
          <w:iCs/>
          <w:lang w:val="en-GB"/>
        </w:rPr>
        <w:t>Figure 1</w:t>
      </w:r>
      <w:r w:rsidR="00D9020B" w:rsidRPr="004E7BD2">
        <w:rPr>
          <w:rFonts w:ascii="Garamond" w:hAnsi="Garamond"/>
          <w:b/>
          <w:iCs/>
          <w:lang w:val="en-GB"/>
        </w:rPr>
        <w:t>0</w:t>
      </w:r>
      <w:r w:rsidRPr="004E7BD2">
        <w:rPr>
          <w:rFonts w:ascii="Garamond" w:hAnsi="Garamond"/>
          <w:b/>
          <w:iCs/>
          <w:lang w:val="en-GB"/>
        </w:rPr>
        <w:t xml:space="preserve">: </w:t>
      </w:r>
      <w:r w:rsidRPr="004E7BD2">
        <w:rPr>
          <w:rFonts w:ascii="Garamond" w:hAnsi="Garamond"/>
          <w:iCs/>
          <w:lang w:val="en-GB"/>
        </w:rPr>
        <w:t>Crime</w:t>
      </w:r>
      <w:r w:rsidR="00545406">
        <w:rPr>
          <w:rFonts w:ascii="Garamond" w:hAnsi="Garamond"/>
          <w:iCs/>
          <w:lang w:val="en-GB"/>
        </w:rPr>
        <w:t xml:space="preserve"> Concern</w:t>
      </w:r>
      <w:r w:rsidRPr="004E7BD2">
        <w:rPr>
          <w:rFonts w:ascii="Garamond" w:hAnsi="Garamond"/>
          <w:iCs/>
          <w:lang w:val="en-GB"/>
        </w:rPr>
        <w:t xml:space="preserve"> in England and Wales, 199</w:t>
      </w:r>
      <w:r w:rsidR="00894845" w:rsidRPr="004E7BD2">
        <w:rPr>
          <w:rFonts w:ascii="Garamond" w:hAnsi="Garamond"/>
          <w:iCs/>
          <w:lang w:val="en-GB"/>
        </w:rPr>
        <w:t>1</w:t>
      </w:r>
      <w:r w:rsidRPr="004E7BD2">
        <w:rPr>
          <w:rFonts w:ascii="Garamond" w:hAnsi="Garamond"/>
          <w:iCs/>
          <w:lang w:val="en-GB"/>
        </w:rPr>
        <w:t>-2019</w:t>
      </w:r>
    </w:p>
    <w:p w14:paraId="47818F7F" w14:textId="28674908" w:rsidR="002348EC" w:rsidRPr="004E7BD2" w:rsidRDefault="00AE7426" w:rsidP="00ED4292">
      <w:pPr>
        <w:spacing w:after="0"/>
        <w:jc w:val="both"/>
        <w:rPr>
          <w:rFonts w:ascii="Garamond" w:hAnsi="Garamond"/>
          <w:lang w:val="en-GB"/>
        </w:rPr>
      </w:pPr>
      <w:r w:rsidRPr="004E7BD2">
        <w:rPr>
          <w:rFonts w:ascii="Garamond" w:hAnsi="Garamond"/>
          <w:lang w:val="en-GB"/>
        </w:rPr>
        <w:t>Our measure of crime</w:t>
      </w:r>
      <w:r w:rsidR="00845795">
        <w:rPr>
          <w:rFonts w:ascii="Garamond" w:hAnsi="Garamond"/>
          <w:lang w:val="en-GB"/>
        </w:rPr>
        <w:t xml:space="preserve"> concern</w:t>
      </w:r>
      <w:r w:rsidRPr="004E7BD2">
        <w:rPr>
          <w:rFonts w:ascii="Garamond" w:hAnsi="Garamond"/>
          <w:lang w:val="en-GB"/>
        </w:rPr>
        <w:t xml:space="preserve"> for England and Wales</w:t>
      </w:r>
      <w:r w:rsidR="00894845" w:rsidRPr="004E7BD2">
        <w:rPr>
          <w:rFonts w:ascii="Garamond" w:hAnsi="Garamond"/>
          <w:lang w:val="en-GB"/>
        </w:rPr>
        <w:t xml:space="preserve"> (Figure 10)</w:t>
      </w:r>
      <w:r w:rsidRPr="004E7BD2">
        <w:rPr>
          <w:rFonts w:ascii="Garamond" w:hAnsi="Garamond"/>
          <w:lang w:val="en-GB"/>
        </w:rPr>
        <w:t xml:space="preserve"> </w:t>
      </w:r>
      <w:r w:rsidR="00894845" w:rsidRPr="004E7BD2">
        <w:rPr>
          <w:rFonts w:ascii="Garamond" w:hAnsi="Garamond"/>
          <w:lang w:val="en-GB"/>
        </w:rPr>
        <w:t>align</w:t>
      </w:r>
      <w:r w:rsidR="00D11401">
        <w:rPr>
          <w:rFonts w:ascii="Garamond" w:hAnsi="Garamond"/>
          <w:lang w:val="en-GB"/>
        </w:rPr>
        <w:t>s</w:t>
      </w:r>
      <w:r w:rsidR="00894845" w:rsidRPr="004E7BD2">
        <w:rPr>
          <w:rFonts w:ascii="Garamond" w:hAnsi="Garamond"/>
          <w:lang w:val="en-GB"/>
        </w:rPr>
        <w:t xml:space="preserve"> much more closely with declining crime rates than we saw in the U.S. in </w:t>
      </w:r>
      <w:r w:rsidR="00D34222" w:rsidRPr="004E7BD2">
        <w:rPr>
          <w:rFonts w:ascii="Garamond" w:hAnsi="Garamond"/>
          <w:lang w:val="en-GB"/>
        </w:rPr>
        <w:t>Figure</w:t>
      </w:r>
      <w:r w:rsidR="00894845" w:rsidRPr="004E7BD2">
        <w:rPr>
          <w:rFonts w:ascii="Garamond" w:hAnsi="Garamond"/>
          <w:lang w:val="en-GB"/>
        </w:rPr>
        <w:t xml:space="preserve"> 9. </w:t>
      </w:r>
      <w:r w:rsidRPr="004E7BD2">
        <w:rPr>
          <w:rFonts w:ascii="Garamond" w:hAnsi="Garamond"/>
          <w:lang w:val="en-GB"/>
        </w:rPr>
        <w:t>C</w:t>
      </w:r>
      <w:r w:rsidR="002348EC" w:rsidRPr="004E7BD2">
        <w:rPr>
          <w:rFonts w:ascii="Garamond" w:hAnsi="Garamond"/>
          <w:lang w:val="en-GB"/>
        </w:rPr>
        <w:t xml:space="preserve">oncern about crime peaked briefly in 1991, but has been in decline ever since – with just the occasional slight upturn. </w:t>
      </w:r>
      <w:r w:rsidRPr="004E7BD2">
        <w:rPr>
          <w:rFonts w:ascii="Garamond" w:hAnsi="Garamond"/>
          <w:lang w:val="en-GB"/>
        </w:rPr>
        <w:t xml:space="preserve">This highlights how in the </w:t>
      </w:r>
      <w:r w:rsidR="00845795">
        <w:rPr>
          <w:rFonts w:ascii="Garamond" w:hAnsi="Garamond"/>
          <w:lang w:val="en-GB"/>
        </w:rPr>
        <w:t>British</w:t>
      </w:r>
      <w:r w:rsidRPr="004E7BD2">
        <w:rPr>
          <w:rFonts w:ascii="Garamond" w:hAnsi="Garamond"/>
          <w:lang w:val="en-GB"/>
        </w:rPr>
        <w:t xml:space="preserve"> context the ‘crime drop’ has translated into an easing of public fears and concerns over crime.</w:t>
      </w:r>
      <w:r w:rsidR="00894845" w:rsidRPr="004E7BD2">
        <w:rPr>
          <w:rFonts w:ascii="Garamond" w:hAnsi="Garamond"/>
          <w:lang w:val="en-GB"/>
        </w:rPr>
        <w:t xml:space="preserve"> Further, </w:t>
      </w:r>
      <w:r w:rsidR="00E52825">
        <w:rPr>
          <w:rFonts w:ascii="Garamond" w:hAnsi="Garamond"/>
          <w:lang w:val="en-GB"/>
        </w:rPr>
        <w:t xml:space="preserve">the patterns in Figure 10 strongly suggest that </w:t>
      </w:r>
      <w:r w:rsidR="00894845" w:rsidRPr="004E7BD2">
        <w:rPr>
          <w:rFonts w:ascii="Garamond" w:hAnsi="Garamond"/>
          <w:lang w:val="en-GB"/>
        </w:rPr>
        <w:t xml:space="preserve">concern with crime in </w:t>
      </w:r>
      <w:r w:rsidR="00845795">
        <w:rPr>
          <w:rFonts w:ascii="Garamond" w:hAnsi="Garamond"/>
          <w:lang w:val="en-GB"/>
        </w:rPr>
        <w:t>Britain</w:t>
      </w:r>
      <w:r w:rsidR="00894845" w:rsidRPr="004E7BD2">
        <w:rPr>
          <w:rFonts w:ascii="Garamond" w:hAnsi="Garamond"/>
          <w:lang w:val="en-GB"/>
        </w:rPr>
        <w:t xml:space="preserve"> follows </w:t>
      </w:r>
      <w:r w:rsidR="00D34222" w:rsidRPr="004E7BD2">
        <w:rPr>
          <w:rFonts w:ascii="Garamond" w:hAnsi="Garamond"/>
          <w:lang w:val="en-GB"/>
        </w:rPr>
        <w:t>victimi</w:t>
      </w:r>
      <w:r w:rsidR="004E7BD2">
        <w:rPr>
          <w:rFonts w:ascii="Garamond" w:hAnsi="Garamond"/>
          <w:lang w:val="en-GB"/>
        </w:rPr>
        <w:t>s</w:t>
      </w:r>
      <w:r w:rsidR="00D34222" w:rsidRPr="004E7BD2">
        <w:rPr>
          <w:rFonts w:ascii="Garamond" w:hAnsi="Garamond"/>
          <w:lang w:val="en-GB"/>
        </w:rPr>
        <w:t>ation</w:t>
      </w:r>
      <w:r w:rsidR="00894845" w:rsidRPr="004E7BD2">
        <w:rPr>
          <w:rFonts w:ascii="Garamond" w:hAnsi="Garamond"/>
          <w:lang w:val="en-GB"/>
        </w:rPr>
        <w:t xml:space="preserve">, and not the increase in violent crime reported by police, </w:t>
      </w:r>
      <w:r w:rsidR="008513AB">
        <w:rPr>
          <w:rFonts w:ascii="Garamond" w:hAnsi="Garamond"/>
          <w:lang w:val="en-GB"/>
        </w:rPr>
        <w:t>offering</w:t>
      </w:r>
      <w:r w:rsidR="00894845" w:rsidRPr="004E7BD2">
        <w:rPr>
          <w:rFonts w:ascii="Garamond" w:hAnsi="Garamond"/>
          <w:lang w:val="en-GB"/>
        </w:rPr>
        <w:t xml:space="preserve"> evidence that the public (or the news, if news coverage mediates the crime-opinion link), follows </w:t>
      </w:r>
      <w:r w:rsidR="00D34222" w:rsidRPr="004E7BD2">
        <w:rPr>
          <w:rFonts w:ascii="Garamond" w:hAnsi="Garamond"/>
          <w:lang w:val="en-GB"/>
        </w:rPr>
        <w:t>victimi</w:t>
      </w:r>
      <w:r w:rsidR="004E7BD2">
        <w:rPr>
          <w:rFonts w:ascii="Garamond" w:hAnsi="Garamond"/>
          <w:lang w:val="en-GB"/>
        </w:rPr>
        <w:t>s</w:t>
      </w:r>
      <w:r w:rsidR="00D34222" w:rsidRPr="004E7BD2">
        <w:rPr>
          <w:rFonts w:ascii="Garamond" w:hAnsi="Garamond"/>
          <w:lang w:val="en-GB"/>
        </w:rPr>
        <w:t>ation</w:t>
      </w:r>
      <w:r w:rsidR="00894845" w:rsidRPr="004E7BD2">
        <w:rPr>
          <w:rFonts w:ascii="Garamond" w:hAnsi="Garamond"/>
          <w:lang w:val="en-GB"/>
        </w:rPr>
        <w:t xml:space="preserve"> much more than actual police data.</w:t>
      </w:r>
    </w:p>
    <w:p w14:paraId="462398EA" w14:textId="067F4D3E" w:rsidR="00B53F53" w:rsidRPr="004E7BD2" w:rsidRDefault="00B53F53" w:rsidP="00165D57">
      <w:pPr>
        <w:spacing w:after="0"/>
        <w:rPr>
          <w:rFonts w:ascii="Garamond" w:hAnsi="Garamond"/>
          <w:lang w:val="en-GB"/>
        </w:rPr>
      </w:pPr>
    </w:p>
    <w:p w14:paraId="3341D8FF" w14:textId="3CD82EFA" w:rsidR="00D9020B" w:rsidRPr="004E7BD2" w:rsidRDefault="00ED4292" w:rsidP="00ED4292">
      <w:pPr>
        <w:spacing w:after="120"/>
        <w:rPr>
          <w:rFonts w:ascii="Garamond" w:hAnsi="Garamond"/>
          <w:lang w:val="en-GB"/>
        </w:rPr>
      </w:pPr>
      <w:r w:rsidRPr="004E7BD2">
        <w:rPr>
          <w:rFonts w:ascii="Garamond" w:hAnsi="Garamond"/>
          <w:b/>
          <w:lang w:val="en-GB"/>
        </w:rPr>
        <w:t>Analysing</w:t>
      </w:r>
      <w:r w:rsidR="00894845" w:rsidRPr="004E7BD2">
        <w:rPr>
          <w:rFonts w:ascii="Garamond" w:hAnsi="Garamond"/>
          <w:b/>
          <w:lang w:val="en-GB"/>
        </w:rPr>
        <w:t xml:space="preserve"> </w:t>
      </w:r>
      <w:r w:rsidR="00D9020B" w:rsidRPr="004E7BD2">
        <w:rPr>
          <w:rFonts w:ascii="Garamond" w:hAnsi="Garamond"/>
          <w:b/>
          <w:lang w:val="en-GB"/>
        </w:rPr>
        <w:t xml:space="preserve">Crime Rates and Crime </w:t>
      </w:r>
      <w:r w:rsidR="00845795">
        <w:rPr>
          <w:rFonts w:ascii="Garamond" w:hAnsi="Garamond"/>
          <w:b/>
          <w:lang w:val="en-GB"/>
        </w:rPr>
        <w:t>Concern</w:t>
      </w:r>
      <w:r w:rsidR="00845795" w:rsidRPr="004E7BD2">
        <w:rPr>
          <w:rFonts w:ascii="Garamond" w:hAnsi="Garamond"/>
          <w:b/>
          <w:lang w:val="en-GB"/>
        </w:rPr>
        <w:t xml:space="preserve"> </w:t>
      </w:r>
      <w:r w:rsidR="00894845" w:rsidRPr="004E7BD2">
        <w:rPr>
          <w:rFonts w:ascii="Garamond" w:hAnsi="Garamond"/>
          <w:b/>
          <w:lang w:val="en-GB"/>
        </w:rPr>
        <w:t>Together</w:t>
      </w:r>
    </w:p>
    <w:p w14:paraId="17FDA781" w14:textId="64D2ED68" w:rsidR="008244E6" w:rsidRPr="004E7BD2" w:rsidRDefault="00FA3AD8" w:rsidP="00BC1573">
      <w:pPr>
        <w:jc w:val="both"/>
        <w:rPr>
          <w:rFonts w:ascii="Garamond" w:hAnsi="Garamond"/>
          <w:lang w:val="en-GB"/>
        </w:rPr>
      </w:pPr>
      <w:r w:rsidRPr="004E7BD2">
        <w:rPr>
          <w:rFonts w:ascii="Garamond" w:hAnsi="Garamond"/>
          <w:lang w:val="en-GB"/>
        </w:rPr>
        <w:t xml:space="preserve">Although crime </w:t>
      </w:r>
      <w:r w:rsidR="0041286C" w:rsidRPr="004E7BD2">
        <w:rPr>
          <w:rFonts w:ascii="Garamond" w:hAnsi="Garamond"/>
          <w:lang w:val="en-GB"/>
        </w:rPr>
        <w:t>victimisation</w:t>
      </w:r>
      <w:r w:rsidRPr="004E7BD2">
        <w:rPr>
          <w:rFonts w:ascii="Garamond" w:hAnsi="Garamond"/>
          <w:lang w:val="en-GB"/>
        </w:rPr>
        <w:t xml:space="preserve"> has declined in both the U.S. and England and Wales, the figures above show  that only in England and Wales have </w:t>
      </w:r>
      <w:r w:rsidR="00D11401">
        <w:rPr>
          <w:rFonts w:ascii="Garamond" w:hAnsi="Garamond"/>
          <w:lang w:val="en-GB"/>
        </w:rPr>
        <w:t>crime concerns declined</w:t>
      </w:r>
      <w:r w:rsidRPr="004E7BD2">
        <w:rPr>
          <w:rFonts w:ascii="Garamond" w:hAnsi="Garamond"/>
          <w:lang w:val="en-GB"/>
        </w:rPr>
        <w:t xml:space="preserve"> </w:t>
      </w:r>
      <w:r w:rsidR="00696944" w:rsidRPr="004E7BD2">
        <w:rPr>
          <w:rFonts w:ascii="Garamond" w:hAnsi="Garamond"/>
          <w:lang w:val="en-GB"/>
        </w:rPr>
        <w:t xml:space="preserve">consistently </w:t>
      </w:r>
      <w:r w:rsidRPr="004E7BD2">
        <w:rPr>
          <w:rFonts w:ascii="Garamond" w:hAnsi="Garamond"/>
          <w:lang w:val="en-GB"/>
        </w:rPr>
        <w:t xml:space="preserve">as we would expect based on falling crime rates. Table </w:t>
      </w:r>
      <w:r w:rsidR="00834D82" w:rsidRPr="004E7BD2">
        <w:rPr>
          <w:rFonts w:ascii="Garamond" w:hAnsi="Garamond"/>
          <w:lang w:val="en-GB"/>
        </w:rPr>
        <w:t>2</w:t>
      </w:r>
      <w:r w:rsidRPr="004E7BD2">
        <w:rPr>
          <w:rFonts w:ascii="Garamond" w:hAnsi="Garamond"/>
          <w:lang w:val="en-GB"/>
        </w:rPr>
        <w:t xml:space="preserve"> offers a more precise evaluation of these patterns. We report the bivariate correlations between the </w:t>
      </w:r>
      <w:r w:rsidR="00D11401">
        <w:rPr>
          <w:rFonts w:ascii="Garamond" w:hAnsi="Garamond"/>
          <w:lang w:val="en-GB"/>
        </w:rPr>
        <w:t>five</w:t>
      </w:r>
      <w:r w:rsidR="00D11401" w:rsidRPr="004E7BD2">
        <w:rPr>
          <w:rFonts w:ascii="Garamond" w:hAnsi="Garamond"/>
          <w:lang w:val="en-GB"/>
        </w:rPr>
        <w:t xml:space="preserve"> </w:t>
      </w:r>
      <w:r w:rsidRPr="004E7BD2">
        <w:rPr>
          <w:rFonts w:ascii="Garamond" w:hAnsi="Garamond"/>
          <w:lang w:val="en-GB"/>
        </w:rPr>
        <w:t xml:space="preserve">crime measures we have presented for </w:t>
      </w:r>
      <w:r w:rsidR="00D11401">
        <w:rPr>
          <w:rFonts w:ascii="Garamond" w:hAnsi="Garamond"/>
          <w:lang w:val="en-GB"/>
        </w:rPr>
        <w:t>the two countries</w:t>
      </w:r>
      <w:r w:rsidRPr="004E7BD2">
        <w:rPr>
          <w:rFonts w:ascii="Garamond" w:hAnsi="Garamond"/>
          <w:lang w:val="en-GB"/>
        </w:rPr>
        <w:t xml:space="preserve"> and the crime </w:t>
      </w:r>
      <w:r w:rsidR="00D11401">
        <w:rPr>
          <w:rFonts w:ascii="Garamond" w:hAnsi="Garamond"/>
          <w:lang w:val="en-GB"/>
        </w:rPr>
        <w:t>concern measures</w:t>
      </w:r>
      <w:r w:rsidR="00D11401" w:rsidRPr="004E7BD2">
        <w:rPr>
          <w:rFonts w:ascii="Garamond" w:hAnsi="Garamond"/>
          <w:lang w:val="en-GB"/>
        </w:rPr>
        <w:t xml:space="preserve"> </w:t>
      </w:r>
      <w:r w:rsidRPr="004E7BD2">
        <w:rPr>
          <w:rFonts w:ascii="Garamond" w:hAnsi="Garamond"/>
          <w:lang w:val="en-GB"/>
        </w:rPr>
        <w:t xml:space="preserve">depicted above. </w:t>
      </w:r>
      <w:r w:rsidR="008244E6" w:rsidRPr="004E7BD2">
        <w:rPr>
          <w:rFonts w:ascii="Garamond" w:hAnsi="Garamond"/>
          <w:lang w:val="en-GB"/>
        </w:rPr>
        <w:t xml:space="preserve">We limit our analysis to bivariate correlations given the short time series and limited degrees of freedom. While this means we cannot control for potentially mediating factors, such as news coverage of crime or political rhetoric around crime, bivariate correlations are ideally suited to quantify the empirical </w:t>
      </w:r>
      <w:r w:rsidR="008244E6" w:rsidRPr="004E7BD2">
        <w:rPr>
          <w:rFonts w:ascii="Garamond" w:hAnsi="Garamond"/>
          <w:lang w:val="en-GB"/>
        </w:rPr>
        <w:lastRenderedPageBreak/>
        <w:t>relationships described above and to evaluate our core questions about the over-time relationships between crime rates and public opinion.</w:t>
      </w:r>
      <w:r w:rsidR="00C7269F">
        <w:rPr>
          <w:rStyle w:val="FootnoteReference"/>
          <w:rFonts w:ascii="Garamond" w:hAnsi="Garamond"/>
          <w:lang w:val="en-GB"/>
        </w:rPr>
        <w:footnoteReference w:id="11"/>
      </w:r>
    </w:p>
    <w:p w14:paraId="0045B7BC" w14:textId="1D698383" w:rsidR="00B14411" w:rsidRPr="004E7BD2" w:rsidRDefault="00FA3AD8" w:rsidP="00735963">
      <w:pPr>
        <w:spacing w:after="0"/>
        <w:jc w:val="both"/>
        <w:rPr>
          <w:rFonts w:ascii="Garamond" w:hAnsi="Garamond"/>
          <w:lang w:val="en-GB"/>
        </w:rPr>
      </w:pPr>
      <w:r w:rsidRPr="004E7BD2">
        <w:rPr>
          <w:rFonts w:ascii="Garamond" w:hAnsi="Garamond"/>
          <w:lang w:val="en-GB"/>
        </w:rPr>
        <w:t>Consistent with visual impressions, only a weak relationship exists between crime perceptions and actual crime in the U.S. This is true regardless of how crime is measured</w:t>
      </w:r>
      <w:r w:rsidR="007A46F3" w:rsidRPr="004E7BD2">
        <w:rPr>
          <w:rFonts w:ascii="Garamond" w:hAnsi="Garamond"/>
          <w:lang w:val="en-GB"/>
        </w:rPr>
        <w:t>, though we note that the estimated relationship is roughly twice as large for the homicide rate as the other crime rates</w:t>
      </w:r>
      <w:r w:rsidRPr="004E7BD2">
        <w:rPr>
          <w:rFonts w:ascii="Garamond" w:hAnsi="Garamond"/>
          <w:lang w:val="en-GB"/>
        </w:rPr>
        <w:t xml:space="preserve">. By contrast, the British public seems </w:t>
      </w:r>
      <w:r w:rsidR="006A780C" w:rsidRPr="004E7BD2">
        <w:rPr>
          <w:rFonts w:ascii="Garamond" w:hAnsi="Garamond"/>
          <w:lang w:val="en-GB"/>
        </w:rPr>
        <w:t>highl</w:t>
      </w:r>
      <w:r w:rsidR="006A780C">
        <w:rPr>
          <w:rFonts w:ascii="Garamond" w:hAnsi="Garamond"/>
          <w:lang w:val="en-GB"/>
        </w:rPr>
        <w:t>y</w:t>
      </w:r>
      <w:r w:rsidR="006A780C" w:rsidRPr="004E7BD2">
        <w:rPr>
          <w:rFonts w:ascii="Garamond" w:hAnsi="Garamond"/>
          <w:lang w:val="en-GB"/>
        </w:rPr>
        <w:t xml:space="preserve"> </w:t>
      </w:r>
      <w:r w:rsidRPr="004E7BD2">
        <w:rPr>
          <w:rFonts w:ascii="Garamond" w:hAnsi="Garamond"/>
          <w:lang w:val="en-GB"/>
        </w:rPr>
        <w:t>in tuned to shifting crime rates</w:t>
      </w:r>
      <w:r w:rsidR="00834D82" w:rsidRPr="004E7BD2">
        <w:rPr>
          <w:rFonts w:ascii="Garamond" w:hAnsi="Garamond"/>
          <w:lang w:val="en-GB"/>
        </w:rPr>
        <w:t>, with the exception of the rate of recorded violent crime – where the correlation is strongly negative (-0.</w:t>
      </w:r>
      <w:r w:rsidR="00D11401">
        <w:rPr>
          <w:rFonts w:ascii="Garamond" w:hAnsi="Garamond"/>
          <w:lang w:val="en-GB"/>
        </w:rPr>
        <w:t>57</w:t>
      </w:r>
      <w:r w:rsidR="00834D82" w:rsidRPr="004E7BD2">
        <w:rPr>
          <w:rFonts w:ascii="Garamond" w:hAnsi="Garamond"/>
          <w:lang w:val="en-GB"/>
        </w:rPr>
        <w:t>) and statistically significant (</w:t>
      </w:r>
      <w:r w:rsidR="00834D82" w:rsidRPr="004E7BD2">
        <w:rPr>
          <w:rFonts w:ascii="Garamond" w:hAnsi="Garamond"/>
          <w:i/>
          <w:iCs/>
          <w:lang w:val="en-GB"/>
        </w:rPr>
        <w:t>p</w:t>
      </w:r>
      <w:r w:rsidR="00834D82" w:rsidRPr="004E7BD2">
        <w:rPr>
          <w:rFonts w:ascii="Garamond" w:hAnsi="Garamond"/>
          <w:lang w:val="en-GB"/>
        </w:rPr>
        <w:t xml:space="preserve"> </w:t>
      </w:r>
      <w:r w:rsidR="007A46F3" w:rsidRPr="004E7BD2">
        <w:rPr>
          <w:rFonts w:ascii="Garamond" w:hAnsi="Garamond"/>
          <w:lang w:val="en-GB"/>
        </w:rPr>
        <w:t>&lt;0.05</w:t>
      </w:r>
      <w:r w:rsidR="00834D82" w:rsidRPr="004E7BD2">
        <w:rPr>
          <w:rFonts w:ascii="Garamond" w:hAnsi="Garamond"/>
          <w:lang w:val="en-GB"/>
        </w:rPr>
        <w:t>)</w:t>
      </w:r>
      <w:r w:rsidRPr="004E7BD2">
        <w:rPr>
          <w:rFonts w:ascii="Garamond" w:hAnsi="Garamond"/>
          <w:lang w:val="en-GB"/>
        </w:rPr>
        <w:t>.</w:t>
      </w:r>
      <w:r w:rsidR="00834D82" w:rsidRPr="004E7BD2">
        <w:rPr>
          <w:rFonts w:ascii="Garamond" w:hAnsi="Garamond"/>
          <w:lang w:val="en-GB"/>
        </w:rPr>
        <w:t xml:space="preserve"> This, however, reflects the fact that the recorded rate of violent crime has significantly diverged from the public’s experience of it, as measured in </w:t>
      </w:r>
      <w:r w:rsidR="0041286C" w:rsidRPr="004E7BD2">
        <w:rPr>
          <w:rFonts w:ascii="Garamond" w:hAnsi="Garamond"/>
          <w:lang w:val="en-GB"/>
        </w:rPr>
        <w:t>victimisation</w:t>
      </w:r>
      <w:r w:rsidR="00834D82" w:rsidRPr="004E7BD2">
        <w:rPr>
          <w:rFonts w:ascii="Garamond" w:hAnsi="Garamond"/>
          <w:lang w:val="en-GB"/>
        </w:rPr>
        <w:t xml:space="preserve"> surveys.</w:t>
      </w:r>
      <w:r w:rsidRPr="004E7BD2">
        <w:rPr>
          <w:rFonts w:ascii="Garamond" w:hAnsi="Garamond"/>
          <w:lang w:val="en-GB"/>
        </w:rPr>
        <w:t xml:space="preserve"> The differences </w:t>
      </w:r>
      <w:r w:rsidR="007A46F3" w:rsidRPr="004E7BD2">
        <w:rPr>
          <w:rFonts w:ascii="Garamond" w:hAnsi="Garamond"/>
          <w:lang w:val="en-GB"/>
        </w:rPr>
        <w:t xml:space="preserve">between U.S. concern for crime and crime concern in England and Wales </w:t>
      </w:r>
      <w:r w:rsidRPr="004E7BD2">
        <w:rPr>
          <w:rFonts w:ascii="Garamond" w:hAnsi="Garamond"/>
          <w:lang w:val="en-GB"/>
        </w:rPr>
        <w:t>suggest</w:t>
      </w:r>
      <w:r w:rsidR="007A46F3" w:rsidRPr="004E7BD2">
        <w:rPr>
          <w:rFonts w:ascii="Garamond" w:hAnsi="Garamond"/>
          <w:lang w:val="en-GB"/>
        </w:rPr>
        <w:t>s</w:t>
      </w:r>
      <w:r w:rsidRPr="004E7BD2">
        <w:rPr>
          <w:rFonts w:ascii="Garamond" w:hAnsi="Garamond"/>
          <w:lang w:val="en-GB"/>
        </w:rPr>
        <w:t xml:space="preserve"> </w:t>
      </w:r>
      <w:r w:rsidR="007A46F3" w:rsidRPr="004E7BD2">
        <w:rPr>
          <w:rFonts w:ascii="Garamond" w:hAnsi="Garamond"/>
          <w:lang w:val="en-GB"/>
        </w:rPr>
        <w:t xml:space="preserve">an important </w:t>
      </w:r>
      <w:r w:rsidRPr="004E7BD2">
        <w:rPr>
          <w:rFonts w:ascii="Garamond" w:hAnsi="Garamond"/>
          <w:lang w:val="en-GB"/>
        </w:rPr>
        <w:t>avenues for future research, which we discuss in the conclusions.</w:t>
      </w:r>
    </w:p>
    <w:p w14:paraId="01FCD36D" w14:textId="77777777" w:rsidR="00FA3AD8" w:rsidRPr="004E7BD2" w:rsidRDefault="00FA3AD8" w:rsidP="00ED4292">
      <w:pPr>
        <w:spacing w:after="0"/>
        <w:rPr>
          <w:rFonts w:ascii="Garamond" w:hAnsi="Garamond"/>
          <w:lang w:val="en-GB"/>
        </w:rPr>
      </w:pPr>
    </w:p>
    <w:p w14:paraId="58251AF7" w14:textId="77777777" w:rsidR="00E31A07" w:rsidRPr="004E7BD2" w:rsidRDefault="00B14411" w:rsidP="00E31A07">
      <w:pPr>
        <w:spacing w:after="0"/>
        <w:ind w:left="720"/>
        <w:rPr>
          <w:rFonts w:ascii="Garamond" w:hAnsi="Garamond"/>
          <w:lang w:val="en-GB"/>
        </w:rPr>
      </w:pPr>
      <w:bookmarkStart w:id="6" w:name="_Hlk92621518"/>
      <w:r w:rsidRPr="004E7BD2">
        <w:rPr>
          <w:rFonts w:ascii="Garamond" w:hAnsi="Garamond"/>
          <w:b/>
          <w:lang w:val="en-GB"/>
        </w:rPr>
        <w:t xml:space="preserve">Table </w:t>
      </w:r>
      <w:r w:rsidR="00834D82" w:rsidRPr="004E7BD2">
        <w:rPr>
          <w:rFonts w:ascii="Garamond" w:hAnsi="Garamond"/>
          <w:b/>
          <w:lang w:val="en-GB"/>
        </w:rPr>
        <w:t>2</w:t>
      </w:r>
      <w:r w:rsidRPr="004E7BD2">
        <w:rPr>
          <w:rFonts w:ascii="Garamond" w:hAnsi="Garamond"/>
          <w:lang w:val="en-GB"/>
        </w:rPr>
        <w:t xml:space="preserve">: The bivariate correlation between crime rates and crime perceptions in the </w:t>
      </w:r>
    </w:p>
    <w:p w14:paraId="42D56584" w14:textId="1FFC50C3" w:rsidR="00B14411" w:rsidRPr="004E7BD2" w:rsidRDefault="00B14411" w:rsidP="00B14411">
      <w:pPr>
        <w:ind w:left="720"/>
        <w:rPr>
          <w:rFonts w:ascii="Garamond" w:hAnsi="Garamond"/>
          <w:lang w:val="en-GB"/>
        </w:rPr>
      </w:pPr>
      <w:r w:rsidRPr="004E7BD2">
        <w:rPr>
          <w:rFonts w:ascii="Garamond" w:hAnsi="Garamond"/>
          <w:lang w:val="en-GB"/>
        </w:rPr>
        <w:t>United States and England and Wales, 199</w:t>
      </w:r>
      <w:r w:rsidR="00E31A07" w:rsidRPr="004E7BD2">
        <w:rPr>
          <w:rFonts w:ascii="Garamond" w:hAnsi="Garamond"/>
          <w:lang w:val="en-GB"/>
        </w:rPr>
        <w:t>3</w:t>
      </w:r>
      <w:r w:rsidR="00337644">
        <w:rPr>
          <w:rFonts w:ascii="Garamond" w:hAnsi="Garamond"/>
          <w:lang w:val="en-GB"/>
        </w:rPr>
        <w:t>-</w:t>
      </w:r>
      <w:r w:rsidRPr="004E7BD2">
        <w:rPr>
          <w:rFonts w:ascii="Garamond" w:hAnsi="Garamond"/>
          <w:lang w:val="en-GB"/>
        </w:rPr>
        <w:t>20</w:t>
      </w:r>
      <w:r w:rsidR="0070220B" w:rsidRPr="004E7BD2">
        <w:rPr>
          <w:rFonts w:ascii="Garamond" w:hAnsi="Garamond"/>
          <w:lang w:val="en-GB"/>
        </w:rPr>
        <w:t>19</w:t>
      </w:r>
    </w:p>
    <w:p w14:paraId="78A90B45" w14:textId="4A123F7C" w:rsidR="00B14411" w:rsidRPr="000B4C87" w:rsidRDefault="00B14411" w:rsidP="00D9020B">
      <w:pPr>
        <w:rPr>
          <w:rFonts w:ascii="Garamond" w:hAnsi="Garamond"/>
          <w:lang w:val="fr-FR"/>
        </w:rPr>
      </w:pPr>
      <w:r w:rsidRPr="004E7BD2">
        <w:rPr>
          <w:rFonts w:ascii="Garamond" w:hAnsi="Garamond"/>
          <w:lang w:val="en-GB"/>
        </w:rPr>
        <w:tab/>
      </w:r>
      <w:r w:rsidRPr="004E7BD2">
        <w:rPr>
          <w:rFonts w:ascii="Garamond" w:hAnsi="Garamond"/>
          <w:lang w:val="en-GB"/>
        </w:rPr>
        <w:tab/>
      </w:r>
      <w:r w:rsidRPr="004E7BD2">
        <w:rPr>
          <w:rFonts w:ascii="Garamond" w:hAnsi="Garamond"/>
          <w:lang w:val="en-GB"/>
        </w:rPr>
        <w:tab/>
        <w:t xml:space="preserve">     </w:t>
      </w:r>
      <w:r w:rsidRPr="004E7BD2">
        <w:rPr>
          <w:rFonts w:ascii="Garamond" w:hAnsi="Garamond"/>
          <w:lang w:val="en-GB"/>
        </w:rPr>
        <w:tab/>
      </w:r>
      <w:r w:rsidRPr="004E7BD2">
        <w:rPr>
          <w:rFonts w:ascii="Garamond" w:hAnsi="Garamond"/>
          <w:lang w:val="en-GB"/>
        </w:rPr>
        <w:tab/>
      </w:r>
      <w:r w:rsidRPr="004E7BD2">
        <w:rPr>
          <w:rFonts w:ascii="Garamond" w:hAnsi="Garamond"/>
          <w:lang w:val="en-GB"/>
        </w:rPr>
        <w:tab/>
        <w:t xml:space="preserve">   </w:t>
      </w:r>
      <w:r w:rsidRPr="000B4C87">
        <w:rPr>
          <w:rFonts w:ascii="Garamond" w:hAnsi="Garamond"/>
          <w:lang w:val="fr-FR"/>
        </w:rPr>
        <w:t>Crime Perceptions</w:t>
      </w:r>
    </w:p>
    <w:p w14:paraId="5D661717" w14:textId="663476BB" w:rsidR="00B14411" w:rsidRPr="000B4C87" w:rsidRDefault="00B14411" w:rsidP="00D9020B">
      <w:pPr>
        <w:rPr>
          <w:rFonts w:ascii="Garamond" w:hAnsi="Garamond"/>
          <w:lang w:val="fr-FR"/>
        </w:rPr>
      </w:pP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t>U.S.</w:t>
      </w:r>
      <w:r w:rsidRPr="000B4C87">
        <w:rPr>
          <w:rFonts w:ascii="Garamond" w:hAnsi="Garamond"/>
          <w:lang w:val="fr-FR"/>
        </w:rPr>
        <w:tab/>
      </w:r>
      <w:proofErr w:type="spellStart"/>
      <w:r w:rsidR="00ED4292">
        <w:rPr>
          <w:rFonts w:ascii="Garamond" w:hAnsi="Garamond"/>
          <w:lang w:val="fr-FR"/>
        </w:rPr>
        <w:t>England</w:t>
      </w:r>
      <w:proofErr w:type="spellEnd"/>
      <w:r w:rsidRPr="000B4C87">
        <w:rPr>
          <w:rFonts w:ascii="Garamond" w:hAnsi="Garamond"/>
          <w:lang w:val="fr-FR"/>
        </w:rPr>
        <w:t xml:space="preserve"> &amp; Wales</w:t>
      </w:r>
    </w:p>
    <w:p w14:paraId="51240F5D" w14:textId="57BDCBC5" w:rsidR="00575813" w:rsidRPr="000B4C87" w:rsidRDefault="00575813" w:rsidP="00B14411">
      <w:pPr>
        <w:ind w:firstLine="720"/>
        <w:rPr>
          <w:rFonts w:ascii="Garamond" w:hAnsi="Garamond"/>
          <w:lang w:val="fr-FR"/>
        </w:rPr>
      </w:pPr>
      <w:r w:rsidRPr="000B4C87">
        <w:rPr>
          <w:rFonts w:ascii="Garamond" w:hAnsi="Garamond"/>
          <w:lang w:val="fr-FR"/>
        </w:rPr>
        <w:t>Homicide (Police Reports)</w:t>
      </w:r>
      <w:r w:rsidR="00E31A07" w:rsidRPr="000B4C87">
        <w:rPr>
          <w:rFonts w:ascii="Garamond" w:hAnsi="Garamond"/>
          <w:lang w:val="fr-FR"/>
        </w:rPr>
        <w:tab/>
      </w:r>
      <w:r w:rsidR="00E31A07" w:rsidRPr="000B4C87">
        <w:rPr>
          <w:rFonts w:ascii="Garamond" w:hAnsi="Garamond"/>
          <w:lang w:val="fr-FR"/>
        </w:rPr>
        <w:tab/>
        <w:t>0.21</w:t>
      </w:r>
      <w:r w:rsidR="00E31A07" w:rsidRPr="000B4C87">
        <w:rPr>
          <w:rFonts w:ascii="Garamond" w:hAnsi="Garamond"/>
          <w:lang w:val="fr-FR"/>
        </w:rPr>
        <w:tab/>
      </w:r>
      <w:r w:rsidR="00E31A07" w:rsidRPr="000B4C87">
        <w:rPr>
          <w:rFonts w:ascii="Garamond" w:hAnsi="Garamond"/>
          <w:lang w:val="fr-FR"/>
        </w:rPr>
        <w:tab/>
        <w:t>0.65*</w:t>
      </w:r>
    </w:p>
    <w:p w14:paraId="18348424" w14:textId="273F2779" w:rsidR="00575813" w:rsidRPr="000B4C87" w:rsidRDefault="00575813" w:rsidP="00575813">
      <w:pPr>
        <w:ind w:firstLine="720"/>
        <w:rPr>
          <w:rFonts w:ascii="Garamond" w:hAnsi="Garamond"/>
          <w:lang w:val="fr-FR"/>
        </w:rPr>
      </w:pPr>
      <w:r w:rsidRPr="000B4C87">
        <w:rPr>
          <w:rFonts w:ascii="Garamond" w:hAnsi="Garamond"/>
          <w:lang w:val="fr-FR"/>
        </w:rPr>
        <w:t>Violent Crime (Police Reports)</w:t>
      </w:r>
      <w:r w:rsidRPr="000B4C87">
        <w:rPr>
          <w:rFonts w:ascii="Garamond" w:hAnsi="Garamond"/>
          <w:lang w:val="fr-FR"/>
        </w:rPr>
        <w:tab/>
      </w:r>
      <w:r w:rsidRPr="000B4C87">
        <w:rPr>
          <w:rFonts w:ascii="Garamond" w:hAnsi="Garamond"/>
          <w:lang w:val="fr-FR"/>
        </w:rPr>
        <w:tab/>
        <w:t>0.</w:t>
      </w:r>
      <w:r w:rsidR="00E31A07" w:rsidRPr="000B4C87">
        <w:rPr>
          <w:rFonts w:ascii="Garamond" w:hAnsi="Garamond"/>
          <w:lang w:val="fr-FR"/>
        </w:rPr>
        <w:t>09</w:t>
      </w:r>
      <w:r w:rsidRPr="000B4C87">
        <w:rPr>
          <w:rFonts w:ascii="Garamond" w:hAnsi="Garamond"/>
          <w:lang w:val="fr-FR"/>
        </w:rPr>
        <w:tab/>
      </w:r>
      <w:r w:rsidR="00E31A07" w:rsidRPr="000B4C87">
        <w:rPr>
          <w:rFonts w:ascii="Garamond" w:hAnsi="Garamond"/>
          <w:lang w:val="fr-FR"/>
        </w:rPr>
        <w:tab/>
      </w:r>
      <w:r w:rsidRPr="000B4C87">
        <w:rPr>
          <w:rFonts w:ascii="Garamond" w:hAnsi="Garamond"/>
          <w:lang w:val="fr-FR"/>
        </w:rPr>
        <w:t>-0.</w:t>
      </w:r>
      <w:r w:rsidR="00E31A07" w:rsidRPr="000B4C87">
        <w:rPr>
          <w:rFonts w:ascii="Garamond" w:hAnsi="Garamond"/>
          <w:lang w:val="fr-FR"/>
        </w:rPr>
        <w:t>57*</w:t>
      </w:r>
    </w:p>
    <w:p w14:paraId="4C3D9D2D" w14:textId="3CDA1DCE" w:rsidR="00E31A07" w:rsidRPr="000B4C87" w:rsidRDefault="00E31A07" w:rsidP="00E31A07">
      <w:pPr>
        <w:ind w:firstLine="720"/>
        <w:rPr>
          <w:rFonts w:ascii="Garamond" w:hAnsi="Garamond"/>
          <w:lang w:val="fr-FR"/>
        </w:rPr>
      </w:pPr>
      <w:r w:rsidRPr="000B4C87">
        <w:rPr>
          <w:rFonts w:ascii="Garamond" w:hAnsi="Garamond"/>
          <w:lang w:val="fr-FR"/>
        </w:rPr>
        <w:t xml:space="preserve">Violent Crime (Victimisation) </w:t>
      </w:r>
      <w:r w:rsidRPr="000B4C87">
        <w:rPr>
          <w:rFonts w:ascii="Garamond" w:hAnsi="Garamond"/>
          <w:lang w:val="fr-FR"/>
        </w:rPr>
        <w:tab/>
      </w:r>
      <w:r w:rsidRPr="000B4C87">
        <w:rPr>
          <w:rFonts w:ascii="Garamond" w:hAnsi="Garamond"/>
          <w:lang w:val="fr-FR"/>
        </w:rPr>
        <w:tab/>
        <w:t>0.11</w:t>
      </w:r>
      <w:r w:rsidRPr="000B4C87">
        <w:rPr>
          <w:rFonts w:ascii="Garamond" w:hAnsi="Garamond"/>
          <w:lang w:val="fr-FR"/>
        </w:rPr>
        <w:tab/>
      </w:r>
      <w:r w:rsidRPr="000B4C87">
        <w:rPr>
          <w:rFonts w:ascii="Garamond" w:hAnsi="Garamond"/>
          <w:lang w:val="fr-FR"/>
        </w:rPr>
        <w:tab/>
        <w:t>0.93*</w:t>
      </w:r>
    </w:p>
    <w:p w14:paraId="6303B86C" w14:textId="16B6414E" w:rsidR="00B14411" w:rsidRPr="004E7BD2" w:rsidRDefault="00B14411" w:rsidP="00B14411">
      <w:pPr>
        <w:ind w:firstLine="720"/>
        <w:rPr>
          <w:rFonts w:ascii="Garamond" w:hAnsi="Garamond"/>
          <w:lang w:val="en-GB"/>
        </w:rPr>
      </w:pPr>
      <w:r w:rsidRPr="004E7BD2">
        <w:rPr>
          <w:rFonts w:ascii="Garamond" w:hAnsi="Garamond"/>
          <w:lang w:val="en-GB"/>
        </w:rPr>
        <w:t>Property Crime (Police Reports)</w:t>
      </w:r>
      <w:r w:rsidRPr="004E7BD2">
        <w:rPr>
          <w:rFonts w:ascii="Garamond" w:hAnsi="Garamond"/>
          <w:lang w:val="en-GB"/>
        </w:rPr>
        <w:tab/>
      </w:r>
      <w:r w:rsidRPr="004E7BD2">
        <w:rPr>
          <w:rFonts w:ascii="Garamond" w:hAnsi="Garamond"/>
          <w:lang w:val="en-GB"/>
        </w:rPr>
        <w:tab/>
      </w:r>
      <w:r w:rsidR="002717B9" w:rsidRPr="004E7BD2">
        <w:rPr>
          <w:rFonts w:ascii="Garamond" w:hAnsi="Garamond"/>
          <w:lang w:val="en-GB"/>
        </w:rPr>
        <w:t>0.</w:t>
      </w:r>
      <w:r w:rsidR="00E31A07" w:rsidRPr="004E7BD2">
        <w:rPr>
          <w:rFonts w:ascii="Garamond" w:hAnsi="Garamond"/>
          <w:lang w:val="en-GB"/>
        </w:rPr>
        <w:t>04</w:t>
      </w:r>
      <w:r w:rsidRPr="004E7BD2">
        <w:rPr>
          <w:rFonts w:ascii="Garamond" w:hAnsi="Garamond"/>
          <w:lang w:val="en-GB"/>
        </w:rPr>
        <w:tab/>
      </w:r>
      <w:r w:rsidR="00E31A07" w:rsidRPr="004E7BD2">
        <w:rPr>
          <w:rFonts w:ascii="Garamond" w:hAnsi="Garamond"/>
          <w:lang w:val="en-GB"/>
        </w:rPr>
        <w:tab/>
      </w:r>
      <w:r w:rsidR="007F3B31" w:rsidRPr="004E7BD2">
        <w:rPr>
          <w:rFonts w:ascii="Garamond" w:hAnsi="Garamond"/>
          <w:lang w:val="en-GB"/>
        </w:rPr>
        <w:t>0</w:t>
      </w:r>
      <w:r w:rsidRPr="004E7BD2">
        <w:rPr>
          <w:rFonts w:ascii="Garamond" w:hAnsi="Garamond"/>
          <w:lang w:val="en-GB"/>
        </w:rPr>
        <w:t>.</w:t>
      </w:r>
      <w:r w:rsidR="007F3B31" w:rsidRPr="004E7BD2">
        <w:rPr>
          <w:rFonts w:ascii="Garamond" w:hAnsi="Garamond"/>
          <w:lang w:val="en-GB"/>
        </w:rPr>
        <w:t>96</w:t>
      </w:r>
      <w:r w:rsidR="00E31A07" w:rsidRPr="004E7BD2">
        <w:rPr>
          <w:rFonts w:ascii="Garamond" w:hAnsi="Garamond"/>
          <w:lang w:val="en-GB"/>
        </w:rPr>
        <w:t>*</w:t>
      </w:r>
    </w:p>
    <w:p w14:paraId="4FAA113C" w14:textId="68F3FC2A" w:rsidR="00E31A07" w:rsidRPr="004E7BD2" w:rsidRDefault="00B14411" w:rsidP="00E31A07">
      <w:pPr>
        <w:spacing w:after="0"/>
        <w:ind w:firstLine="720"/>
        <w:rPr>
          <w:rFonts w:ascii="Garamond" w:hAnsi="Garamond"/>
          <w:lang w:val="en-GB"/>
        </w:rPr>
      </w:pPr>
      <w:r w:rsidRPr="004E7BD2">
        <w:rPr>
          <w:rFonts w:ascii="Garamond" w:hAnsi="Garamond"/>
          <w:lang w:val="en-GB"/>
        </w:rPr>
        <w:t xml:space="preserve">Property Crime (Victimisation) </w:t>
      </w:r>
      <w:r w:rsidRPr="004E7BD2">
        <w:rPr>
          <w:rFonts w:ascii="Garamond" w:hAnsi="Garamond"/>
          <w:lang w:val="en-GB"/>
        </w:rPr>
        <w:tab/>
      </w:r>
      <w:r w:rsidRPr="004E7BD2">
        <w:rPr>
          <w:rFonts w:ascii="Garamond" w:hAnsi="Garamond"/>
          <w:lang w:val="en-GB"/>
        </w:rPr>
        <w:tab/>
      </w:r>
      <w:r w:rsidR="002717B9" w:rsidRPr="004E7BD2">
        <w:rPr>
          <w:rFonts w:ascii="Garamond" w:hAnsi="Garamond"/>
          <w:lang w:val="en-GB"/>
        </w:rPr>
        <w:t>0.</w:t>
      </w:r>
      <w:r w:rsidR="00E31A07" w:rsidRPr="004E7BD2">
        <w:rPr>
          <w:rFonts w:ascii="Garamond" w:hAnsi="Garamond"/>
          <w:lang w:val="en-GB"/>
        </w:rPr>
        <w:t>12</w:t>
      </w:r>
      <w:r w:rsidRPr="004E7BD2">
        <w:rPr>
          <w:rFonts w:ascii="Garamond" w:hAnsi="Garamond"/>
          <w:lang w:val="en-GB"/>
        </w:rPr>
        <w:tab/>
      </w:r>
      <w:r w:rsidR="00E31A07" w:rsidRPr="004E7BD2">
        <w:rPr>
          <w:rFonts w:ascii="Garamond" w:hAnsi="Garamond"/>
          <w:lang w:val="en-GB"/>
        </w:rPr>
        <w:tab/>
      </w:r>
      <w:r w:rsidR="007F3B31" w:rsidRPr="004E7BD2">
        <w:rPr>
          <w:rFonts w:ascii="Garamond" w:hAnsi="Garamond"/>
          <w:lang w:val="en-GB"/>
        </w:rPr>
        <w:t>0</w:t>
      </w:r>
      <w:r w:rsidRPr="004E7BD2">
        <w:rPr>
          <w:rFonts w:ascii="Garamond" w:hAnsi="Garamond"/>
          <w:lang w:val="en-GB"/>
        </w:rPr>
        <w:t>.</w:t>
      </w:r>
      <w:r w:rsidR="007F3B31" w:rsidRPr="004E7BD2">
        <w:rPr>
          <w:rFonts w:ascii="Garamond" w:hAnsi="Garamond"/>
          <w:lang w:val="en-GB"/>
        </w:rPr>
        <w:t>9</w:t>
      </w:r>
      <w:r w:rsidR="00E31A07" w:rsidRPr="004E7BD2">
        <w:rPr>
          <w:rFonts w:ascii="Garamond" w:hAnsi="Garamond"/>
          <w:lang w:val="en-GB"/>
        </w:rPr>
        <w:t>0*</w:t>
      </w:r>
    </w:p>
    <w:p w14:paraId="41BE8365" w14:textId="6267055A" w:rsidR="00B14411" w:rsidRPr="004E7BD2" w:rsidRDefault="00B14411" w:rsidP="00B14411">
      <w:pPr>
        <w:ind w:firstLine="720"/>
        <w:rPr>
          <w:rFonts w:ascii="Garamond" w:hAnsi="Garamond"/>
          <w:u w:val="single"/>
          <w:lang w:val="en-GB"/>
        </w:rPr>
      </w:pP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00E31A07" w:rsidRPr="004E7BD2">
        <w:rPr>
          <w:rFonts w:ascii="Garamond" w:hAnsi="Garamond"/>
          <w:u w:val="single"/>
          <w:lang w:val="en-GB"/>
        </w:rPr>
        <w:tab/>
      </w:r>
    </w:p>
    <w:p w14:paraId="486037C3" w14:textId="77777777" w:rsidR="00ED4292" w:rsidRDefault="00E31A07" w:rsidP="00ED4292">
      <w:pPr>
        <w:spacing w:after="0"/>
        <w:ind w:left="720"/>
        <w:rPr>
          <w:rFonts w:ascii="Garamond" w:hAnsi="Garamond"/>
          <w:i/>
          <w:iCs/>
          <w:sz w:val="18"/>
          <w:szCs w:val="18"/>
          <w:lang w:val="en-GB"/>
        </w:rPr>
      </w:pPr>
      <w:r w:rsidRPr="00ED4292">
        <w:rPr>
          <w:rFonts w:ascii="Garamond" w:hAnsi="Garamond"/>
          <w:i/>
          <w:iCs/>
          <w:sz w:val="18"/>
          <w:szCs w:val="18"/>
          <w:lang w:val="en-GB"/>
        </w:rPr>
        <w:t>*= p&lt;0.05; N=27, except for victimisation rates in England and Wales (N=23), due to</w:t>
      </w:r>
      <w:r w:rsidR="00845795" w:rsidRPr="00ED4292">
        <w:rPr>
          <w:rFonts w:ascii="Garamond" w:hAnsi="Garamond"/>
          <w:i/>
          <w:iCs/>
          <w:sz w:val="18"/>
          <w:szCs w:val="18"/>
          <w:lang w:val="en-GB"/>
        </w:rPr>
        <w:t xml:space="preserve"> CSEW</w:t>
      </w:r>
      <w:r w:rsidRPr="00ED4292">
        <w:rPr>
          <w:rFonts w:ascii="Garamond" w:hAnsi="Garamond"/>
          <w:i/>
          <w:iCs/>
          <w:sz w:val="18"/>
          <w:szCs w:val="18"/>
          <w:lang w:val="en-GB"/>
        </w:rPr>
        <w:t xml:space="preserve"> surveys </w:t>
      </w:r>
    </w:p>
    <w:p w14:paraId="117C016C" w14:textId="6FF941DA" w:rsidR="00D9020B" w:rsidRPr="00ED4292" w:rsidRDefault="00E31A07" w:rsidP="00ED4292">
      <w:pPr>
        <w:spacing w:after="0"/>
        <w:ind w:left="720"/>
        <w:rPr>
          <w:rFonts w:ascii="Garamond" w:hAnsi="Garamond"/>
          <w:i/>
          <w:iCs/>
          <w:sz w:val="18"/>
          <w:szCs w:val="18"/>
          <w:lang w:val="en-GB"/>
        </w:rPr>
      </w:pPr>
      <w:r w:rsidRPr="00ED4292">
        <w:rPr>
          <w:rFonts w:ascii="Garamond" w:hAnsi="Garamond"/>
          <w:i/>
          <w:iCs/>
          <w:sz w:val="18"/>
          <w:szCs w:val="18"/>
          <w:lang w:val="en-GB"/>
        </w:rPr>
        <w:t xml:space="preserve">every other year early in the analysis. </w:t>
      </w:r>
    </w:p>
    <w:bookmarkEnd w:id="6"/>
    <w:p w14:paraId="779ED213" w14:textId="0F27A44A" w:rsidR="00861810" w:rsidRDefault="00861810" w:rsidP="00B61550">
      <w:pPr>
        <w:spacing w:after="0"/>
        <w:rPr>
          <w:rFonts w:ascii="Garamond" w:hAnsi="Garamond"/>
          <w:b/>
          <w:lang w:val="en-GB"/>
        </w:rPr>
      </w:pPr>
    </w:p>
    <w:p w14:paraId="2BF0D885" w14:textId="506CC3C2" w:rsidR="005610D0" w:rsidRPr="004E7BD2" w:rsidRDefault="005610D0" w:rsidP="00ED4292">
      <w:pPr>
        <w:spacing w:after="120"/>
        <w:rPr>
          <w:rFonts w:ascii="Garamond" w:hAnsi="Garamond"/>
          <w:b/>
          <w:lang w:val="en-GB"/>
        </w:rPr>
      </w:pPr>
      <w:r w:rsidRPr="004E7BD2">
        <w:rPr>
          <w:rFonts w:ascii="Garamond" w:hAnsi="Garamond"/>
          <w:b/>
          <w:lang w:val="en-GB"/>
        </w:rPr>
        <w:t>Punitiveness</w:t>
      </w:r>
    </w:p>
    <w:p w14:paraId="2B98BD58" w14:textId="1D72FC9D" w:rsidR="001E47F3" w:rsidRPr="004E7BD2" w:rsidRDefault="005625F5" w:rsidP="00165D57">
      <w:pPr>
        <w:spacing w:line="240" w:lineRule="auto"/>
        <w:jc w:val="both"/>
        <w:rPr>
          <w:rFonts w:ascii="Garamond" w:hAnsi="Garamond"/>
          <w:lang w:val="en-GB"/>
        </w:rPr>
      </w:pPr>
      <w:r w:rsidRPr="004E7BD2">
        <w:rPr>
          <w:rFonts w:ascii="Garamond" w:hAnsi="Garamond"/>
          <w:lang w:val="en-GB"/>
        </w:rPr>
        <w:t xml:space="preserve">We turn next to our measure of punitive attitudes held by the public in relation to crime. </w:t>
      </w:r>
      <w:r w:rsidR="00AE7426" w:rsidRPr="004E7BD2">
        <w:rPr>
          <w:rFonts w:ascii="Garamond" w:hAnsi="Garamond"/>
          <w:lang w:val="en-GB"/>
        </w:rPr>
        <w:t xml:space="preserve">As before we use the dyad ratios algorithm to extract the underlying trend in around </w:t>
      </w:r>
      <w:r w:rsidR="00834D82" w:rsidRPr="004E7BD2">
        <w:rPr>
          <w:rFonts w:ascii="Garamond" w:hAnsi="Garamond"/>
          <w:lang w:val="en-GB"/>
        </w:rPr>
        <w:t>900</w:t>
      </w:r>
      <w:r w:rsidR="00AE7426" w:rsidRPr="004E7BD2">
        <w:rPr>
          <w:rFonts w:ascii="Garamond" w:hAnsi="Garamond"/>
          <w:lang w:val="en-GB"/>
        </w:rPr>
        <w:t xml:space="preserve"> survey items across the two countries.</w:t>
      </w:r>
      <w:r w:rsidR="00834D82" w:rsidRPr="004E7BD2">
        <w:rPr>
          <w:rFonts w:ascii="Garamond" w:hAnsi="Garamond"/>
          <w:lang w:val="en-GB"/>
        </w:rPr>
        <w:t xml:space="preserve"> These items are included on the basis that they measure the public’s support for approaches to crime and criminal justice that are harsher or more lenient. </w:t>
      </w:r>
      <w:r w:rsidR="000220C1" w:rsidRPr="004E7BD2">
        <w:rPr>
          <w:rFonts w:ascii="Garamond" w:hAnsi="Garamond"/>
          <w:lang w:val="en-GB"/>
        </w:rPr>
        <w:t>Our U</w:t>
      </w:r>
      <w:r w:rsidR="00D11401">
        <w:rPr>
          <w:rFonts w:ascii="Garamond" w:hAnsi="Garamond"/>
          <w:lang w:val="en-GB"/>
        </w:rPr>
        <w:t>.</w:t>
      </w:r>
      <w:r w:rsidR="000220C1" w:rsidRPr="004E7BD2">
        <w:rPr>
          <w:rFonts w:ascii="Garamond" w:hAnsi="Garamond"/>
          <w:lang w:val="en-GB"/>
        </w:rPr>
        <w:t>S</w:t>
      </w:r>
      <w:r w:rsidR="00D11401">
        <w:rPr>
          <w:rFonts w:ascii="Garamond" w:hAnsi="Garamond"/>
          <w:lang w:val="en-GB"/>
        </w:rPr>
        <w:t>.</w:t>
      </w:r>
      <w:r w:rsidR="000220C1" w:rsidRPr="004E7BD2">
        <w:rPr>
          <w:rFonts w:ascii="Garamond" w:hAnsi="Garamond"/>
          <w:lang w:val="en-GB"/>
        </w:rPr>
        <w:t xml:space="preserve"> measure</w:t>
      </w:r>
      <w:r w:rsidR="00403BFC" w:rsidRPr="004E7BD2">
        <w:rPr>
          <w:rFonts w:ascii="Garamond" w:hAnsi="Garamond"/>
          <w:lang w:val="en-GB"/>
        </w:rPr>
        <w:t xml:space="preserve"> extends previous work by Enns (2014; 2016</w:t>
      </w:r>
      <w:r w:rsidR="00146AB3" w:rsidRPr="004E7BD2">
        <w:rPr>
          <w:rFonts w:ascii="Garamond" w:hAnsi="Garamond"/>
          <w:lang w:val="en-GB"/>
        </w:rPr>
        <w:t xml:space="preserve">; also see </w:t>
      </w:r>
      <w:r w:rsidR="00BF628F" w:rsidRPr="004E7BD2">
        <w:rPr>
          <w:rFonts w:ascii="Garamond" w:hAnsi="Garamond"/>
          <w:lang w:val="en-GB"/>
        </w:rPr>
        <w:t>Ramirez 2013)</w:t>
      </w:r>
      <w:r w:rsidR="00E60DC5" w:rsidRPr="004E7BD2">
        <w:rPr>
          <w:rFonts w:ascii="Garamond" w:hAnsi="Garamond"/>
          <w:lang w:val="en-GB"/>
        </w:rPr>
        <w:t xml:space="preserve">, adding </w:t>
      </w:r>
      <w:r w:rsidR="00D11401">
        <w:rPr>
          <w:rFonts w:ascii="Garamond" w:hAnsi="Garamond"/>
          <w:lang w:val="en-GB"/>
        </w:rPr>
        <w:t>ten</w:t>
      </w:r>
      <w:r w:rsidR="00D11401" w:rsidRPr="004E7BD2">
        <w:rPr>
          <w:rFonts w:ascii="Garamond" w:hAnsi="Garamond"/>
          <w:lang w:val="en-GB"/>
        </w:rPr>
        <w:t xml:space="preserve"> </w:t>
      </w:r>
      <w:r w:rsidR="001E47F3" w:rsidRPr="004E7BD2">
        <w:rPr>
          <w:rFonts w:ascii="Garamond" w:hAnsi="Garamond"/>
          <w:lang w:val="en-GB"/>
        </w:rPr>
        <w:t>years of data</w:t>
      </w:r>
      <w:r w:rsidR="00E60DC5" w:rsidRPr="004E7BD2">
        <w:rPr>
          <w:rFonts w:ascii="Garamond" w:hAnsi="Garamond"/>
          <w:lang w:val="en-GB"/>
        </w:rPr>
        <w:t>.</w:t>
      </w:r>
      <w:r w:rsidR="00834D82" w:rsidRPr="004E7BD2">
        <w:rPr>
          <w:rFonts w:ascii="Garamond" w:hAnsi="Garamond"/>
          <w:lang w:val="en-GB"/>
        </w:rPr>
        <w:t xml:space="preserve"> </w:t>
      </w:r>
      <w:r w:rsidR="000220C1" w:rsidRPr="004E7BD2">
        <w:rPr>
          <w:rFonts w:ascii="Garamond" w:hAnsi="Garamond"/>
          <w:lang w:val="en-GB"/>
        </w:rPr>
        <w:t>Our measure</w:t>
      </w:r>
      <w:r w:rsidR="00D11401">
        <w:rPr>
          <w:rFonts w:ascii="Garamond" w:hAnsi="Garamond"/>
          <w:lang w:val="en-GB"/>
        </w:rPr>
        <w:t xml:space="preserve"> for Britain</w:t>
      </w:r>
      <w:r w:rsidR="000220C1" w:rsidRPr="004E7BD2">
        <w:rPr>
          <w:rFonts w:ascii="Garamond" w:hAnsi="Garamond"/>
          <w:lang w:val="en-GB"/>
        </w:rPr>
        <w:t xml:space="preserve"> draws heavily on survey data from the CSEW, British Election Study</w:t>
      </w:r>
      <w:r w:rsidR="00497E20" w:rsidRPr="004E7BD2">
        <w:rPr>
          <w:rFonts w:ascii="Garamond" w:hAnsi="Garamond"/>
          <w:lang w:val="en-GB"/>
        </w:rPr>
        <w:t xml:space="preserve"> (including panel studies and internet panels)</w:t>
      </w:r>
      <w:r w:rsidR="000220C1" w:rsidRPr="004E7BD2">
        <w:rPr>
          <w:rFonts w:ascii="Garamond" w:hAnsi="Garamond"/>
          <w:lang w:val="en-GB"/>
        </w:rPr>
        <w:t>, the British Social Attitudes</w:t>
      </w:r>
      <w:r w:rsidR="00B325F7" w:rsidRPr="004E7BD2">
        <w:rPr>
          <w:rFonts w:ascii="Garamond" w:hAnsi="Garamond"/>
          <w:lang w:val="en-GB"/>
        </w:rPr>
        <w:t xml:space="preserve"> (BSA) survey</w:t>
      </w:r>
      <w:r w:rsidR="000220C1" w:rsidRPr="004E7BD2">
        <w:rPr>
          <w:rFonts w:ascii="Garamond" w:hAnsi="Garamond"/>
          <w:lang w:val="en-GB"/>
        </w:rPr>
        <w:t>, and poll</w:t>
      </w:r>
      <w:r w:rsidR="00EB3D19" w:rsidRPr="004E7BD2">
        <w:rPr>
          <w:rFonts w:ascii="Garamond" w:hAnsi="Garamond"/>
          <w:lang w:val="en-GB"/>
        </w:rPr>
        <w:t>s conducted</w:t>
      </w:r>
      <w:r w:rsidR="000220C1" w:rsidRPr="004E7BD2">
        <w:rPr>
          <w:rFonts w:ascii="Garamond" w:hAnsi="Garamond"/>
          <w:lang w:val="en-GB"/>
        </w:rPr>
        <w:t xml:space="preserve"> by Gallup, Ipsos-MORI and YouGov. This provides us with </w:t>
      </w:r>
      <w:r w:rsidR="00497E20" w:rsidRPr="004E7BD2">
        <w:rPr>
          <w:rFonts w:ascii="Garamond" w:hAnsi="Garamond"/>
          <w:lang w:val="en-GB"/>
        </w:rPr>
        <w:t>548</w:t>
      </w:r>
      <w:r w:rsidR="000220C1" w:rsidRPr="004E7BD2">
        <w:rPr>
          <w:rFonts w:ascii="Garamond" w:hAnsi="Garamond"/>
          <w:lang w:val="en-GB"/>
        </w:rPr>
        <w:t xml:space="preserve"> survey items relating </w:t>
      </w:r>
      <w:r w:rsidR="00527FC7" w:rsidRPr="004E7BD2">
        <w:rPr>
          <w:rFonts w:ascii="Garamond" w:hAnsi="Garamond"/>
          <w:lang w:val="en-GB"/>
        </w:rPr>
        <w:t xml:space="preserve">to </w:t>
      </w:r>
      <w:r w:rsidR="000220C1" w:rsidRPr="004E7BD2">
        <w:rPr>
          <w:rFonts w:ascii="Garamond" w:hAnsi="Garamond"/>
          <w:lang w:val="en-GB"/>
        </w:rPr>
        <w:t>the criminal justice policy</w:t>
      </w:r>
      <w:r w:rsidR="00497E20" w:rsidRPr="004E7BD2">
        <w:rPr>
          <w:rFonts w:ascii="Garamond" w:hAnsi="Garamond"/>
          <w:lang w:val="en-GB"/>
        </w:rPr>
        <w:t xml:space="preserve"> over the period between 1981 and 2021</w:t>
      </w:r>
      <w:r w:rsidR="000220C1" w:rsidRPr="004E7BD2">
        <w:rPr>
          <w:rFonts w:ascii="Garamond" w:hAnsi="Garamond"/>
          <w:lang w:val="en-GB"/>
        </w:rPr>
        <w:t xml:space="preserve">. </w:t>
      </w:r>
      <w:r w:rsidR="001E47F3" w:rsidRPr="004E7BD2">
        <w:rPr>
          <w:rFonts w:ascii="Garamond" w:hAnsi="Garamond"/>
          <w:lang w:val="en-GB"/>
        </w:rPr>
        <w:t xml:space="preserve">The primary difference in the estimation of punitive attitudes across the U.S. and England and Wales relates to how we treat questions about the death penalty. We will see in Table 3(a) that in the U.S. attitudes toward the death penalty correspond closely with the overall measure of the public’s punitiveness. Perhaps not surprisingly in the U.S. context, increases (decreases) in support for the death penalty correspond with increases (decreases) in other measures of </w:t>
      </w:r>
      <w:r w:rsidR="001E47F3" w:rsidRPr="004E7BD2">
        <w:rPr>
          <w:rFonts w:ascii="Garamond" w:hAnsi="Garamond"/>
          <w:lang w:val="en-GB"/>
        </w:rPr>
        <w:lastRenderedPageBreak/>
        <w:t>punitiveness, such as support for punishment, the view that courts have been too lenient, and support for spending on law enforcement.</w:t>
      </w:r>
    </w:p>
    <w:p w14:paraId="1E2F8C73" w14:textId="6055C85D" w:rsidR="00364940" w:rsidRPr="00364940" w:rsidRDefault="001E47F3" w:rsidP="00165D57">
      <w:pPr>
        <w:spacing w:line="240" w:lineRule="auto"/>
        <w:jc w:val="both"/>
        <w:rPr>
          <w:rFonts w:ascii="Garamond" w:hAnsi="Garamond"/>
          <w:lang w:val="en-GB"/>
        </w:rPr>
      </w:pPr>
      <w:r w:rsidRPr="004E7BD2">
        <w:rPr>
          <w:rFonts w:ascii="Garamond" w:hAnsi="Garamond"/>
          <w:lang w:val="en-GB"/>
        </w:rPr>
        <w:t>By contrast, p</w:t>
      </w:r>
      <w:r w:rsidR="000220C1" w:rsidRPr="004E7BD2">
        <w:rPr>
          <w:rFonts w:ascii="Garamond" w:hAnsi="Garamond"/>
          <w:lang w:val="en-GB"/>
        </w:rPr>
        <w:t xml:space="preserve">revious </w:t>
      </w:r>
      <w:r w:rsidR="00B325F7" w:rsidRPr="004E7BD2">
        <w:rPr>
          <w:rFonts w:ascii="Garamond" w:hAnsi="Garamond"/>
          <w:lang w:val="en-GB"/>
        </w:rPr>
        <w:t>research</w:t>
      </w:r>
      <w:r w:rsidR="000220C1" w:rsidRPr="004E7BD2">
        <w:rPr>
          <w:rFonts w:ascii="Garamond" w:hAnsi="Garamond"/>
          <w:lang w:val="en-GB"/>
        </w:rPr>
        <w:t xml:space="preserve"> on the UK</w:t>
      </w:r>
      <w:r w:rsidR="00497E20" w:rsidRPr="004E7BD2">
        <w:rPr>
          <w:rFonts w:ascii="Garamond" w:hAnsi="Garamond"/>
          <w:lang w:val="en-GB"/>
        </w:rPr>
        <w:t xml:space="preserve"> (Jennings</w:t>
      </w:r>
      <w:r w:rsidR="000C0F28" w:rsidRPr="004E7BD2">
        <w:rPr>
          <w:rFonts w:ascii="Garamond" w:hAnsi="Garamond"/>
          <w:lang w:val="en-GB"/>
        </w:rPr>
        <w:t xml:space="preserve"> et al.</w:t>
      </w:r>
      <w:r w:rsidR="00497E20" w:rsidRPr="004E7BD2">
        <w:rPr>
          <w:rFonts w:ascii="Garamond" w:hAnsi="Garamond"/>
          <w:lang w:val="en-GB"/>
        </w:rPr>
        <w:t xml:space="preserve"> 2017)</w:t>
      </w:r>
      <w:r w:rsidR="000220C1" w:rsidRPr="004E7BD2">
        <w:rPr>
          <w:rFonts w:ascii="Garamond" w:hAnsi="Garamond"/>
          <w:lang w:val="en-GB"/>
        </w:rPr>
        <w:t xml:space="preserve"> has shown that public </w:t>
      </w:r>
      <w:r w:rsidR="00B325F7" w:rsidRPr="004E7BD2">
        <w:rPr>
          <w:rFonts w:ascii="Garamond" w:hAnsi="Garamond"/>
          <w:lang w:val="en-GB"/>
        </w:rPr>
        <w:t>support for</w:t>
      </w:r>
      <w:r w:rsidR="000220C1" w:rsidRPr="004E7BD2">
        <w:rPr>
          <w:rFonts w:ascii="Garamond" w:hAnsi="Garamond"/>
          <w:lang w:val="en-GB"/>
        </w:rPr>
        <w:t xml:space="preserve"> the death penalty ha</w:t>
      </w:r>
      <w:r w:rsidR="00B325F7" w:rsidRPr="004E7BD2">
        <w:rPr>
          <w:rFonts w:ascii="Garamond" w:hAnsi="Garamond"/>
          <w:lang w:val="en-GB"/>
        </w:rPr>
        <w:t>s</w:t>
      </w:r>
      <w:r w:rsidR="000220C1" w:rsidRPr="004E7BD2">
        <w:rPr>
          <w:rFonts w:ascii="Garamond" w:hAnsi="Garamond"/>
          <w:lang w:val="en-GB"/>
        </w:rPr>
        <w:t xml:space="preserve"> undergone </w:t>
      </w:r>
      <w:r w:rsidR="00EB3D19" w:rsidRPr="004E7BD2">
        <w:rPr>
          <w:rFonts w:ascii="Garamond" w:hAnsi="Garamond"/>
          <w:lang w:val="en-GB"/>
        </w:rPr>
        <w:t>sustained long-term</w:t>
      </w:r>
      <w:r w:rsidR="000220C1" w:rsidRPr="004E7BD2">
        <w:rPr>
          <w:rFonts w:ascii="Garamond" w:hAnsi="Garamond"/>
          <w:lang w:val="en-GB"/>
        </w:rPr>
        <w:t xml:space="preserve"> decline,</w:t>
      </w:r>
      <w:r w:rsidR="00497E20" w:rsidRPr="004E7BD2">
        <w:rPr>
          <w:rFonts w:ascii="Garamond" w:hAnsi="Garamond"/>
          <w:lang w:val="en-GB"/>
        </w:rPr>
        <w:t xml:space="preserve"> reflecting </w:t>
      </w:r>
      <w:r w:rsidR="00B325F7" w:rsidRPr="004E7BD2">
        <w:rPr>
          <w:rFonts w:ascii="Garamond" w:hAnsi="Garamond"/>
          <w:lang w:val="en-GB"/>
        </w:rPr>
        <w:t xml:space="preserve">steadily </w:t>
      </w:r>
      <w:r w:rsidR="00497E20" w:rsidRPr="004E7BD2">
        <w:rPr>
          <w:rFonts w:ascii="Garamond" w:hAnsi="Garamond"/>
          <w:lang w:val="en-GB"/>
        </w:rPr>
        <w:t>increasing</w:t>
      </w:r>
      <w:r w:rsidR="00EB3D19" w:rsidRPr="004E7BD2">
        <w:rPr>
          <w:rFonts w:ascii="Garamond" w:hAnsi="Garamond"/>
          <w:lang w:val="en-GB"/>
        </w:rPr>
        <w:t xml:space="preserve"> social</w:t>
      </w:r>
      <w:r w:rsidR="00497E20" w:rsidRPr="004E7BD2">
        <w:rPr>
          <w:rFonts w:ascii="Garamond" w:hAnsi="Garamond"/>
          <w:lang w:val="en-GB"/>
        </w:rPr>
        <w:t xml:space="preserve"> liberalism on the issue</w:t>
      </w:r>
      <w:r w:rsidR="00B325F7" w:rsidRPr="004E7BD2">
        <w:rPr>
          <w:rFonts w:ascii="Garamond" w:hAnsi="Garamond"/>
          <w:lang w:val="en-GB"/>
        </w:rPr>
        <w:t xml:space="preserve">. This differs from </w:t>
      </w:r>
      <w:r w:rsidR="00EB3D19" w:rsidRPr="004E7BD2">
        <w:rPr>
          <w:rFonts w:ascii="Garamond" w:hAnsi="Garamond"/>
          <w:lang w:val="en-GB"/>
        </w:rPr>
        <w:t>aspects of criminal justice policy</w:t>
      </w:r>
      <w:r w:rsidR="000220C1" w:rsidRPr="004E7BD2">
        <w:rPr>
          <w:rFonts w:ascii="Garamond" w:hAnsi="Garamond"/>
          <w:lang w:val="en-GB"/>
        </w:rPr>
        <w:t xml:space="preserve"> </w:t>
      </w:r>
      <w:r w:rsidR="00B325F7" w:rsidRPr="004E7BD2">
        <w:rPr>
          <w:rFonts w:ascii="Garamond" w:hAnsi="Garamond"/>
          <w:lang w:val="en-GB"/>
        </w:rPr>
        <w:t>other than</w:t>
      </w:r>
      <w:r w:rsidR="00EB3D19" w:rsidRPr="004E7BD2">
        <w:rPr>
          <w:rFonts w:ascii="Garamond" w:hAnsi="Garamond"/>
          <w:lang w:val="en-GB"/>
        </w:rPr>
        <w:t xml:space="preserve"> support for</w:t>
      </w:r>
      <w:r w:rsidR="00B325F7" w:rsidRPr="004E7BD2">
        <w:rPr>
          <w:rFonts w:ascii="Garamond" w:hAnsi="Garamond"/>
          <w:lang w:val="en-GB"/>
        </w:rPr>
        <w:t xml:space="preserve"> the death penalty, </w:t>
      </w:r>
      <w:r w:rsidR="00EB3D19" w:rsidRPr="004E7BD2">
        <w:rPr>
          <w:rFonts w:ascii="Garamond" w:hAnsi="Garamond"/>
          <w:lang w:val="en-GB"/>
        </w:rPr>
        <w:t>where punitive attitudes are subject to greater fluctuation.</w:t>
      </w:r>
      <w:r w:rsidR="008A18EE" w:rsidRPr="004E7BD2">
        <w:rPr>
          <w:rFonts w:ascii="Garamond" w:hAnsi="Garamond"/>
          <w:lang w:val="en-GB"/>
        </w:rPr>
        <w:t xml:space="preserve"> We find the same here, and exclude items on the death penalty from our measure of punitive attitudes. The two versions of the series</w:t>
      </w:r>
      <w:r w:rsidR="00364940">
        <w:rPr>
          <w:rFonts w:ascii="Garamond" w:hAnsi="Garamond"/>
          <w:lang w:val="en-GB"/>
        </w:rPr>
        <w:t xml:space="preserve"> (i.e., with and without questions about the death penalty)</w:t>
      </w:r>
      <w:r w:rsidR="008A18EE" w:rsidRPr="004E7BD2">
        <w:rPr>
          <w:rFonts w:ascii="Garamond" w:hAnsi="Garamond"/>
          <w:lang w:val="en-GB"/>
        </w:rPr>
        <w:t xml:space="preserve"> are correlated at </w:t>
      </w:r>
      <w:r w:rsidR="00834D82" w:rsidRPr="004E7BD2">
        <w:rPr>
          <w:rFonts w:ascii="Garamond" w:hAnsi="Garamond"/>
          <w:lang w:val="en-GB"/>
        </w:rPr>
        <w:t xml:space="preserve">just </w:t>
      </w:r>
      <w:r w:rsidR="008A18EE" w:rsidRPr="004E7BD2">
        <w:rPr>
          <w:rFonts w:ascii="Garamond" w:hAnsi="Garamond"/>
          <w:lang w:val="en-GB"/>
        </w:rPr>
        <w:t>0.</w:t>
      </w:r>
      <w:r w:rsidR="005625F5" w:rsidRPr="004E7BD2">
        <w:rPr>
          <w:rFonts w:ascii="Garamond" w:hAnsi="Garamond"/>
          <w:lang w:val="en-GB"/>
        </w:rPr>
        <w:t>13</w:t>
      </w:r>
      <w:r w:rsidR="008A18EE" w:rsidRPr="004E7BD2">
        <w:rPr>
          <w:rFonts w:ascii="Garamond" w:hAnsi="Garamond"/>
          <w:lang w:val="en-GB"/>
        </w:rPr>
        <w:t xml:space="preserve"> (p=</w:t>
      </w:r>
      <w:r w:rsidR="005625F5" w:rsidRPr="004E7BD2">
        <w:rPr>
          <w:rFonts w:ascii="Garamond" w:hAnsi="Garamond"/>
          <w:lang w:val="en-GB"/>
        </w:rPr>
        <w:t>0</w:t>
      </w:r>
      <w:r w:rsidR="008A18EE" w:rsidRPr="004E7BD2">
        <w:rPr>
          <w:rFonts w:ascii="Garamond" w:hAnsi="Garamond"/>
          <w:lang w:val="en-GB"/>
        </w:rPr>
        <w:t>.</w:t>
      </w:r>
      <w:r w:rsidR="005625F5" w:rsidRPr="004E7BD2">
        <w:rPr>
          <w:rFonts w:ascii="Garamond" w:hAnsi="Garamond"/>
          <w:lang w:val="en-GB"/>
        </w:rPr>
        <w:t>429</w:t>
      </w:r>
      <w:r w:rsidR="008A18EE" w:rsidRPr="004E7BD2">
        <w:rPr>
          <w:rFonts w:ascii="Garamond" w:hAnsi="Garamond"/>
          <w:lang w:val="en-GB"/>
        </w:rPr>
        <w:t>).</w:t>
      </w:r>
      <w:r w:rsidR="00834D82" w:rsidRPr="004E7BD2">
        <w:rPr>
          <w:rFonts w:ascii="Garamond" w:hAnsi="Garamond"/>
          <w:lang w:val="en-GB"/>
        </w:rPr>
        <w:t xml:space="preserve"> </w:t>
      </w:r>
      <w:r w:rsidR="00364940">
        <w:rPr>
          <w:rFonts w:ascii="Garamond" w:hAnsi="Garamond"/>
          <w:lang w:val="en-GB"/>
        </w:rPr>
        <w:t xml:space="preserve">Thus, our decision to exclude death penalty attitudes in the British measure of punitiveness is not without consequence. But we believe it is theoretically appropriate. </w:t>
      </w:r>
      <w:r w:rsidR="00364940" w:rsidRPr="0006168A">
        <w:rPr>
          <w:rFonts w:ascii="Garamond" w:hAnsi="Garamond"/>
          <w:szCs w:val="18"/>
        </w:rPr>
        <w:t xml:space="preserve">The death penalty was abolished in Britain in 1965 and there has been little serious prospect of its reinstatement since. As a result, in contrast to other survey items measuring support for a more or less punitive direction of criminal justice </w:t>
      </w:r>
      <w:r w:rsidR="00364940" w:rsidRPr="0006168A">
        <w:rPr>
          <w:rFonts w:ascii="Garamond" w:hAnsi="Garamond"/>
          <w:i/>
          <w:szCs w:val="18"/>
        </w:rPr>
        <w:t>policy</w:t>
      </w:r>
      <w:r w:rsidR="00364940" w:rsidRPr="0006168A">
        <w:rPr>
          <w:rFonts w:ascii="Garamond" w:hAnsi="Garamond"/>
          <w:szCs w:val="18"/>
        </w:rPr>
        <w:t xml:space="preserve">, questions about the death penalty capture </w:t>
      </w:r>
      <w:r w:rsidR="00364940">
        <w:rPr>
          <w:rFonts w:ascii="Garamond" w:hAnsi="Garamond"/>
          <w:szCs w:val="18"/>
        </w:rPr>
        <w:t xml:space="preserve">are distinct from the policy debate and more likely reflect </w:t>
      </w:r>
      <w:r w:rsidR="00364940" w:rsidRPr="0006168A">
        <w:rPr>
          <w:rFonts w:ascii="Garamond" w:hAnsi="Garamond"/>
          <w:szCs w:val="18"/>
        </w:rPr>
        <w:t xml:space="preserve">the degree to which </w:t>
      </w:r>
      <w:r w:rsidR="00364940">
        <w:rPr>
          <w:rFonts w:ascii="Garamond" w:hAnsi="Garamond"/>
          <w:szCs w:val="18"/>
        </w:rPr>
        <w:t>British citizens</w:t>
      </w:r>
      <w:r w:rsidR="00364940" w:rsidRPr="00B71A68">
        <w:rPr>
          <w:rFonts w:ascii="Garamond" w:hAnsi="Garamond"/>
          <w:szCs w:val="18"/>
        </w:rPr>
        <w:t xml:space="preserve"> hold socially conservative </w:t>
      </w:r>
      <w:r w:rsidR="00364940" w:rsidRPr="00B71A68">
        <w:rPr>
          <w:rFonts w:ascii="Garamond" w:hAnsi="Garamond"/>
          <w:i/>
          <w:iCs/>
          <w:szCs w:val="18"/>
        </w:rPr>
        <w:t>values</w:t>
      </w:r>
      <w:r w:rsidR="00364940" w:rsidRPr="00B71A68">
        <w:rPr>
          <w:rFonts w:ascii="Garamond" w:hAnsi="Garamond"/>
          <w:szCs w:val="18"/>
        </w:rPr>
        <w:t>, without strictly capturing a meaningful preference for policy.</w:t>
      </w:r>
      <w:r w:rsidR="00364940">
        <w:rPr>
          <w:rFonts w:ascii="Garamond" w:hAnsi="Garamond"/>
          <w:szCs w:val="18"/>
        </w:rPr>
        <w:t xml:space="preserve"> For this reason, to keep our measures of public punitiveness theoretically consistent across the two countries, we should not use death penalty questions in the British measure.</w:t>
      </w:r>
    </w:p>
    <w:p w14:paraId="463C6B70" w14:textId="0ED1D451" w:rsidR="000220C1" w:rsidRPr="004E7BD2" w:rsidRDefault="009F6022" w:rsidP="00165D57">
      <w:pPr>
        <w:spacing w:line="240" w:lineRule="auto"/>
        <w:jc w:val="both"/>
        <w:rPr>
          <w:rFonts w:ascii="Garamond" w:hAnsi="Garamond"/>
          <w:lang w:val="en-GB"/>
        </w:rPr>
      </w:pPr>
      <w:r w:rsidRPr="004E7BD2">
        <w:rPr>
          <w:rFonts w:ascii="Garamond" w:hAnsi="Garamond"/>
          <w:lang w:val="en-GB"/>
        </w:rPr>
        <w:t>In both country series, we d</w:t>
      </w:r>
      <w:r w:rsidR="009C2C2B" w:rsidRPr="004E7BD2">
        <w:rPr>
          <w:rFonts w:ascii="Garamond" w:hAnsi="Garamond"/>
          <w:lang w:val="en-GB"/>
        </w:rPr>
        <w:t xml:space="preserve">epart from previous measures of punitive attitudes, </w:t>
      </w:r>
      <w:r w:rsidRPr="004E7BD2">
        <w:rPr>
          <w:rFonts w:ascii="Garamond" w:hAnsi="Garamond"/>
          <w:lang w:val="en-GB"/>
        </w:rPr>
        <w:t xml:space="preserve">and </w:t>
      </w:r>
      <w:r w:rsidR="009C2C2B" w:rsidRPr="004E7BD2">
        <w:rPr>
          <w:rFonts w:ascii="Garamond" w:hAnsi="Garamond"/>
          <w:lang w:val="en-GB"/>
        </w:rPr>
        <w:t>exclude questions about confidence in policing and criminal justice.</w:t>
      </w:r>
      <w:r w:rsidR="00146AB3" w:rsidRPr="004E7BD2">
        <w:rPr>
          <w:rFonts w:ascii="Garamond" w:hAnsi="Garamond"/>
          <w:lang w:val="en-GB"/>
        </w:rPr>
        <w:t xml:space="preserve"> In practice, this decision has little influence on our final measures, but this decision reflects important theoretical considerations</w:t>
      </w:r>
      <w:r w:rsidRPr="004E7BD2">
        <w:rPr>
          <w:rFonts w:ascii="Garamond" w:hAnsi="Garamond"/>
          <w:lang w:val="en-GB"/>
        </w:rPr>
        <w:t>, particularly in the U.S. context</w:t>
      </w:r>
      <w:r w:rsidR="00146AB3" w:rsidRPr="004E7BD2">
        <w:rPr>
          <w:rFonts w:ascii="Garamond" w:hAnsi="Garamond"/>
          <w:lang w:val="en-GB"/>
        </w:rPr>
        <w:t xml:space="preserve">. </w:t>
      </w:r>
      <w:r w:rsidRPr="004E7BD2">
        <w:rPr>
          <w:rFonts w:ascii="Garamond" w:hAnsi="Garamond"/>
          <w:lang w:val="en-GB"/>
        </w:rPr>
        <w:t>Previously in the U.S., a lack of confidence in the police reflect</w:t>
      </w:r>
      <w:r w:rsidR="00364940">
        <w:rPr>
          <w:rFonts w:ascii="Garamond" w:hAnsi="Garamond"/>
          <w:lang w:val="en-GB"/>
        </w:rPr>
        <w:t>ed</w:t>
      </w:r>
      <w:r w:rsidRPr="004E7BD2">
        <w:rPr>
          <w:rFonts w:ascii="Garamond" w:hAnsi="Garamond"/>
          <w:lang w:val="en-GB"/>
        </w:rPr>
        <w:t xml:space="preserve"> concern with crime and a desire for the police to do </w:t>
      </w:r>
      <w:r w:rsidRPr="004E7BD2">
        <w:rPr>
          <w:rFonts w:ascii="Garamond" w:hAnsi="Garamond"/>
          <w:i/>
          <w:lang w:val="en-GB"/>
        </w:rPr>
        <w:t>more</w:t>
      </w:r>
      <w:r w:rsidR="00D04727">
        <w:rPr>
          <w:rFonts w:ascii="Garamond" w:hAnsi="Garamond"/>
          <w:lang w:val="en-GB"/>
        </w:rPr>
        <w:t>; i.e., confidence was low because police were not doing enough</w:t>
      </w:r>
      <w:r w:rsidRPr="004E7BD2">
        <w:rPr>
          <w:rFonts w:ascii="Garamond" w:hAnsi="Garamond"/>
          <w:i/>
          <w:lang w:val="en-GB"/>
        </w:rPr>
        <w:t xml:space="preserve"> </w:t>
      </w:r>
      <w:r w:rsidRPr="004E7BD2">
        <w:rPr>
          <w:rFonts w:ascii="Garamond" w:hAnsi="Garamond"/>
          <w:lang w:val="en-GB"/>
        </w:rPr>
        <w:t>(Enns 2016, Ch.2)</w:t>
      </w:r>
      <w:r w:rsidRPr="004E7BD2">
        <w:rPr>
          <w:rFonts w:ascii="Garamond" w:hAnsi="Garamond"/>
          <w:i/>
          <w:lang w:val="en-GB"/>
        </w:rPr>
        <w:t xml:space="preserve">. </w:t>
      </w:r>
      <w:r w:rsidRPr="004E7BD2">
        <w:rPr>
          <w:rFonts w:ascii="Garamond" w:hAnsi="Garamond"/>
          <w:lang w:val="en-GB"/>
        </w:rPr>
        <w:t xml:space="preserve">More recently, however, a lack of confidence in the police in the U.S. can reflect the view that the police are </w:t>
      </w:r>
      <w:r w:rsidRPr="004E7BD2">
        <w:rPr>
          <w:rFonts w:ascii="Garamond" w:hAnsi="Garamond"/>
          <w:i/>
          <w:lang w:val="en-GB"/>
        </w:rPr>
        <w:t>over</w:t>
      </w:r>
      <w:r w:rsidRPr="004E7BD2">
        <w:rPr>
          <w:rFonts w:ascii="Garamond" w:hAnsi="Garamond"/>
          <w:lang w:val="en-GB"/>
        </w:rPr>
        <w:t xml:space="preserve">-policing. </w:t>
      </w:r>
      <w:r w:rsidR="00D04727">
        <w:rPr>
          <w:rFonts w:ascii="Garamond" w:hAnsi="Garamond"/>
          <w:lang w:val="en-GB"/>
        </w:rPr>
        <w:t>Because police confidence can now mean different things at different time points, w</w:t>
      </w:r>
      <w:r w:rsidRPr="004E7BD2">
        <w:rPr>
          <w:rFonts w:ascii="Garamond" w:hAnsi="Garamond"/>
          <w:lang w:val="en-GB"/>
        </w:rPr>
        <w:t>e exclude these measures from the updated series.</w:t>
      </w:r>
    </w:p>
    <w:p w14:paraId="178C8020" w14:textId="22CAE804" w:rsidR="009F6022" w:rsidRDefault="009F6022" w:rsidP="00ED4292">
      <w:pPr>
        <w:jc w:val="both"/>
        <w:rPr>
          <w:rFonts w:ascii="Garamond" w:hAnsi="Garamond"/>
          <w:lang w:val="en-GB"/>
        </w:rPr>
      </w:pPr>
      <w:bookmarkStart w:id="7" w:name="_Hlk75042116"/>
      <w:r w:rsidRPr="004E7BD2">
        <w:rPr>
          <w:rFonts w:ascii="Garamond" w:hAnsi="Garamond"/>
          <w:lang w:val="en-GB"/>
        </w:rPr>
        <w:t xml:space="preserve">In Tables 3(a) and 3(b), we report factor loadings of selected survey items, as well as the proportion of variance explained by the underlying factor in the USA and Britain respectively. Here, we see a substantial proportion of variance loads onto a single underlying dimension, indicating the central tendency in the public’s punitive attitudes. This accounts for 67% of all variance in survey questions on crime and criminal justice in the U.S., and 66% in Britain. The </w:t>
      </w:r>
      <w:r w:rsidR="00D04727">
        <w:rPr>
          <w:rFonts w:ascii="Garamond" w:hAnsi="Garamond"/>
          <w:lang w:val="en-GB"/>
        </w:rPr>
        <w:t>loadings</w:t>
      </w:r>
      <w:r w:rsidR="00D04727" w:rsidRPr="004E7BD2">
        <w:rPr>
          <w:rFonts w:ascii="Garamond" w:hAnsi="Garamond"/>
          <w:lang w:val="en-GB"/>
        </w:rPr>
        <w:t xml:space="preserve"> </w:t>
      </w:r>
      <w:r w:rsidRPr="004E7BD2">
        <w:rPr>
          <w:rFonts w:ascii="Garamond" w:hAnsi="Garamond"/>
          <w:lang w:val="en-GB"/>
        </w:rPr>
        <w:t xml:space="preserve">reported in the tables further indicate that widely accepted measures of punitive attitudes load strongly onto the extracted measure. </w:t>
      </w:r>
    </w:p>
    <w:p w14:paraId="4A2354D5" w14:textId="588F3BFD" w:rsidR="00D04727" w:rsidRDefault="00D04727" w:rsidP="00ED4292">
      <w:pPr>
        <w:jc w:val="both"/>
        <w:rPr>
          <w:rFonts w:ascii="Garamond" w:hAnsi="Garamond"/>
          <w:lang w:val="en-GB"/>
        </w:rPr>
      </w:pPr>
      <w:r>
        <w:rPr>
          <w:rFonts w:ascii="Garamond" w:hAnsi="Garamond"/>
          <w:lang w:val="en-GB"/>
        </w:rPr>
        <w:t>In the U.S., questions about the death penalty consistently load strongly on the resulting measure of punitiveness as do support for more spending on police and law enforcement, the belief that it is important to punish people in prison, and  the belief that the criminal justice system is not tough enough.</w:t>
      </w:r>
    </w:p>
    <w:p w14:paraId="164FA565" w14:textId="3EF6B512" w:rsidR="00ED4292" w:rsidRDefault="00ED4292" w:rsidP="00ED4292">
      <w:pPr>
        <w:jc w:val="both"/>
        <w:rPr>
          <w:rFonts w:ascii="Garamond" w:hAnsi="Garamond"/>
          <w:lang w:val="en-GB"/>
        </w:rPr>
      </w:pPr>
      <w:r w:rsidRPr="004E7BD2">
        <w:rPr>
          <w:rFonts w:ascii="Garamond" w:hAnsi="Garamond"/>
          <w:lang w:val="en-GB"/>
        </w:rPr>
        <w:t>In the case of Britain, survey items asking if ‘people who break the law should be given stiffer sentences’ correlate at 1.00 (BES Internet Panel), 0.94 (BSA) and 0.87 (BES Panel Study, 1992-7). Strong loadings are also observed for items concerning whether sentences are ‘not harsh enough’ (1.00, YouGov), ‘too lenient’ (0.92, CSEW), whether young offenders are dealt with too leniently (0.94, CSEW). Survey items asking about perceived causes of crime also correspond strongly with this measure of punitive attitudes. Believing that poverty and poor housing is a ‘very important cause of crime and violence’ (Gallup, -0.99) is negatively correlated with the measure, while belief that ‘general breakdown in respect for authority, law and order’ (0.94) loads positively. Our measure therefore seems to have face validity in terms of how it corresponds to existing measures of the public’s support for more or less punitive policy.</w:t>
      </w:r>
    </w:p>
    <w:p w14:paraId="198D464D" w14:textId="6FD866B6" w:rsidR="00B61550" w:rsidRDefault="00B61550" w:rsidP="00ED4292">
      <w:pPr>
        <w:jc w:val="both"/>
        <w:rPr>
          <w:rFonts w:ascii="Garamond" w:hAnsi="Garamond"/>
          <w:lang w:val="en-GB"/>
        </w:rPr>
      </w:pPr>
    </w:p>
    <w:p w14:paraId="5BE934B3" w14:textId="1B98F8EE" w:rsidR="00B61550" w:rsidRDefault="00B61550" w:rsidP="00ED4292">
      <w:pPr>
        <w:jc w:val="both"/>
        <w:rPr>
          <w:rFonts w:ascii="Garamond" w:hAnsi="Garamond"/>
          <w:lang w:val="en-GB"/>
        </w:rPr>
      </w:pPr>
    </w:p>
    <w:p w14:paraId="56927509" w14:textId="77777777" w:rsidR="00B61550" w:rsidRPr="004E7BD2" w:rsidRDefault="00B61550" w:rsidP="00ED4292">
      <w:pPr>
        <w:jc w:val="both"/>
        <w:rPr>
          <w:rFonts w:ascii="Garamond" w:hAnsi="Garamond"/>
          <w:iCs/>
          <w:lang w:val="en-GB"/>
        </w:rPr>
      </w:pPr>
    </w:p>
    <w:p w14:paraId="281CA4F3" w14:textId="0FEB1A54" w:rsidR="00E768EA" w:rsidRPr="004E7BD2" w:rsidRDefault="00E768EA" w:rsidP="00E768EA">
      <w:pPr>
        <w:spacing w:after="120"/>
        <w:rPr>
          <w:rFonts w:ascii="Garamond" w:hAnsi="Garamond"/>
          <w:lang w:val="en-GB"/>
        </w:rPr>
      </w:pPr>
      <w:r w:rsidRPr="004E7BD2">
        <w:rPr>
          <w:rFonts w:ascii="Garamond" w:hAnsi="Garamond"/>
          <w:b/>
          <w:lang w:val="en-GB"/>
        </w:rPr>
        <w:lastRenderedPageBreak/>
        <w:t xml:space="preserve">Table </w:t>
      </w:r>
      <w:r w:rsidR="002F4DC0" w:rsidRPr="004E7BD2">
        <w:rPr>
          <w:rFonts w:ascii="Garamond" w:hAnsi="Garamond"/>
          <w:b/>
          <w:lang w:val="en-GB"/>
        </w:rPr>
        <w:t>3</w:t>
      </w:r>
      <w:r w:rsidRPr="004E7BD2">
        <w:rPr>
          <w:rFonts w:ascii="Garamond" w:hAnsi="Garamond"/>
          <w:b/>
          <w:lang w:val="en-GB"/>
        </w:rPr>
        <w:t>(a).</w:t>
      </w:r>
      <w:r w:rsidRPr="004E7BD2">
        <w:rPr>
          <w:rFonts w:ascii="Garamond" w:hAnsi="Garamond"/>
          <w:lang w:val="en-GB"/>
        </w:rPr>
        <w:t xml:space="preserve"> </w:t>
      </w:r>
      <w:r w:rsidRPr="004E7BD2">
        <w:rPr>
          <w:rFonts w:ascii="Garamond" w:hAnsi="Garamond" w:cstheme="minorHAnsi"/>
          <w:lang w:val="en-GB"/>
        </w:rPr>
        <w:t xml:space="preserve">Factor Loadings of Selected Question Series and the </w:t>
      </w:r>
      <w:r w:rsidR="00766408">
        <w:rPr>
          <w:rFonts w:ascii="Garamond" w:hAnsi="Garamond" w:cstheme="minorHAnsi"/>
          <w:lang w:val="en-GB"/>
        </w:rPr>
        <w:t xml:space="preserve">Overall </w:t>
      </w:r>
      <w:r w:rsidRPr="004E7BD2">
        <w:rPr>
          <w:rFonts w:ascii="Garamond" w:hAnsi="Garamond" w:cstheme="minorHAnsi"/>
          <w:lang w:val="en-GB"/>
        </w:rPr>
        <w:t>Measure of Punitive Opinion, U</w:t>
      </w:r>
      <w:r w:rsidR="005738CC" w:rsidRPr="004E7BD2">
        <w:rPr>
          <w:rFonts w:ascii="Garamond" w:hAnsi="Garamond" w:cstheme="minorHAnsi"/>
          <w:lang w:val="en-GB"/>
        </w:rPr>
        <w:t>.</w:t>
      </w:r>
      <w:r w:rsidRPr="004E7BD2">
        <w:rPr>
          <w:rFonts w:ascii="Garamond" w:hAnsi="Garamond" w:cstheme="minorHAnsi"/>
          <w:lang w:val="en-GB"/>
        </w:rPr>
        <w:t>S</w:t>
      </w:r>
      <w:r w:rsidR="005738CC" w:rsidRPr="004E7BD2">
        <w:rPr>
          <w:rFonts w:ascii="Garamond" w:hAnsi="Garamond" w:cstheme="minorHAnsi"/>
          <w:lang w:val="en-GB"/>
        </w:rPr>
        <w:t>.</w:t>
      </w:r>
    </w:p>
    <w:tbl>
      <w:tblPr>
        <w:tblW w:w="8557" w:type="dxa"/>
        <w:tblInd w:w="108" w:type="dxa"/>
        <w:tblLayout w:type="fixed"/>
        <w:tblLook w:val="0000" w:firstRow="0" w:lastRow="0" w:firstColumn="0" w:lastColumn="0" w:noHBand="0" w:noVBand="0"/>
      </w:tblPr>
      <w:tblGrid>
        <w:gridCol w:w="6815"/>
        <w:gridCol w:w="633"/>
        <w:gridCol w:w="1109"/>
      </w:tblGrid>
      <w:tr w:rsidR="000B6D12" w:rsidRPr="004E7BD2" w14:paraId="77AB8B13" w14:textId="77777777" w:rsidTr="00ED4292">
        <w:trPr>
          <w:trHeight w:val="361"/>
        </w:trPr>
        <w:tc>
          <w:tcPr>
            <w:tcW w:w="6815" w:type="dxa"/>
            <w:tcBorders>
              <w:top w:val="double" w:sz="4" w:space="0" w:color="auto"/>
              <w:bottom w:val="single" w:sz="4" w:space="0" w:color="auto"/>
            </w:tcBorders>
            <w:shd w:val="clear" w:color="auto" w:fill="auto"/>
          </w:tcPr>
          <w:p w14:paraId="3F4E09CF" w14:textId="22325A1D" w:rsidR="000B6D12" w:rsidRPr="004E7BD2" w:rsidRDefault="000B6D12" w:rsidP="00E919A7">
            <w:pPr>
              <w:spacing w:before="60" w:after="60"/>
              <w:rPr>
                <w:rFonts w:ascii="Garamond" w:hAnsi="Garamond"/>
                <w:lang w:val="en-GB"/>
              </w:rPr>
            </w:pPr>
            <w:r w:rsidRPr="004E7BD2">
              <w:rPr>
                <w:rFonts w:ascii="Garamond" w:hAnsi="Garamond"/>
                <w:u w:val="single"/>
                <w:lang w:val="en-GB"/>
              </w:rPr>
              <w:t xml:space="preserve">Survey </w:t>
            </w:r>
            <w:r w:rsidR="006E3BFC">
              <w:rPr>
                <w:rFonts w:ascii="Garamond" w:hAnsi="Garamond"/>
                <w:u w:val="single"/>
                <w:lang w:val="en-GB"/>
              </w:rPr>
              <w:t>Question</w:t>
            </w:r>
            <w:r w:rsidR="006E3BFC" w:rsidRPr="004E7BD2">
              <w:rPr>
                <w:rFonts w:ascii="Garamond" w:hAnsi="Garamond"/>
                <w:u w:val="single"/>
                <w:lang w:val="en-GB"/>
              </w:rPr>
              <w:t xml:space="preserve"> </w:t>
            </w:r>
            <w:r w:rsidRPr="004E7BD2">
              <w:rPr>
                <w:rFonts w:ascii="Garamond" w:hAnsi="Garamond"/>
                <w:u w:val="single"/>
                <w:lang w:val="en-GB"/>
              </w:rPr>
              <w:t>(</w:t>
            </w:r>
            <w:r w:rsidR="006E3BFC">
              <w:rPr>
                <w:rFonts w:ascii="Garamond" w:hAnsi="Garamond"/>
                <w:u w:val="single"/>
                <w:lang w:val="en-GB"/>
              </w:rPr>
              <w:t>survey organisation</w:t>
            </w:r>
            <w:r w:rsidRPr="004E7BD2">
              <w:rPr>
                <w:rFonts w:ascii="Garamond" w:hAnsi="Garamond"/>
                <w:u w:val="single"/>
                <w:lang w:val="en-GB"/>
              </w:rPr>
              <w:t>)</w:t>
            </w:r>
          </w:p>
        </w:tc>
        <w:tc>
          <w:tcPr>
            <w:tcW w:w="633" w:type="dxa"/>
            <w:tcBorders>
              <w:top w:val="double" w:sz="4" w:space="0" w:color="auto"/>
              <w:bottom w:val="single" w:sz="4" w:space="0" w:color="auto"/>
            </w:tcBorders>
            <w:noWrap/>
            <w:tcMar>
              <w:left w:w="28" w:type="dxa"/>
              <w:right w:w="28" w:type="dxa"/>
            </w:tcMar>
            <w:vAlign w:val="center"/>
          </w:tcPr>
          <w:p w14:paraId="2FDB11FB" w14:textId="77777777" w:rsidR="000B6D12" w:rsidRPr="004E7BD2" w:rsidRDefault="000B6D12" w:rsidP="00E919A7">
            <w:pPr>
              <w:spacing w:after="0" w:line="240" w:lineRule="auto"/>
              <w:jc w:val="center"/>
              <w:rPr>
                <w:rFonts w:ascii="Garamond" w:hAnsi="Garamond"/>
                <w:lang w:val="en-GB"/>
              </w:rPr>
            </w:pPr>
            <w:r w:rsidRPr="004E7BD2">
              <w:rPr>
                <w:rFonts w:ascii="Garamond" w:hAnsi="Garamond"/>
                <w:lang w:val="en-GB"/>
              </w:rPr>
              <w:t>Cases</w:t>
            </w:r>
          </w:p>
        </w:tc>
        <w:tc>
          <w:tcPr>
            <w:tcW w:w="1109" w:type="dxa"/>
            <w:tcBorders>
              <w:top w:val="double" w:sz="4" w:space="0" w:color="auto"/>
              <w:bottom w:val="single" w:sz="4" w:space="0" w:color="auto"/>
            </w:tcBorders>
            <w:noWrap/>
            <w:tcMar>
              <w:left w:w="28" w:type="dxa"/>
              <w:right w:w="28" w:type="dxa"/>
            </w:tcMar>
            <w:vAlign w:val="center"/>
          </w:tcPr>
          <w:p w14:paraId="024DA47A" w14:textId="00B7CD9A" w:rsidR="000B6D12" w:rsidRPr="004E7BD2" w:rsidRDefault="006E3BFC" w:rsidP="00E919A7">
            <w:pPr>
              <w:spacing w:after="0" w:line="240" w:lineRule="auto"/>
              <w:jc w:val="center"/>
              <w:rPr>
                <w:rFonts w:ascii="Garamond" w:hAnsi="Garamond"/>
                <w:lang w:val="en-GB"/>
              </w:rPr>
            </w:pPr>
            <w:r>
              <w:rPr>
                <w:rFonts w:ascii="Garamond" w:hAnsi="Garamond"/>
                <w:lang w:val="en-GB"/>
              </w:rPr>
              <w:t>Loading</w:t>
            </w:r>
          </w:p>
        </w:tc>
      </w:tr>
      <w:tr w:rsidR="000B6D12" w:rsidRPr="004E7BD2" w14:paraId="769BC46E" w14:textId="77777777" w:rsidTr="00E919A7">
        <w:trPr>
          <w:trHeight w:hRule="exact" w:val="114"/>
        </w:trPr>
        <w:tc>
          <w:tcPr>
            <w:tcW w:w="6815" w:type="dxa"/>
            <w:shd w:val="clear" w:color="auto" w:fill="auto"/>
          </w:tcPr>
          <w:p w14:paraId="0B033EEF" w14:textId="77777777" w:rsidR="000B6D12" w:rsidRPr="004E7BD2" w:rsidRDefault="000B6D12" w:rsidP="00E919A7">
            <w:pPr>
              <w:spacing w:before="60" w:after="60"/>
              <w:rPr>
                <w:rFonts w:ascii="Garamond" w:hAnsi="Garamond"/>
                <w:lang w:val="en-GB"/>
              </w:rPr>
            </w:pPr>
          </w:p>
        </w:tc>
        <w:tc>
          <w:tcPr>
            <w:tcW w:w="633" w:type="dxa"/>
            <w:noWrap/>
            <w:tcMar>
              <w:left w:w="28" w:type="dxa"/>
              <w:right w:w="28" w:type="dxa"/>
            </w:tcMar>
            <w:vAlign w:val="center"/>
          </w:tcPr>
          <w:p w14:paraId="169217F1" w14:textId="77777777" w:rsidR="000B6D12" w:rsidRPr="004E7BD2" w:rsidRDefault="000B6D12" w:rsidP="00E919A7">
            <w:pPr>
              <w:spacing w:after="0" w:line="240" w:lineRule="auto"/>
              <w:jc w:val="center"/>
              <w:rPr>
                <w:rFonts w:ascii="Garamond" w:hAnsi="Garamond"/>
                <w:lang w:val="en-GB"/>
              </w:rPr>
            </w:pPr>
          </w:p>
        </w:tc>
        <w:tc>
          <w:tcPr>
            <w:tcW w:w="1109" w:type="dxa"/>
            <w:noWrap/>
            <w:tcMar>
              <w:left w:w="28" w:type="dxa"/>
              <w:right w:w="28" w:type="dxa"/>
            </w:tcMar>
            <w:vAlign w:val="center"/>
          </w:tcPr>
          <w:p w14:paraId="7DAD261B" w14:textId="77777777" w:rsidR="000B6D12" w:rsidRPr="004E7BD2" w:rsidRDefault="000B6D12" w:rsidP="00E919A7">
            <w:pPr>
              <w:jc w:val="center"/>
              <w:rPr>
                <w:rFonts w:ascii="Garamond" w:hAnsi="Garamond"/>
                <w:lang w:val="en-GB"/>
              </w:rPr>
            </w:pPr>
          </w:p>
        </w:tc>
      </w:tr>
      <w:tr w:rsidR="000B6D12" w:rsidRPr="004E7BD2" w14:paraId="30C8EFF9" w14:textId="77777777" w:rsidTr="00E919A7">
        <w:trPr>
          <w:trHeight w:val="361"/>
        </w:trPr>
        <w:tc>
          <w:tcPr>
            <w:tcW w:w="6815" w:type="dxa"/>
            <w:shd w:val="clear" w:color="auto" w:fill="auto"/>
            <w:vAlign w:val="center"/>
          </w:tcPr>
          <w:p w14:paraId="50CB9C15" w14:textId="5B976828" w:rsidR="000B6D12" w:rsidRPr="004E7BD2" w:rsidRDefault="00D11401" w:rsidP="00861810">
            <w:pPr>
              <w:spacing w:after="0"/>
              <w:rPr>
                <w:rFonts w:ascii="Garamond" w:hAnsi="Garamond"/>
                <w:lang w:val="en-GB"/>
              </w:rPr>
            </w:pPr>
            <w:r>
              <w:rPr>
                <w:rFonts w:ascii="Garamond" w:hAnsi="Garamond" w:cs="Calibri"/>
                <w:color w:val="000000"/>
                <w:lang w:val="en-GB"/>
              </w:rPr>
              <w:t>Favour</w:t>
            </w:r>
            <w:r w:rsidR="00874BF0" w:rsidRPr="004E7BD2">
              <w:rPr>
                <w:rFonts w:ascii="Garamond" w:hAnsi="Garamond" w:cs="Calibri"/>
                <w:color w:val="000000"/>
                <w:lang w:val="en-GB"/>
              </w:rPr>
              <w:t xml:space="preserve"> </w:t>
            </w:r>
            <w:r w:rsidR="00845795">
              <w:rPr>
                <w:rFonts w:ascii="Garamond" w:hAnsi="Garamond" w:cs="Calibri"/>
                <w:color w:val="000000"/>
                <w:lang w:val="en-GB"/>
              </w:rPr>
              <w:t>“</w:t>
            </w:r>
            <w:r w:rsidR="00874BF0" w:rsidRPr="004E7BD2">
              <w:rPr>
                <w:rFonts w:ascii="Garamond" w:hAnsi="Garamond" w:cs="Calibri"/>
                <w:color w:val="000000"/>
                <w:lang w:val="en-GB"/>
              </w:rPr>
              <w:t>much more</w:t>
            </w:r>
            <w:r w:rsidR="00845795">
              <w:rPr>
                <w:rFonts w:ascii="Garamond" w:hAnsi="Garamond" w:cs="Calibri"/>
                <w:color w:val="000000"/>
                <w:lang w:val="en-GB"/>
              </w:rPr>
              <w:t>”</w:t>
            </w:r>
            <w:r w:rsidR="00845795" w:rsidRPr="004E7BD2">
              <w:rPr>
                <w:rFonts w:ascii="Garamond" w:hAnsi="Garamond" w:cs="Calibri"/>
                <w:color w:val="000000"/>
                <w:lang w:val="en-GB"/>
              </w:rPr>
              <w:t xml:space="preserve"> </w:t>
            </w:r>
            <w:r w:rsidR="004A7049">
              <w:rPr>
                <w:rFonts w:ascii="Garamond" w:hAnsi="Garamond" w:cs="Calibri"/>
                <w:color w:val="000000"/>
                <w:lang w:val="en-GB"/>
              </w:rPr>
              <w:t xml:space="preserve">government spending on </w:t>
            </w:r>
            <w:r w:rsidR="00A23C98" w:rsidRPr="004E7BD2">
              <w:rPr>
                <w:rFonts w:ascii="Garamond" w:hAnsi="Garamond" w:cs="Calibri"/>
                <w:color w:val="000000"/>
                <w:lang w:val="en-GB"/>
              </w:rPr>
              <w:t>police and law enforcement</w:t>
            </w:r>
            <w:r w:rsidR="00874BF0" w:rsidRPr="004E7BD2">
              <w:rPr>
                <w:rFonts w:ascii="Garamond" w:hAnsi="Garamond" w:cs="Calibri"/>
                <w:color w:val="000000"/>
                <w:lang w:val="en-GB"/>
              </w:rPr>
              <w:t xml:space="preserve"> (GSS)</w:t>
            </w:r>
          </w:p>
        </w:tc>
        <w:tc>
          <w:tcPr>
            <w:tcW w:w="633" w:type="dxa"/>
            <w:noWrap/>
            <w:tcMar>
              <w:left w:w="28" w:type="dxa"/>
              <w:right w:w="28" w:type="dxa"/>
            </w:tcMar>
            <w:vAlign w:val="center"/>
          </w:tcPr>
          <w:p w14:paraId="2E2FAFAA" w14:textId="23594340" w:rsidR="000B6D12" w:rsidRPr="004E7BD2" w:rsidRDefault="00EF687F" w:rsidP="00861810">
            <w:pPr>
              <w:spacing w:after="0" w:line="240" w:lineRule="auto"/>
              <w:jc w:val="center"/>
              <w:rPr>
                <w:rFonts w:ascii="Garamond" w:hAnsi="Garamond"/>
                <w:lang w:val="en-GB"/>
              </w:rPr>
            </w:pPr>
            <w:r w:rsidRPr="004E7BD2">
              <w:rPr>
                <w:rFonts w:ascii="Garamond" w:hAnsi="Garamond"/>
                <w:lang w:val="en-GB"/>
              </w:rPr>
              <w:t>5</w:t>
            </w:r>
          </w:p>
        </w:tc>
        <w:tc>
          <w:tcPr>
            <w:tcW w:w="1109" w:type="dxa"/>
            <w:noWrap/>
            <w:tcMar>
              <w:left w:w="28" w:type="dxa"/>
              <w:right w:w="28" w:type="dxa"/>
            </w:tcMar>
            <w:vAlign w:val="center"/>
          </w:tcPr>
          <w:p w14:paraId="7672E505" w14:textId="3AFFF16A" w:rsidR="000B6D12" w:rsidRPr="004E7BD2" w:rsidRDefault="00EF687F" w:rsidP="00861810">
            <w:pPr>
              <w:spacing w:after="0"/>
              <w:jc w:val="center"/>
              <w:rPr>
                <w:rFonts w:ascii="Garamond" w:hAnsi="Garamond"/>
                <w:lang w:val="en-GB"/>
              </w:rPr>
            </w:pPr>
            <w:r w:rsidRPr="004E7BD2">
              <w:rPr>
                <w:rFonts w:ascii="Garamond" w:hAnsi="Garamond"/>
                <w:lang w:val="en-GB"/>
              </w:rPr>
              <w:t>0.99</w:t>
            </w:r>
          </w:p>
        </w:tc>
      </w:tr>
      <w:tr w:rsidR="000B6D12" w:rsidRPr="004E7BD2" w14:paraId="0EFA9FD2" w14:textId="77777777" w:rsidTr="00E919A7">
        <w:trPr>
          <w:trHeight w:val="602"/>
        </w:trPr>
        <w:tc>
          <w:tcPr>
            <w:tcW w:w="6815" w:type="dxa"/>
            <w:shd w:val="clear" w:color="auto" w:fill="auto"/>
            <w:vAlign w:val="center"/>
          </w:tcPr>
          <w:p w14:paraId="27AAE060" w14:textId="71FBAB55" w:rsidR="000B6D12" w:rsidRPr="004E7BD2" w:rsidRDefault="004A7049" w:rsidP="00861810">
            <w:pPr>
              <w:spacing w:after="0"/>
              <w:rPr>
                <w:rFonts w:ascii="Garamond" w:hAnsi="Garamond"/>
                <w:lang w:val="en-GB"/>
              </w:rPr>
            </w:pPr>
            <w:r>
              <w:rPr>
                <w:rFonts w:ascii="Garamond" w:hAnsi="Garamond" w:cs="Calibri"/>
                <w:color w:val="000000"/>
                <w:lang w:val="en-GB"/>
              </w:rPr>
              <w:t>Believe</w:t>
            </w:r>
            <w:r w:rsidRPr="004E7BD2">
              <w:rPr>
                <w:rFonts w:ascii="Garamond" w:hAnsi="Garamond" w:cs="Calibri"/>
                <w:color w:val="000000"/>
                <w:lang w:val="en-GB"/>
              </w:rPr>
              <w:t xml:space="preserve"> </w:t>
            </w:r>
            <w:r>
              <w:rPr>
                <w:rFonts w:ascii="Garamond" w:hAnsi="Garamond" w:cs="Calibri"/>
                <w:color w:val="000000"/>
                <w:lang w:val="en-GB"/>
              </w:rPr>
              <w:t xml:space="preserve">it </w:t>
            </w:r>
            <w:r w:rsidR="00874BF0" w:rsidRPr="004E7BD2">
              <w:rPr>
                <w:rFonts w:ascii="Garamond" w:hAnsi="Garamond" w:cs="Calibri"/>
                <w:color w:val="000000"/>
                <w:lang w:val="en-GB"/>
              </w:rPr>
              <w:t xml:space="preserve">is more important to punish </w:t>
            </w:r>
            <w:r>
              <w:rPr>
                <w:rFonts w:ascii="Garamond" w:hAnsi="Garamond" w:cs="Calibri"/>
                <w:color w:val="000000"/>
                <w:lang w:val="en-GB"/>
              </w:rPr>
              <w:t>people in prison</w:t>
            </w:r>
            <w:r w:rsidRPr="004E7BD2">
              <w:rPr>
                <w:rFonts w:ascii="Garamond" w:hAnsi="Garamond" w:cs="Calibri"/>
                <w:color w:val="000000"/>
                <w:lang w:val="en-GB"/>
              </w:rPr>
              <w:t xml:space="preserve"> </w:t>
            </w:r>
            <w:r w:rsidR="00874BF0" w:rsidRPr="004E7BD2">
              <w:rPr>
                <w:rFonts w:ascii="Garamond" w:hAnsi="Garamond" w:cs="Calibri"/>
                <w:color w:val="000000"/>
                <w:lang w:val="en-GB"/>
              </w:rPr>
              <w:t>for their crimes (Gallup)</w:t>
            </w:r>
          </w:p>
        </w:tc>
        <w:tc>
          <w:tcPr>
            <w:tcW w:w="633" w:type="dxa"/>
            <w:noWrap/>
            <w:tcMar>
              <w:left w:w="28" w:type="dxa"/>
              <w:right w:w="28" w:type="dxa"/>
            </w:tcMar>
            <w:vAlign w:val="center"/>
          </w:tcPr>
          <w:p w14:paraId="616E9033" w14:textId="55EB018D" w:rsidR="000B6D12" w:rsidRPr="004E7BD2" w:rsidRDefault="00EF687F" w:rsidP="00861810">
            <w:pPr>
              <w:spacing w:after="0" w:line="240" w:lineRule="auto"/>
              <w:jc w:val="center"/>
              <w:rPr>
                <w:rFonts w:ascii="Garamond" w:hAnsi="Garamond"/>
                <w:lang w:val="en-GB"/>
              </w:rPr>
            </w:pPr>
            <w:r w:rsidRPr="004E7BD2">
              <w:rPr>
                <w:rFonts w:ascii="Garamond" w:hAnsi="Garamond"/>
                <w:lang w:val="en-GB"/>
              </w:rPr>
              <w:t>4</w:t>
            </w:r>
          </w:p>
        </w:tc>
        <w:tc>
          <w:tcPr>
            <w:tcW w:w="1109" w:type="dxa"/>
            <w:noWrap/>
            <w:tcMar>
              <w:left w:w="28" w:type="dxa"/>
              <w:right w:w="28" w:type="dxa"/>
            </w:tcMar>
            <w:vAlign w:val="center"/>
          </w:tcPr>
          <w:p w14:paraId="699EDFBF" w14:textId="1D2796C6" w:rsidR="000B6D12" w:rsidRPr="004E7BD2" w:rsidRDefault="00EF687F" w:rsidP="00861810">
            <w:pPr>
              <w:spacing w:after="0"/>
              <w:jc w:val="center"/>
              <w:rPr>
                <w:rFonts w:ascii="Garamond" w:hAnsi="Garamond"/>
                <w:lang w:val="en-GB"/>
              </w:rPr>
            </w:pPr>
            <w:r w:rsidRPr="004E7BD2">
              <w:rPr>
                <w:rFonts w:ascii="Garamond" w:hAnsi="Garamond"/>
                <w:lang w:val="en-GB"/>
              </w:rPr>
              <w:t>0.98</w:t>
            </w:r>
          </w:p>
        </w:tc>
      </w:tr>
      <w:tr w:rsidR="000B6D12" w:rsidRPr="004E7BD2" w14:paraId="037EAC67" w14:textId="77777777" w:rsidTr="00E919A7">
        <w:trPr>
          <w:trHeight w:val="361"/>
        </w:trPr>
        <w:tc>
          <w:tcPr>
            <w:tcW w:w="6815" w:type="dxa"/>
            <w:shd w:val="clear" w:color="auto" w:fill="auto"/>
            <w:vAlign w:val="center"/>
          </w:tcPr>
          <w:p w14:paraId="3FD1F150" w14:textId="69DA14B8" w:rsidR="000B6D12" w:rsidRPr="004E7BD2" w:rsidRDefault="004A7049" w:rsidP="00861810">
            <w:pPr>
              <w:spacing w:after="0"/>
              <w:rPr>
                <w:rFonts w:ascii="Garamond" w:hAnsi="Garamond" w:cs="Calibri"/>
                <w:color w:val="000000"/>
                <w:lang w:val="en-GB"/>
              </w:rPr>
            </w:pPr>
            <w:r>
              <w:rPr>
                <w:rFonts w:ascii="Garamond" w:hAnsi="Garamond" w:cs="Calibri"/>
                <w:color w:val="000000"/>
                <w:lang w:val="en-GB"/>
              </w:rPr>
              <w:t>Believe</w:t>
            </w:r>
            <w:r w:rsidR="007D2A19" w:rsidRPr="004E7BD2">
              <w:rPr>
                <w:rFonts w:ascii="Garamond" w:hAnsi="Garamond" w:cs="Calibri"/>
                <w:color w:val="000000"/>
                <w:lang w:val="en-GB"/>
              </w:rPr>
              <w:t xml:space="preserve"> the criminal justice system is not tough enough in its handling of crime (Gallup)</w:t>
            </w:r>
          </w:p>
        </w:tc>
        <w:tc>
          <w:tcPr>
            <w:tcW w:w="633" w:type="dxa"/>
            <w:noWrap/>
            <w:tcMar>
              <w:left w:w="28" w:type="dxa"/>
              <w:right w:w="28" w:type="dxa"/>
            </w:tcMar>
            <w:vAlign w:val="center"/>
          </w:tcPr>
          <w:p w14:paraId="7423627A" w14:textId="79E8159A" w:rsidR="000B6D12" w:rsidRPr="004E7BD2" w:rsidRDefault="00EF687F" w:rsidP="00861810">
            <w:pPr>
              <w:spacing w:after="0" w:line="240" w:lineRule="auto"/>
              <w:jc w:val="center"/>
              <w:rPr>
                <w:rFonts w:ascii="Garamond" w:hAnsi="Garamond"/>
                <w:lang w:val="en-GB"/>
              </w:rPr>
            </w:pPr>
            <w:r w:rsidRPr="004E7BD2">
              <w:rPr>
                <w:rFonts w:ascii="Garamond" w:hAnsi="Garamond"/>
                <w:lang w:val="en-GB"/>
              </w:rPr>
              <w:t>4</w:t>
            </w:r>
          </w:p>
        </w:tc>
        <w:tc>
          <w:tcPr>
            <w:tcW w:w="1109" w:type="dxa"/>
            <w:noWrap/>
            <w:tcMar>
              <w:left w:w="28" w:type="dxa"/>
              <w:right w:w="28" w:type="dxa"/>
            </w:tcMar>
            <w:vAlign w:val="center"/>
          </w:tcPr>
          <w:p w14:paraId="0C85C90D" w14:textId="7CC51168" w:rsidR="000B6D12" w:rsidRPr="004E7BD2" w:rsidRDefault="00EF687F" w:rsidP="00861810">
            <w:pPr>
              <w:spacing w:after="0"/>
              <w:jc w:val="center"/>
              <w:rPr>
                <w:rFonts w:ascii="Garamond" w:hAnsi="Garamond"/>
                <w:lang w:val="en-GB"/>
              </w:rPr>
            </w:pPr>
            <w:r w:rsidRPr="004E7BD2">
              <w:rPr>
                <w:rFonts w:ascii="Garamond" w:hAnsi="Garamond"/>
                <w:lang w:val="en-GB"/>
              </w:rPr>
              <w:t>0.97</w:t>
            </w:r>
          </w:p>
        </w:tc>
      </w:tr>
      <w:tr w:rsidR="000B6D12" w:rsidRPr="004E7BD2" w14:paraId="238D0E3E" w14:textId="77777777" w:rsidTr="00E919A7">
        <w:trPr>
          <w:trHeight w:val="369"/>
        </w:trPr>
        <w:tc>
          <w:tcPr>
            <w:tcW w:w="6815" w:type="dxa"/>
            <w:shd w:val="clear" w:color="auto" w:fill="auto"/>
            <w:vAlign w:val="center"/>
          </w:tcPr>
          <w:p w14:paraId="2DA89322" w14:textId="3FAB462F" w:rsidR="000B6D12" w:rsidRPr="004E7BD2" w:rsidRDefault="004A7049" w:rsidP="00861810">
            <w:pPr>
              <w:spacing w:after="0"/>
              <w:rPr>
                <w:rFonts w:ascii="Garamond" w:hAnsi="Garamond" w:cs="Calibri"/>
                <w:color w:val="000000"/>
                <w:lang w:val="en-GB"/>
              </w:rPr>
            </w:pPr>
            <w:r>
              <w:rPr>
                <w:rFonts w:ascii="Garamond" w:hAnsi="Garamond" w:cs="Calibri"/>
                <w:color w:val="000000"/>
                <w:lang w:val="en-GB"/>
              </w:rPr>
              <w:t>I</w:t>
            </w:r>
            <w:r w:rsidR="0014543B" w:rsidRPr="004E7BD2">
              <w:rPr>
                <w:rFonts w:ascii="Garamond" w:hAnsi="Garamond" w:cs="Calibri"/>
                <w:color w:val="000000"/>
                <w:lang w:val="en-GB"/>
              </w:rPr>
              <w:t xml:space="preserve">n </w:t>
            </w:r>
            <w:proofErr w:type="spellStart"/>
            <w:r w:rsidR="0014543B" w:rsidRPr="004E7BD2">
              <w:rPr>
                <w:rFonts w:ascii="Garamond" w:hAnsi="Garamond" w:cs="Calibri"/>
                <w:color w:val="000000"/>
                <w:lang w:val="en-GB"/>
              </w:rPr>
              <w:t>favor</w:t>
            </w:r>
            <w:proofErr w:type="spellEnd"/>
            <w:r w:rsidR="0014543B" w:rsidRPr="004E7BD2">
              <w:rPr>
                <w:rFonts w:ascii="Garamond" w:hAnsi="Garamond" w:cs="Calibri"/>
                <w:color w:val="000000"/>
                <w:lang w:val="en-GB"/>
              </w:rPr>
              <w:t xml:space="preserve"> of the death penalty (Harris)</w:t>
            </w:r>
          </w:p>
        </w:tc>
        <w:tc>
          <w:tcPr>
            <w:tcW w:w="633" w:type="dxa"/>
            <w:noWrap/>
            <w:tcMar>
              <w:left w:w="28" w:type="dxa"/>
              <w:right w:w="28" w:type="dxa"/>
            </w:tcMar>
            <w:vAlign w:val="center"/>
          </w:tcPr>
          <w:p w14:paraId="37213D2B" w14:textId="1442F5DC" w:rsidR="000B6D12" w:rsidRPr="004E7BD2" w:rsidDel="00D2222B" w:rsidRDefault="00EF687F" w:rsidP="00861810">
            <w:pPr>
              <w:spacing w:after="0" w:line="240" w:lineRule="auto"/>
              <w:jc w:val="center"/>
              <w:rPr>
                <w:rFonts w:ascii="Garamond" w:hAnsi="Garamond"/>
                <w:lang w:val="en-GB"/>
              </w:rPr>
            </w:pPr>
            <w:r w:rsidRPr="004E7BD2">
              <w:rPr>
                <w:rFonts w:ascii="Garamond" w:hAnsi="Garamond"/>
                <w:lang w:val="en-GB"/>
              </w:rPr>
              <w:t>3</w:t>
            </w:r>
          </w:p>
        </w:tc>
        <w:tc>
          <w:tcPr>
            <w:tcW w:w="1109" w:type="dxa"/>
            <w:noWrap/>
            <w:tcMar>
              <w:left w:w="28" w:type="dxa"/>
              <w:right w:w="28" w:type="dxa"/>
            </w:tcMar>
            <w:vAlign w:val="center"/>
          </w:tcPr>
          <w:p w14:paraId="11346ED8" w14:textId="53378B3B" w:rsidR="000B6D12" w:rsidRPr="004E7BD2" w:rsidDel="00D2222B" w:rsidRDefault="00EF687F" w:rsidP="00861810">
            <w:pPr>
              <w:spacing w:after="0"/>
              <w:jc w:val="center"/>
              <w:rPr>
                <w:rFonts w:ascii="Garamond" w:hAnsi="Garamond"/>
                <w:lang w:val="en-GB"/>
              </w:rPr>
            </w:pPr>
            <w:r w:rsidRPr="004E7BD2">
              <w:rPr>
                <w:rFonts w:ascii="Garamond" w:hAnsi="Garamond"/>
                <w:lang w:val="en-GB"/>
              </w:rPr>
              <w:t>0.97</w:t>
            </w:r>
          </w:p>
        </w:tc>
      </w:tr>
      <w:tr w:rsidR="000B6D12" w:rsidRPr="004E7BD2" w14:paraId="38B3B423" w14:textId="77777777" w:rsidTr="00E919A7">
        <w:trPr>
          <w:trHeight w:val="602"/>
        </w:trPr>
        <w:tc>
          <w:tcPr>
            <w:tcW w:w="6815" w:type="dxa"/>
            <w:shd w:val="clear" w:color="auto" w:fill="auto"/>
            <w:vAlign w:val="center"/>
          </w:tcPr>
          <w:p w14:paraId="756815B8" w14:textId="0E24DB4C" w:rsidR="000B6D12" w:rsidRPr="004E7BD2" w:rsidRDefault="004A7049" w:rsidP="00861810">
            <w:pPr>
              <w:spacing w:after="0"/>
              <w:rPr>
                <w:rFonts w:ascii="Garamond" w:hAnsi="Garamond" w:cs="Calibri"/>
                <w:color w:val="000000"/>
                <w:lang w:val="en-GB"/>
              </w:rPr>
            </w:pPr>
            <w:r>
              <w:rPr>
                <w:rFonts w:ascii="Garamond" w:hAnsi="Garamond" w:cs="Calibri"/>
                <w:color w:val="000000"/>
                <w:lang w:val="en-GB"/>
              </w:rPr>
              <w:t>I</w:t>
            </w:r>
            <w:r w:rsidR="00CD2B8A" w:rsidRPr="004E7BD2">
              <w:rPr>
                <w:rFonts w:ascii="Garamond" w:hAnsi="Garamond" w:cs="Calibri"/>
                <w:color w:val="000000"/>
                <w:lang w:val="en-GB"/>
              </w:rPr>
              <w:t xml:space="preserve">n </w:t>
            </w:r>
            <w:proofErr w:type="spellStart"/>
            <w:r w:rsidR="00CD2B8A" w:rsidRPr="004E7BD2">
              <w:rPr>
                <w:rFonts w:ascii="Garamond" w:hAnsi="Garamond" w:cs="Calibri"/>
                <w:color w:val="000000"/>
                <w:lang w:val="en-GB"/>
              </w:rPr>
              <w:t>favor</w:t>
            </w:r>
            <w:proofErr w:type="spellEnd"/>
            <w:r w:rsidR="00CD2B8A" w:rsidRPr="004E7BD2">
              <w:rPr>
                <w:rFonts w:ascii="Garamond" w:hAnsi="Garamond" w:cs="Calibri"/>
                <w:color w:val="000000"/>
                <w:lang w:val="en-GB"/>
              </w:rPr>
              <w:t xml:space="preserve"> of the death penalty for a person convicted of murder (Gallup)</w:t>
            </w:r>
          </w:p>
        </w:tc>
        <w:tc>
          <w:tcPr>
            <w:tcW w:w="633" w:type="dxa"/>
            <w:noWrap/>
            <w:tcMar>
              <w:left w:w="28" w:type="dxa"/>
              <w:right w:w="28" w:type="dxa"/>
            </w:tcMar>
            <w:vAlign w:val="center"/>
          </w:tcPr>
          <w:p w14:paraId="351632B3" w14:textId="4AE6346C" w:rsidR="000B6D12" w:rsidRPr="004E7BD2" w:rsidRDefault="00EF687F" w:rsidP="00861810">
            <w:pPr>
              <w:spacing w:after="0" w:line="240" w:lineRule="auto"/>
              <w:jc w:val="center"/>
              <w:rPr>
                <w:rFonts w:ascii="Garamond" w:hAnsi="Garamond"/>
                <w:lang w:val="en-GB"/>
              </w:rPr>
            </w:pPr>
            <w:r w:rsidRPr="004E7BD2">
              <w:rPr>
                <w:rFonts w:ascii="Garamond" w:hAnsi="Garamond"/>
                <w:lang w:val="en-GB"/>
              </w:rPr>
              <w:t>42</w:t>
            </w:r>
          </w:p>
        </w:tc>
        <w:tc>
          <w:tcPr>
            <w:tcW w:w="1109" w:type="dxa"/>
            <w:noWrap/>
            <w:tcMar>
              <w:left w:w="28" w:type="dxa"/>
              <w:right w:w="28" w:type="dxa"/>
            </w:tcMar>
            <w:vAlign w:val="center"/>
          </w:tcPr>
          <w:p w14:paraId="2FA3C46F" w14:textId="54EB8CB6" w:rsidR="000B6D12" w:rsidRPr="004E7BD2" w:rsidRDefault="00EF687F" w:rsidP="00861810">
            <w:pPr>
              <w:spacing w:after="0"/>
              <w:jc w:val="center"/>
              <w:rPr>
                <w:rFonts w:ascii="Garamond" w:hAnsi="Garamond"/>
                <w:lang w:val="en-GB"/>
              </w:rPr>
            </w:pPr>
            <w:r w:rsidRPr="004E7BD2">
              <w:rPr>
                <w:rFonts w:ascii="Garamond" w:hAnsi="Garamond"/>
                <w:lang w:val="en-GB"/>
              </w:rPr>
              <w:t>0.97</w:t>
            </w:r>
          </w:p>
        </w:tc>
      </w:tr>
      <w:tr w:rsidR="000B6D12" w:rsidRPr="004E7BD2" w14:paraId="20749D8C" w14:textId="77777777" w:rsidTr="00E919A7">
        <w:trPr>
          <w:trHeight w:val="361"/>
        </w:trPr>
        <w:tc>
          <w:tcPr>
            <w:tcW w:w="6815" w:type="dxa"/>
            <w:shd w:val="clear" w:color="auto" w:fill="auto"/>
            <w:vAlign w:val="center"/>
          </w:tcPr>
          <w:p w14:paraId="61126613" w14:textId="59DCFA7E" w:rsidR="000B6D12" w:rsidRPr="004E7BD2" w:rsidDel="00EC1415" w:rsidRDefault="000B4C87" w:rsidP="00861810">
            <w:pPr>
              <w:spacing w:after="0"/>
              <w:rPr>
                <w:rFonts w:ascii="Garamond" w:hAnsi="Garamond" w:cs="Calibri"/>
                <w:color w:val="000000"/>
                <w:lang w:val="en-GB"/>
              </w:rPr>
            </w:pPr>
            <w:r>
              <w:rPr>
                <w:rFonts w:ascii="Garamond" w:hAnsi="Garamond" w:cs="Calibri"/>
                <w:color w:val="000000"/>
                <w:lang w:val="en-GB"/>
              </w:rPr>
              <w:t>Believe the main purpose of prisons is to punish</w:t>
            </w:r>
            <w:r w:rsidR="006F7F26" w:rsidRPr="004E7BD2">
              <w:rPr>
                <w:rFonts w:ascii="Garamond" w:hAnsi="Garamond" w:cs="Calibri"/>
                <w:color w:val="000000"/>
                <w:lang w:val="en-GB"/>
              </w:rPr>
              <w:t xml:space="preserve"> (Roper)</w:t>
            </w:r>
          </w:p>
        </w:tc>
        <w:tc>
          <w:tcPr>
            <w:tcW w:w="633" w:type="dxa"/>
            <w:noWrap/>
            <w:tcMar>
              <w:left w:w="28" w:type="dxa"/>
              <w:right w:w="28" w:type="dxa"/>
            </w:tcMar>
            <w:vAlign w:val="center"/>
          </w:tcPr>
          <w:p w14:paraId="19E2CC0F" w14:textId="0388686D" w:rsidR="000B6D12" w:rsidRPr="004E7BD2" w:rsidRDefault="00EF687F" w:rsidP="00861810">
            <w:pPr>
              <w:spacing w:after="0" w:line="240" w:lineRule="auto"/>
              <w:jc w:val="center"/>
              <w:rPr>
                <w:rFonts w:ascii="Garamond" w:hAnsi="Garamond"/>
                <w:lang w:val="en-GB"/>
              </w:rPr>
            </w:pPr>
            <w:r w:rsidRPr="004E7BD2">
              <w:rPr>
                <w:rFonts w:ascii="Garamond" w:hAnsi="Garamond"/>
                <w:lang w:val="en-GB"/>
              </w:rPr>
              <w:t>3</w:t>
            </w:r>
          </w:p>
        </w:tc>
        <w:tc>
          <w:tcPr>
            <w:tcW w:w="1109" w:type="dxa"/>
            <w:noWrap/>
            <w:tcMar>
              <w:left w:w="28" w:type="dxa"/>
              <w:right w:w="28" w:type="dxa"/>
            </w:tcMar>
            <w:vAlign w:val="center"/>
          </w:tcPr>
          <w:p w14:paraId="2CBB172B" w14:textId="5B337384" w:rsidR="000B6D12" w:rsidRPr="004E7BD2" w:rsidRDefault="00EF687F" w:rsidP="00861810">
            <w:pPr>
              <w:spacing w:after="0"/>
              <w:jc w:val="center"/>
              <w:rPr>
                <w:rFonts w:ascii="Garamond" w:hAnsi="Garamond"/>
                <w:lang w:val="en-GB"/>
              </w:rPr>
            </w:pPr>
            <w:r w:rsidRPr="004E7BD2">
              <w:rPr>
                <w:rFonts w:ascii="Garamond" w:hAnsi="Garamond"/>
                <w:lang w:val="en-GB"/>
              </w:rPr>
              <w:t>0.96</w:t>
            </w:r>
          </w:p>
        </w:tc>
      </w:tr>
      <w:tr w:rsidR="000B6D12" w:rsidRPr="004E7BD2" w14:paraId="13859220" w14:textId="77777777" w:rsidTr="00E919A7">
        <w:trPr>
          <w:trHeight w:val="361"/>
        </w:trPr>
        <w:tc>
          <w:tcPr>
            <w:tcW w:w="6815" w:type="dxa"/>
            <w:shd w:val="clear" w:color="auto" w:fill="auto"/>
            <w:vAlign w:val="center"/>
          </w:tcPr>
          <w:p w14:paraId="34CCBDEE" w14:textId="3C944342" w:rsidR="000B6D12" w:rsidRPr="004E7BD2" w:rsidRDefault="004A7049" w:rsidP="00861810">
            <w:pPr>
              <w:spacing w:after="0"/>
              <w:rPr>
                <w:rFonts w:ascii="Garamond" w:hAnsi="Garamond" w:cs="Calibri"/>
                <w:color w:val="000000"/>
                <w:lang w:val="en-GB"/>
              </w:rPr>
            </w:pPr>
            <w:r>
              <w:rPr>
                <w:rFonts w:ascii="Garamond" w:hAnsi="Garamond" w:cs="Calibri"/>
                <w:color w:val="000000"/>
                <w:lang w:val="en-GB"/>
              </w:rPr>
              <w:t>Prefer</w:t>
            </w:r>
            <w:r w:rsidR="00C1606D" w:rsidRPr="004E7BD2">
              <w:rPr>
                <w:rFonts w:ascii="Garamond" w:hAnsi="Garamond" w:cs="Calibri"/>
                <w:color w:val="000000"/>
                <w:lang w:val="en-GB"/>
              </w:rPr>
              <w:t xml:space="preserve"> the death penalty </w:t>
            </w:r>
            <w:r>
              <w:rPr>
                <w:rFonts w:ascii="Garamond" w:hAnsi="Garamond" w:cs="Calibri"/>
                <w:color w:val="000000"/>
                <w:lang w:val="en-GB"/>
              </w:rPr>
              <w:t>as punishment for people convicted of murder</w:t>
            </w:r>
            <w:r w:rsidR="00C1606D" w:rsidRPr="004E7BD2">
              <w:rPr>
                <w:rFonts w:ascii="Garamond" w:hAnsi="Garamond" w:cs="Calibri"/>
                <w:color w:val="000000"/>
                <w:lang w:val="en-GB"/>
              </w:rPr>
              <w:t xml:space="preserve"> (ABC News)</w:t>
            </w:r>
          </w:p>
        </w:tc>
        <w:tc>
          <w:tcPr>
            <w:tcW w:w="633" w:type="dxa"/>
            <w:noWrap/>
            <w:tcMar>
              <w:left w:w="28" w:type="dxa"/>
              <w:right w:w="28" w:type="dxa"/>
            </w:tcMar>
            <w:vAlign w:val="center"/>
          </w:tcPr>
          <w:p w14:paraId="2D9F2489" w14:textId="3703CC23" w:rsidR="000B6D12" w:rsidRPr="004E7BD2" w:rsidRDefault="00EF687F" w:rsidP="00861810">
            <w:pPr>
              <w:spacing w:after="0" w:line="240" w:lineRule="auto"/>
              <w:jc w:val="center"/>
              <w:rPr>
                <w:rFonts w:ascii="Garamond" w:hAnsi="Garamond"/>
                <w:lang w:val="en-GB"/>
              </w:rPr>
            </w:pPr>
            <w:r w:rsidRPr="004E7BD2">
              <w:rPr>
                <w:rFonts w:ascii="Garamond" w:hAnsi="Garamond"/>
                <w:lang w:val="en-GB"/>
              </w:rPr>
              <w:t>7</w:t>
            </w:r>
          </w:p>
        </w:tc>
        <w:tc>
          <w:tcPr>
            <w:tcW w:w="1109" w:type="dxa"/>
            <w:noWrap/>
            <w:tcMar>
              <w:left w:w="28" w:type="dxa"/>
              <w:right w:w="28" w:type="dxa"/>
            </w:tcMar>
            <w:vAlign w:val="center"/>
          </w:tcPr>
          <w:p w14:paraId="4D4963C6" w14:textId="5B05F325" w:rsidR="000B6D12" w:rsidRPr="004E7BD2" w:rsidRDefault="00EF687F" w:rsidP="00861810">
            <w:pPr>
              <w:spacing w:after="0"/>
              <w:jc w:val="center"/>
              <w:rPr>
                <w:rFonts w:ascii="Garamond" w:hAnsi="Garamond"/>
                <w:lang w:val="en-GB"/>
              </w:rPr>
            </w:pPr>
            <w:r w:rsidRPr="004E7BD2">
              <w:rPr>
                <w:rFonts w:ascii="Garamond" w:hAnsi="Garamond"/>
                <w:lang w:val="en-GB"/>
              </w:rPr>
              <w:t>0.95</w:t>
            </w:r>
          </w:p>
        </w:tc>
      </w:tr>
      <w:tr w:rsidR="000B6D12" w:rsidRPr="004E7BD2" w14:paraId="19B232C5" w14:textId="77777777" w:rsidTr="00E919A7">
        <w:trPr>
          <w:trHeight w:val="361"/>
        </w:trPr>
        <w:tc>
          <w:tcPr>
            <w:tcW w:w="6815" w:type="dxa"/>
            <w:shd w:val="clear" w:color="auto" w:fill="auto"/>
            <w:vAlign w:val="center"/>
          </w:tcPr>
          <w:p w14:paraId="06439E62" w14:textId="6711DC4A" w:rsidR="000B6D12" w:rsidRPr="004E7BD2" w:rsidRDefault="004A7049" w:rsidP="00861810">
            <w:pPr>
              <w:spacing w:after="0"/>
              <w:rPr>
                <w:rFonts w:ascii="Garamond" w:hAnsi="Garamond" w:cs="Calibri"/>
                <w:color w:val="000000"/>
                <w:lang w:val="en-GB"/>
              </w:rPr>
            </w:pPr>
            <w:r>
              <w:rPr>
                <w:rFonts w:ascii="Garamond" w:hAnsi="Garamond" w:cs="Calibri"/>
                <w:color w:val="000000"/>
                <w:lang w:val="en-GB"/>
              </w:rPr>
              <w:t>F</w:t>
            </w:r>
            <w:r w:rsidR="00005CBD" w:rsidRPr="004E7BD2">
              <w:rPr>
                <w:rFonts w:ascii="Garamond" w:hAnsi="Garamond" w:cs="Calibri"/>
                <w:color w:val="000000"/>
                <w:lang w:val="en-GB"/>
              </w:rPr>
              <w:t xml:space="preserve">eel the courts </w:t>
            </w:r>
            <w:r>
              <w:rPr>
                <w:rFonts w:ascii="Garamond" w:hAnsi="Garamond" w:cs="Calibri"/>
                <w:color w:val="000000"/>
                <w:lang w:val="en-GB"/>
              </w:rPr>
              <w:t>are</w:t>
            </w:r>
            <w:r w:rsidR="00005CBD" w:rsidRPr="004E7BD2">
              <w:rPr>
                <w:rFonts w:ascii="Garamond" w:hAnsi="Garamond" w:cs="Calibri"/>
                <w:color w:val="000000"/>
                <w:lang w:val="en-GB"/>
              </w:rPr>
              <w:t xml:space="preserve"> too lenient in dealing with criminals (</w:t>
            </w:r>
            <w:r w:rsidR="000B4C87">
              <w:rPr>
                <w:rFonts w:ascii="Garamond" w:hAnsi="Garamond" w:cs="Calibri"/>
                <w:color w:val="000000"/>
                <w:lang w:val="en-GB"/>
              </w:rPr>
              <w:t>Harris</w:t>
            </w:r>
            <w:r w:rsidR="00005CBD" w:rsidRPr="004E7BD2">
              <w:rPr>
                <w:rFonts w:ascii="Garamond" w:hAnsi="Garamond" w:cs="Calibri"/>
                <w:color w:val="000000"/>
                <w:lang w:val="en-GB"/>
              </w:rPr>
              <w:t>)</w:t>
            </w:r>
          </w:p>
        </w:tc>
        <w:tc>
          <w:tcPr>
            <w:tcW w:w="633" w:type="dxa"/>
            <w:noWrap/>
            <w:tcMar>
              <w:left w:w="28" w:type="dxa"/>
              <w:right w:w="28" w:type="dxa"/>
            </w:tcMar>
            <w:vAlign w:val="center"/>
          </w:tcPr>
          <w:p w14:paraId="6B1FD763" w14:textId="2867153E" w:rsidR="000B6D12" w:rsidRPr="004E7BD2" w:rsidRDefault="00EF687F" w:rsidP="00861810">
            <w:pPr>
              <w:spacing w:after="0" w:line="240" w:lineRule="auto"/>
              <w:jc w:val="center"/>
              <w:rPr>
                <w:rFonts w:ascii="Garamond" w:hAnsi="Garamond"/>
                <w:lang w:val="en-GB"/>
              </w:rPr>
            </w:pPr>
            <w:r w:rsidRPr="004E7BD2">
              <w:rPr>
                <w:rFonts w:ascii="Garamond" w:hAnsi="Garamond"/>
                <w:lang w:val="en-GB"/>
              </w:rPr>
              <w:t>4</w:t>
            </w:r>
          </w:p>
        </w:tc>
        <w:tc>
          <w:tcPr>
            <w:tcW w:w="1109" w:type="dxa"/>
            <w:noWrap/>
            <w:tcMar>
              <w:left w:w="28" w:type="dxa"/>
              <w:right w:w="28" w:type="dxa"/>
            </w:tcMar>
            <w:vAlign w:val="center"/>
          </w:tcPr>
          <w:p w14:paraId="3F96DD3D" w14:textId="63997BF2" w:rsidR="000B6D12" w:rsidRPr="004E7BD2" w:rsidRDefault="00EF687F" w:rsidP="00861810">
            <w:pPr>
              <w:spacing w:after="0"/>
              <w:jc w:val="center"/>
              <w:rPr>
                <w:rFonts w:ascii="Garamond" w:hAnsi="Garamond"/>
                <w:lang w:val="en-GB"/>
              </w:rPr>
            </w:pPr>
            <w:r w:rsidRPr="004E7BD2">
              <w:rPr>
                <w:rFonts w:ascii="Garamond" w:hAnsi="Garamond"/>
                <w:lang w:val="en-GB"/>
              </w:rPr>
              <w:t>0.95</w:t>
            </w:r>
          </w:p>
        </w:tc>
      </w:tr>
      <w:tr w:rsidR="000B6D12" w:rsidRPr="004E7BD2" w14:paraId="37CE2012" w14:textId="77777777" w:rsidTr="00E919A7">
        <w:trPr>
          <w:trHeight w:val="361"/>
        </w:trPr>
        <w:tc>
          <w:tcPr>
            <w:tcW w:w="6815" w:type="dxa"/>
            <w:shd w:val="clear" w:color="auto" w:fill="auto"/>
            <w:vAlign w:val="center"/>
          </w:tcPr>
          <w:p w14:paraId="64527F97" w14:textId="1EEF211F" w:rsidR="000B6D12" w:rsidRPr="004E7BD2" w:rsidRDefault="004A7049" w:rsidP="00861810">
            <w:pPr>
              <w:spacing w:after="0"/>
              <w:rPr>
                <w:rFonts w:ascii="Garamond" w:hAnsi="Garamond" w:cs="Calibri"/>
                <w:color w:val="000000"/>
                <w:lang w:val="en-GB"/>
              </w:rPr>
            </w:pPr>
            <w:proofErr w:type="spellStart"/>
            <w:r>
              <w:rPr>
                <w:rFonts w:ascii="Garamond" w:hAnsi="Garamond" w:cs="Calibri"/>
                <w:color w:val="000000"/>
                <w:lang w:val="en-GB"/>
              </w:rPr>
              <w:t>F</w:t>
            </w:r>
            <w:r w:rsidR="00165974" w:rsidRPr="004E7BD2">
              <w:rPr>
                <w:rFonts w:ascii="Garamond" w:hAnsi="Garamond" w:cs="Calibri"/>
                <w:color w:val="000000"/>
                <w:lang w:val="en-GB"/>
              </w:rPr>
              <w:t>avor</w:t>
            </w:r>
            <w:proofErr w:type="spellEnd"/>
            <w:r w:rsidR="00165974" w:rsidRPr="004E7BD2">
              <w:rPr>
                <w:rFonts w:ascii="Garamond" w:hAnsi="Garamond" w:cs="Calibri"/>
                <w:color w:val="000000"/>
                <w:lang w:val="en-GB"/>
              </w:rPr>
              <w:t xml:space="preserve"> the death penalty for persons convicted of murder (GSS)</w:t>
            </w:r>
          </w:p>
        </w:tc>
        <w:tc>
          <w:tcPr>
            <w:tcW w:w="633" w:type="dxa"/>
            <w:noWrap/>
            <w:tcMar>
              <w:left w:w="28" w:type="dxa"/>
              <w:right w:w="28" w:type="dxa"/>
            </w:tcMar>
            <w:vAlign w:val="center"/>
          </w:tcPr>
          <w:p w14:paraId="4BF59D65" w14:textId="642EEF0B" w:rsidR="000B6D12" w:rsidRPr="004E7BD2" w:rsidRDefault="00EF687F" w:rsidP="00861810">
            <w:pPr>
              <w:spacing w:after="0" w:line="240" w:lineRule="auto"/>
              <w:jc w:val="center"/>
              <w:rPr>
                <w:rFonts w:ascii="Garamond" w:hAnsi="Garamond"/>
                <w:lang w:val="en-GB"/>
              </w:rPr>
            </w:pPr>
            <w:r w:rsidRPr="004E7BD2">
              <w:rPr>
                <w:rFonts w:ascii="Garamond" w:hAnsi="Garamond"/>
                <w:lang w:val="en-GB"/>
              </w:rPr>
              <w:t>30</w:t>
            </w:r>
          </w:p>
        </w:tc>
        <w:tc>
          <w:tcPr>
            <w:tcW w:w="1109" w:type="dxa"/>
            <w:noWrap/>
            <w:tcMar>
              <w:left w:w="28" w:type="dxa"/>
              <w:right w:w="28" w:type="dxa"/>
            </w:tcMar>
            <w:vAlign w:val="center"/>
          </w:tcPr>
          <w:p w14:paraId="28A407DB" w14:textId="2F99B9E4" w:rsidR="000B6D12" w:rsidRPr="004E7BD2" w:rsidRDefault="00EF687F" w:rsidP="00861810">
            <w:pPr>
              <w:spacing w:after="0"/>
              <w:jc w:val="center"/>
              <w:rPr>
                <w:rFonts w:ascii="Garamond" w:hAnsi="Garamond"/>
                <w:lang w:val="en-GB"/>
              </w:rPr>
            </w:pPr>
            <w:r w:rsidRPr="004E7BD2">
              <w:rPr>
                <w:rFonts w:ascii="Garamond" w:hAnsi="Garamond"/>
                <w:lang w:val="en-GB"/>
              </w:rPr>
              <w:t>0.95</w:t>
            </w:r>
          </w:p>
        </w:tc>
      </w:tr>
      <w:tr w:rsidR="000B6D12" w:rsidRPr="004E7BD2" w14:paraId="0019EDE3" w14:textId="77777777" w:rsidTr="00E919A7">
        <w:trPr>
          <w:trHeight w:val="602"/>
        </w:trPr>
        <w:tc>
          <w:tcPr>
            <w:tcW w:w="6815" w:type="dxa"/>
            <w:shd w:val="clear" w:color="auto" w:fill="auto"/>
            <w:vAlign w:val="center"/>
          </w:tcPr>
          <w:p w14:paraId="79B11F43" w14:textId="340D42A7" w:rsidR="000B6D12" w:rsidRPr="004E7BD2" w:rsidRDefault="004A7049" w:rsidP="00861810">
            <w:pPr>
              <w:spacing w:after="0"/>
              <w:rPr>
                <w:rFonts w:ascii="Garamond" w:hAnsi="Garamond" w:cs="Calibri"/>
                <w:color w:val="000000"/>
                <w:lang w:val="en-GB"/>
              </w:rPr>
            </w:pPr>
            <w:proofErr w:type="spellStart"/>
            <w:r>
              <w:rPr>
                <w:rFonts w:ascii="Garamond" w:hAnsi="Garamond" w:cs="Calibri"/>
                <w:color w:val="000000"/>
                <w:lang w:val="en-GB"/>
              </w:rPr>
              <w:t>F</w:t>
            </w:r>
            <w:r w:rsidR="00904D2C" w:rsidRPr="004E7BD2">
              <w:rPr>
                <w:rFonts w:ascii="Garamond" w:hAnsi="Garamond" w:cs="Calibri"/>
                <w:color w:val="000000"/>
                <w:lang w:val="en-GB"/>
              </w:rPr>
              <w:t>avor</w:t>
            </w:r>
            <w:proofErr w:type="spellEnd"/>
            <w:r w:rsidR="00904D2C" w:rsidRPr="004E7BD2">
              <w:rPr>
                <w:rFonts w:ascii="Garamond" w:hAnsi="Garamond" w:cs="Calibri"/>
                <w:color w:val="000000"/>
                <w:lang w:val="en-GB"/>
              </w:rPr>
              <w:t xml:space="preserve"> the death penalty for persons convicted of murder (ABC News)</w:t>
            </w:r>
          </w:p>
        </w:tc>
        <w:tc>
          <w:tcPr>
            <w:tcW w:w="633" w:type="dxa"/>
            <w:noWrap/>
            <w:tcMar>
              <w:left w:w="28" w:type="dxa"/>
              <w:right w:w="28" w:type="dxa"/>
            </w:tcMar>
            <w:vAlign w:val="center"/>
          </w:tcPr>
          <w:p w14:paraId="1B094D8B" w14:textId="4EA62797" w:rsidR="000B6D12" w:rsidRPr="004E7BD2" w:rsidDel="00D2222B" w:rsidRDefault="00EF687F" w:rsidP="00861810">
            <w:pPr>
              <w:spacing w:after="0" w:line="240" w:lineRule="auto"/>
              <w:jc w:val="center"/>
              <w:rPr>
                <w:rFonts w:ascii="Garamond" w:hAnsi="Garamond"/>
                <w:lang w:val="en-GB"/>
              </w:rPr>
            </w:pPr>
            <w:r w:rsidRPr="004E7BD2">
              <w:rPr>
                <w:rFonts w:ascii="Garamond" w:hAnsi="Garamond"/>
                <w:lang w:val="en-GB"/>
              </w:rPr>
              <w:t>12</w:t>
            </w:r>
          </w:p>
        </w:tc>
        <w:tc>
          <w:tcPr>
            <w:tcW w:w="1109" w:type="dxa"/>
            <w:noWrap/>
            <w:tcMar>
              <w:left w:w="28" w:type="dxa"/>
              <w:right w:w="28" w:type="dxa"/>
            </w:tcMar>
            <w:vAlign w:val="center"/>
          </w:tcPr>
          <w:p w14:paraId="4EF09F3E" w14:textId="51A605A0" w:rsidR="000B6D12" w:rsidRPr="004E7BD2" w:rsidDel="00D2222B" w:rsidRDefault="00EF687F" w:rsidP="00861810">
            <w:pPr>
              <w:spacing w:after="0"/>
              <w:jc w:val="center"/>
              <w:rPr>
                <w:rFonts w:ascii="Garamond" w:hAnsi="Garamond"/>
                <w:lang w:val="en-GB"/>
              </w:rPr>
            </w:pPr>
            <w:r w:rsidRPr="004E7BD2">
              <w:rPr>
                <w:rFonts w:ascii="Garamond" w:hAnsi="Garamond"/>
                <w:lang w:val="en-GB"/>
              </w:rPr>
              <w:t>0.92</w:t>
            </w:r>
          </w:p>
        </w:tc>
      </w:tr>
      <w:tr w:rsidR="000B6D12" w:rsidRPr="004E7BD2" w14:paraId="366AB602" w14:textId="77777777" w:rsidTr="00E919A7">
        <w:trPr>
          <w:trHeight w:val="602"/>
        </w:trPr>
        <w:tc>
          <w:tcPr>
            <w:tcW w:w="6815" w:type="dxa"/>
            <w:shd w:val="clear" w:color="auto" w:fill="auto"/>
            <w:vAlign w:val="center"/>
          </w:tcPr>
          <w:p w14:paraId="7DC7C134" w14:textId="7D8D5BA9" w:rsidR="000B6D12" w:rsidRPr="004E7BD2" w:rsidRDefault="004A7049" w:rsidP="00861810">
            <w:pPr>
              <w:spacing w:after="0"/>
              <w:rPr>
                <w:rFonts w:ascii="Garamond" w:hAnsi="Garamond" w:cs="Calibri"/>
                <w:color w:val="000000"/>
                <w:lang w:val="en-GB"/>
              </w:rPr>
            </w:pPr>
            <w:r>
              <w:rPr>
                <w:rFonts w:ascii="Garamond" w:hAnsi="Garamond" w:cs="Calibri"/>
                <w:color w:val="000000"/>
                <w:lang w:val="en-GB"/>
              </w:rPr>
              <w:t xml:space="preserve">Favour </w:t>
            </w:r>
            <w:r w:rsidR="00F67B9A" w:rsidRPr="004E7BD2">
              <w:rPr>
                <w:rFonts w:ascii="Garamond" w:hAnsi="Garamond" w:cs="Calibri"/>
                <w:color w:val="000000"/>
                <w:lang w:val="en-GB"/>
              </w:rPr>
              <w:t xml:space="preserve">the death penalty </w:t>
            </w:r>
            <w:r>
              <w:rPr>
                <w:rFonts w:ascii="Garamond" w:hAnsi="Garamond" w:cs="Calibri"/>
                <w:color w:val="000000"/>
                <w:lang w:val="en-GB"/>
              </w:rPr>
              <w:t xml:space="preserve">as </w:t>
            </w:r>
            <w:r w:rsidRPr="004E7BD2">
              <w:rPr>
                <w:rFonts w:ascii="Garamond" w:hAnsi="Garamond" w:cs="Calibri"/>
                <w:color w:val="000000"/>
                <w:lang w:val="en-GB"/>
              </w:rPr>
              <w:t xml:space="preserve">the penalty for murder </w:t>
            </w:r>
            <w:r w:rsidR="00F67B9A" w:rsidRPr="004E7BD2">
              <w:rPr>
                <w:rFonts w:ascii="Garamond" w:hAnsi="Garamond" w:cs="Calibri"/>
                <w:color w:val="000000"/>
                <w:lang w:val="en-GB"/>
              </w:rPr>
              <w:t>(Gallup)</w:t>
            </w:r>
          </w:p>
        </w:tc>
        <w:tc>
          <w:tcPr>
            <w:tcW w:w="633" w:type="dxa"/>
            <w:noWrap/>
            <w:tcMar>
              <w:left w:w="28" w:type="dxa"/>
              <w:right w:w="28" w:type="dxa"/>
            </w:tcMar>
            <w:vAlign w:val="center"/>
          </w:tcPr>
          <w:p w14:paraId="734BDA61" w14:textId="4C255562" w:rsidR="000B6D12" w:rsidRPr="004E7BD2" w:rsidDel="00D2222B" w:rsidRDefault="00EF687F" w:rsidP="00861810">
            <w:pPr>
              <w:spacing w:after="0" w:line="240" w:lineRule="auto"/>
              <w:jc w:val="center"/>
              <w:rPr>
                <w:rFonts w:ascii="Garamond" w:hAnsi="Garamond"/>
                <w:lang w:val="en-GB"/>
              </w:rPr>
            </w:pPr>
            <w:r w:rsidRPr="004E7BD2">
              <w:rPr>
                <w:rFonts w:ascii="Garamond" w:hAnsi="Garamond"/>
                <w:lang w:val="en-GB"/>
              </w:rPr>
              <w:t>18</w:t>
            </w:r>
          </w:p>
        </w:tc>
        <w:tc>
          <w:tcPr>
            <w:tcW w:w="1109" w:type="dxa"/>
            <w:noWrap/>
            <w:tcMar>
              <w:left w:w="28" w:type="dxa"/>
              <w:right w:w="28" w:type="dxa"/>
            </w:tcMar>
            <w:vAlign w:val="center"/>
          </w:tcPr>
          <w:p w14:paraId="4005B7D8" w14:textId="58DCB1B0" w:rsidR="000B6D12" w:rsidRPr="004E7BD2" w:rsidDel="00D2222B" w:rsidRDefault="00EF687F" w:rsidP="00861810">
            <w:pPr>
              <w:spacing w:after="0"/>
              <w:jc w:val="center"/>
              <w:rPr>
                <w:rFonts w:ascii="Garamond" w:hAnsi="Garamond"/>
                <w:lang w:val="en-GB"/>
              </w:rPr>
            </w:pPr>
            <w:r w:rsidRPr="004E7BD2">
              <w:rPr>
                <w:rFonts w:ascii="Garamond" w:hAnsi="Garamond"/>
                <w:lang w:val="en-GB"/>
              </w:rPr>
              <w:t>0.92</w:t>
            </w:r>
          </w:p>
        </w:tc>
      </w:tr>
      <w:tr w:rsidR="000B6D12" w:rsidRPr="004E7BD2" w14:paraId="6393C47A" w14:textId="77777777" w:rsidTr="00E919A7">
        <w:trPr>
          <w:trHeight w:val="369"/>
        </w:trPr>
        <w:tc>
          <w:tcPr>
            <w:tcW w:w="6815" w:type="dxa"/>
            <w:shd w:val="clear" w:color="auto" w:fill="auto"/>
            <w:vAlign w:val="center"/>
          </w:tcPr>
          <w:p w14:paraId="36D52AB7" w14:textId="7F4DC527" w:rsidR="000B6D12" w:rsidRPr="004E7BD2" w:rsidRDefault="004A7049" w:rsidP="00861810">
            <w:pPr>
              <w:spacing w:after="0"/>
              <w:rPr>
                <w:rFonts w:ascii="Garamond" w:hAnsi="Garamond" w:cs="Calibri"/>
                <w:color w:val="000000"/>
                <w:lang w:val="en-GB"/>
              </w:rPr>
            </w:pPr>
            <w:r>
              <w:rPr>
                <w:rFonts w:ascii="Garamond" w:hAnsi="Garamond" w:cs="Calibri"/>
                <w:color w:val="000000"/>
                <w:lang w:val="en-GB"/>
              </w:rPr>
              <w:t>F</w:t>
            </w:r>
            <w:r w:rsidR="00F67B9A" w:rsidRPr="004E7BD2">
              <w:rPr>
                <w:rFonts w:ascii="Garamond" w:hAnsi="Garamond" w:cs="Calibri"/>
                <w:color w:val="000000"/>
                <w:lang w:val="en-GB"/>
              </w:rPr>
              <w:t>eel that the death penalty acts as a deterrent to the commitment of murder (Gallup)</w:t>
            </w:r>
          </w:p>
        </w:tc>
        <w:tc>
          <w:tcPr>
            <w:tcW w:w="633" w:type="dxa"/>
            <w:noWrap/>
            <w:tcMar>
              <w:left w:w="28" w:type="dxa"/>
              <w:right w:w="28" w:type="dxa"/>
            </w:tcMar>
            <w:vAlign w:val="center"/>
          </w:tcPr>
          <w:p w14:paraId="2AD48CF7" w14:textId="3FB04256" w:rsidR="000B6D12" w:rsidRPr="004E7BD2" w:rsidRDefault="00EF687F" w:rsidP="00861810">
            <w:pPr>
              <w:spacing w:after="0" w:line="240" w:lineRule="auto"/>
              <w:jc w:val="center"/>
              <w:rPr>
                <w:rFonts w:ascii="Garamond" w:hAnsi="Garamond"/>
                <w:lang w:val="en-GB"/>
              </w:rPr>
            </w:pPr>
            <w:r w:rsidRPr="004E7BD2">
              <w:rPr>
                <w:rFonts w:ascii="Garamond" w:hAnsi="Garamond"/>
                <w:lang w:val="en-GB"/>
              </w:rPr>
              <w:t>6</w:t>
            </w:r>
          </w:p>
        </w:tc>
        <w:tc>
          <w:tcPr>
            <w:tcW w:w="1109" w:type="dxa"/>
            <w:noWrap/>
            <w:tcMar>
              <w:left w:w="28" w:type="dxa"/>
              <w:right w:w="28" w:type="dxa"/>
            </w:tcMar>
            <w:vAlign w:val="center"/>
          </w:tcPr>
          <w:p w14:paraId="3730BB72" w14:textId="4BCD6EF8" w:rsidR="000B6D12" w:rsidRPr="004E7BD2" w:rsidRDefault="00EF687F" w:rsidP="00861810">
            <w:pPr>
              <w:spacing w:after="0"/>
              <w:jc w:val="center"/>
              <w:rPr>
                <w:rFonts w:ascii="Garamond" w:hAnsi="Garamond"/>
                <w:lang w:val="en-GB"/>
              </w:rPr>
            </w:pPr>
            <w:r w:rsidRPr="004E7BD2">
              <w:rPr>
                <w:rFonts w:ascii="Garamond" w:hAnsi="Garamond"/>
                <w:lang w:val="en-GB"/>
              </w:rPr>
              <w:t>0.90</w:t>
            </w:r>
          </w:p>
        </w:tc>
      </w:tr>
      <w:tr w:rsidR="000B6D12" w:rsidRPr="004E7BD2" w14:paraId="02F781D5" w14:textId="77777777" w:rsidTr="00E919A7">
        <w:trPr>
          <w:trHeight w:val="361"/>
        </w:trPr>
        <w:tc>
          <w:tcPr>
            <w:tcW w:w="6815" w:type="dxa"/>
            <w:shd w:val="clear" w:color="auto" w:fill="auto"/>
            <w:vAlign w:val="center"/>
          </w:tcPr>
          <w:p w14:paraId="36E561C6" w14:textId="35760935" w:rsidR="000B6D12" w:rsidRPr="004E7BD2" w:rsidRDefault="004A7049" w:rsidP="00861810">
            <w:pPr>
              <w:spacing w:after="0"/>
              <w:rPr>
                <w:rFonts w:ascii="Garamond" w:hAnsi="Garamond" w:cs="Calibri"/>
                <w:color w:val="000000"/>
                <w:lang w:val="en-GB"/>
              </w:rPr>
            </w:pPr>
            <w:r>
              <w:rPr>
                <w:rFonts w:ascii="Garamond" w:hAnsi="Garamond" w:cs="Calibri"/>
                <w:color w:val="000000"/>
                <w:lang w:val="en-GB"/>
              </w:rPr>
              <w:t>Believe</w:t>
            </w:r>
            <w:r w:rsidR="00807EE6" w:rsidRPr="004E7BD2">
              <w:rPr>
                <w:rFonts w:ascii="Garamond" w:hAnsi="Garamond" w:cs="Calibri"/>
                <w:color w:val="000000"/>
                <w:lang w:val="en-GB"/>
              </w:rPr>
              <w:t xml:space="preserve"> the death penalty </w:t>
            </w:r>
            <w:r>
              <w:rPr>
                <w:rFonts w:ascii="Garamond" w:hAnsi="Garamond" w:cs="Calibri"/>
                <w:color w:val="000000"/>
                <w:lang w:val="en-GB"/>
              </w:rPr>
              <w:t xml:space="preserve">is </w:t>
            </w:r>
            <w:r w:rsidR="00807EE6" w:rsidRPr="004E7BD2">
              <w:rPr>
                <w:rFonts w:ascii="Garamond" w:hAnsi="Garamond" w:cs="Calibri"/>
                <w:color w:val="000000"/>
                <w:lang w:val="en-GB"/>
              </w:rPr>
              <w:t>imposed not often enough (Gallup)</w:t>
            </w:r>
          </w:p>
        </w:tc>
        <w:tc>
          <w:tcPr>
            <w:tcW w:w="633" w:type="dxa"/>
            <w:noWrap/>
            <w:tcMar>
              <w:left w:w="28" w:type="dxa"/>
              <w:right w:w="28" w:type="dxa"/>
            </w:tcMar>
            <w:vAlign w:val="center"/>
          </w:tcPr>
          <w:p w14:paraId="18E4C086" w14:textId="4A33953B" w:rsidR="000B6D12" w:rsidRPr="004E7BD2" w:rsidRDefault="00EF687F" w:rsidP="00861810">
            <w:pPr>
              <w:spacing w:after="0" w:line="240" w:lineRule="auto"/>
              <w:jc w:val="center"/>
              <w:rPr>
                <w:rFonts w:ascii="Garamond" w:hAnsi="Garamond"/>
                <w:lang w:val="en-GB"/>
              </w:rPr>
            </w:pPr>
            <w:r w:rsidRPr="004E7BD2">
              <w:rPr>
                <w:rFonts w:ascii="Garamond" w:hAnsi="Garamond"/>
                <w:lang w:val="en-GB"/>
              </w:rPr>
              <w:t>16</w:t>
            </w:r>
          </w:p>
        </w:tc>
        <w:tc>
          <w:tcPr>
            <w:tcW w:w="1109" w:type="dxa"/>
            <w:noWrap/>
            <w:tcMar>
              <w:left w:w="28" w:type="dxa"/>
              <w:right w:w="28" w:type="dxa"/>
            </w:tcMar>
            <w:vAlign w:val="center"/>
          </w:tcPr>
          <w:p w14:paraId="1ABA951F" w14:textId="40F03863" w:rsidR="000B6D12" w:rsidRPr="004E7BD2" w:rsidRDefault="00EF687F" w:rsidP="00861810">
            <w:pPr>
              <w:spacing w:after="0"/>
              <w:jc w:val="center"/>
              <w:rPr>
                <w:rFonts w:ascii="Garamond" w:hAnsi="Garamond"/>
                <w:lang w:val="en-GB"/>
              </w:rPr>
            </w:pPr>
            <w:r w:rsidRPr="004E7BD2">
              <w:rPr>
                <w:rFonts w:ascii="Garamond" w:hAnsi="Garamond"/>
                <w:lang w:val="en-GB"/>
              </w:rPr>
              <w:t>0.90</w:t>
            </w:r>
          </w:p>
        </w:tc>
      </w:tr>
      <w:tr w:rsidR="00AB38F2" w:rsidRPr="004E7BD2" w14:paraId="0EEF95BD" w14:textId="77777777" w:rsidTr="00E919A7">
        <w:trPr>
          <w:trHeight w:val="361"/>
        </w:trPr>
        <w:tc>
          <w:tcPr>
            <w:tcW w:w="6815" w:type="dxa"/>
            <w:shd w:val="clear" w:color="auto" w:fill="auto"/>
            <w:vAlign w:val="center"/>
          </w:tcPr>
          <w:p w14:paraId="29B2F28E" w14:textId="299D51A8" w:rsidR="00AB38F2" w:rsidRPr="004E7BD2" w:rsidRDefault="004A7049" w:rsidP="00861810">
            <w:pPr>
              <w:spacing w:after="240"/>
              <w:rPr>
                <w:rFonts w:ascii="Garamond" w:hAnsi="Garamond" w:cs="Calibri"/>
                <w:color w:val="000000"/>
                <w:lang w:val="en-GB"/>
              </w:rPr>
            </w:pPr>
            <w:proofErr w:type="spellStart"/>
            <w:r>
              <w:rPr>
                <w:rFonts w:ascii="Garamond" w:hAnsi="Garamond" w:cs="Calibri"/>
                <w:color w:val="000000"/>
                <w:lang w:val="en-GB"/>
              </w:rPr>
              <w:t>F</w:t>
            </w:r>
            <w:r w:rsidR="00861EFC" w:rsidRPr="004E7BD2">
              <w:rPr>
                <w:rFonts w:ascii="Garamond" w:hAnsi="Garamond" w:cs="Calibri"/>
                <w:color w:val="000000"/>
                <w:lang w:val="en-GB"/>
              </w:rPr>
              <w:t>avor</w:t>
            </w:r>
            <w:proofErr w:type="spellEnd"/>
            <w:r w:rsidR="00861EFC" w:rsidRPr="004E7BD2">
              <w:rPr>
                <w:rFonts w:ascii="Garamond" w:hAnsi="Garamond" w:cs="Calibri"/>
                <w:color w:val="000000"/>
                <w:lang w:val="en-GB"/>
              </w:rPr>
              <w:t xml:space="preserve"> the death penalty for individuals convicted of serious crimes such as murder </w:t>
            </w:r>
            <w:r w:rsidR="00C9177E" w:rsidRPr="004E7BD2">
              <w:rPr>
                <w:rFonts w:ascii="Garamond" w:hAnsi="Garamond" w:cs="Calibri"/>
                <w:color w:val="000000"/>
                <w:lang w:val="en-GB"/>
              </w:rPr>
              <w:t>(Time)</w:t>
            </w:r>
          </w:p>
        </w:tc>
        <w:tc>
          <w:tcPr>
            <w:tcW w:w="633" w:type="dxa"/>
            <w:noWrap/>
            <w:tcMar>
              <w:left w:w="28" w:type="dxa"/>
              <w:right w:w="28" w:type="dxa"/>
            </w:tcMar>
            <w:vAlign w:val="center"/>
          </w:tcPr>
          <w:p w14:paraId="5110092D" w14:textId="3FFE94C6" w:rsidR="00AB38F2" w:rsidRPr="004E7BD2" w:rsidRDefault="00C9177E" w:rsidP="00861810">
            <w:pPr>
              <w:spacing w:after="240" w:line="240" w:lineRule="auto"/>
              <w:jc w:val="center"/>
              <w:rPr>
                <w:rFonts w:ascii="Garamond" w:hAnsi="Garamond"/>
                <w:lang w:val="en-GB"/>
              </w:rPr>
            </w:pPr>
            <w:r w:rsidRPr="004E7BD2">
              <w:rPr>
                <w:rFonts w:ascii="Garamond" w:hAnsi="Garamond"/>
                <w:lang w:val="en-GB"/>
              </w:rPr>
              <w:t>6</w:t>
            </w:r>
          </w:p>
        </w:tc>
        <w:tc>
          <w:tcPr>
            <w:tcW w:w="1109" w:type="dxa"/>
            <w:noWrap/>
            <w:tcMar>
              <w:left w:w="28" w:type="dxa"/>
              <w:right w:w="28" w:type="dxa"/>
            </w:tcMar>
            <w:vAlign w:val="center"/>
          </w:tcPr>
          <w:p w14:paraId="6F3CEA26" w14:textId="3E39B410" w:rsidR="00AB38F2" w:rsidRPr="004E7BD2" w:rsidRDefault="00C9177E" w:rsidP="00861810">
            <w:pPr>
              <w:spacing w:after="240"/>
              <w:jc w:val="center"/>
              <w:rPr>
                <w:rFonts w:ascii="Garamond" w:hAnsi="Garamond"/>
                <w:lang w:val="en-GB"/>
              </w:rPr>
            </w:pPr>
            <w:r w:rsidRPr="004E7BD2">
              <w:rPr>
                <w:rFonts w:ascii="Garamond" w:hAnsi="Garamond"/>
                <w:lang w:val="en-GB"/>
              </w:rPr>
              <w:t>0.90</w:t>
            </w:r>
          </w:p>
        </w:tc>
      </w:tr>
      <w:tr w:rsidR="000B6D12" w:rsidRPr="004E7BD2" w14:paraId="69EDFABA" w14:textId="77777777" w:rsidTr="00E919A7">
        <w:trPr>
          <w:trHeight w:hRule="exact" w:val="345"/>
        </w:trPr>
        <w:tc>
          <w:tcPr>
            <w:tcW w:w="6815" w:type="dxa"/>
            <w:shd w:val="clear" w:color="auto" w:fill="auto"/>
            <w:vAlign w:val="center"/>
          </w:tcPr>
          <w:p w14:paraId="5EE9AB4E" w14:textId="77777777" w:rsidR="000B6D12" w:rsidRPr="004E7BD2" w:rsidRDefault="000B6D12" w:rsidP="00E919A7">
            <w:pPr>
              <w:spacing w:after="0"/>
              <w:rPr>
                <w:rFonts w:ascii="Garamond" w:hAnsi="Garamond"/>
                <w:u w:val="single"/>
                <w:lang w:val="en-GB"/>
              </w:rPr>
            </w:pPr>
            <w:r w:rsidRPr="004E7BD2">
              <w:rPr>
                <w:rFonts w:ascii="Garamond" w:hAnsi="Garamond"/>
                <w:u w:val="single"/>
                <w:lang w:val="en-GB"/>
              </w:rPr>
              <w:t>First dimension</w:t>
            </w:r>
          </w:p>
        </w:tc>
        <w:tc>
          <w:tcPr>
            <w:tcW w:w="633" w:type="dxa"/>
            <w:noWrap/>
            <w:tcMar>
              <w:left w:w="28" w:type="dxa"/>
              <w:right w:w="28" w:type="dxa"/>
            </w:tcMar>
            <w:vAlign w:val="center"/>
          </w:tcPr>
          <w:p w14:paraId="455DBAA2" w14:textId="77777777" w:rsidR="000B6D12" w:rsidRPr="004E7BD2" w:rsidRDefault="000B6D12" w:rsidP="00E919A7">
            <w:pPr>
              <w:spacing w:after="0" w:line="240" w:lineRule="auto"/>
              <w:jc w:val="center"/>
              <w:rPr>
                <w:rFonts w:ascii="Garamond" w:hAnsi="Garamond"/>
                <w:lang w:val="en-GB"/>
              </w:rPr>
            </w:pPr>
          </w:p>
        </w:tc>
        <w:tc>
          <w:tcPr>
            <w:tcW w:w="1109" w:type="dxa"/>
            <w:noWrap/>
            <w:tcMar>
              <w:left w:w="28" w:type="dxa"/>
              <w:right w:w="28" w:type="dxa"/>
            </w:tcMar>
            <w:vAlign w:val="center"/>
          </w:tcPr>
          <w:p w14:paraId="37CDB6E3" w14:textId="77777777" w:rsidR="000B6D12" w:rsidRPr="004E7BD2" w:rsidRDefault="000B6D12" w:rsidP="00E919A7">
            <w:pPr>
              <w:jc w:val="center"/>
              <w:rPr>
                <w:rFonts w:ascii="Garamond" w:hAnsi="Garamond"/>
                <w:lang w:val="en-GB"/>
              </w:rPr>
            </w:pPr>
          </w:p>
        </w:tc>
      </w:tr>
      <w:tr w:rsidR="000B6D12" w:rsidRPr="004E7BD2" w14:paraId="2BF784DE" w14:textId="77777777" w:rsidTr="00E919A7">
        <w:trPr>
          <w:trHeight w:val="361"/>
        </w:trPr>
        <w:tc>
          <w:tcPr>
            <w:tcW w:w="6815" w:type="dxa"/>
            <w:shd w:val="clear" w:color="auto" w:fill="auto"/>
            <w:vAlign w:val="center"/>
          </w:tcPr>
          <w:p w14:paraId="69B8B0B9" w14:textId="77777777" w:rsidR="000B6D12" w:rsidRPr="004E7BD2" w:rsidRDefault="000B6D12" w:rsidP="00E919A7">
            <w:pPr>
              <w:spacing w:before="60" w:after="60"/>
              <w:rPr>
                <w:rFonts w:ascii="Garamond" w:hAnsi="Garamond"/>
                <w:lang w:val="en-GB"/>
              </w:rPr>
            </w:pPr>
            <w:r w:rsidRPr="004E7BD2">
              <w:rPr>
                <w:rFonts w:ascii="Garamond" w:hAnsi="Garamond"/>
                <w:lang w:val="en-GB"/>
              </w:rPr>
              <w:t>Proportion of variance explained</w:t>
            </w:r>
          </w:p>
        </w:tc>
        <w:tc>
          <w:tcPr>
            <w:tcW w:w="1742" w:type="dxa"/>
            <w:gridSpan w:val="2"/>
            <w:noWrap/>
            <w:tcMar>
              <w:left w:w="28" w:type="dxa"/>
              <w:right w:w="28" w:type="dxa"/>
            </w:tcMar>
            <w:vAlign w:val="center"/>
          </w:tcPr>
          <w:p w14:paraId="6D608C69" w14:textId="43896292" w:rsidR="000B6D12" w:rsidRPr="004E7BD2" w:rsidRDefault="000B6D12" w:rsidP="00E919A7">
            <w:pPr>
              <w:spacing w:after="0" w:line="240" w:lineRule="auto"/>
              <w:jc w:val="center"/>
              <w:rPr>
                <w:rFonts w:ascii="Garamond" w:hAnsi="Garamond"/>
                <w:lang w:val="en-GB"/>
              </w:rPr>
            </w:pPr>
            <w:r w:rsidRPr="004E7BD2">
              <w:rPr>
                <w:rFonts w:ascii="Garamond" w:hAnsi="Garamond"/>
                <w:lang w:val="en-GB"/>
              </w:rPr>
              <w:t>6</w:t>
            </w:r>
            <w:r w:rsidR="00EF687F" w:rsidRPr="004E7BD2">
              <w:rPr>
                <w:rFonts w:ascii="Garamond" w:hAnsi="Garamond"/>
                <w:lang w:val="en-GB"/>
              </w:rPr>
              <w:t>7</w:t>
            </w:r>
            <w:r w:rsidRPr="004E7BD2">
              <w:rPr>
                <w:rFonts w:ascii="Garamond" w:hAnsi="Garamond"/>
                <w:lang w:val="en-GB"/>
              </w:rPr>
              <w:t>.</w:t>
            </w:r>
            <w:r w:rsidR="00EF687F" w:rsidRPr="004E7BD2">
              <w:rPr>
                <w:rFonts w:ascii="Garamond" w:hAnsi="Garamond"/>
                <w:lang w:val="en-GB"/>
              </w:rPr>
              <w:t>4</w:t>
            </w:r>
          </w:p>
        </w:tc>
      </w:tr>
      <w:tr w:rsidR="000B6D12" w:rsidRPr="004E7BD2" w14:paraId="7328B282" w14:textId="77777777" w:rsidTr="00E919A7">
        <w:trPr>
          <w:trHeight w:val="361"/>
        </w:trPr>
        <w:tc>
          <w:tcPr>
            <w:tcW w:w="6815" w:type="dxa"/>
            <w:shd w:val="clear" w:color="auto" w:fill="auto"/>
            <w:vAlign w:val="center"/>
          </w:tcPr>
          <w:p w14:paraId="51B101B4" w14:textId="79D3FD7C" w:rsidR="000B6D12" w:rsidRPr="004E7BD2" w:rsidRDefault="00175EA7" w:rsidP="00E919A7">
            <w:pPr>
              <w:spacing w:before="60" w:after="60"/>
              <w:rPr>
                <w:rFonts w:ascii="Garamond" w:hAnsi="Garamond"/>
                <w:lang w:val="en-GB"/>
              </w:rPr>
            </w:pPr>
            <w:r>
              <w:rPr>
                <w:rFonts w:ascii="Garamond" w:hAnsi="Garamond"/>
                <w:lang w:val="en-GB"/>
              </w:rPr>
              <w:t xml:space="preserve">N of </w:t>
            </w:r>
            <w:r w:rsidR="006E3BFC">
              <w:rPr>
                <w:rFonts w:ascii="Garamond" w:hAnsi="Garamond"/>
                <w:lang w:val="en-GB"/>
              </w:rPr>
              <w:t xml:space="preserve">question </w:t>
            </w:r>
            <w:r>
              <w:rPr>
                <w:rFonts w:ascii="Garamond" w:hAnsi="Garamond"/>
                <w:lang w:val="en-GB"/>
              </w:rPr>
              <w:t>series used to estimate the overall measure</w:t>
            </w:r>
          </w:p>
        </w:tc>
        <w:tc>
          <w:tcPr>
            <w:tcW w:w="1742" w:type="dxa"/>
            <w:gridSpan w:val="2"/>
            <w:noWrap/>
            <w:tcMar>
              <w:left w:w="28" w:type="dxa"/>
              <w:right w:w="28" w:type="dxa"/>
            </w:tcMar>
            <w:vAlign w:val="center"/>
          </w:tcPr>
          <w:p w14:paraId="0E9B340E" w14:textId="2E3BC8F5" w:rsidR="000B6D12" w:rsidRPr="004E7BD2" w:rsidRDefault="000B6D12" w:rsidP="00E919A7">
            <w:pPr>
              <w:spacing w:after="0" w:line="240" w:lineRule="auto"/>
              <w:jc w:val="center"/>
              <w:rPr>
                <w:rFonts w:ascii="Garamond" w:hAnsi="Garamond"/>
                <w:lang w:val="en-GB"/>
              </w:rPr>
            </w:pPr>
            <w:r w:rsidRPr="004E7BD2">
              <w:rPr>
                <w:rFonts w:ascii="Garamond" w:hAnsi="Garamond"/>
                <w:lang w:val="en-GB"/>
              </w:rPr>
              <w:t>2</w:t>
            </w:r>
            <w:r w:rsidR="00EF687F" w:rsidRPr="004E7BD2">
              <w:rPr>
                <w:rFonts w:ascii="Garamond" w:hAnsi="Garamond"/>
                <w:lang w:val="en-GB"/>
              </w:rPr>
              <w:t>7</w:t>
            </w:r>
          </w:p>
        </w:tc>
      </w:tr>
      <w:tr w:rsidR="000B6D12" w:rsidRPr="004E7BD2" w14:paraId="7C5953C2" w14:textId="77777777" w:rsidTr="00E919A7">
        <w:trPr>
          <w:trHeight w:val="361"/>
        </w:trPr>
        <w:tc>
          <w:tcPr>
            <w:tcW w:w="6815" w:type="dxa"/>
            <w:shd w:val="clear" w:color="auto" w:fill="auto"/>
            <w:vAlign w:val="center"/>
          </w:tcPr>
          <w:p w14:paraId="7B55129E" w14:textId="77777777" w:rsidR="000B6D12" w:rsidRPr="004E7BD2" w:rsidRDefault="000B6D12" w:rsidP="00E919A7">
            <w:pPr>
              <w:spacing w:before="60" w:after="60"/>
              <w:rPr>
                <w:rFonts w:ascii="Garamond" w:hAnsi="Garamond"/>
                <w:lang w:val="en-GB"/>
              </w:rPr>
            </w:pPr>
            <w:r w:rsidRPr="004E7BD2">
              <w:rPr>
                <w:rFonts w:ascii="Garamond" w:hAnsi="Garamond"/>
                <w:lang w:val="en-GB"/>
              </w:rPr>
              <w:t>N of survey items</w:t>
            </w:r>
          </w:p>
        </w:tc>
        <w:tc>
          <w:tcPr>
            <w:tcW w:w="1742" w:type="dxa"/>
            <w:gridSpan w:val="2"/>
            <w:noWrap/>
            <w:tcMar>
              <w:left w:w="28" w:type="dxa"/>
              <w:right w:w="28" w:type="dxa"/>
            </w:tcMar>
            <w:vAlign w:val="center"/>
          </w:tcPr>
          <w:p w14:paraId="09B83F19" w14:textId="08A31A63" w:rsidR="000B6D12" w:rsidRPr="004E7BD2" w:rsidRDefault="00EF687F" w:rsidP="00E919A7">
            <w:pPr>
              <w:spacing w:after="0" w:line="240" w:lineRule="auto"/>
              <w:jc w:val="center"/>
              <w:rPr>
                <w:rFonts w:ascii="Garamond" w:hAnsi="Garamond"/>
                <w:lang w:val="en-GB"/>
              </w:rPr>
            </w:pPr>
            <w:r w:rsidRPr="004E7BD2">
              <w:rPr>
                <w:rFonts w:ascii="Garamond" w:hAnsi="Garamond"/>
                <w:lang w:val="en-GB"/>
              </w:rPr>
              <w:t>380</w:t>
            </w:r>
          </w:p>
        </w:tc>
      </w:tr>
      <w:tr w:rsidR="000B6D12" w:rsidRPr="004E7BD2" w14:paraId="787EDA44" w14:textId="77777777" w:rsidTr="00E919A7">
        <w:trPr>
          <w:trHeight w:val="369"/>
        </w:trPr>
        <w:tc>
          <w:tcPr>
            <w:tcW w:w="6815" w:type="dxa"/>
            <w:shd w:val="clear" w:color="auto" w:fill="auto"/>
            <w:vAlign w:val="center"/>
          </w:tcPr>
          <w:p w14:paraId="09EF23BB" w14:textId="77777777" w:rsidR="000B6D12" w:rsidRPr="004E7BD2" w:rsidRDefault="000B6D12" w:rsidP="00E919A7">
            <w:pPr>
              <w:spacing w:before="60" w:after="60"/>
              <w:rPr>
                <w:rFonts w:ascii="Garamond" w:hAnsi="Garamond"/>
                <w:lang w:val="en-GB"/>
              </w:rPr>
            </w:pPr>
          </w:p>
        </w:tc>
        <w:tc>
          <w:tcPr>
            <w:tcW w:w="1742" w:type="dxa"/>
            <w:gridSpan w:val="2"/>
            <w:noWrap/>
            <w:tcMar>
              <w:left w:w="28" w:type="dxa"/>
              <w:right w:w="28" w:type="dxa"/>
            </w:tcMar>
            <w:vAlign w:val="center"/>
          </w:tcPr>
          <w:p w14:paraId="363A5FED" w14:textId="77777777" w:rsidR="000B6D12" w:rsidRPr="004E7BD2" w:rsidDel="00D2222B" w:rsidRDefault="000B6D12" w:rsidP="00E919A7">
            <w:pPr>
              <w:spacing w:after="0" w:line="240" w:lineRule="auto"/>
              <w:jc w:val="center"/>
              <w:rPr>
                <w:rFonts w:ascii="Garamond" w:hAnsi="Garamond"/>
                <w:lang w:val="en-GB"/>
              </w:rPr>
            </w:pPr>
          </w:p>
        </w:tc>
      </w:tr>
      <w:tr w:rsidR="000B6D12" w:rsidRPr="004E7BD2" w14:paraId="50AE1E1D" w14:textId="77777777" w:rsidTr="00E919A7">
        <w:trPr>
          <w:trHeight w:val="361"/>
        </w:trPr>
        <w:tc>
          <w:tcPr>
            <w:tcW w:w="6815" w:type="dxa"/>
            <w:shd w:val="clear" w:color="auto" w:fill="auto"/>
            <w:vAlign w:val="center"/>
          </w:tcPr>
          <w:p w14:paraId="3588545F" w14:textId="77777777" w:rsidR="000B6D12" w:rsidRPr="004E7BD2" w:rsidRDefault="000B6D12" w:rsidP="00E919A7">
            <w:pPr>
              <w:spacing w:before="60" w:after="60"/>
              <w:rPr>
                <w:rFonts w:ascii="Garamond" w:hAnsi="Garamond"/>
                <w:lang w:val="en-GB"/>
              </w:rPr>
            </w:pPr>
            <w:r w:rsidRPr="004E7BD2">
              <w:rPr>
                <w:rFonts w:ascii="Garamond" w:hAnsi="Garamond"/>
                <w:lang w:val="en-GB"/>
              </w:rPr>
              <w:t>Start</w:t>
            </w:r>
          </w:p>
        </w:tc>
        <w:tc>
          <w:tcPr>
            <w:tcW w:w="1742" w:type="dxa"/>
            <w:gridSpan w:val="2"/>
            <w:noWrap/>
            <w:tcMar>
              <w:left w:w="28" w:type="dxa"/>
              <w:right w:w="28" w:type="dxa"/>
            </w:tcMar>
            <w:vAlign w:val="center"/>
          </w:tcPr>
          <w:p w14:paraId="4A19891E" w14:textId="26388F85" w:rsidR="000B6D12" w:rsidRPr="004E7BD2" w:rsidDel="00D2222B" w:rsidRDefault="00EF687F" w:rsidP="00E919A7">
            <w:pPr>
              <w:spacing w:after="0" w:line="240" w:lineRule="auto"/>
              <w:jc w:val="center"/>
              <w:rPr>
                <w:rFonts w:ascii="Garamond" w:hAnsi="Garamond"/>
                <w:lang w:val="en-GB"/>
              </w:rPr>
            </w:pPr>
            <w:r w:rsidRPr="004E7BD2">
              <w:rPr>
                <w:rFonts w:ascii="Garamond" w:hAnsi="Garamond"/>
                <w:lang w:val="en-GB"/>
              </w:rPr>
              <w:t>1953</w:t>
            </w:r>
          </w:p>
        </w:tc>
      </w:tr>
      <w:tr w:rsidR="000B6D12" w:rsidRPr="004E7BD2" w14:paraId="6014094E" w14:textId="77777777" w:rsidTr="00E919A7">
        <w:trPr>
          <w:trHeight w:val="361"/>
        </w:trPr>
        <w:tc>
          <w:tcPr>
            <w:tcW w:w="6815" w:type="dxa"/>
            <w:shd w:val="clear" w:color="auto" w:fill="auto"/>
            <w:vAlign w:val="center"/>
          </w:tcPr>
          <w:p w14:paraId="42C60CAF" w14:textId="77777777" w:rsidR="000B6D12" w:rsidRPr="004E7BD2" w:rsidRDefault="000B6D12" w:rsidP="00E919A7">
            <w:pPr>
              <w:spacing w:before="60" w:after="60"/>
              <w:rPr>
                <w:rFonts w:ascii="Garamond" w:hAnsi="Garamond"/>
                <w:lang w:val="en-GB"/>
              </w:rPr>
            </w:pPr>
            <w:r w:rsidRPr="004E7BD2">
              <w:rPr>
                <w:rFonts w:ascii="Garamond" w:hAnsi="Garamond"/>
                <w:lang w:val="en-GB"/>
              </w:rPr>
              <w:t>End</w:t>
            </w:r>
          </w:p>
        </w:tc>
        <w:tc>
          <w:tcPr>
            <w:tcW w:w="1742" w:type="dxa"/>
            <w:gridSpan w:val="2"/>
            <w:noWrap/>
            <w:tcMar>
              <w:left w:w="28" w:type="dxa"/>
              <w:right w:w="28" w:type="dxa"/>
            </w:tcMar>
            <w:vAlign w:val="center"/>
          </w:tcPr>
          <w:p w14:paraId="42E180B9" w14:textId="02CEC76F" w:rsidR="000B6D12" w:rsidRPr="004E7BD2" w:rsidDel="00D2222B" w:rsidRDefault="00EF687F" w:rsidP="00E919A7">
            <w:pPr>
              <w:spacing w:after="0" w:line="240" w:lineRule="auto"/>
              <w:jc w:val="center"/>
              <w:rPr>
                <w:rFonts w:ascii="Garamond" w:hAnsi="Garamond"/>
                <w:lang w:val="en-GB"/>
              </w:rPr>
            </w:pPr>
            <w:r w:rsidRPr="004E7BD2">
              <w:rPr>
                <w:rFonts w:ascii="Garamond" w:hAnsi="Garamond"/>
                <w:lang w:val="en-GB"/>
              </w:rPr>
              <w:t>2020</w:t>
            </w:r>
          </w:p>
        </w:tc>
      </w:tr>
      <w:tr w:rsidR="000B6D12" w:rsidRPr="004E7BD2" w14:paraId="7B96408C" w14:textId="77777777" w:rsidTr="00E919A7">
        <w:trPr>
          <w:trHeight w:hRule="exact" w:val="172"/>
        </w:trPr>
        <w:tc>
          <w:tcPr>
            <w:tcW w:w="6815" w:type="dxa"/>
            <w:tcBorders>
              <w:bottom w:val="double" w:sz="4" w:space="0" w:color="auto"/>
            </w:tcBorders>
            <w:shd w:val="clear" w:color="auto" w:fill="auto"/>
            <w:vAlign w:val="center"/>
          </w:tcPr>
          <w:p w14:paraId="7BB5D5D7" w14:textId="77777777" w:rsidR="000B6D12" w:rsidRPr="004E7BD2" w:rsidRDefault="000B6D12" w:rsidP="00E919A7">
            <w:pPr>
              <w:rPr>
                <w:rFonts w:ascii="Garamond" w:hAnsi="Garamond"/>
                <w:lang w:val="en-GB"/>
              </w:rPr>
            </w:pPr>
          </w:p>
        </w:tc>
        <w:tc>
          <w:tcPr>
            <w:tcW w:w="1742" w:type="dxa"/>
            <w:gridSpan w:val="2"/>
            <w:tcBorders>
              <w:bottom w:val="double" w:sz="4" w:space="0" w:color="auto"/>
            </w:tcBorders>
            <w:noWrap/>
            <w:tcMar>
              <w:left w:w="28" w:type="dxa"/>
              <w:right w:w="28" w:type="dxa"/>
            </w:tcMar>
            <w:vAlign w:val="center"/>
          </w:tcPr>
          <w:p w14:paraId="09D99783" w14:textId="77777777" w:rsidR="000B6D12" w:rsidRPr="004E7BD2" w:rsidRDefault="000B6D12" w:rsidP="00E919A7">
            <w:pPr>
              <w:spacing w:after="0" w:line="240" w:lineRule="auto"/>
              <w:jc w:val="center"/>
              <w:rPr>
                <w:rFonts w:ascii="Garamond" w:hAnsi="Garamond"/>
                <w:lang w:val="en-GB"/>
              </w:rPr>
            </w:pPr>
          </w:p>
        </w:tc>
      </w:tr>
    </w:tbl>
    <w:p w14:paraId="0F33903D" w14:textId="77777777" w:rsidR="00175EA7" w:rsidRPr="00ED4292" w:rsidRDefault="002E05ED" w:rsidP="00175EA7">
      <w:pPr>
        <w:spacing w:before="120" w:after="0" w:line="240" w:lineRule="auto"/>
        <w:rPr>
          <w:rFonts w:ascii="Garamond" w:hAnsi="Garamond" w:cstheme="minorHAnsi"/>
          <w:i/>
          <w:iCs/>
          <w:sz w:val="18"/>
          <w:szCs w:val="18"/>
          <w:lang w:val="en-GB"/>
        </w:rPr>
      </w:pPr>
      <w:r w:rsidRPr="00ED4292">
        <w:rPr>
          <w:rFonts w:ascii="Garamond" w:hAnsi="Garamond" w:cstheme="minorHAnsi"/>
          <w:i/>
          <w:iCs/>
          <w:sz w:val="18"/>
          <w:szCs w:val="18"/>
          <w:lang w:val="en-GB"/>
        </w:rPr>
        <w:t>Note: threshold for inclusion in the table is a correlation of greater than ±0.</w:t>
      </w:r>
      <w:r w:rsidR="00834D82" w:rsidRPr="00ED4292">
        <w:rPr>
          <w:rFonts w:ascii="Garamond" w:hAnsi="Garamond" w:cstheme="minorHAnsi"/>
          <w:i/>
          <w:iCs/>
          <w:sz w:val="18"/>
          <w:szCs w:val="18"/>
          <w:lang w:val="en-GB"/>
        </w:rPr>
        <w:t>9</w:t>
      </w:r>
      <w:r w:rsidRPr="00ED4292">
        <w:rPr>
          <w:rFonts w:ascii="Garamond" w:hAnsi="Garamond" w:cstheme="minorHAnsi"/>
          <w:i/>
          <w:iCs/>
          <w:sz w:val="18"/>
          <w:szCs w:val="18"/>
          <w:lang w:val="en-GB"/>
        </w:rPr>
        <w:t xml:space="preserve"> and more than two cases (i.e. cases are survey-years, so one case can include multiple surveys).</w:t>
      </w:r>
      <w:r w:rsidR="00175EA7">
        <w:rPr>
          <w:rFonts w:ascii="Garamond" w:hAnsi="Garamond" w:cstheme="minorHAnsi"/>
          <w:i/>
          <w:iCs/>
          <w:sz w:val="18"/>
          <w:szCs w:val="18"/>
          <w:lang w:val="en-GB"/>
        </w:rPr>
        <w:t xml:space="preserve"> Thus, the total number of series (19) is greater than the number of series listed in the table.</w:t>
      </w:r>
    </w:p>
    <w:p w14:paraId="55E6F3A1" w14:textId="30B55413" w:rsidR="00ED4292" w:rsidRDefault="00ED4292">
      <w:pPr>
        <w:rPr>
          <w:rFonts w:ascii="Garamond" w:hAnsi="Garamond"/>
          <w:b/>
          <w:lang w:val="en-GB"/>
        </w:rPr>
      </w:pPr>
    </w:p>
    <w:p w14:paraId="37672236" w14:textId="342061B5" w:rsidR="00B61550" w:rsidRDefault="00B61550">
      <w:pPr>
        <w:rPr>
          <w:rFonts w:ascii="Garamond" w:hAnsi="Garamond"/>
          <w:b/>
          <w:lang w:val="en-GB"/>
        </w:rPr>
      </w:pPr>
    </w:p>
    <w:p w14:paraId="5951195F" w14:textId="77777777" w:rsidR="00B61550" w:rsidRDefault="00B61550">
      <w:pPr>
        <w:rPr>
          <w:rFonts w:ascii="Garamond" w:hAnsi="Garamond"/>
          <w:b/>
          <w:lang w:val="en-GB"/>
        </w:rPr>
      </w:pPr>
    </w:p>
    <w:p w14:paraId="088F9DDF" w14:textId="51C63477" w:rsidR="00D2222B" w:rsidRPr="004E7BD2" w:rsidRDefault="00D2222B" w:rsidP="00D2222B">
      <w:pPr>
        <w:spacing w:after="120"/>
        <w:rPr>
          <w:rFonts w:ascii="Garamond" w:hAnsi="Garamond"/>
          <w:lang w:val="en-GB"/>
        </w:rPr>
      </w:pPr>
      <w:r w:rsidRPr="004E7BD2">
        <w:rPr>
          <w:rFonts w:ascii="Garamond" w:hAnsi="Garamond"/>
          <w:b/>
          <w:lang w:val="en-GB"/>
        </w:rPr>
        <w:lastRenderedPageBreak/>
        <w:t>Table</w:t>
      </w:r>
      <w:r w:rsidR="00627BE4" w:rsidRPr="004E7BD2">
        <w:rPr>
          <w:rFonts w:ascii="Garamond" w:hAnsi="Garamond"/>
          <w:b/>
          <w:lang w:val="en-GB"/>
        </w:rPr>
        <w:t xml:space="preserve"> </w:t>
      </w:r>
      <w:r w:rsidR="002F4DC0" w:rsidRPr="004E7BD2">
        <w:rPr>
          <w:rFonts w:ascii="Garamond" w:hAnsi="Garamond"/>
          <w:b/>
          <w:lang w:val="en-GB"/>
        </w:rPr>
        <w:t>3</w:t>
      </w:r>
      <w:r w:rsidR="00E768EA" w:rsidRPr="004E7BD2">
        <w:rPr>
          <w:rFonts w:ascii="Garamond" w:hAnsi="Garamond"/>
          <w:b/>
          <w:lang w:val="en-GB"/>
        </w:rPr>
        <w:t>(b)</w:t>
      </w:r>
      <w:r w:rsidRPr="004E7BD2">
        <w:rPr>
          <w:rFonts w:ascii="Garamond" w:hAnsi="Garamond"/>
          <w:b/>
          <w:lang w:val="en-GB"/>
        </w:rPr>
        <w:t>.</w:t>
      </w:r>
      <w:r w:rsidRPr="004E7BD2">
        <w:rPr>
          <w:rFonts w:ascii="Garamond" w:hAnsi="Garamond"/>
          <w:lang w:val="en-GB"/>
        </w:rPr>
        <w:t xml:space="preserve"> </w:t>
      </w:r>
      <w:r w:rsidRPr="004E7BD2">
        <w:rPr>
          <w:rFonts w:ascii="Garamond" w:hAnsi="Garamond" w:cstheme="minorHAnsi"/>
          <w:lang w:val="en-GB"/>
        </w:rPr>
        <w:t xml:space="preserve">Factor Loadings of Selected Question Series and the </w:t>
      </w:r>
      <w:r w:rsidR="00766408">
        <w:rPr>
          <w:rFonts w:ascii="Garamond" w:hAnsi="Garamond" w:cstheme="minorHAnsi"/>
          <w:lang w:val="en-GB"/>
        </w:rPr>
        <w:t xml:space="preserve">Overall </w:t>
      </w:r>
      <w:r w:rsidRPr="004E7BD2">
        <w:rPr>
          <w:rFonts w:ascii="Garamond" w:hAnsi="Garamond" w:cstheme="minorHAnsi"/>
          <w:lang w:val="en-GB"/>
        </w:rPr>
        <w:t>Measure of Punitive Opinion</w:t>
      </w:r>
      <w:r w:rsidR="00EC1415" w:rsidRPr="004E7BD2">
        <w:rPr>
          <w:rFonts w:ascii="Garamond" w:hAnsi="Garamond" w:cstheme="minorHAnsi"/>
          <w:lang w:val="en-GB"/>
        </w:rPr>
        <w:t xml:space="preserve">, </w:t>
      </w:r>
      <w:r w:rsidR="005738CC" w:rsidRPr="004E7BD2">
        <w:rPr>
          <w:rFonts w:ascii="Garamond" w:hAnsi="Garamond" w:cstheme="minorHAnsi"/>
          <w:lang w:val="en-GB"/>
        </w:rPr>
        <w:t>Britain</w:t>
      </w:r>
    </w:p>
    <w:tbl>
      <w:tblPr>
        <w:tblW w:w="8557" w:type="dxa"/>
        <w:tblInd w:w="108" w:type="dxa"/>
        <w:tblLayout w:type="fixed"/>
        <w:tblLook w:val="0000" w:firstRow="0" w:lastRow="0" w:firstColumn="0" w:lastColumn="0" w:noHBand="0" w:noVBand="0"/>
      </w:tblPr>
      <w:tblGrid>
        <w:gridCol w:w="6815"/>
        <w:gridCol w:w="633"/>
        <w:gridCol w:w="1109"/>
      </w:tblGrid>
      <w:tr w:rsidR="00D2222B" w:rsidRPr="004E7BD2" w14:paraId="49F2F426" w14:textId="77777777" w:rsidTr="00ED4292">
        <w:trPr>
          <w:trHeight w:val="361"/>
        </w:trPr>
        <w:tc>
          <w:tcPr>
            <w:tcW w:w="6815" w:type="dxa"/>
            <w:tcBorders>
              <w:top w:val="double" w:sz="4" w:space="0" w:color="auto"/>
              <w:bottom w:val="single" w:sz="4" w:space="0" w:color="auto"/>
            </w:tcBorders>
            <w:shd w:val="clear" w:color="auto" w:fill="auto"/>
          </w:tcPr>
          <w:p w14:paraId="7564338E" w14:textId="525B5C79" w:rsidR="00D2222B" w:rsidRPr="004E7BD2" w:rsidRDefault="00D2222B" w:rsidP="00E919A7">
            <w:pPr>
              <w:spacing w:before="60" w:after="60"/>
              <w:rPr>
                <w:rFonts w:ascii="Garamond" w:hAnsi="Garamond"/>
                <w:lang w:val="en-GB"/>
              </w:rPr>
            </w:pPr>
            <w:r w:rsidRPr="004E7BD2">
              <w:rPr>
                <w:rFonts w:ascii="Garamond" w:hAnsi="Garamond"/>
                <w:u w:val="single"/>
                <w:lang w:val="en-GB"/>
              </w:rPr>
              <w:t xml:space="preserve">Survey </w:t>
            </w:r>
            <w:r w:rsidR="006E3BFC">
              <w:rPr>
                <w:rFonts w:ascii="Garamond" w:hAnsi="Garamond"/>
                <w:u w:val="single"/>
                <w:lang w:val="en-GB"/>
              </w:rPr>
              <w:t>Question</w:t>
            </w:r>
            <w:r w:rsidR="006E3BFC" w:rsidRPr="004E7BD2">
              <w:rPr>
                <w:rFonts w:ascii="Garamond" w:hAnsi="Garamond"/>
                <w:u w:val="single"/>
                <w:lang w:val="en-GB"/>
              </w:rPr>
              <w:t xml:space="preserve"> </w:t>
            </w:r>
            <w:r w:rsidR="00EC1415" w:rsidRPr="004E7BD2">
              <w:rPr>
                <w:rFonts w:ascii="Garamond" w:hAnsi="Garamond"/>
                <w:u w:val="single"/>
                <w:lang w:val="en-GB"/>
              </w:rPr>
              <w:t>(</w:t>
            </w:r>
            <w:r w:rsidR="006E3BFC">
              <w:rPr>
                <w:rFonts w:ascii="Garamond" w:hAnsi="Garamond"/>
                <w:u w:val="single"/>
                <w:lang w:val="en-GB"/>
              </w:rPr>
              <w:t>survey organisation</w:t>
            </w:r>
            <w:r w:rsidR="00EC1415" w:rsidRPr="004E7BD2">
              <w:rPr>
                <w:rFonts w:ascii="Garamond" w:hAnsi="Garamond"/>
                <w:u w:val="single"/>
                <w:lang w:val="en-GB"/>
              </w:rPr>
              <w:t>)</w:t>
            </w:r>
          </w:p>
        </w:tc>
        <w:tc>
          <w:tcPr>
            <w:tcW w:w="633" w:type="dxa"/>
            <w:tcBorders>
              <w:top w:val="double" w:sz="4" w:space="0" w:color="auto"/>
              <w:bottom w:val="single" w:sz="4" w:space="0" w:color="auto"/>
            </w:tcBorders>
            <w:noWrap/>
            <w:tcMar>
              <w:left w:w="28" w:type="dxa"/>
              <w:right w:w="28" w:type="dxa"/>
            </w:tcMar>
            <w:vAlign w:val="center"/>
          </w:tcPr>
          <w:p w14:paraId="7C6916D4" w14:textId="0DC2FBA0" w:rsidR="00D2222B" w:rsidRPr="004E7BD2" w:rsidRDefault="006D3FBC" w:rsidP="00E919A7">
            <w:pPr>
              <w:spacing w:after="0" w:line="240" w:lineRule="auto"/>
              <w:jc w:val="center"/>
              <w:rPr>
                <w:rFonts w:ascii="Garamond" w:hAnsi="Garamond"/>
                <w:lang w:val="en-GB"/>
              </w:rPr>
            </w:pPr>
            <w:r w:rsidRPr="004E7BD2">
              <w:rPr>
                <w:rFonts w:ascii="Garamond" w:hAnsi="Garamond"/>
                <w:lang w:val="en-GB"/>
              </w:rPr>
              <w:t>Cases</w:t>
            </w:r>
          </w:p>
        </w:tc>
        <w:tc>
          <w:tcPr>
            <w:tcW w:w="1109" w:type="dxa"/>
            <w:tcBorders>
              <w:top w:val="double" w:sz="4" w:space="0" w:color="auto"/>
              <w:bottom w:val="single" w:sz="4" w:space="0" w:color="auto"/>
            </w:tcBorders>
            <w:noWrap/>
            <w:tcMar>
              <w:left w:w="28" w:type="dxa"/>
              <w:right w:w="28" w:type="dxa"/>
            </w:tcMar>
            <w:vAlign w:val="center"/>
          </w:tcPr>
          <w:p w14:paraId="669DAC96" w14:textId="15F772BD" w:rsidR="00D2222B" w:rsidRPr="004E7BD2" w:rsidRDefault="006E3BFC" w:rsidP="00E919A7">
            <w:pPr>
              <w:spacing w:after="0" w:line="240" w:lineRule="auto"/>
              <w:jc w:val="center"/>
              <w:rPr>
                <w:rFonts w:ascii="Garamond" w:hAnsi="Garamond"/>
                <w:lang w:val="en-GB"/>
              </w:rPr>
            </w:pPr>
            <w:r>
              <w:rPr>
                <w:rFonts w:ascii="Garamond" w:hAnsi="Garamond"/>
                <w:lang w:val="en-GB"/>
              </w:rPr>
              <w:t>Loading</w:t>
            </w:r>
          </w:p>
        </w:tc>
      </w:tr>
      <w:tr w:rsidR="00D2222B" w:rsidRPr="004E7BD2" w14:paraId="76B63A60" w14:textId="77777777" w:rsidTr="0083106A">
        <w:trPr>
          <w:trHeight w:hRule="exact" w:val="114"/>
        </w:trPr>
        <w:tc>
          <w:tcPr>
            <w:tcW w:w="6815" w:type="dxa"/>
            <w:shd w:val="clear" w:color="auto" w:fill="auto"/>
          </w:tcPr>
          <w:p w14:paraId="088D20BD" w14:textId="77777777" w:rsidR="00D2222B" w:rsidRPr="004E7BD2" w:rsidRDefault="00D2222B" w:rsidP="00E919A7">
            <w:pPr>
              <w:spacing w:before="60" w:after="60"/>
              <w:rPr>
                <w:rFonts w:ascii="Garamond" w:hAnsi="Garamond"/>
                <w:lang w:val="en-GB"/>
              </w:rPr>
            </w:pPr>
          </w:p>
        </w:tc>
        <w:tc>
          <w:tcPr>
            <w:tcW w:w="633" w:type="dxa"/>
            <w:noWrap/>
            <w:tcMar>
              <w:left w:w="28" w:type="dxa"/>
              <w:right w:w="28" w:type="dxa"/>
            </w:tcMar>
            <w:vAlign w:val="center"/>
          </w:tcPr>
          <w:p w14:paraId="3ED4B979" w14:textId="77777777" w:rsidR="00D2222B" w:rsidRPr="004E7BD2" w:rsidRDefault="00D2222B" w:rsidP="00E919A7">
            <w:pPr>
              <w:spacing w:after="0" w:line="240" w:lineRule="auto"/>
              <w:jc w:val="center"/>
              <w:rPr>
                <w:rFonts w:ascii="Garamond" w:hAnsi="Garamond"/>
                <w:lang w:val="en-GB"/>
              </w:rPr>
            </w:pPr>
          </w:p>
        </w:tc>
        <w:tc>
          <w:tcPr>
            <w:tcW w:w="1109" w:type="dxa"/>
            <w:noWrap/>
            <w:tcMar>
              <w:left w:w="28" w:type="dxa"/>
              <w:right w:w="28" w:type="dxa"/>
            </w:tcMar>
            <w:vAlign w:val="center"/>
          </w:tcPr>
          <w:p w14:paraId="01DC2CFB" w14:textId="77777777" w:rsidR="00D2222B" w:rsidRPr="004E7BD2" w:rsidRDefault="00D2222B" w:rsidP="00E919A7">
            <w:pPr>
              <w:jc w:val="center"/>
              <w:rPr>
                <w:rFonts w:ascii="Garamond" w:hAnsi="Garamond"/>
                <w:lang w:val="en-GB"/>
              </w:rPr>
            </w:pPr>
          </w:p>
        </w:tc>
      </w:tr>
      <w:tr w:rsidR="0031339C" w:rsidRPr="004E7BD2" w14:paraId="0319A582" w14:textId="77777777" w:rsidTr="0083106A">
        <w:trPr>
          <w:trHeight w:val="361"/>
        </w:trPr>
        <w:tc>
          <w:tcPr>
            <w:tcW w:w="6815" w:type="dxa"/>
            <w:shd w:val="clear" w:color="auto" w:fill="auto"/>
            <w:vAlign w:val="center"/>
          </w:tcPr>
          <w:p w14:paraId="0FCE5D63" w14:textId="1DAC0099" w:rsidR="0031339C" w:rsidRPr="004E7BD2" w:rsidRDefault="004439AC" w:rsidP="00BB135E">
            <w:pPr>
              <w:spacing w:before="60" w:after="60"/>
              <w:rPr>
                <w:rFonts w:ascii="Garamond" w:hAnsi="Garamond"/>
                <w:iCs/>
                <w:lang w:val="en-GB"/>
              </w:rPr>
            </w:pPr>
            <w:r w:rsidRPr="004E7BD2">
              <w:rPr>
                <w:rFonts w:ascii="Garamond" w:hAnsi="Garamond"/>
                <w:iCs/>
                <w:lang w:val="en-GB"/>
              </w:rPr>
              <w:t xml:space="preserve">People who break the law should be given stiffer sentences </w:t>
            </w:r>
            <w:r w:rsidR="0031339C" w:rsidRPr="004E7BD2">
              <w:rPr>
                <w:rFonts w:ascii="Garamond" w:hAnsi="Garamond"/>
                <w:iCs/>
                <w:lang w:val="en-GB"/>
              </w:rPr>
              <w:t>(BES</w:t>
            </w:r>
            <w:r w:rsidR="00A83ED9">
              <w:rPr>
                <w:rFonts w:ascii="Garamond" w:hAnsi="Garamond"/>
                <w:iCs/>
                <w:lang w:val="en-GB"/>
              </w:rPr>
              <w:t>IP</w:t>
            </w:r>
            <w:r w:rsidR="0031339C" w:rsidRPr="004E7BD2">
              <w:rPr>
                <w:rFonts w:ascii="Garamond" w:hAnsi="Garamond"/>
                <w:iCs/>
                <w:lang w:val="en-GB"/>
              </w:rPr>
              <w:t>)</w:t>
            </w:r>
          </w:p>
        </w:tc>
        <w:tc>
          <w:tcPr>
            <w:tcW w:w="633" w:type="dxa"/>
            <w:noWrap/>
            <w:tcMar>
              <w:left w:w="28" w:type="dxa"/>
              <w:right w:w="28" w:type="dxa"/>
            </w:tcMar>
            <w:vAlign w:val="center"/>
          </w:tcPr>
          <w:p w14:paraId="7AE15E33" w14:textId="512C6143" w:rsidR="0031339C" w:rsidRPr="004E7BD2" w:rsidRDefault="0031339C" w:rsidP="00BB135E">
            <w:pPr>
              <w:spacing w:after="0" w:line="240" w:lineRule="auto"/>
              <w:jc w:val="center"/>
              <w:rPr>
                <w:rFonts w:ascii="Garamond" w:hAnsi="Garamond"/>
                <w:lang w:val="en-GB"/>
              </w:rPr>
            </w:pPr>
            <w:r w:rsidRPr="004E7BD2">
              <w:rPr>
                <w:rFonts w:ascii="Garamond" w:hAnsi="Garamond"/>
                <w:lang w:val="en-GB"/>
              </w:rPr>
              <w:t>4</w:t>
            </w:r>
          </w:p>
        </w:tc>
        <w:tc>
          <w:tcPr>
            <w:tcW w:w="1109" w:type="dxa"/>
            <w:noWrap/>
            <w:tcMar>
              <w:left w:w="28" w:type="dxa"/>
              <w:right w:w="28" w:type="dxa"/>
            </w:tcMar>
            <w:vAlign w:val="center"/>
          </w:tcPr>
          <w:p w14:paraId="32E7D66B" w14:textId="476A9B3C" w:rsidR="0031339C" w:rsidRPr="004E7BD2" w:rsidRDefault="0031339C" w:rsidP="00BB135E">
            <w:pPr>
              <w:spacing w:after="0"/>
              <w:jc w:val="center"/>
              <w:rPr>
                <w:rFonts w:ascii="Garamond" w:hAnsi="Garamond"/>
                <w:lang w:val="en-GB"/>
              </w:rPr>
            </w:pPr>
            <w:r w:rsidRPr="004E7BD2">
              <w:rPr>
                <w:rFonts w:ascii="Garamond" w:hAnsi="Garamond"/>
                <w:lang w:val="en-GB"/>
              </w:rPr>
              <w:t>1.00</w:t>
            </w:r>
          </w:p>
        </w:tc>
      </w:tr>
      <w:tr w:rsidR="0031339C" w:rsidRPr="004E7BD2" w14:paraId="15A65F9E" w14:textId="77777777" w:rsidTr="0083106A">
        <w:trPr>
          <w:trHeight w:val="602"/>
        </w:trPr>
        <w:tc>
          <w:tcPr>
            <w:tcW w:w="6815" w:type="dxa"/>
            <w:shd w:val="clear" w:color="auto" w:fill="auto"/>
            <w:vAlign w:val="center"/>
          </w:tcPr>
          <w:p w14:paraId="45E723FD" w14:textId="3CFB1E10" w:rsidR="0031339C" w:rsidRPr="004E7BD2" w:rsidRDefault="0031339C" w:rsidP="00BB135E">
            <w:pPr>
              <w:spacing w:before="60" w:after="60"/>
              <w:rPr>
                <w:rFonts w:ascii="Garamond" w:hAnsi="Garamond"/>
                <w:iCs/>
                <w:lang w:val="en-GB"/>
              </w:rPr>
            </w:pPr>
            <w:r w:rsidRPr="004E7BD2">
              <w:rPr>
                <w:rFonts w:ascii="Garamond" w:hAnsi="Garamond"/>
                <w:iCs/>
                <w:lang w:val="en-GB"/>
              </w:rPr>
              <w:t>Sentences that the courts hand down to people who have been convicted of crimes are not harsh enough (YouGov)</w:t>
            </w:r>
          </w:p>
        </w:tc>
        <w:tc>
          <w:tcPr>
            <w:tcW w:w="633" w:type="dxa"/>
            <w:noWrap/>
            <w:tcMar>
              <w:left w:w="28" w:type="dxa"/>
              <w:right w:w="28" w:type="dxa"/>
            </w:tcMar>
            <w:vAlign w:val="center"/>
          </w:tcPr>
          <w:p w14:paraId="4F5C8876" w14:textId="2E9C1C16" w:rsidR="0031339C" w:rsidRPr="004E7BD2" w:rsidRDefault="0031339C" w:rsidP="00BB135E">
            <w:pPr>
              <w:spacing w:after="0" w:line="240" w:lineRule="auto"/>
              <w:jc w:val="center"/>
              <w:rPr>
                <w:rFonts w:ascii="Garamond" w:hAnsi="Garamond"/>
                <w:lang w:val="en-GB"/>
              </w:rPr>
            </w:pPr>
            <w:r w:rsidRPr="004E7BD2">
              <w:rPr>
                <w:rFonts w:ascii="Garamond" w:hAnsi="Garamond"/>
                <w:lang w:val="en-GB"/>
              </w:rPr>
              <w:t>4</w:t>
            </w:r>
          </w:p>
        </w:tc>
        <w:tc>
          <w:tcPr>
            <w:tcW w:w="1109" w:type="dxa"/>
            <w:noWrap/>
            <w:tcMar>
              <w:left w:w="28" w:type="dxa"/>
              <w:right w:w="28" w:type="dxa"/>
            </w:tcMar>
            <w:vAlign w:val="center"/>
          </w:tcPr>
          <w:p w14:paraId="2BEBF1C2" w14:textId="59D7EC49" w:rsidR="0031339C" w:rsidRPr="004E7BD2" w:rsidRDefault="0031339C" w:rsidP="00BB135E">
            <w:pPr>
              <w:spacing w:after="0"/>
              <w:jc w:val="center"/>
              <w:rPr>
                <w:rFonts w:ascii="Garamond" w:hAnsi="Garamond"/>
                <w:lang w:val="en-GB"/>
              </w:rPr>
            </w:pPr>
            <w:r w:rsidRPr="004E7BD2">
              <w:rPr>
                <w:rFonts w:ascii="Garamond" w:hAnsi="Garamond"/>
                <w:lang w:val="en-GB"/>
              </w:rPr>
              <w:t>1.00</w:t>
            </w:r>
          </w:p>
        </w:tc>
      </w:tr>
      <w:tr w:rsidR="006D3FBC" w:rsidRPr="004E7BD2" w14:paraId="045A9DE7" w14:textId="77777777" w:rsidTr="0083106A">
        <w:trPr>
          <w:trHeight w:val="361"/>
        </w:trPr>
        <w:tc>
          <w:tcPr>
            <w:tcW w:w="6815" w:type="dxa"/>
            <w:shd w:val="clear" w:color="auto" w:fill="auto"/>
            <w:vAlign w:val="center"/>
          </w:tcPr>
          <w:p w14:paraId="10369A3A" w14:textId="5E5B21CB" w:rsidR="006D3FBC" w:rsidRPr="004E7BD2" w:rsidRDefault="006D3FBC" w:rsidP="006D3FBC">
            <w:pPr>
              <w:spacing w:before="60" w:after="60"/>
              <w:rPr>
                <w:rFonts w:ascii="Garamond" w:hAnsi="Garamond"/>
                <w:iCs/>
                <w:lang w:val="en-GB"/>
              </w:rPr>
            </w:pPr>
            <w:r w:rsidRPr="004E7BD2">
              <w:rPr>
                <w:rFonts w:ascii="Garamond" w:hAnsi="Garamond"/>
                <w:iCs/>
                <w:lang w:val="en-GB"/>
              </w:rPr>
              <w:t>Poverty and poor housing a very important cause of crime and violence (Gallup)</w:t>
            </w:r>
          </w:p>
        </w:tc>
        <w:tc>
          <w:tcPr>
            <w:tcW w:w="633" w:type="dxa"/>
            <w:noWrap/>
            <w:tcMar>
              <w:left w:w="28" w:type="dxa"/>
              <w:right w:w="28" w:type="dxa"/>
            </w:tcMar>
            <w:vAlign w:val="center"/>
          </w:tcPr>
          <w:p w14:paraId="19C768FB" w14:textId="692C5205" w:rsidR="006D3FBC" w:rsidRPr="004E7BD2" w:rsidRDefault="006D3FBC" w:rsidP="006D3FBC">
            <w:pPr>
              <w:spacing w:after="0" w:line="240" w:lineRule="auto"/>
              <w:jc w:val="center"/>
              <w:rPr>
                <w:rFonts w:ascii="Garamond" w:hAnsi="Garamond"/>
                <w:lang w:val="en-GB"/>
              </w:rPr>
            </w:pPr>
            <w:r w:rsidRPr="004E7BD2">
              <w:rPr>
                <w:rFonts w:ascii="Garamond" w:hAnsi="Garamond"/>
                <w:lang w:val="en-GB"/>
              </w:rPr>
              <w:t>4</w:t>
            </w:r>
          </w:p>
        </w:tc>
        <w:tc>
          <w:tcPr>
            <w:tcW w:w="1109" w:type="dxa"/>
            <w:noWrap/>
            <w:tcMar>
              <w:left w:w="28" w:type="dxa"/>
              <w:right w:w="28" w:type="dxa"/>
            </w:tcMar>
            <w:vAlign w:val="center"/>
          </w:tcPr>
          <w:p w14:paraId="12132AB8" w14:textId="64536B85" w:rsidR="006D3FBC" w:rsidRPr="004E7BD2" w:rsidRDefault="006D3FBC" w:rsidP="006D3FBC">
            <w:pPr>
              <w:spacing w:after="0"/>
              <w:jc w:val="center"/>
              <w:rPr>
                <w:rFonts w:ascii="Garamond" w:hAnsi="Garamond"/>
                <w:lang w:val="en-GB"/>
              </w:rPr>
            </w:pPr>
            <w:r w:rsidRPr="004E7BD2">
              <w:rPr>
                <w:rFonts w:ascii="Garamond" w:hAnsi="Garamond"/>
                <w:lang w:val="en-GB"/>
              </w:rPr>
              <w:t>-0.99</w:t>
            </w:r>
          </w:p>
        </w:tc>
      </w:tr>
      <w:tr w:rsidR="006D3FBC" w:rsidRPr="004E7BD2" w14:paraId="3A4EC7B1" w14:textId="77777777" w:rsidTr="0083106A">
        <w:trPr>
          <w:trHeight w:val="369"/>
        </w:trPr>
        <w:tc>
          <w:tcPr>
            <w:tcW w:w="6815" w:type="dxa"/>
            <w:shd w:val="clear" w:color="auto" w:fill="auto"/>
            <w:vAlign w:val="center"/>
          </w:tcPr>
          <w:p w14:paraId="21FD04B7" w14:textId="7DCC9D97" w:rsidR="006D3FBC" w:rsidRPr="004E7BD2" w:rsidRDefault="006D3FBC" w:rsidP="006D3FBC">
            <w:pPr>
              <w:spacing w:before="60" w:after="60"/>
              <w:rPr>
                <w:rFonts w:ascii="Garamond" w:hAnsi="Garamond"/>
                <w:iCs/>
                <w:lang w:val="en-GB"/>
              </w:rPr>
            </w:pPr>
            <w:r w:rsidRPr="004E7BD2">
              <w:rPr>
                <w:rFonts w:ascii="Garamond" w:hAnsi="Garamond"/>
                <w:iCs/>
                <w:lang w:val="en-GB"/>
              </w:rPr>
              <w:t>People who break the law should be given stiffer sentences (BSA)</w:t>
            </w:r>
          </w:p>
        </w:tc>
        <w:tc>
          <w:tcPr>
            <w:tcW w:w="633" w:type="dxa"/>
            <w:noWrap/>
            <w:tcMar>
              <w:left w:w="28" w:type="dxa"/>
              <w:right w:w="28" w:type="dxa"/>
            </w:tcMar>
            <w:vAlign w:val="center"/>
          </w:tcPr>
          <w:p w14:paraId="02AAB06F" w14:textId="2D0474AF" w:rsidR="006D3FBC" w:rsidRPr="004E7BD2" w:rsidDel="00D2222B" w:rsidRDefault="006D3FBC" w:rsidP="006D3FBC">
            <w:pPr>
              <w:spacing w:after="0" w:line="240" w:lineRule="auto"/>
              <w:jc w:val="center"/>
              <w:rPr>
                <w:rFonts w:ascii="Garamond" w:hAnsi="Garamond"/>
                <w:lang w:val="en-GB"/>
              </w:rPr>
            </w:pPr>
            <w:r w:rsidRPr="004E7BD2">
              <w:rPr>
                <w:rFonts w:ascii="Garamond" w:hAnsi="Garamond"/>
                <w:lang w:val="en-GB"/>
              </w:rPr>
              <w:t>29</w:t>
            </w:r>
          </w:p>
        </w:tc>
        <w:tc>
          <w:tcPr>
            <w:tcW w:w="1109" w:type="dxa"/>
            <w:noWrap/>
            <w:tcMar>
              <w:left w:w="28" w:type="dxa"/>
              <w:right w:w="28" w:type="dxa"/>
            </w:tcMar>
            <w:vAlign w:val="center"/>
          </w:tcPr>
          <w:p w14:paraId="693F3E88" w14:textId="0DCD44CB" w:rsidR="006D3FBC" w:rsidRPr="004E7BD2" w:rsidDel="00D2222B" w:rsidRDefault="006D3FBC" w:rsidP="006D3FBC">
            <w:pPr>
              <w:spacing w:after="0"/>
              <w:jc w:val="center"/>
              <w:rPr>
                <w:rFonts w:ascii="Garamond" w:hAnsi="Garamond"/>
                <w:lang w:val="en-GB"/>
              </w:rPr>
            </w:pPr>
            <w:r w:rsidRPr="004E7BD2">
              <w:rPr>
                <w:rFonts w:ascii="Garamond" w:hAnsi="Garamond"/>
                <w:lang w:val="en-GB"/>
              </w:rPr>
              <w:t>0.94</w:t>
            </w:r>
          </w:p>
        </w:tc>
      </w:tr>
      <w:tr w:rsidR="006D3FBC" w:rsidRPr="004E7BD2" w14:paraId="44B5B9EB" w14:textId="77777777" w:rsidTr="0083106A">
        <w:trPr>
          <w:trHeight w:val="602"/>
        </w:trPr>
        <w:tc>
          <w:tcPr>
            <w:tcW w:w="6815" w:type="dxa"/>
            <w:shd w:val="clear" w:color="auto" w:fill="auto"/>
            <w:vAlign w:val="center"/>
          </w:tcPr>
          <w:p w14:paraId="55DDA3EE" w14:textId="113B4D7C" w:rsidR="006D3FBC" w:rsidRPr="004E7BD2" w:rsidRDefault="006D3FBC" w:rsidP="006D3FBC">
            <w:pPr>
              <w:spacing w:before="60" w:after="60"/>
              <w:rPr>
                <w:rFonts w:ascii="Garamond" w:hAnsi="Garamond"/>
                <w:iCs/>
                <w:lang w:val="en-GB"/>
              </w:rPr>
            </w:pPr>
            <w:r w:rsidRPr="004E7BD2">
              <w:rPr>
                <w:rFonts w:ascii="Garamond" w:hAnsi="Garamond"/>
                <w:iCs/>
                <w:lang w:val="en-GB"/>
              </w:rPr>
              <w:t>General breakdown in respect for authority, law and order is a very important cause of crime and violence (Gallup)</w:t>
            </w:r>
          </w:p>
        </w:tc>
        <w:tc>
          <w:tcPr>
            <w:tcW w:w="633" w:type="dxa"/>
            <w:noWrap/>
            <w:tcMar>
              <w:left w:w="28" w:type="dxa"/>
              <w:right w:w="28" w:type="dxa"/>
            </w:tcMar>
            <w:vAlign w:val="center"/>
          </w:tcPr>
          <w:p w14:paraId="32E6CF75" w14:textId="1C58CC51" w:rsidR="006D3FBC" w:rsidRPr="004E7BD2" w:rsidRDefault="006D3FBC" w:rsidP="006D3FBC">
            <w:pPr>
              <w:spacing w:after="0" w:line="240" w:lineRule="auto"/>
              <w:jc w:val="center"/>
              <w:rPr>
                <w:rFonts w:ascii="Garamond" w:hAnsi="Garamond"/>
                <w:lang w:val="en-GB"/>
              </w:rPr>
            </w:pPr>
            <w:r w:rsidRPr="004E7BD2">
              <w:rPr>
                <w:rFonts w:ascii="Garamond" w:hAnsi="Garamond"/>
                <w:lang w:val="en-GB"/>
              </w:rPr>
              <w:t>4</w:t>
            </w:r>
          </w:p>
        </w:tc>
        <w:tc>
          <w:tcPr>
            <w:tcW w:w="1109" w:type="dxa"/>
            <w:noWrap/>
            <w:tcMar>
              <w:left w:w="28" w:type="dxa"/>
              <w:right w:w="28" w:type="dxa"/>
            </w:tcMar>
            <w:vAlign w:val="center"/>
          </w:tcPr>
          <w:p w14:paraId="5BB187DB" w14:textId="32BCBB12" w:rsidR="006D3FBC" w:rsidRPr="004E7BD2" w:rsidRDefault="006D3FBC" w:rsidP="006D3FBC">
            <w:pPr>
              <w:spacing w:after="0"/>
              <w:jc w:val="center"/>
              <w:rPr>
                <w:rFonts w:ascii="Garamond" w:hAnsi="Garamond"/>
                <w:lang w:val="en-GB"/>
              </w:rPr>
            </w:pPr>
            <w:r w:rsidRPr="004E7BD2">
              <w:rPr>
                <w:rFonts w:ascii="Garamond" w:hAnsi="Garamond"/>
                <w:lang w:val="en-GB"/>
              </w:rPr>
              <w:t>0.94</w:t>
            </w:r>
          </w:p>
        </w:tc>
      </w:tr>
      <w:tr w:rsidR="006D3FBC" w:rsidRPr="004E7BD2" w14:paraId="43BC65BB" w14:textId="77777777" w:rsidTr="0083106A">
        <w:trPr>
          <w:trHeight w:val="361"/>
        </w:trPr>
        <w:tc>
          <w:tcPr>
            <w:tcW w:w="6815" w:type="dxa"/>
            <w:shd w:val="clear" w:color="auto" w:fill="auto"/>
            <w:vAlign w:val="center"/>
          </w:tcPr>
          <w:p w14:paraId="60656C3F" w14:textId="0BBE4DEC" w:rsidR="006D3FBC" w:rsidRPr="004E7BD2" w:rsidDel="00EC1415" w:rsidRDefault="00A83ED9" w:rsidP="006D3FBC">
            <w:pPr>
              <w:spacing w:before="60" w:after="60"/>
              <w:rPr>
                <w:rFonts w:ascii="Garamond" w:hAnsi="Garamond"/>
                <w:iCs/>
                <w:lang w:val="en-GB"/>
              </w:rPr>
            </w:pPr>
            <w:r>
              <w:rPr>
                <w:rFonts w:ascii="Garamond" w:hAnsi="Garamond"/>
                <w:iCs/>
                <w:lang w:val="en-GB"/>
              </w:rPr>
              <w:t>Y</w:t>
            </w:r>
            <w:r w:rsidR="006D3FBC" w:rsidRPr="004E7BD2">
              <w:rPr>
                <w:rFonts w:ascii="Garamond" w:hAnsi="Garamond"/>
                <w:iCs/>
                <w:lang w:val="en-GB"/>
              </w:rPr>
              <w:t>oung offenders</w:t>
            </w:r>
            <w:r>
              <w:rPr>
                <w:rFonts w:ascii="Garamond" w:hAnsi="Garamond"/>
                <w:iCs/>
                <w:lang w:val="en-GB"/>
              </w:rPr>
              <w:t xml:space="preserve"> are</w:t>
            </w:r>
            <w:r w:rsidR="006D3FBC" w:rsidRPr="004E7BD2">
              <w:rPr>
                <w:rFonts w:ascii="Garamond" w:hAnsi="Garamond"/>
                <w:iCs/>
                <w:lang w:val="en-GB"/>
              </w:rPr>
              <w:t xml:space="preserve"> dealt with too leniently (CSEW)</w:t>
            </w:r>
          </w:p>
        </w:tc>
        <w:tc>
          <w:tcPr>
            <w:tcW w:w="633" w:type="dxa"/>
            <w:noWrap/>
            <w:tcMar>
              <w:left w:w="28" w:type="dxa"/>
              <w:right w:w="28" w:type="dxa"/>
            </w:tcMar>
            <w:vAlign w:val="center"/>
          </w:tcPr>
          <w:p w14:paraId="2DF68D05" w14:textId="54BF7819" w:rsidR="006D3FBC" w:rsidRPr="004E7BD2" w:rsidRDefault="006D3FBC" w:rsidP="006D3FBC">
            <w:pPr>
              <w:spacing w:after="0" w:line="240" w:lineRule="auto"/>
              <w:jc w:val="center"/>
              <w:rPr>
                <w:rFonts w:ascii="Garamond" w:hAnsi="Garamond"/>
                <w:lang w:val="en-GB"/>
              </w:rPr>
            </w:pPr>
            <w:r w:rsidRPr="004E7BD2">
              <w:rPr>
                <w:rFonts w:ascii="Garamond" w:hAnsi="Garamond"/>
                <w:lang w:val="en-GB"/>
              </w:rPr>
              <w:t>19</w:t>
            </w:r>
          </w:p>
        </w:tc>
        <w:tc>
          <w:tcPr>
            <w:tcW w:w="1109" w:type="dxa"/>
            <w:noWrap/>
            <w:tcMar>
              <w:left w:w="28" w:type="dxa"/>
              <w:right w:w="28" w:type="dxa"/>
            </w:tcMar>
            <w:vAlign w:val="center"/>
          </w:tcPr>
          <w:p w14:paraId="668CD460" w14:textId="506F3AF6" w:rsidR="006D3FBC" w:rsidRPr="004E7BD2" w:rsidRDefault="006D3FBC" w:rsidP="006D3FBC">
            <w:pPr>
              <w:spacing w:after="0"/>
              <w:jc w:val="center"/>
              <w:rPr>
                <w:rFonts w:ascii="Garamond" w:hAnsi="Garamond"/>
                <w:lang w:val="en-GB"/>
              </w:rPr>
            </w:pPr>
            <w:r w:rsidRPr="004E7BD2">
              <w:rPr>
                <w:rFonts w:ascii="Garamond" w:hAnsi="Garamond"/>
                <w:lang w:val="en-GB"/>
              </w:rPr>
              <w:t>0.94</w:t>
            </w:r>
          </w:p>
        </w:tc>
      </w:tr>
      <w:tr w:rsidR="006D3FBC" w:rsidRPr="004E7BD2" w14:paraId="0B72CCB8" w14:textId="77777777" w:rsidTr="0083106A">
        <w:trPr>
          <w:trHeight w:val="361"/>
        </w:trPr>
        <w:tc>
          <w:tcPr>
            <w:tcW w:w="6815" w:type="dxa"/>
            <w:shd w:val="clear" w:color="auto" w:fill="auto"/>
            <w:vAlign w:val="center"/>
          </w:tcPr>
          <w:p w14:paraId="47EA60A0" w14:textId="6A454FD2" w:rsidR="006D3FBC" w:rsidRPr="004E7BD2" w:rsidRDefault="00337644" w:rsidP="006D3FBC">
            <w:pPr>
              <w:spacing w:before="60" w:after="60"/>
              <w:rPr>
                <w:rFonts w:ascii="Garamond" w:hAnsi="Garamond"/>
                <w:iCs/>
                <w:lang w:val="en-GB"/>
              </w:rPr>
            </w:pPr>
            <w:r>
              <w:rPr>
                <w:rFonts w:ascii="Garamond" w:hAnsi="Garamond"/>
                <w:iCs/>
                <w:lang w:val="en-GB"/>
              </w:rPr>
              <w:t>S</w:t>
            </w:r>
            <w:r w:rsidR="006D3FBC" w:rsidRPr="004E7BD2">
              <w:rPr>
                <w:rFonts w:ascii="Garamond" w:hAnsi="Garamond"/>
                <w:iCs/>
                <w:lang w:val="en-GB"/>
              </w:rPr>
              <w:t xml:space="preserve">entences </w:t>
            </w:r>
            <w:r>
              <w:rPr>
                <w:rFonts w:ascii="Garamond" w:hAnsi="Garamond"/>
                <w:iCs/>
                <w:lang w:val="en-GB"/>
              </w:rPr>
              <w:t>are</w:t>
            </w:r>
            <w:r w:rsidR="006D3FBC" w:rsidRPr="004E7BD2">
              <w:rPr>
                <w:rFonts w:ascii="Garamond" w:hAnsi="Garamond"/>
                <w:iCs/>
                <w:lang w:val="en-GB"/>
              </w:rPr>
              <w:t xml:space="preserve"> too lenient (CSEW)</w:t>
            </w:r>
          </w:p>
        </w:tc>
        <w:tc>
          <w:tcPr>
            <w:tcW w:w="633" w:type="dxa"/>
            <w:noWrap/>
            <w:tcMar>
              <w:left w:w="28" w:type="dxa"/>
              <w:right w:w="28" w:type="dxa"/>
            </w:tcMar>
            <w:vAlign w:val="center"/>
          </w:tcPr>
          <w:p w14:paraId="010B03F7" w14:textId="711D3F82" w:rsidR="006D3FBC" w:rsidRPr="004E7BD2" w:rsidRDefault="006D3FBC" w:rsidP="006D3FBC">
            <w:pPr>
              <w:spacing w:after="0" w:line="240" w:lineRule="auto"/>
              <w:jc w:val="center"/>
              <w:rPr>
                <w:rFonts w:ascii="Garamond" w:hAnsi="Garamond"/>
                <w:lang w:val="en-GB"/>
              </w:rPr>
            </w:pPr>
            <w:r w:rsidRPr="004E7BD2">
              <w:rPr>
                <w:rFonts w:ascii="Garamond" w:hAnsi="Garamond"/>
                <w:lang w:val="en-GB"/>
              </w:rPr>
              <w:t>21</w:t>
            </w:r>
          </w:p>
        </w:tc>
        <w:tc>
          <w:tcPr>
            <w:tcW w:w="1109" w:type="dxa"/>
            <w:noWrap/>
            <w:tcMar>
              <w:left w:w="28" w:type="dxa"/>
              <w:right w:w="28" w:type="dxa"/>
            </w:tcMar>
            <w:vAlign w:val="center"/>
          </w:tcPr>
          <w:p w14:paraId="1EA3C2BF" w14:textId="0A1A5C7C" w:rsidR="006D3FBC" w:rsidRPr="004E7BD2" w:rsidRDefault="006D3FBC" w:rsidP="006D3FBC">
            <w:pPr>
              <w:spacing w:after="0"/>
              <w:jc w:val="center"/>
              <w:rPr>
                <w:rFonts w:ascii="Garamond" w:hAnsi="Garamond"/>
                <w:lang w:val="en-GB"/>
              </w:rPr>
            </w:pPr>
            <w:r w:rsidRPr="004E7BD2">
              <w:rPr>
                <w:rFonts w:ascii="Garamond" w:hAnsi="Garamond"/>
                <w:lang w:val="en-GB"/>
              </w:rPr>
              <w:t>0.92</w:t>
            </w:r>
          </w:p>
        </w:tc>
      </w:tr>
      <w:tr w:rsidR="006D3FBC" w:rsidRPr="004E7BD2" w14:paraId="732DCDDE" w14:textId="77777777" w:rsidTr="0083106A">
        <w:trPr>
          <w:trHeight w:hRule="exact" w:val="114"/>
        </w:trPr>
        <w:tc>
          <w:tcPr>
            <w:tcW w:w="6815" w:type="dxa"/>
            <w:shd w:val="clear" w:color="auto" w:fill="auto"/>
            <w:vAlign w:val="center"/>
          </w:tcPr>
          <w:p w14:paraId="69772C1A" w14:textId="77777777" w:rsidR="006D3FBC" w:rsidRPr="004E7BD2" w:rsidRDefault="006D3FBC" w:rsidP="006D3FBC">
            <w:pPr>
              <w:spacing w:before="60" w:after="60"/>
              <w:rPr>
                <w:rFonts w:ascii="Garamond" w:hAnsi="Garamond"/>
                <w:lang w:val="en-GB"/>
              </w:rPr>
            </w:pPr>
          </w:p>
        </w:tc>
        <w:tc>
          <w:tcPr>
            <w:tcW w:w="633" w:type="dxa"/>
            <w:noWrap/>
            <w:tcMar>
              <w:left w:w="28" w:type="dxa"/>
              <w:right w:w="28" w:type="dxa"/>
            </w:tcMar>
            <w:vAlign w:val="center"/>
          </w:tcPr>
          <w:p w14:paraId="6780E10E" w14:textId="77777777" w:rsidR="006D3FBC" w:rsidRPr="004E7BD2" w:rsidRDefault="006D3FBC" w:rsidP="006D3FBC">
            <w:pPr>
              <w:spacing w:after="0" w:line="240" w:lineRule="auto"/>
              <w:jc w:val="center"/>
              <w:rPr>
                <w:rFonts w:ascii="Garamond" w:hAnsi="Garamond"/>
                <w:lang w:val="en-GB"/>
              </w:rPr>
            </w:pPr>
          </w:p>
        </w:tc>
        <w:tc>
          <w:tcPr>
            <w:tcW w:w="1109" w:type="dxa"/>
            <w:noWrap/>
            <w:tcMar>
              <w:left w:w="28" w:type="dxa"/>
              <w:right w:w="28" w:type="dxa"/>
            </w:tcMar>
            <w:vAlign w:val="center"/>
          </w:tcPr>
          <w:p w14:paraId="5646BF82" w14:textId="77777777" w:rsidR="006D3FBC" w:rsidRPr="004E7BD2" w:rsidRDefault="006D3FBC" w:rsidP="006D3FBC">
            <w:pPr>
              <w:jc w:val="center"/>
              <w:rPr>
                <w:rFonts w:ascii="Garamond" w:hAnsi="Garamond"/>
                <w:lang w:val="en-GB"/>
              </w:rPr>
            </w:pPr>
          </w:p>
        </w:tc>
      </w:tr>
      <w:tr w:rsidR="006D3FBC" w:rsidRPr="004E7BD2" w14:paraId="2CE41639" w14:textId="77777777" w:rsidTr="0083106A">
        <w:trPr>
          <w:trHeight w:hRule="exact" w:val="345"/>
        </w:trPr>
        <w:tc>
          <w:tcPr>
            <w:tcW w:w="6815" w:type="dxa"/>
            <w:shd w:val="clear" w:color="auto" w:fill="auto"/>
            <w:vAlign w:val="center"/>
          </w:tcPr>
          <w:p w14:paraId="3F3FB037" w14:textId="77777777" w:rsidR="006D3FBC" w:rsidRPr="004E7BD2" w:rsidRDefault="006D3FBC" w:rsidP="006D3FBC">
            <w:pPr>
              <w:spacing w:after="0"/>
              <w:rPr>
                <w:rFonts w:ascii="Garamond" w:hAnsi="Garamond"/>
                <w:u w:val="single"/>
                <w:lang w:val="en-GB"/>
              </w:rPr>
            </w:pPr>
            <w:r w:rsidRPr="004E7BD2">
              <w:rPr>
                <w:rFonts w:ascii="Garamond" w:hAnsi="Garamond"/>
                <w:u w:val="single"/>
                <w:lang w:val="en-GB"/>
              </w:rPr>
              <w:t>First dimension</w:t>
            </w:r>
          </w:p>
        </w:tc>
        <w:tc>
          <w:tcPr>
            <w:tcW w:w="633" w:type="dxa"/>
            <w:noWrap/>
            <w:tcMar>
              <w:left w:w="28" w:type="dxa"/>
              <w:right w:w="28" w:type="dxa"/>
            </w:tcMar>
            <w:vAlign w:val="center"/>
          </w:tcPr>
          <w:p w14:paraId="2771A5D9" w14:textId="77777777" w:rsidR="006D3FBC" w:rsidRPr="004E7BD2" w:rsidRDefault="006D3FBC" w:rsidP="006D3FBC">
            <w:pPr>
              <w:spacing w:after="0" w:line="240" w:lineRule="auto"/>
              <w:jc w:val="center"/>
              <w:rPr>
                <w:rFonts w:ascii="Garamond" w:hAnsi="Garamond"/>
                <w:lang w:val="en-GB"/>
              </w:rPr>
            </w:pPr>
          </w:p>
        </w:tc>
        <w:tc>
          <w:tcPr>
            <w:tcW w:w="1109" w:type="dxa"/>
            <w:noWrap/>
            <w:tcMar>
              <w:left w:w="28" w:type="dxa"/>
              <w:right w:w="28" w:type="dxa"/>
            </w:tcMar>
            <w:vAlign w:val="center"/>
          </w:tcPr>
          <w:p w14:paraId="4DF436B8" w14:textId="77777777" w:rsidR="006D3FBC" w:rsidRPr="004E7BD2" w:rsidRDefault="006D3FBC" w:rsidP="006D3FBC">
            <w:pPr>
              <w:jc w:val="center"/>
              <w:rPr>
                <w:rFonts w:ascii="Garamond" w:hAnsi="Garamond"/>
                <w:lang w:val="en-GB"/>
              </w:rPr>
            </w:pPr>
          </w:p>
        </w:tc>
      </w:tr>
      <w:tr w:rsidR="006D3FBC" w:rsidRPr="004E7BD2" w14:paraId="18EEFF66" w14:textId="77777777" w:rsidTr="0083106A">
        <w:trPr>
          <w:trHeight w:val="361"/>
        </w:trPr>
        <w:tc>
          <w:tcPr>
            <w:tcW w:w="6815" w:type="dxa"/>
            <w:shd w:val="clear" w:color="auto" w:fill="auto"/>
            <w:vAlign w:val="center"/>
          </w:tcPr>
          <w:p w14:paraId="45355954" w14:textId="77777777" w:rsidR="006D3FBC" w:rsidRPr="004E7BD2" w:rsidRDefault="006D3FBC" w:rsidP="006D3FBC">
            <w:pPr>
              <w:spacing w:before="60" w:after="60"/>
              <w:rPr>
                <w:rFonts w:ascii="Garamond" w:hAnsi="Garamond"/>
                <w:lang w:val="en-GB"/>
              </w:rPr>
            </w:pPr>
            <w:r w:rsidRPr="004E7BD2">
              <w:rPr>
                <w:rFonts w:ascii="Garamond" w:hAnsi="Garamond"/>
                <w:lang w:val="en-GB"/>
              </w:rPr>
              <w:t>Proportion of variance explained</w:t>
            </w:r>
          </w:p>
        </w:tc>
        <w:tc>
          <w:tcPr>
            <w:tcW w:w="1742" w:type="dxa"/>
            <w:gridSpan w:val="2"/>
            <w:noWrap/>
            <w:tcMar>
              <w:left w:w="28" w:type="dxa"/>
              <w:right w:w="28" w:type="dxa"/>
            </w:tcMar>
            <w:vAlign w:val="center"/>
          </w:tcPr>
          <w:p w14:paraId="5D1F683E" w14:textId="002B4DCA" w:rsidR="006D3FBC" w:rsidRPr="004E7BD2" w:rsidRDefault="006D3FBC" w:rsidP="006D3FBC">
            <w:pPr>
              <w:spacing w:after="0" w:line="240" w:lineRule="auto"/>
              <w:jc w:val="center"/>
              <w:rPr>
                <w:rFonts w:ascii="Garamond" w:hAnsi="Garamond"/>
                <w:lang w:val="en-GB"/>
              </w:rPr>
            </w:pPr>
            <w:r w:rsidRPr="004E7BD2">
              <w:rPr>
                <w:rFonts w:ascii="Garamond" w:hAnsi="Garamond"/>
                <w:lang w:val="en-GB"/>
              </w:rPr>
              <w:t>66.0</w:t>
            </w:r>
          </w:p>
        </w:tc>
      </w:tr>
      <w:tr w:rsidR="006D3FBC" w:rsidRPr="004E7BD2" w14:paraId="2232615A" w14:textId="77777777" w:rsidTr="0083106A">
        <w:trPr>
          <w:trHeight w:val="361"/>
        </w:trPr>
        <w:tc>
          <w:tcPr>
            <w:tcW w:w="6815" w:type="dxa"/>
            <w:shd w:val="clear" w:color="auto" w:fill="auto"/>
            <w:vAlign w:val="center"/>
          </w:tcPr>
          <w:p w14:paraId="23C89C9C" w14:textId="0E130C16" w:rsidR="006D3FBC" w:rsidRPr="004E7BD2" w:rsidRDefault="00C7269F" w:rsidP="006D3FBC">
            <w:pPr>
              <w:spacing w:before="60" w:after="60"/>
              <w:rPr>
                <w:rFonts w:ascii="Garamond" w:hAnsi="Garamond"/>
                <w:lang w:val="en-GB"/>
              </w:rPr>
            </w:pPr>
            <w:r>
              <w:rPr>
                <w:rFonts w:ascii="Garamond" w:hAnsi="Garamond"/>
                <w:lang w:val="en-GB"/>
              </w:rPr>
              <w:t xml:space="preserve">N of </w:t>
            </w:r>
            <w:r w:rsidR="006E3BFC">
              <w:rPr>
                <w:rFonts w:ascii="Garamond" w:hAnsi="Garamond"/>
                <w:lang w:val="en-GB"/>
              </w:rPr>
              <w:t xml:space="preserve">question </w:t>
            </w:r>
            <w:r>
              <w:rPr>
                <w:rFonts w:ascii="Garamond" w:hAnsi="Garamond"/>
                <w:lang w:val="en-GB"/>
              </w:rPr>
              <w:t>series used to estimate the overall measure</w:t>
            </w:r>
          </w:p>
        </w:tc>
        <w:tc>
          <w:tcPr>
            <w:tcW w:w="1742" w:type="dxa"/>
            <w:gridSpan w:val="2"/>
            <w:noWrap/>
            <w:tcMar>
              <w:left w:w="28" w:type="dxa"/>
              <w:right w:w="28" w:type="dxa"/>
            </w:tcMar>
            <w:vAlign w:val="center"/>
          </w:tcPr>
          <w:p w14:paraId="6DDF14EB" w14:textId="1853E1D4" w:rsidR="006D3FBC" w:rsidRPr="004E7BD2" w:rsidRDefault="006D3FBC" w:rsidP="006D3FBC">
            <w:pPr>
              <w:spacing w:after="0" w:line="240" w:lineRule="auto"/>
              <w:jc w:val="center"/>
              <w:rPr>
                <w:rFonts w:ascii="Garamond" w:hAnsi="Garamond"/>
                <w:lang w:val="en-GB"/>
              </w:rPr>
            </w:pPr>
            <w:r w:rsidRPr="004E7BD2">
              <w:rPr>
                <w:rFonts w:ascii="Garamond" w:hAnsi="Garamond"/>
                <w:lang w:val="en-GB"/>
              </w:rPr>
              <w:t>25</w:t>
            </w:r>
          </w:p>
        </w:tc>
      </w:tr>
      <w:tr w:rsidR="006D3FBC" w:rsidRPr="004E7BD2" w14:paraId="52894AC4" w14:textId="77777777" w:rsidTr="0083106A">
        <w:trPr>
          <w:trHeight w:val="361"/>
        </w:trPr>
        <w:tc>
          <w:tcPr>
            <w:tcW w:w="6815" w:type="dxa"/>
            <w:shd w:val="clear" w:color="auto" w:fill="auto"/>
            <w:vAlign w:val="center"/>
          </w:tcPr>
          <w:p w14:paraId="01CD756B" w14:textId="77777777" w:rsidR="006D3FBC" w:rsidRPr="004E7BD2" w:rsidRDefault="006D3FBC" w:rsidP="006D3FBC">
            <w:pPr>
              <w:spacing w:before="60" w:after="60"/>
              <w:rPr>
                <w:rFonts w:ascii="Garamond" w:hAnsi="Garamond"/>
                <w:lang w:val="en-GB"/>
              </w:rPr>
            </w:pPr>
            <w:r w:rsidRPr="004E7BD2">
              <w:rPr>
                <w:rFonts w:ascii="Garamond" w:hAnsi="Garamond"/>
                <w:lang w:val="en-GB"/>
              </w:rPr>
              <w:t>N of survey items</w:t>
            </w:r>
          </w:p>
        </w:tc>
        <w:tc>
          <w:tcPr>
            <w:tcW w:w="1742" w:type="dxa"/>
            <w:gridSpan w:val="2"/>
            <w:noWrap/>
            <w:tcMar>
              <w:left w:w="28" w:type="dxa"/>
              <w:right w:w="28" w:type="dxa"/>
            </w:tcMar>
            <w:vAlign w:val="center"/>
          </w:tcPr>
          <w:p w14:paraId="1BCE4066" w14:textId="650B4944" w:rsidR="006D3FBC" w:rsidRPr="004E7BD2" w:rsidRDefault="006D3FBC" w:rsidP="006D3FBC">
            <w:pPr>
              <w:spacing w:after="0" w:line="240" w:lineRule="auto"/>
              <w:jc w:val="center"/>
              <w:rPr>
                <w:rFonts w:ascii="Garamond" w:hAnsi="Garamond"/>
                <w:lang w:val="en-GB"/>
              </w:rPr>
            </w:pPr>
            <w:r w:rsidRPr="004E7BD2">
              <w:rPr>
                <w:rFonts w:ascii="Garamond" w:hAnsi="Garamond"/>
                <w:lang w:val="en-GB"/>
              </w:rPr>
              <w:t>548</w:t>
            </w:r>
          </w:p>
        </w:tc>
      </w:tr>
      <w:tr w:rsidR="006D3FBC" w:rsidRPr="004E7BD2" w14:paraId="01A3BE4C" w14:textId="77777777" w:rsidTr="0083106A">
        <w:trPr>
          <w:trHeight w:val="369"/>
        </w:trPr>
        <w:tc>
          <w:tcPr>
            <w:tcW w:w="6815" w:type="dxa"/>
            <w:shd w:val="clear" w:color="auto" w:fill="auto"/>
            <w:vAlign w:val="center"/>
          </w:tcPr>
          <w:p w14:paraId="4F77A204" w14:textId="77777777" w:rsidR="006D3FBC" w:rsidRPr="004E7BD2" w:rsidRDefault="006D3FBC" w:rsidP="006D3FBC">
            <w:pPr>
              <w:spacing w:before="60" w:after="60"/>
              <w:rPr>
                <w:rFonts w:ascii="Garamond" w:hAnsi="Garamond"/>
                <w:lang w:val="en-GB"/>
              </w:rPr>
            </w:pPr>
          </w:p>
        </w:tc>
        <w:tc>
          <w:tcPr>
            <w:tcW w:w="1742" w:type="dxa"/>
            <w:gridSpan w:val="2"/>
            <w:noWrap/>
            <w:tcMar>
              <w:left w:w="28" w:type="dxa"/>
              <w:right w:w="28" w:type="dxa"/>
            </w:tcMar>
            <w:vAlign w:val="center"/>
          </w:tcPr>
          <w:p w14:paraId="3B8F4055" w14:textId="77777777" w:rsidR="006D3FBC" w:rsidRPr="004E7BD2" w:rsidDel="00D2222B" w:rsidRDefault="006D3FBC" w:rsidP="006D3FBC">
            <w:pPr>
              <w:spacing w:after="0" w:line="240" w:lineRule="auto"/>
              <w:jc w:val="center"/>
              <w:rPr>
                <w:rFonts w:ascii="Garamond" w:hAnsi="Garamond"/>
                <w:lang w:val="en-GB"/>
              </w:rPr>
            </w:pPr>
          </w:p>
        </w:tc>
      </w:tr>
      <w:tr w:rsidR="006D3FBC" w:rsidRPr="004E7BD2" w14:paraId="5BE3B76A" w14:textId="77777777" w:rsidTr="0083106A">
        <w:trPr>
          <w:trHeight w:val="361"/>
        </w:trPr>
        <w:tc>
          <w:tcPr>
            <w:tcW w:w="6815" w:type="dxa"/>
            <w:shd w:val="clear" w:color="auto" w:fill="auto"/>
            <w:vAlign w:val="center"/>
          </w:tcPr>
          <w:p w14:paraId="6165186F" w14:textId="10E4DEBE" w:rsidR="006D3FBC" w:rsidRPr="004E7BD2" w:rsidRDefault="006D3FBC" w:rsidP="006D3FBC">
            <w:pPr>
              <w:spacing w:before="60" w:after="60"/>
              <w:rPr>
                <w:rFonts w:ascii="Garamond" w:hAnsi="Garamond"/>
                <w:lang w:val="en-GB"/>
              </w:rPr>
            </w:pPr>
            <w:r w:rsidRPr="004E7BD2">
              <w:rPr>
                <w:rFonts w:ascii="Garamond" w:hAnsi="Garamond"/>
                <w:lang w:val="en-GB"/>
              </w:rPr>
              <w:t>Start</w:t>
            </w:r>
          </w:p>
        </w:tc>
        <w:tc>
          <w:tcPr>
            <w:tcW w:w="1742" w:type="dxa"/>
            <w:gridSpan w:val="2"/>
            <w:noWrap/>
            <w:tcMar>
              <w:left w:w="28" w:type="dxa"/>
              <w:right w:w="28" w:type="dxa"/>
            </w:tcMar>
            <w:vAlign w:val="center"/>
          </w:tcPr>
          <w:p w14:paraId="7E674C36" w14:textId="666185E1" w:rsidR="006D3FBC" w:rsidRPr="004E7BD2" w:rsidDel="00D2222B" w:rsidRDefault="006D3FBC" w:rsidP="006D3FBC">
            <w:pPr>
              <w:spacing w:after="0" w:line="240" w:lineRule="auto"/>
              <w:jc w:val="center"/>
              <w:rPr>
                <w:rFonts w:ascii="Garamond" w:hAnsi="Garamond"/>
                <w:lang w:val="en-GB"/>
              </w:rPr>
            </w:pPr>
            <w:r w:rsidRPr="004E7BD2">
              <w:rPr>
                <w:rFonts w:ascii="Garamond" w:hAnsi="Garamond"/>
                <w:lang w:val="en-GB"/>
              </w:rPr>
              <w:t>1981</w:t>
            </w:r>
          </w:p>
        </w:tc>
      </w:tr>
      <w:tr w:rsidR="006D3FBC" w:rsidRPr="004E7BD2" w14:paraId="4BC1094C" w14:textId="77777777" w:rsidTr="0083106A">
        <w:trPr>
          <w:trHeight w:val="361"/>
        </w:trPr>
        <w:tc>
          <w:tcPr>
            <w:tcW w:w="6815" w:type="dxa"/>
            <w:shd w:val="clear" w:color="auto" w:fill="auto"/>
            <w:vAlign w:val="center"/>
          </w:tcPr>
          <w:p w14:paraId="20C74254" w14:textId="6013FD39" w:rsidR="006D3FBC" w:rsidRPr="004E7BD2" w:rsidRDefault="006D3FBC" w:rsidP="006D3FBC">
            <w:pPr>
              <w:spacing w:before="60" w:after="60"/>
              <w:rPr>
                <w:rFonts w:ascii="Garamond" w:hAnsi="Garamond"/>
                <w:lang w:val="en-GB"/>
              </w:rPr>
            </w:pPr>
            <w:r w:rsidRPr="004E7BD2">
              <w:rPr>
                <w:rFonts w:ascii="Garamond" w:hAnsi="Garamond"/>
                <w:lang w:val="en-GB"/>
              </w:rPr>
              <w:t>End</w:t>
            </w:r>
          </w:p>
        </w:tc>
        <w:tc>
          <w:tcPr>
            <w:tcW w:w="1742" w:type="dxa"/>
            <w:gridSpan w:val="2"/>
            <w:noWrap/>
            <w:tcMar>
              <w:left w:w="28" w:type="dxa"/>
              <w:right w:w="28" w:type="dxa"/>
            </w:tcMar>
            <w:vAlign w:val="center"/>
          </w:tcPr>
          <w:p w14:paraId="17484D0F" w14:textId="1B4B86F7" w:rsidR="006D3FBC" w:rsidRPr="004E7BD2" w:rsidDel="00D2222B" w:rsidRDefault="006D3FBC" w:rsidP="006D3FBC">
            <w:pPr>
              <w:spacing w:after="0" w:line="240" w:lineRule="auto"/>
              <w:jc w:val="center"/>
              <w:rPr>
                <w:rFonts w:ascii="Garamond" w:hAnsi="Garamond"/>
                <w:lang w:val="en-GB"/>
              </w:rPr>
            </w:pPr>
            <w:r w:rsidRPr="004E7BD2">
              <w:rPr>
                <w:rFonts w:ascii="Garamond" w:hAnsi="Garamond"/>
                <w:lang w:val="en-GB"/>
              </w:rPr>
              <w:t>2021</w:t>
            </w:r>
          </w:p>
        </w:tc>
      </w:tr>
      <w:tr w:rsidR="006D3FBC" w:rsidRPr="004E7BD2" w14:paraId="3A1C29B6" w14:textId="77777777" w:rsidTr="0083106A">
        <w:trPr>
          <w:trHeight w:hRule="exact" w:val="172"/>
        </w:trPr>
        <w:tc>
          <w:tcPr>
            <w:tcW w:w="6815" w:type="dxa"/>
            <w:tcBorders>
              <w:bottom w:val="double" w:sz="4" w:space="0" w:color="auto"/>
            </w:tcBorders>
            <w:shd w:val="clear" w:color="auto" w:fill="auto"/>
            <w:vAlign w:val="center"/>
          </w:tcPr>
          <w:p w14:paraId="78062681" w14:textId="77777777" w:rsidR="006D3FBC" w:rsidRPr="004E7BD2" w:rsidRDefault="006D3FBC" w:rsidP="006D3FBC">
            <w:pPr>
              <w:rPr>
                <w:rFonts w:ascii="Garamond" w:hAnsi="Garamond"/>
                <w:lang w:val="en-GB"/>
              </w:rPr>
            </w:pPr>
          </w:p>
        </w:tc>
        <w:tc>
          <w:tcPr>
            <w:tcW w:w="1742" w:type="dxa"/>
            <w:gridSpan w:val="2"/>
            <w:tcBorders>
              <w:bottom w:val="double" w:sz="4" w:space="0" w:color="auto"/>
            </w:tcBorders>
            <w:noWrap/>
            <w:tcMar>
              <w:left w:w="28" w:type="dxa"/>
              <w:right w:w="28" w:type="dxa"/>
            </w:tcMar>
            <w:vAlign w:val="center"/>
          </w:tcPr>
          <w:p w14:paraId="1F0012E2" w14:textId="77777777" w:rsidR="006D3FBC" w:rsidRPr="004E7BD2" w:rsidRDefault="006D3FBC" w:rsidP="006D3FBC">
            <w:pPr>
              <w:spacing w:after="0" w:line="240" w:lineRule="auto"/>
              <w:jc w:val="center"/>
              <w:rPr>
                <w:rFonts w:ascii="Garamond" w:hAnsi="Garamond"/>
                <w:lang w:val="en-GB"/>
              </w:rPr>
            </w:pPr>
          </w:p>
        </w:tc>
      </w:tr>
    </w:tbl>
    <w:p w14:paraId="307187B6" w14:textId="0BC36031" w:rsidR="00C7269F" w:rsidRPr="00ED4292" w:rsidRDefault="006D3FBC" w:rsidP="00C7269F">
      <w:pPr>
        <w:spacing w:before="120" w:after="0" w:line="240" w:lineRule="auto"/>
        <w:rPr>
          <w:rFonts w:ascii="Garamond" w:hAnsi="Garamond" w:cstheme="minorHAnsi"/>
          <w:i/>
          <w:iCs/>
          <w:sz w:val="18"/>
          <w:szCs w:val="18"/>
          <w:lang w:val="en-GB"/>
        </w:rPr>
      </w:pPr>
      <w:r w:rsidRPr="00ED4292">
        <w:rPr>
          <w:rFonts w:ascii="Garamond" w:hAnsi="Garamond" w:cstheme="minorHAnsi"/>
          <w:i/>
          <w:iCs/>
          <w:sz w:val="18"/>
          <w:szCs w:val="18"/>
          <w:lang w:val="en-GB"/>
        </w:rPr>
        <w:t>Note: threshold for inclusion</w:t>
      </w:r>
      <w:r w:rsidR="002E05ED" w:rsidRPr="00ED4292">
        <w:rPr>
          <w:rFonts w:ascii="Garamond" w:hAnsi="Garamond" w:cstheme="minorHAnsi"/>
          <w:i/>
          <w:iCs/>
          <w:sz w:val="18"/>
          <w:szCs w:val="18"/>
          <w:lang w:val="en-GB"/>
        </w:rPr>
        <w:t xml:space="preserve"> in the table</w:t>
      </w:r>
      <w:r w:rsidRPr="00ED4292">
        <w:rPr>
          <w:rFonts w:ascii="Garamond" w:hAnsi="Garamond" w:cstheme="minorHAnsi"/>
          <w:i/>
          <w:iCs/>
          <w:sz w:val="18"/>
          <w:szCs w:val="18"/>
          <w:lang w:val="en-GB"/>
        </w:rPr>
        <w:t xml:space="preserve"> is a correlation of greater than </w:t>
      </w:r>
      <w:r w:rsidR="009D32EB" w:rsidRPr="00ED4292">
        <w:rPr>
          <w:rFonts w:ascii="Garamond" w:hAnsi="Garamond" w:cstheme="minorHAnsi"/>
          <w:i/>
          <w:iCs/>
          <w:sz w:val="18"/>
          <w:szCs w:val="18"/>
          <w:lang w:val="en-GB"/>
        </w:rPr>
        <w:t>±</w:t>
      </w:r>
      <w:r w:rsidRPr="00ED4292">
        <w:rPr>
          <w:rFonts w:ascii="Garamond" w:hAnsi="Garamond" w:cstheme="minorHAnsi"/>
          <w:i/>
          <w:iCs/>
          <w:sz w:val="18"/>
          <w:szCs w:val="18"/>
          <w:lang w:val="en-GB"/>
        </w:rPr>
        <w:t>0.</w:t>
      </w:r>
      <w:r w:rsidR="002E05ED" w:rsidRPr="00ED4292">
        <w:rPr>
          <w:rFonts w:ascii="Garamond" w:hAnsi="Garamond" w:cstheme="minorHAnsi"/>
          <w:i/>
          <w:iCs/>
          <w:sz w:val="18"/>
          <w:szCs w:val="18"/>
          <w:lang w:val="en-GB"/>
        </w:rPr>
        <w:t xml:space="preserve">9 </w:t>
      </w:r>
      <w:r w:rsidRPr="00ED4292">
        <w:rPr>
          <w:rFonts w:ascii="Garamond" w:hAnsi="Garamond" w:cstheme="minorHAnsi"/>
          <w:i/>
          <w:iCs/>
          <w:sz w:val="18"/>
          <w:szCs w:val="18"/>
          <w:lang w:val="en-GB"/>
        </w:rPr>
        <w:t>and more than two cases (i.e. cases are survey-years, so one case can include multiple surveys).</w:t>
      </w:r>
      <w:r w:rsidR="00C7269F">
        <w:rPr>
          <w:rFonts w:ascii="Garamond" w:hAnsi="Garamond" w:cstheme="minorHAnsi"/>
          <w:i/>
          <w:iCs/>
          <w:sz w:val="18"/>
          <w:szCs w:val="18"/>
          <w:lang w:val="en-GB"/>
        </w:rPr>
        <w:t xml:space="preserve"> Thus, the total number of series (</w:t>
      </w:r>
      <w:r w:rsidR="00D66D98">
        <w:rPr>
          <w:rFonts w:ascii="Garamond" w:hAnsi="Garamond" w:cstheme="minorHAnsi"/>
          <w:i/>
          <w:iCs/>
          <w:sz w:val="18"/>
          <w:szCs w:val="18"/>
          <w:lang w:val="en-GB"/>
        </w:rPr>
        <w:t>25</w:t>
      </w:r>
      <w:r w:rsidR="00C7269F">
        <w:rPr>
          <w:rFonts w:ascii="Garamond" w:hAnsi="Garamond" w:cstheme="minorHAnsi"/>
          <w:i/>
          <w:iCs/>
          <w:sz w:val="18"/>
          <w:szCs w:val="18"/>
          <w:lang w:val="en-GB"/>
        </w:rPr>
        <w:t>) is greater than the number of series listed in the table.</w:t>
      </w:r>
    </w:p>
    <w:p w14:paraId="50131EC0" w14:textId="77777777" w:rsidR="00D2222B" w:rsidRPr="004E7BD2" w:rsidRDefault="00D2222B" w:rsidP="00ED4292">
      <w:pPr>
        <w:spacing w:after="0"/>
        <w:rPr>
          <w:rFonts w:ascii="Garamond" w:hAnsi="Garamond"/>
          <w:lang w:val="en-GB"/>
        </w:rPr>
      </w:pPr>
    </w:p>
    <w:bookmarkEnd w:id="7"/>
    <w:p w14:paraId="149ED029" w14:textId="3ECCFC29" w:rsidR="001B492E" w:rsidRPr="004E7BD2" w:rsidRDefault="001B492E" w:rsidP="001B492E">
      <w:pPr>
        <w:jc w:val="both"/>
        <w:rPr>
          <w:rFonts w:ascii="Garamond" w:hAnsi="Garamond"/>
          <w:lang w:val="en-GB"/>
        </w:rPr>
      </w:pPr>
      <w:r w:rsidRPr="004E7BD2">
        <w:rPr>
          <w:rFonts w:ascii="Garamond" w:hAnsi="Garamond"/>
          <w:lang w:val="en-GB"/>
        </w:rPr>
        <w:t xml:space="preserve">Figures 11 and 12 report </w:t>
      </w:r>
      <w:r w:rsidR="00D04727">
        <w:rPr>
          <w:rFonts w:ascii="Garamond" w:hAnsi="Garamond"/>
          <w:lang w:val="en-GB"/>
        </w:rPr>
        <w:t>our</w:t>
      </w:r>
      <w:r w:rsidR="00D04727" w:rsidRPr="004E7BD2">
        <w:rPr>
          <w:rFonts w:ascii="Garamond" w:hAnsi="Garamond"/>
          <w:lang w:val="en-GB"/>
        </w:rPr>
        <w:t xml:space="preserve"> </w:t>
      </w:r>
      <w:r w:rsidRPr="004E7BD2">
        <w:rPr>
          <w:rFonts w:ascii="Garamond" w:hAnsi="Garamond"/>
          <w:lang w:val="en-GB"/>
        </w:rPr>
        <w:t>updated measures of punitiveness in the U.S. and England and Wales, respectively</w:t>
      </w:r>
      <w:r w:rsidR="00464CBC">
        <w:rPr>
          <w:rFonts w:ascii="Garamond" w:hAnsi="Garamond"/>
          <w:lang w:val="en-GB"/>
        </w:rPr>
        <w:t>, plotted against our measures of crime concern and the victimisation rate for violent crime</w:t>
      </w:r>
      <w:r w:rsidRPr="004E7BD2">
        <w:rPr>
          <w:rFonts w:ascii="Garamond" w:hAnsi="Garamond"/>
          <w:lang w:val="en-GB"/>
        </w:rPr>
        <w:t xml:space="preserve">. We </w:t>
      </w:r>
      <w:r w:rsidR="008D0E5A">
        <w:rPr>
          <w:rFonts w:ascii="Garamond" w:hAnsi="Garamond"/>
          <w:lang w:val="en-GB"/>
        </w:rPr>
        <w:t>analyse victimisation because, as seen above, shifts in crime reporting lead official statistics to deviate from actual crime rates in England and Wales</w:t>
      </w:r>
      <w:r w:rsidRPr="004E7BD2">
        <w:rPr>
          <w:rFonts w:ascii="Garamond" w:hAnsi="Garamond"/>
          <w:lang w:val="en-GB"/>
        </w:rPr>
        <w:t>. In Figure 11</w:t>
      </w:r>
      <w:r w:rsidR="0012282B">
        <w:rPr>
          <w:rFonts w:ascii="Garamond" w:hAnsi="Garamond"/>
          <w:lang w:val="en-GB"/>
        </w:rPr>
        <w:t>,</w:t>
      </w:r>
      <w:r w:rsidRPr="004E7BD2">
        <w:rPr>
          <w:rFonts w:ascii="Garamond" w:hAnsi="Garamond"/>
          <w:lang w:val="en-GB"/>
        </w:rPr>
        <w:t xml:space="preserve"> we see that the</w:t>
      </w:r>
      <w:r w:rsidR="00337644">
        <w:rPr>
          <w:rFonts w:ascii="Garamond" w:hAnsi="Garamond"/>
          <w:lang w:val="en-GB"/>
        </w:rPr>
        <w:t xml:space="preserve"> U.S.</w:t>
      </w:r>
      <w:r w:rsidRPr="004E7BD2">
        <w:rPr>
          <w:rFonts w:ascii="Garamond" w:hAnsi="Garamond"/>
          <w:lang w:val="en-GB"/>
        </w:rPr>
        <w:t xml:space="preserve"> public has become steadily less punitive since the early 1990s. While concern with crime </w:t>
      </w:r>
      <w:r w:rsidR="00F93E27">
        <w:rPr>
          <w:rFonts w:ascii="Garamond" w:hAnsi="Garamond"/>
          <w:lang w:val="en-GB"/>
        </w:rPr>
        <w:t xml:space="preserve">decreased </w:t>
      </w:r>
      <w:r w:rsidR="000468E3">
        <w:rPr>
          <w:rFonts w:ascii="Garamond" w:hAnsi="Garamond"/>
          <w:lang w:val="en-GB"/>
        </w:rPr>
        <w:t xml:space="preserve">following the initial crime drop, </w:t>
      </w:r>
      <w:r w:rsidR="00F93E27">
        <w:rPr>
          <w:rFonts w:ascii="Garamond" w:hAnsi="Garamond"/>
          <w:lang w:val="en-GB"/>
        </w:rPr>
        <w:t>these</w:t>
      </w:r>
      <w:r w:rsidR="000468E3">
        <w:rPr>
          <w:rFonts w:ascii="Garamond" w:hAnsi="Garamond"/>
          <w:lang w:val="en-GB"/>
        </w:rPr>
        <w:t xml:space="preserve"> </w:t>
      </w:r>
      <w:r w:rsidR="008D0E5A">
        <w:rPr>
          <w:rFonts w:ascii="Garamond" w:hAnsi="Garamond"/>
          <w:lang w:val="en-GB"/>
        </w:rPr>
        <w:t xml:space="preserve">series </w:t>
      </w:r>
      <w:r w:rsidR="000468E3">
        <w:rPr>
          <w:rFonts w:ascii="Garamond" w:hAnsi="Garamond"/>
          <w:lang w:val="en-GB"/>
        </w:rPr>
        <w:t>became disconnected around 2001. In contrast</w:t>
      </w:r>
      <w:r w:rsidRPr="004E7BD2">
        <w:rPr>
          <w:rFonts w:ascii="Garamond" w:hAnsi="Garamond"/>
          <w:lang w:val="en-GB"/>
        </w:rPr>
        <w:t xml:space="preserve">, punitive attitudes have declined </w:t>
      </w:r>
      <w:r w:rsidR="008D0E5A">
        <w:rPr>
          <w:rFonts w:ascii="Garamond" w:hAnsi="Garamond"/>
          <w:lang w:val="en-GB"/>
        </w:rPr>
        <w:t xml:space="preserve">largely </w:t>
      </w:r>
      <w:r w:rsidRPr="004E7BD2">
        <w:rPr>
          <w:rFonts w:ascii="Garamond" w:hAnsi="Garamond"/>
          <w:lang w:val="en-GB"/>
        </w:rPr>
        <w:t>in parallel</w:t>
      </w:r>
      <w:r w:rsidR="00337644">
        <w:rPr>
          <w:rFonts w:ascii="Garamond" w:hAnsi="Garamond"/>
          <w:lang w:val="en-GB"/>
        </w:rPr>
        <w:t xml:space="preserve"> the</w:t>
      </w:r>
      <w:r w:rsidRPr="004E7BD2">
        <w:rPr>
          <w:rFonts w:ascii="Garamond" w:hAnsi="Garamond"/>
          <w:lang w:val="en-GB"/>
        </w:rPr>
        <w:t xml:space="preserve"> with declining crime rates</w:t>
      </w:r>
      <w:r w:rsidR="00F93E27">
        <w:rPr>
          <w:rFonts w:ascii="Garamond" w:hAnsi="Garamond"/>
          <w:lang w:val="en-GB"/>
        </w:rPr>
        <w:t>, with something of a lag</w:t>
      </w:r>
      <w:r w:rsidRPr="004E7BD2">
        <w:rPr>
          <w:rFonts w:ascii="Garamond" w:hAnsi="Garamond"/>
          <w:lang w:val="en-GB"/>
        </w:rPr>
        <w:t xml:space="preserve">. </w:t>
      </w:r>
      <w:r w:rsidR="00F93E27">
        <w:rPr>
          <w:rFonts w:ascii="Garamond" w:hAnsi="Garamond"/>
          <w:lang w:val="en-GB"/>
        </w:rPr>
        <w:t>T</w:t>
      </w:r>
      <w:r w:rsidRPr="004E7BD2">
        <w:rPr>
          <w:rFonts w:ascii="Garamond" w:hAnsi="Garamond"/>
          <w:lang w:val="en-GB"/>
        </w:rPr>
        <w:t xml:space="preserve">his helps resolve conflicting findings in the U.S. context. </w:t>
      </w:r>
      <w:r w:rsidR="008D0E5A">
        <w:rPr>
          <w:rFonts w:ascii="Garamond" w:hAnsi="Garamond"/>
          <w:lang w:val="en-GB"/>
        </w:rPr>
        <w:t>While both concern for crime and punitiveness declined as crime fell in the 1990s, only public punitiveness continued to decline during the entire period of analysis</w:t>
      </w:r>
      <w:r w:rsidRPr="004E7BD2">
        <w:rPr>
          <w:rFonts w:ascii="Garamond" w:hAnsi="Garamond"/>
          <w:lang w:val="en-GB"/>
        </w:rPr>
        <w:t xml:space="preserve">.  </w:t>
      </w:r>
    </w:p>
    <w:p w14:paraId="60BA2E59" w14:textId="58F2936D" w:rsidR="001B492E" w:rsidRPr="004E7BD2" w:rsidRDefault="00AF4F04" w:rsidP="00B71A68">
      <w:pPr>
        <w:spacing w:after="0"/>
        <w:jc w:val="center"/>
        <w:rPr>
          <w:rFonts w:ascii="Garamond" w:hAnsi="Garamond"/>
          <w:lang w:val="en-GB"/>
        </w:rPr>
      </w:pPr>
      <w:r w:rsidRPr="00AF4F04">
        <w:lastRenderedPageBreak/>
        <w:t xml:space="preserve"> </w:t>
      </w:r>
      <w:r>
        <w:rPr>
          <w:noProof/>
        </w:rPr>
        <w:drawing>
          <wp:inline distT="0" distB="0" distL="0" distR="0" wp14:anchorId="29CDDDD4" wp14:editId="3197C102">
            <wp:extent cx="2852035" cy="2071688"/>
            <wp:effectExtent l="0" t="0" r="5715" b="508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73412" cy="2087216"/>
                    </a:xfrm>
                    <a:prstGeom prst="rect">
                      <a:avLst/>
                    </a:prstGeom>
                    <a:noFill/>
                    <a:ln>
                      <a:noFill/>
                    </a:ln>
                  </pic:spPr>
                </pic:pic>
              </a:graphicData>
            </a:graphic>
          </wp:inline>
        </w:drawing>
      </w:r>
    </w:p>
    <w:p w14:paraId="619108C9" w14:textId="77777777" w:rsidR="001B492E" w:rsidRPr="004E7BD2" w:rsidRDefault="001B492E" w:rsidP="00F60459">
      <w:pPr>
        <w:spacing w:after="0"/>
        <w:jc w:val="center"/>
        <w:rPr>
          <w:rFonts w:ascii="Garamond" w:hAnsi="Garamond"/>
          <w:iCs/>
          <w:lang w:val="en-GB"/>
        </w:rPr>
      </w:pPr>
      <w:r w:rsidRPr="004E7BD2">
        <w:rPr>
          <w:rFonts w:ascii="Garamond" w:hAnsi="Garamond"/>
          <w:b/>
          <w:iCs/>
          <w:lang w:val="en-GB"/>
        </w:rPr>
        <w:t xml:space="preserve">Figure 11: </w:t>
      </w:r>
      <w:r w:rsidRPr="004E7BD2">
        <w:rPr>
          <w:rFonts w:ascii="Garamond" w:hAnsi="Garamond"/>
          <w:iCs/>
          <w:lang w:val="en-GB"/>
        </w:rPr>
        <w:t>Punitive Attitudes in the U.S., 1993-2019</w:t>
      </w:r>
    </w:p>
    <w:p w14:paraId="16F6A5DF" w14:textId="22FFFDD5" w:rsidR="00E768EA" w:rsidRPr="004E7BD2" w:rsidRDefault="00E768EA" w:rsidP="00B71A68">
      <w:pPr>
        <w:spacing w:after="0"/>
        <w:rPr>
          <w:rFonts w:ascii="Garamond" w:hAnsi="Garamond"/>
          <w:lang w:val="en-GB"/>
        </w:rPr>
      </w:pPr>
    </w:p>
    <w:p w14:paraId="51B99471" w14:textId="0B5E224A" w:rsidR="009E240B" w:rsidRDefault="008F1C86" w:rsidP="00F60459">
      <w:pPr>
        <w:jc w:val="both"/>
        <w:rPr>
          <w:rFonts w:ascii="Garamond" w:hAnsi="Garamond"/>
          <w:lang w:val="en-GB"/>
        </w:rPr>
      </w:pPr>
      <w:r w:rsidRPr="004E7BD2">
        <w:rPr>
          <w:rFonts w:ascii="Garamond" w:hAnsi="Garamond"/>
          <w:lang w:val="en-GB"/>
        </w:rPr>
        <w:t>Figure 1</w:t>
      </w:r>
      <w:r w:rsidR="00A83ED9">
        <w:rPr>
          <w:rFonts w:ascii="Garamond" w:hAnsi="Garamond"/>
          <w:lang w:val="en-GB"/>
        </w:rPr>
        <w:t>2</w:t>
      </w:r>
      <w:r w:rsidRPr="004E7BD2">
        <w:rPr>
          <w:rFonts w:ascii="Garamond" w:hAnsi="Garamond"/>
          <w:lang w:val="en-GB"/>
        </w:rPr>
        <w:t xml:space="preserve"> shows the measure of public punitiveness in Britain. </w:t>
      </w:r>
      <w:r w:rsidR="004F3DC8" w:rsidRPr="004E7BD2">
        <w:rPr>
          <w:rFonts w:ascii="Garamond" w:hAnsi="Garamond"/>
          <w:lang w:val="en-GB"/>
        </w:rPr>
        <w:t xml:space="preserve">We see the British public maintained support for punitive policies </w:t>
      </w:r>
      <w:r w:rsidR="00A83ED9">
        <w:rPr>
          <w:rFonts w:ascii="Garamond" w:hAnsi="Garamond"/>
          <w:lang w:val="en-GB"/>
        </w:rPr>
        <w:t>for some time</w:t>
      </w:r>
      <w:r w:rsidR="00A83ED9" w:rsidRPr="004E7BD2">
        <w:rPr>
          <w:rFonts w:ascii="Garamond" w:hAnsi="Garamond"/>
          <w:lang w:val="en-GB"/>
        </w:rPr>
        <w:t xml:space="preserve"> </w:t>
      </w:r>
      <w:r w:rsidR="004F3DC8" w:rsidRPr="004E7BD2">
        <w:rPr>
          <w:rFonts w:ascii="Garamond" w:hAnsi="Garamond"/>
          <w:lang w:val="en-GB"/>
        </w:rPr>
        <w:t>after crime rates dropped</w:t>
      </w:r>
      <w:r w:rsidR="00060599">
        <w:rPr>
          <w:rFonts w:ascii="Garamond" w:hAnsi="Garamond"/>
          <w:lang w:val="en-GB"/>
        </w:rPr>
        <w:t>,</w:t>
      </w:r>
      <w:r w:rsidR="004F3DC8" w:rsidRPr="004E7BD2">
        <w:rPr>
          <w:rFonts w:ascii="Garamond" w:hAnsi="Garamond"/>
          <w:lang w:val="en-GB"/>
        </w:rPr>
        <w:t xml:space="preserve"> </w:t>
      </w:r>
      <w:r w:rsidR="00060599" w:rsidRPr="00B71A68">
        <w:rPr>
          <w:rFonts w:ascii="Garamond" w:hAnsi="Garamond"/>
          <w:lang w:val="en-GB"/>
        </w:rPr>
        <w:t>but</w:t>
      </w:r>
      <w:r w:rsidR="00060599" w:rsidRPr="004E7BD2">
        <w:rPr>
          <w:rFonts w:ascii="Garamond" w:hAnsi="Garamond"/>
          <w:i/>
          <w:lang w:val="en-GB"/>
        </w:rPr>
        <w:t xml:space="preserve"> </w:t>
      </w:r>
      <w:r w:rsidR="004F3DC8" w:rsidRPr="004E7BD2">
        <w:rPr>
          <w:rFonts w:ascii="Garamond" w:hAnsi="Garamond"/>
          <w:lang w:val="en-GB"/>
        </w:rPr>
        <w:t xml:space="preserve">public concern for crime dropped </w:t>
      </w:r>
      <w:r w:rsidR="00060599">
        <w:rPr>
          <w:rFonts w:ascii="Garamond" w:hAnsi="Garamond"/>
          <w:lang w:val="en-GB"/>
        </w:rPr>
        <w:t>as violent crime rates fell</w:t>
      </w:r>
      <w:r w:rsidR="004F3DC8" w:rsidRPr="004E7BD2">
        <w:rPr>
          <w:rFonts w:ascii="Garamond" w:hAnsi="Garamond"/>
          <w:lang w:val="en-GB"/>
        </w:rPr>
        <w:t>. In fact, public attitudes became slightly more punitive from the early 1990s through about 2010, when the British public’s support for tough on crime policies finally dropped substantially.</w:t>
      </w:r>
    </w:p>
    <w:p w14:paraId="4D9AA735" w14:textId="389FE388" w:rsidR="00F93E27" w:rsidRPr="004E7BD2" w:rsidRDefault="009A7DAD" w:rsidP="00F60459">
      <w:pPr>
        <w:jc w:val="both"/>
        <w:rPr>
          <w:rFonts w:ascii="Garamond" w:hAnsi="Garamond"/>
          <w:lang w:val="en-GB"/>
        </w:rPr>
      </w:pPr>
      <w:r>
        <w:rPr>
          <w:rFonts w:ascii="Garamond" w:hAnsi="Garamond"/>
          <w:lang w:val="en-GB"/>
        </w:rPr>
        <w:t>Together, t</w:t>
      </w:r>
      <w:r w:rsidR="00F93E27">
        <w:rPr>
          <w:rFonts w:ascii="Garamond" w:hAnsi="Garamond"/>
          <w:lang w:val="en-GB"/>
        </w:rPr>
        <w:t>hese figures</w:t>
      </w:r>
      <w:r w:rsidR="00F93E27" w:rsidRPr="00F93E27">
        <w:rPr>
          <w:rFonts w:ascii="Garamond" w:hAnsi="Garamond"/>
          <w:lang w:val="en-GB"/>
        </w:rPr>
        <w:t xml:space="preserve"> show that in both countries crime concern and punitiveness </w:t>
      </w:r>
      <w:r>
        <w:rPr>
          <w:rFonts w:ascii="Garamond" w:hAnsi="Garamond"/>
          <w:lang w:val="en-GB"/>
        </w:rPr>
        <w:t>broadly</w:t>
      </w:r>
      <w:r w:rsidR="00F93E27" w:rsidRPr="00F93E27">
        <w:rPr>
          <w:rFonts w:ascii="Garamond" w:hAnsi="Garamond"/>
          <w:lang w:val="en-GB"/>
        </w:rPr>
        <w:t xml:space="preserve"> reflect actual crime rates (measured by victimization), but the relationship appears more direct for punitiveness in the U.S. and more direct for </w:t>
      </w:r>
      <w:r w:rsidR="00F93E27">
        <w:rPr>
          <w:rFonts w:ascii="Garamond" w:hAnsi="Garamond"/>
          <w:lang w:val="en-GB"/>
        </w:rPr>
        <w:t xml:space="preserve">crime </w:t>
      </w:r>
      <w:r w:rsidR="00F93E27" w:rsidRPr="00F93E27">
        <w:rPr>
          <w:rFonts w:ascii="Garamond" w:hAnsi="Garamond"/>
          <w:lang w:val="en-GB"/>
        </w:rPr>
        <w:t xml:space="preserve">concern in England and Wales. </w:t>
      </w:r>
      <w:r>
        <w:rPr>
          <w:rFonts w:ascii="Garamond" w:hAnsi="Garamond"/>
          <w:lang w:val="en-GB"/>
        </w:rPr>
        <w:t>Our evidence</w:t>
      </w:r>
      <w:r w:rsidR="00F93E27">
        <w:rPr>
          <w:rFonts w:ascii="Garamond" w:hAnsi="Garamond"/>
          <w:lang w:val="en-GB"/>
        </w:rPr>
        <w:t xml:space="preserve"> arguably</w:t>
      </w:r>
      <w:r w:rsidR="00F93E27" w:rsidRPr="00F93E27">
        <w:rPr>
          <w:rFonts w:ascii="Garamond" w:hAnsi="Garamond"/>
          <w:lang w:val="en-GB"/>
        </w:rPr>
        <w:t xml:space="preserve"> </w:t>
      </w:r>
      <w:r>
        <w:rPr>
          <w:rFonts w:ascii="Garamond" w:hAnsi="Garamond"/>
          <w:lang w:val="en-GB"/>
        </w:rPr>
        <w:t>provides a corrective to claims</w:t>
      </w:r>
      <w:r w:rsidR="00F93E27" w:rsidRPr="00F93E27">
        <w:rPr>
          <w:rFonts w:ascii="Garamond" w:hAnsi="Garamond"/>
          <w:lang w:val="en-GB"/>
        </w:rPr>
        <w:t xml:space="preserve"> that public opinion has been completely divorced from declining crime rates.</w:t>
      </w:r>
    </w:p>
    <w:p w14:paraId="43B7E2E7" w14:textId="35562077" w:rsidR="009E240B" w:rsidRPr="004E7BD2" w:rsidRDefault="00AF4F04" w:rsidP="00B71A68">
      <w:pPr>
        <w:spacing w:after="0"/>
        <w:jc w:val="center"/>
        <w:rPr>
          <w:rFonts w:ascii="Garamond" w:hAnsi="Garamond"/>
          <w:lang w:val="en-GB"/>
        </w:rPr>
      </w:pPr>
      <w:r w:rsidRPr="00AF4F04">
        <w:t xml:space="preserve"> </w:t>
      </w:r>
      <w:r>
        <w:rPr>
          <w:noProof/>
        </w:rPr>
        <w:drawing>
          <wp:inline distT="0" distB="0" distL="0" distR="0" wp14:anchorId="278CE255" wp14:editId="2A18E00F">
            <wp:extent cx="2819400" cy="2047981"/>
            <wp:effectExtent l="0" t="0" r="0" b="9525"/>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4527" cy="2066233"/>
                    </a:xfrm>
                    <a:prstGeom prst="rect">
                      <a:avLst/>
                    </a:prstGeom>
                    <a:noFill/>
                    <a:ln>
                      <a:noFill/>
                    </a:ln>
                  </pic:spPr>
                </pic:pic>
              </a:graphicData>
            </a:graphic>
          </wp:inline>
        </w:drawing>
      </w:r>
    </w:p>
    <w:p w14:paraId="3AD97709" w14:textId="47381402" w:rsidR="009E240B" w:rsidRPr="004E7BD2" w:rsidRDefault="009E240B" w:rsidP="00B71A68">
      <w:pPr>
        <w:spacing w:after="0"/>
        <w:jc w:val="center"/>
        <w:rPr>
          <w:rFonts w:ascii="Garamond" w:hAnsi="Garamond"/>
          <w:iCs/>
          <w:lang w:val="en-GB"/>
        </w:rPr>
      </w:pPr>
      <w:r w:rsidRPr="004E7BD2">
        <w:rPr>
          <w:rFonts w:ascii="Garamond" w:hAnsi="Garamond"/>
          <w:b/>
          <w:iCs/>
          <w:lang w:val="en-GB"/>
        </w:rPr>
        <w:t xml:space="preserve">Figure 12: </w:t>
      </w:r>
      <w:r w:rsidRPr="004E7BD2">
        <w:rPr>
          <w:rFonts w:ascii="Garamond" w:hAnsi="Garamond"/>
          <w:iCs/>
          <w:lang w:val="en-GB"/>
        </w:rPr>
        <w:t>Punitive Attitudes in Britain, 199</w:t>
      </w:r>
      <w:r w:rsidR="006B348F" w:rsidRPr="004E7BD2">
        <w:rPr>
          <w:rFonts w:ascii="Garamond" w:hAnsi="Garamond"/>
          <w:iCs/>
          <w:lang w:val="en-GB"/>
        </w:rPr>
        <w:t>1</w:t>
      </w:r>
      <w:r w:rsidRPr="004E7BD2">
        <w:rPr>
          <w:rFonts w:ascii="Garamond" w:hAnsi="Garamond"/>
          <w:iCs/>
          <w:lang w:val="en-GB"/>
        </w:rPr>
        <w:t>-2019</w:t>
      </w:r>
    </w:p>
    <w:p w14:paraId="13BA5B45" w14:textId="4AB96B43" w:rsidR="001B492E" w:rsidRPr="004E7BD2" w:rsidRDefault="001B492E" w:rsidP="00B71A68">
      <w:pPr>
        <w:spacing w:after="0"/>
        <w:jc w:val="both"/>
        <w:rPr>
          <w:rFonts w:ascii="Garamond" w:hAnsi="Garamond"/>
          <w:lang w:val="en-GB"/>
        </w:rPr>
      </w:pPr>
    </w:p>
    <w:p w14:paraId="7CAE6A73" w14:textId="1FEDBF1B" w:rsidR="001B492E" w:rsidRPr="004E7BD2" w:rsidRDefault="00ED4292" w:rsidP="00ED4292">
      <w:pPr>
        <w:spacing w:after="120"/>
        <w:rPr>
          <w:rFonts w:ascii="Garamond" w:hAnsi="Garamond"/>
          <w:lang w:val="en-GB"/>
        </w:rPr>
      </w:pPr>
      <w:r w:rsidRPr="004E7BD2">
        <w:rPr>
          <w:rFonts w:ascii="Garamond" w:hAnsi="Garamond"/>
          <w:b/>
          <w:lang w:val="en-GB"/>
        </w:rPr>
        <w:t>Analysing</w:t>
      </w:r>
      <w:r w:rsidR="001B492E" w:rsidRPr="004E7BD2">
        <w:rPr>
          <w:rFonts w:ascii="Garamond" w:hAnsi="Garamond"/>
          <w:b/>
          <w:lang w:val="en-GB"/>
        </w:rPr>
        <w:t xml:space="preserve"> Crime Rates and Punitive Attitudes Together</w:t>
      </w:r>
    </w:p>
    <w:p w14:paraId="73864B0C" w14:textId="5F6BFE9B" w:rsidR="00A95F4E" w:rsidRPr="004E7BD2" w:rsidRDefault="00A95F4E" w:rsidP="00BC1573">
      <w:pPr>
        <w:jc w:val="both"/>
        <w:rPr>
          <w:rFonts w:ascii="Garamond" w:hAnsi="Garamond"/>
          <w:lang w:val="en-GB"/>
        </w:rPr>
      </w:pPr>
      <w:r w:rsidRPr="004E7BD2">
        <w:rPr>
          <w:rFonts w:ascii="Garamond" w:hAnsi="Garamond"/>
          <w:lang w:val="en-GB"/>
        </w:rPr>
        <w:t xml:space="preserve">Our next step is to test the degree to which the public’s support for punitive policy </w:t>
      </w:r>
      <w:r w:rsidR="004F3DC8" w:rsidRPr="004E7BD2">
        <w:rPr>
          <w:rFonts w:ascii="Garamond" w:hAnsi="Garamond"/>
          <w:lang w:val="en-GB"/>
        </w:rPr>
        <w:t>corresponds with</w:t>
      </w:r>
      <w:r w:rsidRPr="004E7BD2">
        <w:rPr>
          <w:rFonts w:ascii="Garamond" w:hAnsi="Garamond"/>
          <w:lang w:val="en-GB"/>
        </w:rPr>
        <w:t xml:space="preserve"> the recorded crime rate or </w:t>
      </w:r>
      <w:r w:rsidR="0041286C" w:rsidRPr="004E7BD2">
        <w:rPr>
          <w:rFonts w:ascii="Garamond" w:hAnsi="Garamond"/>
          <w:lang w:val="en-GB"/>
        </w:rPr>
        <w:t>victimisation</w:t>
      </w:r>
      <w:r w:rsidRPr="004E7BD2">
        <w:rPr>
          <w:rFonts w:ascii="Garamond" w:hAnsi="Garamond"/>
          <w:lang w:val="en-GB"/>
        </w:rPr>
        <w:t>.</w:t>
      </w:r>
      <w:r w:rsidR="00BB62B3" w:rsidRPr="004E7BD2">
        <w:rPr>
          <w:rFonts w:ascii="Garamond" w:hAnsi="Garamond"/>
          <w:lang w:val="en-GB"/>
        </w:rPr>
        <w:t xml:space="preserve"> We again turn to bivariate correlations. </w:t>
      </w:r>
      <w:r w:rsidR="00D04727">
        <w:rPr>
          <w:rFonts w:ascii="Garamond" w:hAnsi="Garamond"/>
          <w:lang w:val="en-GB"/>
        </w:rPr>
        <w:t>W</w:t>
      </w:r>
      <w:r w:rsidR="00BB62B3" w:rsidRPr="004E7BD2">
        <w:rPr>
          <w:rFonts w:ascii="Garamond" w:hAnsi="Garamond"/>
          <w:lang w:val="en-GB"/>
        </w:rPr>
        <w:t xml:space="preserve">e are primarily interested in comparing relationships across crime types and across countries. The correlations in Table </w:t>
      </w:r>
      <w:r w:rsidR="002F4DC0" w:rsidRPr="004E7BD2">
        <w:rPr>
          <w:rFonts w:ascii="Garamond" w:hAnsi="Garamond"/>
          <w:lang w:val="en-GB"/>
        </w:rPr>
        <w:t xml:space="preserve">4 </w:t>
      </w:r>
      <w:r w:rsidR="00BB62B3" w:rsidRPr="004E7BD2">
        <w:rPr>
          <w:rFonts w:ascii="Garamond" w:hAnsi="Garamond"/>
          <w:lang w:val="en-GB"/>
        </w:rPr>
        <w:t xml:space="preserve">offer an useful summary of this information. </w:t>
      </w:r>
      <w:r w:rsidR="004F3DC8" w:rsidRPr="004E7BD2">
        <w:rPr>
          <w:rFonts w:ascii="Garamond" w:hAnsi="Garamond"/>
          <w:lang w:val="en-GB"/>
        </w:rPr>
        <w:t xml:space="preserve">Consistent with the visual patterns above, the relationship between all crime rates and the public’s punitiveness in the U.S. is strong. As crime rates have declined, the U.S. public has become less punitive. The relationship is much more constrained in </w:t>
      </w:r>
      <w:r w:rsidR="00337644">
        <w:rPr>
          <w:rFonts w:ascii="Garamond" w:hAnsi="Garamond"/>
          <w:lang w:val="en-GB"/>
        </w:rPr>
        <w:t>Britain</w:t>
      </w:r>
      <w:r w:rsidR="00C025C5" w:rsidRPr="004E7BD2">
        <w:rPr>
          <w:rFonts w:ascii="Garamond" w:hAnsi="Garamond"/>
          <w:lang w:val="en-GB"/>
        </w:rPr>
        <w:t xml:space="preserve">, where </w:t>
      </w:r>
      <w:r w:rsidR="00C025C5" w:rsidRPr="004E7BD2">
        <w:rPr>
          <w:rFonts w:ascii="Garamond" w:hAnsi="Garamond" w:cstheme="minorHAnsi"/>
          <w:lang w:val="en-GB"/>
        </w:rPr>
        <w:t>there is a modest positive correlation</w:t>
      </w:r>
      <w:r w:rsidR="004F3DC8" w:rsidRPr="004E7BD2">
        <w:rPr>
          <w:rFonts w:ascii="Garamond" w:hAnsi="Garamond"/>
          <w:lang w:val="en-GB"/>
        </w:rPr>
        <w:t xml:space="preserve">. As with our analysis of concern with crime, to the extent the British public follows crime rates, it is actual crime, not shifts in police reporting, as evidenced by the negative relationship between police reports of violent crime </w:t>
      </w:r>
      <w:r w:rsidR="004F3DC8" w:rsidRPr="004E7BD2">
        <w:rPr>
          <w:rFonts w:ascii="Garamond" w:hAnsi="Garamond"/>
          <w:lang w:val="en-GB"/>
        </w:rPr>
        <w:lastRenderedPageBreak/>
        <w:t>and punitive attitudes.</w:t>
      </w:r>
      <w:r w:rsidR="00C025C5" w:rsidRPr="004E7BD2">
        <w:rPr>
          <w:rFonts w:ascii="Garamond" w:hAnsi="Garamond"/>
          <w:lang w:val="en-GB"/>
        </w:rPr>
        <w:t xml:space="preserve"> </w:t>
      </w:r>
      <w:r w:rsidR="00C025C5" w:rsidRPr="004E7BD2">
        <w:rPr>
          <w:rFonts w:ascii="Garamond" w:hAnsi="Garamond" w:cstheme="minorHAnsi"/>
          <w:lang w:val="en-GB"/>
        </w:rPr>
        <w:t>It therefore seems that falling</w:t>
      </w:r>
      <w:r w:rsidR="00337644">
        <w:rPr>
          <w:rFonts w:ascii="Garamond" w:hAnsi="Garamond" w:cstheme="minorHAnsi"/>
          <w:lang w:val="en-GB"/>
        </w:rPr>
        <w:t xml:space="preserve"> victimisation</w:t>
      </w:r>
      <w:r w:rsidR="00C025C5" w:rsidRPr="004E7BD2">
        <w:rPr>
          <w:rFonts w:ascii="Garamond" w:hAnsi="Garamond" w:cstheme="minorHAnsi"/>
          <w:lang w:val="en-GB"/>
        </w:rPr>
        <w:t xml:space="preserve"> rates of violent crime have been associated with declining public punitiveness on the issue.</w:t>
      </w:r>
      <w:r w:rsidR="00D04727">
        <w:rPr>
          <w:rStyle w:val="FootnoteReference"/>
          <w:rFonts w:ascii="Garamond" w:hAnsi="Garamond" w:cstheme="minorHAnsi"/>
          <w:lang w:val="en-GB"/>
        </w:rPr>
        <w:footnoteReference w:id="12"/>
      </w:r>
    </w:p>
    <w:p w14:paraId="1EF6AF58" w14:textId="77777777" w:rsidR="00C025C5" w:rsidRPr="004E7BD2" w:rsidRDefault="00C025C5" w:rsidP="00F60459">
      <w:pPr>
        <w:spacing w:after="0"/>
        <w:rPr>
          <w:rFonts w:ascii="Garamond" w:hAnsi="Garamond"/>
          <w:lang w:val="en-GB"/>
        </w:rPr>
      </w:pPr>
    </w:p>
    <w:p w14:paraId="17A1F03E" w14:textId="77777777" w:rsidR="00206641" w:rsidRPr="004E7BD2" w:rsidRDefault="00CC0395" w:rsidP="00206641">
      <w:pPr>
        <w:spacing w:after="0"/>
        <w:ind w:left="720"/>
        <w:rPr>
          <w:rFonts w:ascii="Garamond" w:hAnsi="Garamond"/>
          <w:lang w:val="en-GB"/>
        </w:rPr>
      </w:pPr>
      <w:bookmarkStart w:id="8" w:name="_Hlk92621723"/>
      <w:r w:rsidRPr="004E7BD2">
        <w:rPr>
          <w:rFonts w:ascii="Garamond" w:hAnsi="Garamond"/>
          <w:b/>
          <w:lang w:val="en-GB"/>
        </w:rPr>
        <w:t xml:space="preserve">Table </w:t>
      </w:r>
      <w:r w:rsidR="002F4DC0" w:rsidRPr="004E7BD2">
        <w:rPr>
          <w:rFonts w:ascii="Garamond" w:hAnsi="Garamond"/>
          <w:b/>
          <w:lang w:val="en-GB"/>
        </w:rPr>
        <w:t>4</w:t>
      </w:r>
      <w:r w:rsidRPr="004E7BD2">
        <w:rPr>
          <w:rFonts w:ascii="Garamond" w:hAnsi="Garamond"/>
          <w:lang w:val="en-GB"/>
        </w:rPr>
        <w:t xml:space="preserve">: The bivariate correlation between crime rates and punitive attitudes </w:t>
      </w:r>
    </w:p>
    <w:p w14:paraId="6E7D1C4C" w14:textId="18090D72" w:rsidR="00CC0395" w:rsidRPr="004E7BD2" w:rsidRDefault="00CC0395" w:rsidP="00CC0395">
      <w:pPr>
        <w:ind w:left="720"/>
        <w:rPr>
          <w:rFonts w:ascii="Garamond" w:hAnsi="Garamond"/>
          <w:lang w:val="en-GB"/>
        </w:rPr>
      </w:pPr>
      <w:r w:rsidRPr="004E7BD2">
        <w:rPr>
          <w:rFonts w:ascii="Garamond" w:hAnsi="Garamond"/>
          <w:lang w:val="en-GB"/>
        </w:rPr>
        <w:t>in the United States and England and Wales, 199</w:t>
      </w:r>
      <w:r w:rsidR="0070220B" w:rsidRPr="004E7BD2">
        <w:rPr>
          <w:rFonts w:ascii="Garamond" w:hAnsi="Garamond"/>
          <w:lang w:val="en-GB"/>
        </w:rPr>
        <w:t>3</w:t>
      </w:r>
      <w:r w:rsidR="00337644">
        <w:rPr>
          <w:rFonts w:ascii="Garamond" w:hAnsi="Garamond"/>
          <w:lang w:val="en-GB"/>
        </w:rPr>
        <w:t>-</w:t>
      </w:r>
      <w:r w:rsidRPr="004E7BD2">
        <w:rPr>
          <w:rFonts w:ascii="Garamond" w:hAnsi="Garamond"/>
          <w:lang w:val="en-GB"/>
        </w:rPr>
        <w:t>20</w:t>
      </w:r>
      <w:r w:rsidR="002F4DC0" w:rsidRPr="004E7BD2">
        <w:rPr>
          <w:rFonts w:ascii="Garamond" w:hAnsi="Garamond"/>
          <w:lang w:val="en-GB"/>
        </w:rPr>
        <w:t>19</w:t>
      </w:r>
    </w:p>
    <w:p w14:paraId="50B37762" w14:textId="4AEE019B" w:rsidR="00CC0395" w:rsidRPr="000B4C87" w:rsidRDefault="00CC0395" w:rsidP="00CC0395">
      <w:pPr>
        <w:rPr>
          <w:rFonts w:ascii="Garamond" w:hAnsi="Garamond"/>
          <w:lang w:val="fr-FR"/>
        </w:rPr>
      </w:pPr>
      <w:r w:rsidRPr="004E7BD2">
        <w:rPr>
          <w:rFonts w:ascii="Garamond" w:hAnsi="Garamond"/>
          <w:lang w:val="en-GB"/>
        </w:rPr>
        <w:tab/>
      </w:r>
      <w:r w:rsidRPr="004E7BD2">
        <w:rPr>
          <w:rFonts w:ascii="Garamond" w:hAnsi="Garamond"/>
          <w:lang w:val="en-GB"/>
        </w:rPr>
        <w:tab/>
      </w:r>
      <w:r w:rsidRPr="004E7BD2">
        <w:rPr>
          <w:rFonts w:ascii="Garamond" w:hAnsi="Garamond"/>
          <w:lang w:val="en-GB"/>
        </w:rPr>
        <w:tab/>
        <w:t xml:space="preserve">     </w:t>
      </w:r>
      <w:r w:rsidRPr="004E7BD2">
        <w:rPr>
          <w:rFonts w:ascii="Garamond" w:hAnsi="Garamond"/>
          <w:lang w:val="en-GB"/>
        </w:rPr>
        <w:tab/>
      </w:r>
      <w:r w:rsidRPr="004E7BD2">
        <w:rPr>
          <w:rFonts w:ascii="Garamond" w:hAnsi="Garamond"/>
          <w:lang w:val="en-GB"/>
        </w:rPr>
        <w:tab/>
      </w:r>
      <w:r w:rsidRPr="004E7BD2">
        <w:rPr>
          <w:rFonts w:ascii="Garamond" w:hAnsi="Garamond"/>
          <w:lang w:val="en-GB"/>
        </w:rPr>
        <w:tab/>
        <w:t xml:space="preserve">   </w:t>
      </w:r>
      <w:r w:rsidR="00A955B0" w:rsidRPr="000B4C87">
        <w:rPr>
          <w:rFonts w:ascii="Garamond" w:hAnsi="Garamond"/>
          <w:lang w:val="fr-FR"/>
        </w:rPr>
        <w:t>Punitive Attitudes</w:t>
      </w:r>
    </w:p>
    <w:p w14:paraId="0FF7DA79" w14:textId="14239201" w:rsidR="00CC0395" w:rsidRPr="000B4C87" w:rsidRDefault="00CC0395" w:rsidP="00CC0395">
      <w:pPr>
        <w:rPr>
          <w:rFonts w:ascii="Garamond" w:hAnsi="Garamond"/>
          <w:lang w:val="fr-FR"/>
        </w:rPr>
      </w:pP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t>U.S.</w:t>
      </w:r>
      <w:r w:rsidRPr="000B4C87">
        <w:rPr>
          <w:rFonts w:ascii="Garamond" w:hAnsi="Garamond"/>
          <w:lang w:val="fr-FR"/>
        </w:rPr>
        <w:tab/>
      </w:r>
      <w:proofErr w:type="spellStart"/>
      <w:r w:rsidR="00ED4292">
        <w:rPr>
          <w:rFonts w:ascii="Garamond" w:hAnsi="Garamond"/>
          <w:lang w:val="fr-FR"/>
        </w:rPr>
        <w:t>England</w:t>
      </w:r>
      <w:proofErr w:type="spellEnd"/>
      <w:r w:rsidRPr="000B4C87">
        <w:rPr>
          <w:rFonts w:ascii="Garamond" w:hAnsi="Garamond"/>
          <w:lang w:val="fr-FR"/>
        </w:rPr>
        <w:t xml:space="preserve"> &amp; Wales</w:t>
      </w:r>
    </w:p>
    <w:p w14:paraId="2766CC87" w14:textId="1A42D5CE" w:rsidR="0070220B" w:rsidRPr="000B4C87" w:rsidRDefault="0070220B" w:rsidP="00CC0395">
      <w:pPr>
        <w:ind w:firstLine="720"/>
        <w:rPr>
          <w:rFonts w:ascii="Garamond" w:hAnsi="Garamond"/>
          <w:lang w:val="fr-FR"/>
        </w:rPr>
      </w:pPr>
      <w:r w:rsidRPr="000B4C87">
        <w:rPr>
          <w:rFonts w:ascii="Garamond" w:hAnsi="Garamond"/>
          <w:lang w:val="fr-FR"/>
        </w:rPr>
        <w:t>Homicide (Police Reports)</w:t>
      </w:r>
      <w:r w:rsidRPr="000B4C87">
        <w:rPr>
          <w:rFonts w:ascii="Garamond" w:hAnsi="Garamond"/>
          <w:lang w:val="fr-FR"/>
        </w:rPr>
        <w:tab/>
      </w:r>
      <w:r w:rsidRPr="000B4C87">
        <w:rPr>
          <w:rFonts w:ascii="Garamond" w:hAnsi="Garamond"/>
          <w:lang w:val="fr-FR"/>
        </w:rPr>
        <w:tab/>
        <w:t>0.79*</w:t>
      </w:r>
      <w:r w:rsidR="00464BD5" w:rsidRPr="000B4C87">
        <w:rPr>
          <w:rFonts w:ascii="Garamond" w:hAnsi="Garamond"/>
          <w:lang w:val="fr-FR"/>
        </w:rPr>
        <w:tab/>
      </w:r>
      <w:r w:rsidR="00464BD5" w:rsidRPr="000B4C87">
        <w:rPr>
          <w:rFonts w:ascii="Garamond" w:hAnsi="Garamond"/>
          <w:lang w:val="fr-FR"/>
        </w:rPr>
        <w:tab/>
        <w:t>0.47*</w:t>
      </w:r>
    </w:p>
    <w:p w14:paraId="5984AD58" w14:textId="43F991E9" w:rsidR="0070220B" w:rsidRPr="000B4C87" w:rsidRDefault="0070220B" w:rsidP="0070220B">
      <w:pPr>
        <w:ind w:firstLine="720"/>
        <w:rPr>
          <w:rFonts w:ascii="Garamond" w:hAnsi="Garamond"/>
          <w:lang w:val="fr-FR"/>
        </w:rPr>
      </w:pPr>
      <w:r w:rsidRPr="000B4C87">
        <w:rPr>
          <w:rFonts w:ascii="Garamond" w:hAnsi="Garamond"/>
          <w:lang w:val="fr-FR"/>
        </w:rPr>
        <w:t>Violent Crime (Police Reports)</w:t>
      </w:r>
      <w:r w:rsidRPr="000B4C87">
        <w:rPr>
          <w:rFonts w:ascii="Garamond" w:hAnsi="Garamond"/>
          <w:lang w:val="fr-FR"/>
        </w:rPr>
        <w:tab/>
      </w:r>
      <w:r w:rsidRPr="000B4C87">
        <w:rPr>
          <w:rFonts w:ascii="Garamond" w:hAnsi="Garamond"/>
          <w:lang w:val="fr-FR"/>
        </w:rPr>
        <w:tab/>
        <w:t>0.91*</w:t>
      </w:r>
      <w:r w:rsidRPr="000B4C87">
        <w:rPr>
          <w:rFonts w:ascii="Garamond" w:hAnsi="Garamond"/>
          <w:lang w:val="fr-FR"/>
        </w:rPr>
        <w:tab/>
      </w:r>
      <w:r w:rsidR="00464BD5" w:rsidRPr="000B4C87">
        <w:rPr>
          <w:rFonts w:ascii="Garamond" w:hAnsi="Garamond"/>
          <w:lang w:val="fr-FR"/>
        </w:rPr>
        <w:tab/>
        <w:t>-0.30</w:t>
      </w:r>
    </w:p>
    <w:p w14:paraId="1599160E" w14:textId="02D1C184" w:rsidR="0070220B" w:rsidRPr="000B4C87" w:rsidRDefault="0070220B" w:rsidP="0070220B">
      <w:pPr>
        <w:ind w:firstLine="720"/>
        <w:rPr>
          <w:rFonts w:ascii="Garamond" w:hAnsi="Garamond"/>
          <w:lang w:val="fr-FR"/>
        </w:rPr>
      </w:pPr>
      <w:r w:rsidRPr="000B4C87">
        <w:rPr>
          <w:rFonts w:ascii="Garamond" w:hAnsi="Garamond"/>
          <w:lang w:val="fr-FR"/>
        </w:rPr>
        <w:t xml:space="preserve">Violent Crime (Victimisation) </w:t>
      </w:r>
      <w:r w:rsidRPr="000B4C87">
        <w:rPr>
          <w:rFonts w:ascii="Garamond" w:hAnsi="Garamond"/>
          <w:lang w:val="fr-FR"/>
        </w:rPr>
        <w:tab/>
      </w:r>
      <w:r w:rsidRPr="000B4C87">
        <w:rPr>
          <w:rFonts w:ascii="Garamond" w:hAnsi="Garamond"/>
          <w:lang w:val="fr-FR"/>
        </w:rPr>
        <w:tab/>
        <w:t>0.85*</w:t>
      </w:r>
      <w:r w:rsidRPr="000B4C87">
        <w:rPr>
          <w:rFonts w:ascii="Garamond" w:hAnsi="Garamond"/>
          <w:lang w:val="fr-FR"/>
        </w:rPr>
        <w:tab/>
      </w:r>
      <w:r w:rsidR="00464BD5" w:rsidRPr="000B4C87">
        <w:rPr>
          <w:rFonts w:ascii="Garamond" w:hAnsi="Garamond"/>
          <w:lang w:val="fr-FR"/>
        </w:rPr>
        <w:tab/>
        <w:t>0.52*</w:t>
      </w:r>
    </w:p>
    <w:p w14:paraId="32850EB4" w14:textId="3337E826" w:rsidR="00CC0395" w:rsidRPr="004E7BD2" w:rsidRDefault="00CC0395" w:rsidP="00CC0395">
      <w:pPr>
        <w:ind w:firstLine="720"/>
        <w:rPr>
          <w:rFonts w:ascii="Garamond" w:hAnsi="Garamond"/>
          <w:lang w:val="en-GB"/>
        </w:rPr>
      </w:pPr>
      <w:r w:rsidRPr="004E7BD2">
        <w:rPr>
          <w:rFonts w:ascii="Garamond" w:hAnsi="Garamond"/>
          <w:lang w:val="en-GB"/>
        </w:rPr>
        <w:t>Property Crime (Police Reports)</w:t>
      </w:r>
      <w:r w:rsidRPr="004E7BD2">
        <w:rPr>
          <w:rFonts w:ascii="Garamond" w:hAnsi="Garamond"/>
          <w:lang w:val="en-GB"/>
        </w:rPr>
        <w:tab/>
      </w:r>
      <w:r w:rsidRPr="004E7BD2">
        <w:rPr>
          <w:rFonts w:ascii="Garamond" w:hAnsi="Garamond"/>
          <w:lang w:val="en-GB"/>
        </w:rPr>
        <w:tab/>
      </w:r>
      <w:r w:rsidR="002717B9" w:rsidRPr="004E7BD2">
        <w:rPr>
          <w:rFonts w:ascii="Garamond" w:hAnsi="Garamond"/>
          <w:lang w:val="en-GB"/>
        </w:rPr>
        <w:t>0.9</w:t>
      </w:r>
      <w:r w:rsidR="0070220B" w:rsidRPr="004E7BD2">
        <w:rPr>
          <w:rFonts w:ascii="Garamond" w:hAnsi="Garamond"/>
          <w:lang w:val="en-GB"/>
        </w:rPr>
        <w:t>8*</w:t>
      </w:r>
      <w:r w:rsidRPr="004E7BD2">
        <w:rPr>
          <w:rFonts w:ascii="Garamond" w:hAnsi="Garamond"/>
          <w:lang w:val="en-GB"/>
        </w:rPr>
        <w:tab/>
      </w:r>
      <w:r w:rsidR="00464BD5" w:rsidRPr="004E7BD2">
        <w:rPr>
          <w:rFonts w:ascii="Garamond" w:hAnsi="Garamond"/>
          <w:lang w:val="en-GB"/>
        </w:rPr>
        <w:tab/>
        <w:t>0.56*</w:t>
      </w:r>
    </w:p>
    <w:p w14:paraId="3643756C" w14:textId="3833B873" w:rsidR="00CC0395" w:rsidRPr="004E7BD2" w:rsidRDefault="00CC0395" w:rsidP="00206641">
      <w:pPr>
        <w:spacing w:after="0"/>
        <w:ind w:firstLine="720"/>
        <w:rPr>
          <w:rFonts w:ascii="Garamond" w:hAnsi="Garamond"/>
          <w:lang w:val="en-GB"/>
        </w:rPr>
      </w:pPr>
      <w:r w:rsidRPr="004E7BD2">
        <w:rPr>
          <w:rFonts w:ascii="Garamond" w:hAnsi="Garamond"/>
          <w:lang w:val="en-GB"/>
        </w:rPr>
        <w:t>Proper</w:t>
      </w:r>
      <w:r w:rsidR="002717B9" w:rsidRPr="004E7BD2">
        <w:rPr>
          <w:rFonts w:ascii="Garamond" w:hAnsi="Garamond"/>
          <w:lang w:val="en-GB"/>
        </w:rPr>
        <w:t>t</w:t>
      </w:r>
      <w:r w:rsidRPr="004E7BD2">
        <w:rPr>
          <w:rFonts w:ascii="Garamond" w:hAnsi="Garamond"/>
          <w:lang w:val="en-GB"/>
        </w:rPr>
        <w:t xml:space="preserve">y Crime (Victimisation) </w:t>
      </w:r>
      <w:r w:rsidRPr="004E7BD2">
        <w:rPr>
          <w:rFonts w:ascii="Garamond" w:hAnsi="Garamond"/>
          <w:lang w:val="en-GB"/>
        </w:rPr>
        <w:tab/>
      </w:r>
      <w:r w:rsidRPr="004E7BD2">
        <w:rPr>
          <w:rFonts w:ascii="Garamond" w:hAnsi="Garamond"/>
          <w:lang w:val="en-GB"/>
        </w:rPr>
        <w:tab/>
      </w:r>
      <w:r w:rsidR="002717B9" w:rsidRPr="004E7BD2">
        <w:rPr>
          <w:rFonts w:ascii="Garamond" w:hAnsi="Garamond"/>
          <w:lang w:val="en-GB"/>
        </w:rPr>
        <w:t>0.</w:t>
      </w:r>
      <w:r w:rsidR="0070220B" w:rsidRPr="004E7BD2">
        <w:rPr>
          <w:rFonts w:ascii="Garamond" w:hAnsi="Garamond"/>
          <w:lang w:val="en-GB"/>
        </w:rPr>
        <w:t>91*</w:t>
      </w:r>
      <w:r w:rsidRPr="004E7BD2">
        <w:rPr>
          <w:rFonts w:ascii="Garamond" w:hAnsi="Garamond"/>
          <w:lang w:val="en-GB"/>
        </w:rPr>
        <w:tab/>
      </w:r>
      <w:r w:rsidR="00464BD5" w:rsidRPr="004E7BD2">
        <w:rPr>
          <w:rFonts w:ascii="Garamond" w:hAnsi="Garamond"/>
          <w:lang w:val="en-GB"/>
        </w:rPr>
        <w:tab/>
        <w:t>0.46*</w:t>
      </w:r>
    </w:p>
    <w:p w14:paraId="753EA41C" w14:textId="77777777" w:rsidR="00CC0395" w:rsidRPr="004E7BD2" w:rsidRDefault="00CC0395" w:rsidP="00CC0395">
      <w:pPr>
        <w:ind w:firstLine="720"/>
        <w:rPr>
          <w:rFonts w:ascii="Garamond" w:hAnsi="Garamond"/>
          <w:u w:val="single"/>
          <w:lang w:val="en-GB"/>
        </w:rPr>
      </w:pP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p>
    <w:p w14:paraId="0D3C0B03" w14:textId="77777777" w:rsidR="00ED4292" w:rsidRDefault="0070220B" w:rsidP="00ED4292">
      <w:pPr>
        <w:spacing w:after="0"/>
        <w:ind w:left="720"/>
        <w:rPr>
          <w:rFonts w:ascii="Garamond" w:hAnsi="Garamond"/>
          <w:i/>
          <w:iCs/>
          <w:sz w:val="18"/>
          <w:szCs w:val="18"/>
          <w:lang w:val="en-GB"/>
        </w:rPr>
      </w:pPr>
      <w:r w:rsidRPr="00ED4292">
        <w:rPr>
          <w:rFonts w:ascii="Garamond" w:hAnsi="Garamond"/>
          <w:i/>
          <w:iCs/>
          <w:sz w:val="18"/>
          <w:szCs w:val="18"/>
          <w:lang w:val="en-GB"/>
        </w:rPr>
        <w:t xml:space="preserve">*= p&lt;0.05; N=27, except for victimisation rates in England and Wales (N=23), due to surveys every other </w:t>
      </w:r>
    </w:p>
    <w:p w14:paraId="5A70D809" w14:textId="5BF2D0AB" w:rsidR="0070220B" w:rsidRPr="00ED4292" w:rsidRDefault="0070220B" w:rsidP="00ED4292">
      <w:pPr>
        <w:spacing w:after="0"/>
        <w:ind w:left="720"/>
        <w:rPr>
          <w:rFonts w:ascii="Garamond" w:hAnsi="Garamond"/>
          <w:i/>
          <w:iCs/>
          <w:sz w:val="18"/>
          <w:szCs w:val="18"/>
          <w:lang w:val="en-GB"/>
        </w:rPr>
      </w:pPr>
      <w:r w:rsidRPr="00ED4292">
        <w:rPr>
          <w:rFonts w:ascii="Garamond" w:hAnsi="Garamond"/>
          <w:i/>
          <w:iCs/>
          <w:sz w:val="18"/>
          <w:szCs w:val="18"/>
          <w:lang w:val="en-GB"/>
        </w:rPr>
        <w:t xml:space="preserve">year early in the analysis. </w:t>
      </w:r>
    </w:p>
    <w:bookmarkEnd w:id="8"/>
    <w:p w14:paraId="3738583F" w14:textId="77777777" w:rsidR="00AA4C77" w:rsidRPr="004E7BD2" w:rsidRDefault="00AA4C77" w:rsidP="00F60459">
      <w:pPr>
        <w:spacing w:after="0"/>
        <w:rPr>
          <w:rFonts w:ascii="Garamond" w:hAnsi="Garamond"/>
          <w:lang w:val="en-GB"/>
        </w:rPr>
      </w:pPr>
    </w:p>
    <w:p w14:paraId="69F25B17" w14:textId="2E55809E" w:rsidR="00822AA7" w:rsidRPr="004E7BD2" w:rsidRDefault="004507C7" w:rsidP="00ED4292">
      <w:pPr>
        <w:spacing w:after="120"/>
        <w:rPr>
          <w:rFonts w:ascii="Garamond" w:hAnsi="Garamond"/>
          <w:sz w:val="28"/>
          <w:lang w:val="en-GB"/>
        </w:rPr>
      </w:pPr>
      <w:r w:rsidRPr="004E7BD2">
        <w:rPr>
          <w:rFonts w:ascii="Garamond" w:hAnsi="Garamond"/>
          <w:b/>
          <w:sz w:val="28"/>
          <w:lang w:val="en-GB"/>
        </w:rPr>
        <w:t xml:space="preserve">Conclusions </w:t>
      </w:r>
    </w:p>
    <w:p w14:paraId="76949BA9" w14:textId="77451450" w:rsidR="00996E84" w:rsidRPr="004E7BD2" w:rsidRDefault="00D85C80" w:rsidP="0046125D">
      <w:pPr>
        <w:jc w:val="both"/>
        <w:rPr>
          <w:rFonts w:ascii="Garamond" w:hAnsi="Garamond"/>
          <w:lang w:val="en-GB"/>
        </w:rPr>
      </w:pPr>
      <w:r w:rsidRPr="004E7BD2">
        <w:rPr>
          <w:rFonts w:ascii="Garamond" w:hAnsi="Garamond"/>
          <w:lang w:val="en-GB"/>
        </w:rPr>
        <w:t xml:space="preserve">This study has sought to understand how the crime drop experienced by the U.S. and Britain since the early 1990s impacted public </w:t>
      </w:r>
      <w:r w:rsidR="00545406">
        <w:rPr>
          <w:rFonts w:ascii="Garamond" w:hAnsi="Garamond"/>
          <w:lang w:val="en-GB"/>
        </w:rPr>
        <w:t>concern about</w:t>
      </w:r>
      <w:r w:rsidRPr="004E7BD2">
        <w:rPr>
          <w:rFonts w:ascii="Garamond" w:hAnsi="Garamond"/>
          <w:lang w:val="en-GB"/>
        </w:rPr>
        <w:t xml:space="preserve"> crime and support for punitive measures on crime</w:t>
      </w:r>
      <w:r w:rsidR="0046125D" w:rsidRPr="004E7BD2">
        <w:rPr>
          <w:rFonts w:ascii="Garamond" w:hAnsi="Garamond"/>
          <w:lang w:val="en-GB"/>
        </w:rPr>
        <w:t xml:space="preserve">. </w:t>
      </w:r>
      <w:r w:rsidRPr="004E7BD2">
        <w:rPr>
          <w:rFonts w:ascii="Garamond" w:hAnsi="Garamond"/>
          <w:lang w:val="en-GB"/>
        </w:rPr>
        <w:t>We have not sought to explain the crime drop</w:t>
      </w:r>
      <w:r w:rsidR="001C1808" w:rsidRPr="004E7BD2">
        <w:rPr>
          <w:rFonts w:ascii="Garamond" w:hAnsi="Garamond"/>
          <w:lang w:val="en-GB"/>
        </w:rPr>
        <w:t xml:space="preserve"> itself</w:t>
      </w:r>
      <w:r w:rsidRPr="004E7BD2">
        <w:rPr>
          <w:rFonts w:ascii="Garamond" w:hAnsi="Garamond"/>
          <w:lang w:val="en-GB"/>
        </w:rPr>
        <w:t>, a debate that is ongoing</w:t>
      </w:r>
      <w:r w:rsidR="0046125D" w:rsidRPr="004E7BD2">
        <w:rPr>
          <w:rFonts w:ascii="Garamond" w:hAnsi="Garamond"/>
          <w:lang w:val="en-GB"/>
        </w:rPr>
        <w:t xml:space="preserve"> (</w:t>
      </w:r>
      <w:r w:rsidR="00545406">
        <w:rPr>
          <w:rFonts w:ascii="Garamond" w:hAnsi="Garamond"/>
          <w:lang w:val="en-GB"/>
        </w:rPr>
        <w:t xml:space="preserve">e.g. </w:t>
      </w:r>
      <w:r w:rsidR="00545406" w:rsidRPr="00545406">
        <w:rPr>
          <w:rFonts w:ascii="Garamond" w:hAnsi="Garamond"/>
          <w:lang w:val="en-GB"/>
        </w:rPr>
        <w:t>van Dijk</w:t>
      </w:r>
      <w:r w:rsidR="00545406">
        <w:rPr>
          <w:rFonts w:ascii="Garamond" w:hAnsi="Garamond"/>
          <w:lang w:val="en-GB"/>
        </w:rPr>
        <w:t xml:space="preserve"> et al. 2012</w:t>
      </w:r>
      <w:r w:rsidR="00CB3C32">
        <w:rPr>
          <w:rFonts w:ascii="Garamond" w:hAnsi="Garamond"/>
          <w:lang w:val="en-GB"/>
        </w:rPr>
        <w:t>; Farrall 2017</w:t>
      </w:r>
      <w:r w:rsidR="0046125D" w:rsidRPr="004E7BD2">
        <w:rPr>
          <w:rFonts w:ascii="Garamond" w:hAnsi="Garamond"/>
          <w:lang w:val="en-GB"/>
        </w:rPr>
        <w:t>)</w:t>
      </w:r>
      <w:r w:rsidRPr="004E7BD2">
        <w:rPr>
          <w:rFonts w:ascii="Garamond" w:hAnsi="Garamond"/>
          <w:lang w:val="en-GB"/>
        </w:rPr>
        <w:t xml:space="preserve">, though it is interesting that </w:t>
      </w:r>
      <w:r w:rsidR="0046125D" w:rsidRPr="004E7BD2">
        <w:rPr>
          <w:rFonts w:ascii="Garamond" w:hAnsi="Garamond"/>
          <w:lang w:val="en-GB"/>
        </w:rPr>
        <w:t xml:space="preserve">the two countries </w:t>
      </w:r>
      <w:r w:rsidRPr="004E7BD2">
        <w:rPr>
          <w:rFonts w:ascii="Garamond" w:hAnsi="Garamond"/>
          <w:lang w:val="en-GB"/>
        </w:rPr>
        <w:t>have seen</w:t>
      </w:r>
      <w:r w:rsidR="0046125D" w:rsidRPr="004E7BD2">
        <w:rPr>
          <w:rFonts w:ascii="Garamond" w:hAnsi="Garamond"/>
          <w:lang w:val="en-GB"/>
        </w:rPr>
        <w:t xml:space="preserve"> such</w:t>
      </w:r>
      <w:r w:rsidRPr="004E7BD2">
        <w:rPr>
          <w:rFonts w:ascii="Garamond" w:hAnsi="Garamond"/>
          <w:lang w:val="en-GB"/>
        </w:rPr>
        <w:t xml:space="preserve"> parallel declines</w:t>
      </w:r>
      <w:r w:rsidR="001C1808" w:rsidRPr="004E7BD2">
        <w:rPr>
          <w:rFonts w:ascii="Garamond" w:hAnsi="Garamond"/>
          <w:lang w:val="en-GB"/>
        </w:rPr>
        <w:t xml:space="preserve"> in offending</w:t>
      </w:r>
      <w:r w:rsidR="000B0526" w:rsidRPr="004E7BD2">
        <w:rPr>
          <w:rFonts w:ascii="Garamond" w:hAnsi="Garamond"/>
          <w:lang w:val="en-GB"/>
        </w:rPr>
        <w:t xml:space="preserve"> in relative terms, if not absolutes.</w:t>
      </w:r>
      <w:r w:rsidR="00996E84" w:rsidRPr="004E7BD2">
        <w:rPr>
          <w:rFonts w:ascii="Garamond" w:hAnsi="Garamond"/>
          <w:lang w:val="en-GB"/>
        </w:rPr>
        <w:t xml:space="preserve"> And these parallel declines have occurred with property and violent crimes, and to a similar extent, homicides in both countries.</w:t>
      </w:r>
      <w:r w:rsidR="00582CB1">
        <w:rPr>
          <w:rFonts w:ascii="Garamond" w:hAnsi="Garamond"/>
          <w:lang w:val="en-GB"/>
        </w:rPr>
        <w:t xml:space="preserve"> Though in the British case, because of shifts in police reporting of violent crime, this decline is only fully evident when analysing victimization records.</w:t>
      </w:r>
      <w:r w:rsidR="000B0526" w:rsidRPr="004E7BD2">
        <w:rPr>
          <w:rFonts w:ascii="Garamond" w:hAnsi="Garamond"/>
          <w:lang w:val="en-GB"/>
        </w:rPr>
        <w:t xml:space="preserve"> This is despite significant differences in social and economic context (not least in terms of the </w:t>
      </w:r>
      <w:r w:rsidR="00CB3C32">
        <w:rPr>
          <w:rFonts w:ascii="Garamond" w:hAnsi="Garamond"/>
          <w:lang w:val="en-GB"/>
        </w:rPr>
        <w:t>welfare system</w:t>
      </w:r>
      <w:r w:rsidR="000B0526" w:rsidRPr="004E7BD2">
        <w:rPr>
          <w:rFonts w:ascii="Garamond" w:hAnsi="Garamond"/>
          <w:lang w:val="en-GB"/>
        </w:rPr>
        <w:t>), the nature of policing and the carceral system</w:t>
      </w:r>
      <w:r w:rsidR="001C1808" w:rsidRPr="004E7BD2">
        <w:rPr>
          <w:rFonts w:ascii="Garamond" w:hAnsi="Garamond"/>
          <w:lang w:val="en-GB"/>
        </w:rPr>
        <w:t xml:space="preserve">. </w:t>
      </w:r>
    </w:p>
    <w:p w14:paraId="7A4BD1D9" w14:textId="7D5054A0" w:rsidR="00D85C80" w:rsidRPr="004E7BD2" w:rsidRDefault="001C1808" w:rsidP="0046125D">
      <w:pPr>
        <w:jc w:val="both"/>
        <w:rPr>
          <w:rFonts w:ascii="Garamond" w:hAnsi="Garamond"/>
          <w:lang w:val="en-GB"/>
        </w:rPr>
      </w:pPr>
      <w:r w:rsidRPr="004E7BD2">
        <w:rPr>
          <w:rFonts w:ascii="Garamond" w:hAnsi="Garamond"/>
          <w:lang w:val="en-GB"/>
        </w:rPr>
        <w:t xml:space="preserve">We have shown that in England and Wales the public recognized falling rates of crime, reflected in decreased </w:t>
      </w:r>
      <w:r w:rsidR="00337644">
        <w:rPr>
          <w:rFonts w:ascii="Garamond" w:hAnsi="Garamond"/>
          <w:lang w:val="en-GB"/>
        </w:rPr>
        <w:t>concern about</w:t>
      </w:r>
      <w:r w:rsidRPr="004E7BD2">
        <w:rPr>
          <w:rFonts w:ascii="Garamond" w:hAnsi="Garamond"/>
          <w:lang w:val="en-GB"/>
        </w:rPr>
        <w:t xml:space="preserve"> crime, while the correspondence is considerably weaker for the U.S. – based on original measures of public opinion that are estimated using thousands of survey items. In contrast, the public’s support for punitive measures on crime in the U.S. is highly responsive to both recorded crime and </w:t>
      </w:r>
      <w:r w:rsidR="0041286C" w:rsidRPr="004E7BD2">
        <w:rPr>
          <w:rFonts w:ascii="Garamond" w:hAnsi="Garamond"/>
          <w:lang w:val="en-GB"/>
        </w:rPr>
        <w:t>victimisation</w:t>
      </w:r>
      <w:r w:rsidRPr="004E7BD2">
        <w:rPr>
          <w:rFonts w:ascii="Garamond" w:hAnsi="Garamond"/>
          <w:lang w:val="en-GB"/>
        </w:rPr>
        <w:t xml:space="preserve"> rates while in England and Wales </w:t>
      </w:r>
      <w:r w:rsidR="009605A0">
        <w:rPr>
          <w:rFonts w:ascii="Garamond" w:hAnsi="Garamond"/>
          <w:lang w:val="en-GB"/>
        </w:rPr>
        <w:t>there is similar responsiveness with the exception of recorded</w:t>
      </w:r>
      <w:r w:rsidR="003834A4" w:rsidRPr="004E7BD2">
        <w:rPr>
          <w:rFonts w:ascii="Garamond" w:hAnsi="Garamond"/>
          <w:lang w:val="en-GB"/>
        </w:rPr>
        <w:t xml:space="preserve"> violent crime. That publi</w:t>
      </w:r>
      <w:r w:rsidR="009605A0">
        <w:rPr>
          <w:rFonts w:ascii="Garamond" w:hAnsi="Garamond"/>
          <w:lang w:val="en-GB"/>
        </w:rPr>
        <w:t>c support</w:t>
      </w:r>
      <w:r w:rsidR="003834A4" w:rsidRPr="004E7BD2">
        <w:rPr>
          <w:rFonts w:ascii="Garamond" w:hAnsi="Garamond"/>
          <w:lang w:val="en-GB"/>
        </w:rPr>
        <w:t xml:space="preserve"> for tougher action on crime is not responsive to recorded </w:t>
      </w:r>
      <w:r w:rsidR="00CB3C32">
        <w:rPr>
          <w:rFonts w:ascii="Garamond" w:hAnsi="Garamond"/>
          <w:lang w:val="en-GB"/>
        </w:rPr>
        <w:t xml:space="preserve">violent </w:t>
      </w:r>
      <w:r w:rsidR="003834A4" w:rsidRPr="004E7BD2">
        <w:rPr>
          <w:rFonts w:ascii="Garamond" w:hAnsi="Garamond"/>
          <w:lang w:val="en-GB"/>
        </w:rPr>
        <w:t>crime rates</w:t>
      </w:r>
      <w:r w:rsidR="00CB3C32">
        <w:rPr>
          <w:rFonts w:ascii="Garamond" w:hAnsi="Garamond"/>
          <w:lang w:val="en-GB"/>
        </w:rPr>
        <w:t xml:space="preserve"> in England and Wales</w:t>
      </w:r>
      <w:r w:rsidR="003834A4" w:rsidRPr="004E7BD2">
        <w:rPr>
          <w:rFonts w:ascii="Garamond" w:hAnsi="Garamond"/>
          <w:lang w:val="en-GB"/>
        </w:rPr>
        <w:t xml:space="preserve"> is not surprising when one considers that counting practices for </w:t>
      </w:r>
      <w:r w:rsidR="00CB3C32">
        <w:rPr>
          <w:rFonts w:ascii="Garamond" w:hAnsi="Garamond"/>
          <w:lang w:val="en-GB"/>
        </w:rPr>
        <w:t xml:space="preserve">police </w:t>
      </w:r>
      <w:r w:rsidR="003834A4" w:rsidRPr="004E7BD2">
        <w:rPr>
          <w:rFonts w:ascii="Garamond" w:hAnsi="Garamond"/>
          <w:lang w:val="en-GB"/>
        </w:rPr>
        <w:t xml:space="preserve">recorded crime statistics have been subject to a number of significant changes during this period, which have led the recorded rate of violent crime (and total crime) to diverge significantly from </w:t>
      </w:r>
      <w:r w:rsidR="0041286C" w:rsidRPr="004E7BD2">
        <w:rPr>
          <w:rFonts w:ascii="Garamond" w:hAnsi="Garamond"/>
          <w:lang w:val="en-GB"/>
        </w:rPr>
        <w:t>victimisation</w:t>
      </w:r>
      <w:r w:rsidR="003834A4" w:rsidRPr="004E7BD2">
        <w:rPr>
          <w:rFonts w:ascii="Garamond" w:hAnsi="Garamond"/>
          <w:lang w:val="en-GB"/>
        </w:rPr>
        <w:t xml:space="preserve"> measures.</w:t>
      </w:r>
      <w:r w:rsidR="00291243" w:rsidRPr="004E7BD2">
        <w:rPr>
          <w:rFonts w:ascii="Garamond" w:hAnsi="Garamond"/>
          <w:lang w:val="en-GB"/>
        </w:rPr>
        <w:t xml:space="preserve"> This finding is notable in that it suggests that public concern about crime do</w:t>
      </w:r>
      <w:r w:rsidR="00A801E6">
        <w:rPr>
          <w:rFonts w:ascii="Garamond" w:hAnsi="Garamond"/>
          <w:lang w:val="en-GB"/>
        </w:rPr>
        <w:t>es</w:t>
      </w:r>
      <w:r w:rsidR="00291243" w:rsidRPr="004E7BD2">
        <w:rPr>
          <w:rFonts w:ascii="Garamond" w:hAnsi="Garamond"/>
          <w:lang w:val="en-GB"/>
        </w:rPr>
        <w:t xml:space="preserve"> not just stem from the </w:t>
      </w:r>
      <w:r w:rsidR="00CB3C32">
        <w:rPr>
          <w:rFonts w:ascii="Garamond" w:hAnsi="Garamond"/>
          <w:lang w:val="en-GB"/>
        </w:rPr>
        <w:t xml:space="preserve">official </w:t>
      </w:r>
      <w:r w:rsidR="009605A0">
        <w:rPr>
          <w:rFonts w:ascii="Garamond" w:hAnsi="Garamond"/>
          <w:lang w:val="en-GB"/>
        </w:rPr>
        <w:t xml:space="preserve">publication, </w:t>
      </w:r>
      <w:r w:rsidR="00A801E6">
        <w:rPr>
          <w:rFonts w:ascii="Garamond" w:hAnsi="Garamond"/>
          <w:lang w:val="en-GB"/>
        </w:rPr>
        <w:t xml:space="preserve">or </w:t>
      </w:r>
      <w:r w:rsidR="00CB3C32">
        <w:rPr>
          <w:rFonts w:ascii="Garamond" w:hAnsi="Garamond"/>
          <w:lang w:val="en-GB"/>
        </w:rPr>
        <w:t xml:space="preserve">media </w:t>
      </w:r>
      <w:r w:rsidR="009605A0">
        <w:rPr>
          <w:rFonts w:ascii="Garamond" w:hAnsi="Garamond"/>
          <w:lang w:val="en-GB"/>
        </w:rPr>
        <w:t>reporting</w:t>
      </w:r>
      <w:r w:rsidR="00291243" w:rsidRPr="004E7BD2">
        <w:rPr>
          <w:rFonts w:ascii="Garamond" w:hAnsi="Garamond"/>
          <w:lang w:val="en-GB"/>
        </w:rPr>
        <w:t xml:space="preserve"> of recorded crime statistics (which can mislead about the underlying trend in crime), but instead from societal experience of crime. </w:t>
      </w:r>
    </w:p>
    <w:p w14:paraId="30159F9E" w14:textId="4E86B65C" w:rsidR="00355D79" w:rsidRPr="004E7BD2" w:rsidRDefault="009605A0">
      <w:pPr>
        <w:jc w:val="both"/>
        <w:rPr>
          <w:rFonts w:ascii="Garamond" w:hAnsi="Garamond"/>
          <w:lang w:val="en-GB"/>
        </w:rPr>
      </w:pPr>
      <w:r>
        <w:rPr>
          <w:rFonts w:ascii="Garamond" w:hAnsi="Garamond"/>
          <w:lang w:val="en-GB"/>
        </w:rPr>
        <w:lastRenderedPageBreak/>
        <w:t>O</w:t>
      </w:r>
      <w:r w:rsidR="00355D79" w:rsidRPr="004E7BD2">
        <w:rPr>
          <w:rFonts w:ascii="Garamond" w:hAnsi="Garamond"/>
          <w:lang w:val="en-GB"/>
        </w:rPr>
        <w:t xml:space="preserve">ne lesson from our analysis is that </w:t>
      </w:r>
      <w:r w:rsidR="002F0BDF" w:rsidRPr="004E7BD2">
        <w:rPr>
          <w:rFonts w:ascii="Garamond" w:hAnsi="Garamond"/>
          <w:lang w:val="en-GB"/>
        </w:rPr>
        <w:t xml:space="preserve">even across </w:t>
      </w:r>
      <w:r w:rsidR="00AF5526" w:rsidRPr="004E7BD2">
        <w:rPr>
          <w:rFonts w:ascii="Garamond" w:hAnsi="Garamond"/>
          <w:lang w:val="en-GB"/>
        </w:rPr>
        <w:t xml:space="preserve">countries </w:t>
      </w:r>
      <w:r w:rsidR="00CB3C32">
        <w:rPr>
          <w:rFonts w:ascii="Garamond" w:hAnsi="Garamond"/>
          <w:lang w:val="en-GB"/>
        </w:rPr>
        <w:t>subject to distinct</w:t>
      </w:r>
      <w:r w:rsidR="00AF5526" w:rsidRPr="004E7BD2">
        <w:rPr>
          <w:rFonts w:ascii="Garamond" w:hAnsi="Garamond"/>
          <w:lang w:val="en-GB"/>
        </w:rPr>
        <w:t xml:space="preserve"> economic and political conditions</w:t>
      </w:r>
      <w:r w:rsidR="00CB3C32">
        <w:rPr>
          <w:rFonts w:ascii="Garamond" w:hAnsi="Garamond"/>
          <w:lang w:val="en-GB"/>
        </w:rPr>
        <w:t xml:space="preserve"> – </w:t>
      </w:r>
      <w:r w:rsidR="00AF5526" w:rsidRPr="004E7BD2">
        <w:rPr>
          <w:rFonts w:ascii="Garamond" w:hAnsi="Garamond"/>
          <w:lang w:val="en-GB"/>
        </w:rPr>
        <w:t>and</w:t>
      </w:r>
      <w:r w:rsidR="00CB3C32">
        <w:rPr>
          <w:rFonts w:ascii="Garamond" w:hAnsi="Garamond"/>
          <w:lang w:val="en-GB"/>
        </w:rPr>
        <w:t xml:space="preserve"> </w:t>
      </w:r>
      <w:r w:rsidR="00AF5526" w:rsidRPr="004E7BD2">
        <w:rPr>
          <w:rFonts w:ascii="Garamond" w:hAnsi="Garamond"/>
          <w:lang w:val="en-GB"/>
        </w:rPr>
        <w:t>very different legal systems</w:t>
      </w:r>
      <w:r w:rsidR="00CB3C32">
        <w:rPr>
          <w:rFonts w:ascii="Garamond" w:hAnsi="Garamond"/>
          <w:lang w:val="en-GB"/>
        </w:rPr>
        <w:t xml:space="preserve"> – </w:t>
      </w:r>
      <w:r w:rsidR="00AF5526" w:rsidRPr="004E7BD2">
        <w:rPr>
          <w:rFonts w:ascii="Garamond" w:hAnsi="Garamond"/>
          <w:lang w:val="en-GB"/>
        </w:rPr>
        <w:t>crime</w:t>
      </w:r>
      <w:r w:rsidR="00CB3C32">
        <w:rPr>
          <w:rFonts w:ascii="Garamond" w:hAnsi="Garamond"/>
          <w:lang w:val="en-GB"/>
        </w:rPr>
        <w:t xml:space="preserve"> </w:t>
      </w:r>
      <w:r w:rsidR="00AF5526" w:rsidRPr="004E7BD2">
        <w:rPr>
          <w:rFonts w:ascii="Garamond" w:hAnsi="Garamond"/>
          <w:lang w:val="en-GB"/>
        </w:rPr>
        <w:t>can shift in similar ways across decades. A second less</w:t>
      </w:r>
      <w:r w:rsidR="00CB3C32">
        <w:rPr>
          <w:rFonts w:ascii="Garamond" w:hAnsi="Garamond"/>
          <w:lang w:val="en-GB"/>
        </w:rPr>
        <w:t>on</w:t>
      </w:r>
      <w:r w:rsidR="00AF5526" w:rsidRPr="004E7BD2">
        <w:rPr>
          <w:rFonts w:ascii="Garamond" w:hAnsi="Garamond"/>
          <w:lang w:val="en-GB"/>
        </w:rPr>
        <w:t xml:space="preserve"> is that </w:t>
      </w:r>
      <w:r w:rsidR="00355D79" w:rsidRPr="004E7BD2">
        <w:rPr>
          <w:rFonts w:ascii="Garamond" w:hAnsi="Garamond"/>
          <w:lang w:val="en-GB"/>
        </w:rPr>
        <w:t>when seeking to understand public responses to shifting crime rates, if victimisation rates and police data diverge, at least in recent decades, victimi</w:t>
      </w:r>
      <w:r w:rsidR="004E7BD2">
        <w:rPr>
          <w:rFonts w:ascii="Garamond" w:hAnsi="Garamond"/>
          <w:lang w:val="en-GB"/>
        </w:rPr>
        <w:t>s</w:t>
      </w:r>
      <w:r w:rsidR="00355D79" w:rsidRPr="004E7BD2">
        <w:rPr>
          <w:rFonts w:ascii="Garamond" w:hAnsi="Garamond"/>
          <w:lang w:val="en-GB"/>
        </w:rPr>
        <w:t xml:space="preserve">ation data should be used. A </w:t>
      </w:r>
      <w:r w:rsidR="00AF5526" w:rsidRPr="004E7BD2">
        <w:rPr>
          <w:rFonts w:ascii="Garamond" w:hAnsi="Garamond"/>
          <w:lang w:val="en-GB"/>
        </w:rPr>
        <w:t>third</w:t>
      </w:r>
      <w:r w:rsidR="00CB3C32">
        <w:rPr>
          <w:rFonts w:ascii="Garamond" w:hAnsi="Garamond"/>
          <w:lang w:val="en-GB"/>
        </w:rPr>
        <w:t xml:space="preserve"> and final</w:t>
      </w:r>
      <w:r w:rsidR="00355D79" w:rsidRPr="004E7BD2">
        <w:rPr>
          <w:rFonts w:ascii="Garamond" w:hAnsi="Garamond"/>
          <w:lang w:val="en-GB"/>
        </w:rPr>
        <w:t xml:space="preserve"> lesson is that </w:t>
      </w:r>
      <w:r w:rsidR="00CB3C32">
        <w:rPr>
          <w:rFonts w:ascii="Garamond" w:hAnsi="Garamond"/>
          <w:lang w:val="en-GB"/>
        </w:rPr>
        <w:t xml:space="preserve">public </w:t>
      </w:r>
      <w:r w:rsidR="00355D79" w:rsidRPr="004E7BD2">
        <w:rPr>
          <w:rFonts w:ascii="Garamond" w:hAnsi="Garamond"/>
          <w:lang w:val="en-GB"/>
        </w:rPr>
        <w:t xml:space="preserve">concern </w:t>
      </w:r>
      <w:r w:rsidR="00CB3C32">
        <w:rPr>
          <w:rFonts w:ascii="Garamond" w:hAnsi="Garamond"/>
          <w:lang w:val="en-GB"/>
        </w:rPr>
        <w:t>about</w:t>
      </w:r>
      <w:r w:rsidR="00355D79" w:rsidRPr="004E7BD2">
        <w:rPr>
          <w:rFonts w:ascii="Garamond" w:hAnsi="Garamond"/>
          <w:lang w:val="en-GB"/>
        </w:rPr>
        <w:t xml:space="preserve"> crime and punitive attitudes are not </w:t>
      </w:r>
      <w:r>
        <w:rPr>
          <w:rFonts w:ascii="Garamond" w:hAnsi="Garamond"/>
          <w:lang w:val="en-GB"/>
        </w:rPr>
        <w:t>necessarily equivalent</w:t>
      </w:r>
      <w:r w:rsidR="00355D79" w:rsidRPr="004E7BD2">
        <w:rPr>
          <w:rFonts w:ascii="Garamond" w:hAnsi="Garamond"/>
          <w:lang w:val="en-GB"/>
        </w:rPr>
        <w:t xml:space="preserve">, and these </w:t>
      </w:r>
      <w:r w:rsidR="00CB3C32">
        <w:rPr>
          <w:rFonts w:ascii="Garamond" w:hAnsi="Garamond"/>
          <w:lang w:val="en-GB"/>
        </w:rPr>
        <w:t>measures</w:t>
      </w:r>
      <w:r w:rsidR="00355D79" w:rsidRPr="004E7BD2">
        <w:rPr>
          <w:rFonts w:ascii="Garamond" w:hAnsi="Garamond"/>
          <w:lang w:val="en-GB"/>
        </w:rPr>
        <w:t xml:space="preserve"> relate to crime differently in the </w:t>
      </w:r>
      <w:r>
        <w:rPr>
          <w:rFonts w:ascii="Garamond" w:hAnsi="Garamond"/>
          <w:lang w:val="en-GB"/>
        </w:rPr>
        <w:t>U.S.</w:t>
      </w:r>
      <w:r w:rsidR="00355D79" w:rsidRPr="004E7BD2">
        <w:rPr>
          <w:rFonts w:ascii="Garamond" w:hAnsi="Garamond"/>
          <w:lang w:val="en-GB"/>
        </w:rPr>
        <w:t xml:space="preserve"> and Britain. While </w:t>
      </w:r>
      <w:r w:rsidR="00CB3C32">
        <w:rPr>
          <w:rFonts w:ascii="Garamond" w:hAnsi="Garamond"/>
          <w:lang w:val="en-GB"/>
        </w:rPr>
        <w:t>explaining the reasons for</w:t>
      </w:r>
      <w:r w:rsidR="00355D79" w:rsidRPr="004E7BD2">
        <w:rPr>
          <w:rFonts w:ascii="Garamond" w:hAnsi="Garamond"/>
          <w:lang w:val="en-GB"/>
        </w:rPr>
        <w:t xml:space="preserve"> th</w:t>
      </w:r>
      <w:r w:rsidR="00CB3C32">
        <w:rPr>
          <w:rFonts w:ascii="Garamond" w:hAnsi="Garamond"/>
          <w:lang w:val="en-GB"/>
        </w:rPr>
        <w:t>is</w:t>
      </w:r>
      <w:r w:rsidR="00355D79" w:rsidRPr="004E7BD2">
        <w:rPr>
          <w:rFonts w:ascii="Garamond" w:hAnsi="Garamond"/>
          <w:lang w:val="en-GB"/>
        </w:rPr>
        <w:t xml:space="preserve"> difference </w:t>
      </w:r>
      <w:r>
        <w:rPr>
          <w:rFonts w:ascii="Garamond" w:hAnsi="Garamond"/>
          <w:lang w:val="en-GB"/>
        </w:rPr>
        <w:t>is</w:t>
      </w:r>
      <w:r w:rsidRPr="004E7BD2">
        <w:rPr>
          <w:rFonts w:ascii="Garamond" w:hAnsi="Garamond"/>
          <w:lang w:val="en-GB"/>
        </w:rPr>
        <w:t xml:space="preserve"> </w:t>
      </w:r>
      <w:r w:rsidR="00355D79" w:rsidRPr="004E7BD2">
        <w:rPr>
          <w:rFonts w:ascii="Garamond" w:hAnsi="Garamond"/>
          <w:lang w:val="en-GB"/>
        </w:rPr>
        <w:t xml:space="preserve">beyond the scope of this paper, </w:t>
      </w:r>
      <w:r w:rsidR="00CB3C32">
        <w:rPr>
          <w:rFonts w:ascii="Garamond" w:hAnsi="Garamond"/>
          <w:lang w:val="en-GB"/>
        </w:rPr>
        <w:t xml:space="preserve">it sheds some light on </w:t>
      </w:r>
      <w:r w:rsidR="00355D79" w:rsidRPr="004E7BD2">
        <w:rPr>
          <w:rFonts w:ascii="Garamond" w:hAnsi="Garamond"/>
          <w:lang w:val="en-GB"/>
        </w:rPr>
        <w:t>conflicting accounts of the crime-public opinion relationship. Those studying</w:t>
      </w:r>
      <w:r w:rsidR="00CB3C32">
        <w:rPr>
          <w:rFonts w:ascii="Garamond" w:hAnsi="Garamond"/>
          <w:lang w:val="en-GB"/>
        </w:rPr>
        <w:t xml:space="preserve"> public</w:t>
      </w:r>
      <w:r w:rsidR="00355D79" w:rsidRPr="004E7BD2">
        <w:rPr>
          <w:rFonts w:ascii="Garamond" w:hAnsi="Garamond"/>
          <w:lang w:val="en-GB"/>
        </w:rPr>
        <w:t xml:space="preserve"> concern </w:t>
      </w:r>
      <w:r w:rsidR="00CB3C32">
        <w:rPr>
          <w:rFonts w:ascii="Garamond" w:hAnsi="Garamond"/>
          <w:lang w:val="en-GB"/>
        </w:rPr>
        <w:t>about</w:t>
      </w:r>
      <w:r w:rsidR="00355D79" w:rsidRPr="004E7BD2">
        <w:rPr>
          <w:rFonts w:ascii="Garamond" w:hAnsi="Garamond"/>
          <w:lang w:val="en-GB"/>
        </w:rPr>
        <w:t xml:space="preserve"> crime will</w:t>
      </w:r>
      <w:r w:rsidR="00CB3C32">
        <w:rPr>
          <w:rFonts w:ascii="Garamond" w:hAnsi="Garamond"/>
          <w:lang w:val="en-GB"/>
        </w:rPr>
        <w:t xml:space="preserve"> tend to</w:t>
      </w:r>
      <w:r w:rsidR="00355D79" w:rsidRPr="004E7BD2">
        <w:rPr>
          <w:rFonts w:ascii="Garamond" w:hAnsi="Garamond"/>
          <w:lang w:val="en-GB"/>
        </w:rPr>
        <w:t xml:space="preserve"> reach different conclusions than those studying public support for punitive policies when the two series diverge, as they do </w:t>
      </w:r>
      <w:r w:rsidR="00CB3C32">
        <w:rPr>
          <w:rFonts w:ascii="Garamond" w:hAnsi="Garamond"/>
          <w:lang w:val="en-GB"/>
        </w:rPr>
        <w:t>during</w:t>
      </w:r>
      <w:r w:rsidR="00355D79" w:rsidRPr="004E7BD2">
        <w:rPr>
          <w:rFonts w:ascii="Garamond" w:hAnsi="Garamond"/>
          <w:lang w:val="en-GB"/>
        </w:rPr>
        <w:t xml:space="preserve"> </w:t>
      </w:r>
      <w:r w:rsidR="00CB3C32">
        <w:rPr>
          <w:rFonts w:ascii="Garamond" w:hAnsi="Garamond"/>
          <w:lang w:val="en-GB"/>
        </w:rPr>
        <w:t>the period</w:t>
      </w:r>
      <w:r w:rsidR="00355D79" w:rsidRPr="004E7BD2">
        <w:rPr>
          <w:rFonts w:ascii="Garamond" w:hAnsi="Garamond"/>
          <w:lang w:val="en-GB"/>
        </w:rPr>
        <w:t xml:space="preserve"> of</w:t>
      </w:r>
      <w:r w:rsidR="00CB3C32">
        <w:rPr>
          <w:rFonts w:ascii="Garamond" w:hAnsi="Garamond"/>
          <w:lang w:val="en-GB"/>
        </w:rPr>
        <w:t xml:space="preserve"> our</w:t>
      </w:r>
      <w:r w:rsidR="00355D79" w:rsidRPr="004E7BD2">
        <w:rPr>
          <w:rFonts w:ascii="Garamond" w:hAnsi="Garamond"/>
          <w:lang w:val="en-GB"/>
        </w:rPr>
        <w:t xml:space="preserve"> analysis.</w:t>
      </w:r>
      <w:r w:rsidR="00582CB1">
        <w:rPr>
          <w:rFonts w:ascii="Garamond" w:hAnsi="Garamond"/>
          <w:lang w:val="en-GB"/>
        </w:rPr>
        <w:t xml:space="preserve"> In the U.S. context, punitive attitudes are strongly related to criminal justice policy and outcomes (Enns 2014; Enns 2016), so the connection between falling crime rates and declining punitiveness is particularly important.</w:t>
      </w:r>
      <w:r w:rsidR="00355D79" w:rsidRPr="004E7BD2">
        <w:rPr>
          <w:rFonts w:ascii="Garamond" w:hAnsi="Garamond"/>
          <w:lang w:val="en-GB"/>
        </w:rPr>
        <w:t xml:space="preserve"> </w:t>
      </w:r>
    </w:p>
    <w:p w14:paraId="77B408A0" w14:textId="210EC9E1" w:rsidR="009605A0" w:rsidRDefault="009605A0" w:rsidP="00F60459">
      <w:pPr>
        <w:jc w:val="both"/>
        <w:rPr>
          <w:rFonts w:ascii="Garamond" w:hAnsi="Garamond"/>
          <w:lang w:val="en-GB"/>
        </w:rPr>
      </w:pPr>
      <w:r>
        <w:rPr>
          <w:rFonts w:ascii="Garamond" w:hAnsi="Garamond"/>
          <w:lang w:val="en-GB"/>
        </w:rPr>
        <w:t xml:space="preserve">By </w:t>
      </w:r>
      <w:r w:rsidR="00582CB1">
        <w:rPr>
          <w:rFonts w:ascii="Garamond" w:hAnsi="Garamond"/>
          <w:lang w:val="en-GB"/>
        </w:rPr>
        <w:t xml:space="preserve">developing and </w:t>
      </w:r>
      <w:r>
        <w:rPr>
          <w:rFonts w:ascii="Garamond" w:hAnsi="Garamond"/>
          <w:lang w:val="en-GB"/>
        </w:rPr>
        <w:t xml:space="preserve">extending measures of crime concern and punitive attitudes, we have </w:t>
      </w:r>
      <w:r w:rsidR="00582CB1">
        <w:rPr>
          <w:rFonts w:ascii="Garamond" w:hAnsi="Garamond"/>
          <w:lang w:val="en-GB"/>
        </w:rPr>
        <w:t xml:space="preserve">also </w:t>
      </w:r>
      <w:r>
        <w:rPr>
          <w:rFonts w:ascii="Garamond" w:hAnsi="Garamond"/>
          <w:lang w:val="en-GB"/>
        </w:rPr>
        <w:t>offered a novel perspective on the response of public opinion in America and Britain to falling crime rates since the 1990s</w:t>
      </w:r>
      <w:r w:rsidR="008528BB">
        <w:rPr>
          <w:rFonts w:ascii="Garamond" w:hAnsi="Garamond"/>
          <w:lang w:val="en-GB"/>
        </w:rPr>
        <w:t xml:space="preserve"> – making the important distinction between responsiveness to recorded crime and victimisation</w:t>
      </w:r>
      <w:r>
        <w:rPr>
          <w:rFonts w:ascii="Garamond" w:hAnsi="Garamond"/>
          <w:lang w:val="en-GB"/>
        </w:rPr>
        <w:t xml:space="preserve">. </w:t>
      </w:r>
      <w:r w:rsidR="008528BB">
        <w:rPr>
          <w:rFonts w:ascii="Garamond" w:hAnsi="Garamond"/>
          <w:lang w:val="en-GB"/>
        </w:rPr>
        <w:t xml:space="preserve">We believe there is potential for further application of our approach, both in terms of the method proposed for estimating over-time public opinion towards crime and in its comparison of recorded crime and victimisation data. Further there remains potential for exploring how public responsiveness differs between different subgroups (e.g. between low and high income populations, or between younger and older people). For example, does public responsiveness to crime rates reflect a general tendency or is it a function of responsiveness of groups who are more exposed to crime? Lastly, </w:t>
      </w:r>
      <w:r w:rsidR="00582CB1">
        <w:rPr>
          <w:rFonts w:ascii="Garamond" w:hAnsi="Garamond"/>
          <w:lang w:val="en-GB"/>
        </w:rPr>
        <w:t xml:space="preserve">given the importance of victimization on public attitudes, </w:t>
      </w:r>
      <w:r w:rsidR="008528BB">
        <w:rPr>
          <w:rFonts w:ascii="Garamond" w:hAnsi="Garamond"/>
          <w:lang w:val="en-GB"/>
        </w:rPr>
        <w:t>what is the role of media coverage of crime in mediating public responsiveness?</w:t>
      </w:r>
    </w:p>
    <w:p w14:paraId="513FC1E5" w14:textId="1D05CA2E" w:rsidR="00AF5526" w:rsidRPr="004E7BD2" w:rsidRDefault="00AF5526" w:rsidP="00D9668C">
      <w:pPr>
        <w:jc w:val="both"/>
        <w:rPr>
          <w:rFonts w:ascii="Garamond" w:hAnsi="Garamond"/>
          <w:lang w:val="en-GB"/>
        </w:rPr>
      </w:pPr>
      <w:r w:rsidRPr="004E7BD2">
        <w:rPr>
          <w:rFonts w:ascii="Garamond" w:hAnsi="Garamond"/>
          <w:lang w:val="en-GB"/>
        </w:rPr>
        <w:t>This research also holds implications for reforming the criminal legal system in these countries. First, despite somewhat different trajectories, concern with crime and support for tough on crime policies have declined substantially since the crime apex in the early 1990s.</w:t>
      </w:r>
      <w:r w:rsidR="00D803D3">
        <w:rPr>
          <w:rFonts w:ascii="Garamond" w:hAnsi="Garamond"/>
          <w:lang w:val="en-GB"/>
        </w:rPr>
        <w:t xml:space="preserve"> Enns (2016) has shown that in the U.S., </w:t>
      </w:r>
      <w:r w:rsidR="006C5125">
        <w:rPr>
          <w:rFonts w:ascii="Garamond" w:hAnsi="Garamond"/>
          <w:lang w:val="en-GB"/>
        </w:rPr>
        <w:t xml:space="preserve">the decline in punitiveness has led to some </w:t>
      </w:r>
      <w:r w:rsidR="0044707A">
        <w:rPr>
          <w:rFonts w:ascii="Garamond" w:hAnsi="Garamond"/>
          <w:lang w:val="en-GB"/>
        </w:rPr>
        <w:t xml:space="preserve">corresponding </w:t>
      </w:r>
      <w:r w:rsidR="006C5125">
        <w:rPr>
          <w:rFonts w:ascii="Garamond" w:hAnsi="Garamond"/>
          <w:lang w:val="en-GB"/>
        </w:rPr>
        <w:t xml:space="preserve">shifts in the legal system </w:t>
      </w:r>
      <w:r w:rsidR="00D803D3">
        <w:rPr>
          <w:rFonts w:ascii="Garamond" w:hAnsi="Garamond"/>
          <w:lang w:val="en-GB"/>
        </w:rPr>
        <w:t>(</w:t>
      </w:r>
      <w:r w:rsidR="0044707A">
        <w:rPr>
          <w:rFonts w:ascii="Garamond" w:hAnsi="Garamond"/>
          <w:lang w:val="en-GB"/>
        </w:rPr>
        <w:t>e.g.,</w:t>
      </w:r>
      <w:r w:rsidR="006C5125">
        <w:rPr>
          <w:rFonts w:ascii="Garamond" w:hAnsi="Garamond"/>
          <w:lang w:val="en-GB"/>
        </w:rPr>
        <w:t xml:space="preserve"> </w:t>
      </w:r>
      <w:r w:rsidR="0044707A">
        <w:rPr>
          <w:rFonts w:ascii="Garamond" w:hAnsi="Garamond"/>
          <w:lang w:val="en-GB"/>
        </w:rPr>
        <w:t xml:space="preserve">Baumgartner, De </w:t>
      </w:r>
      <w:proofErr w:type="spellStart"/>
      <w:r w:rsidR="0044707A">
        <w:rPr>
          <w:rFonts w:ascii="Garamond" w:hAnsi="Garamond"/>
          <w:lang w:val="en-GB"/>
        </w:rPr>
        <w:t>Boef</w:t>
      </w:r>
      <w:proofErr w:type="spellEnd"/>
      <w:r w:rsidR="0044707A">
        <w:rPr>
          <w:rFonts w:ascii="Garamond" w:hAnsi="Garamond"/>
          <w:lang w:val="en-GB"/>
        </w:rPr>
        <w:t xml:space="preserve">, and </w:t>
      </w:r>
      <w:proofErr w:type="spellStart"/>
      <w:r w:rsidR="0044707A">
        <w:rPr>
          <w:rFonts w:ascii="Garamond" w:hAnsi="Garamond"/>
          <w:lang w:val="en-GB"/>
        </w:rPr>
        <w:t>Boydstun</w:t>
      </w:r>
      <w:proofErr w:type="spellEnd"/>
      <w:r w:rsidR="0044707A">
        <w:rPr>
          <w:rFonts w:ascii="Garamond" w:hAnsi="Garamond"/>
          <w:lang w:val="en-GB"/>
        </w:rPr>
        <w:t xml:space="preserve"> 2008; </w:t>
      </w:r>
      <w:bookmarkStart w:id="9" w:name="_Hlk92473471"/>
      <w:proofErr w:type="spellStart"/>
      <w:r w:rsidR="006C5125">
        <w:rPr>
          <w:rFonts w:ascii="Garamond" w:hAnsi="Garamond"/>
          <w:lang w:val="en-GB"/>
        </w:rPr>
        <w:t>Karstedt</w:t>
      </w:r>
      <w:proofErr w:type="spellEnd"/>
      <w:r w:rsidR="006C5125">
        <w:rPr>
          <w:rFonts w:ascii="Garamond" w:hAnsi="Garamond"/>
          <w:lang w:val="en-GB"/>
        </w:rPr>
        <w:t>, Bergin, and Koch 2019</w:t>
      </w:r>
      <w:bookmarkEnd w:id="9"/>
      <w:r w:rsidR="009F489F">
        <w:rPr>
          <w:rFonts w:ascii="Garamond" w:hAnsi="Garamond"/>
          <w:lang w:val="en-GB"/>
        </w:rPr>
        <w:t>). Similar shifts have occurred in the UK (</w:t>
      </w:r>
      <w:r w:rsidR="00D271BD">
        <w:rPr>
          <w:rFonts w:ascii="Garamond" w:hAnsi="Garamond"/>
          <w:lang w:val="en-GB"/>
        </w:rPr>
        <w:t>Jennings, Farrall, Gray, and Hay 2017</w:t>
      </w:r>
      <w:r w:rsidR="009F489F">
        <w:rPr>
          <w:rFonts w:ascii="Garamond" w:hAnsi="Garamond"/>
          <w:lang w:val="en-GB"/>
        </w:rPr>
        <w:t>).</w:t>
      </w:r>
      <w:r w:rsidR="006C5125">
        <w:rPr>
          <w:rFonts w:ascii="Garamond" w:hAnsi="Garamond"/>
          <w:lang w:val="en-GB"/>
        </w:rPr>
        <w:t xml:space="preserve"> </w:t>
      </w:r>
      <w:r w:rsidR="00D803D3">
        <w:rPr>
          <w:rFonts w:ascii="Garamond" w:hAnsi="Garamond"/>
          <w:lang w:val="en-GB"/>
        </w:rPr>
        <w:t xml:space="preserve"> </w:t>
      </w:r>
      <w:r w:rsidR="0044707A">
        <w:rPr>
          <w:rFonts w:ascii="Garamond" w:hAnsi="Garamond"/>
          <w:lang w:val="en-GB"/>
        </w:rPr>
        <w:t>Unless crime rates increase, f</w:t>
      </w:r>
      <w:r w:rsidRPr="004E7BD2">
        <w:rPr>
          <w:rFonts w:ascii="Garamond" w:hAnsi="Garamond"/>
          <w:lang w:val="en-GB"/>
        </w:rPr>
        <w:t>rom a strategic</w:t>
      </w:r>
      <w:r w:rsidR="008528BB">
        <w:rPr>
          <w:rFonts w:ascii="Garamond" w:hAnsi="Garamond"/>
          <w:lang w:val="en-GB"/>
        </w:rPr>
        <w:t xml:space="preserve"> political perspective, it seems that</w:t>
      </w:r>
      <w:r w:rsidRPr="004E7BD2">
        <w:rPr>
          <w:rFonts w:ascii="Garamond" w:hAnsi="Garamond"/>
          <w:lang w:val="en-GB"/>
        </w:rPr>
        <w:t xml:space="preserve"> </w:t>
      </w:r>
      <w:r w:rsidR="008528BB">
        <w:rPr>
          <w:rFonts w:ascii="Garamond" w:hAnsi="Garamond"/>
          <w:lang w:val="en-GB"/>
        </w:rPr>
        <w:t>now</w:t>
      </w:r>
      <w:r w:rsidR="008528BB" w:rsidRPr="004E7BD2">
        <w:rPr>
          <w:rFonts w:ascii="Garamond" w:hAnsi="Garamond"/>
          <w:lang w:val="en-GB"/>
        </w:rPr>
        <w:t xml:space="preserve"> </w:t>
      </w:r>
      <w:r w:rsidRPr="004E7BD2">
        <w:rPr>
          <w:rFonts w:ascii="Garamond" w:hAnsi="Garamond"/>
          <w:lang w:val="en-GB"/>
        </w:rPr>
        <w:t xml:space="preserve">is an optimal time for </w:t>
      </w:r>
      <w:r w:rsidR="0044707A">
        <w:rPr>
          <w:rFonts w:ascii="Garamond" w:hAnsi="Garamond"/>
          <w:lang w:val="en-GB"/>
        </w:rPr>
        <w:t xml:space="preserve">continued </w:t>
      </w:r>
      <w:r w:rsidRPr="004E7BD2">
        <w:rPr>
          <w:rFonts w:ascii="Garamond" w:hAnsi="Garamond"/>
          <w:lang w:val="en-GB"/>
        </w:rPr>
        <w:t>socially-minded criminal justice reform in</w:t>
      </w:r>
      <w:r w:rsidR="008528BB">
        <w:rPr>
          <w:rFonts w:ascii="Garamond" w:hAnsi="Garamond"/>
          <w:lang w:val="en-GB"/>
        </w:rPr>
        <w:t xml:space="preserve"> both</w:t>
      </w:r>
      <w:r w:rsidRPr="004E7BD2">
        <w:rPr>
          <w:rFonts w:ascii="Garamond" w:hAnsi="Garamond"/>
          <w:lang w:val="en-GB"/>
        </w:rPr>
        <w:t xml:space="preserve"> the U.S. and U</w:t>
      </w:r>
      <w:r w:rsidR="008528BB">
        <w:rPr>
          <w:rFonts w:ascii="Garamond" w:hAnsi="Garamond"/>
          <w:lang w:val="en-GB"/>
        </w:rPr>
        <w:t>.</w:t>
      </w:r>
      <w:r w:rsidRPr="004E7BD2">
        <w:rPr>
          <w:rFonts w:ascii="Garamond" w:hAnsi="Garamond"/>
          <w:lang w:val="en-GB"/>
        </w:rPr>
        <w:t>K.</w:t>
      </w:r>
      <w:r w:rsidR="00D803D3">
        <w:rPr>
          <w:rFonts w:ascii="Garamond" w:hAnsi="Garamond"/>
          <w:lang w:val="en-GB"/>
        </w:rPr>
        <w:t xml:space="preserve"> </w:t>
      </w:r>
      <w:r w:rsidRPr="004E7BD2">
        <w:rPr>
          <w:rFonts w:ascii="Garamond" w:hAnsi="Garamond"/>
          <w:lang w:val="en-GB"/>
        </w:rPr>
        <w:t xml:space="preserve">Given our </w:t>
      </w:r>
      <w:r w:rsidR="008528BB">
        <w:rPr>
          <w:rFonts w:ascii="Garamond" w:hAnsi="Garamond"/>
          <w:lang w:val="en-GB"/>
        </w:rPr>
        <w:t>empirical findings</w:t>
      </w:r>
      <w:r w:rsidRPr="004E7BD2">
        <w:rPr>
          <w:rFonts w:ascii="Garamond" w:hAnsi="Garamond"/>
          <w:lang w:val="en-GB"/>
        </w:rPr>
        <w:t xml:space="preserve">, </w:t>
      </w:r>
      <w:r w:rsidR="008528BB">
        <w:rPr>
          <w:rFonts w:ascii="Garamond" w:hAnsi="Garamond"/>
          <w:lang w:val="en-GB"/>
        </w:rPr>
        <w:t>a further implication is</w:t>
      </w:r>
      <w:r w:rsidRPr="004E7BD2">
        <w:rPr>
          <w:rFonts w:ascii="Garamond" w:hAnsi="Garamond"/>
          <w:lang w:val="en-GB"/>
        </w:rPr>
        <w:t xml:space="preserve"> that in the U</w:t>
      </w:r>
      <w:r w:rsidR="008528BB">
        <w:rPr>
          <w:rFonts w:ascii="Garamond" w:hAnsi="Garamond"/>
          <w:lang w:val="en-GB"/>
        </w:rPr>
        <w:t>.</w:t>
      </w:r>
      <w:r w:rsidRPr="004E7BD2">
        <w:rPr>
          <w:rFonts w:ascii="Garamond" w:hAnsi="Garamond"/>
          <w:lang w:val="en-GB"/>
        </w:rPr>
        <w:t>K</w:t>
      </w:r>
      <w:r w:rsidR="008528BB">
        <w:rPr>
          <w:rFonts w:ascii="Garamond" w:hAnsi="Garamond"/>
          <w:lang w:val="en-GB"/>
        </w:rPr>
        <w:t>.</w:t>
      </w:r>
      <w:r w:rsidRPr="004E7BD2">
        <w:rPr>
          <w:rFonts w:ascii="Garamond" w:hAnsi="Garamond"/>
          <w:lang w:val="en-GB"/>
        </w:rPr>
        <w:t xml:space="preserve"> </w:t>
      </w:r>
      <w:r w:rsidR="008528BB">
        <w:rPr>
          <w:rFonts w:ascii="Garamond" w:hAnsi="Garamond"/>
          <w:lang w:val="en-GB"/>
        </w:rPr>
        <w:t xml:space="preserve">criminal justice </w:t>
      </w:r>
      <w:r w:rsidRPr="004E7BD2">
        <w:rPr>
          <w:rFonts w:ascii="Garamond" w:hAnsi="Garamond"/>
          <w:lang w:val="en-GB"/>
        </w:rPr>
        <w:t xml:space="preserve">reformers </w:t>
      </w:r>
      <w:r w:rsidR="008528BB">
        <w:rPr>
          <w:rFonts w:ascii="Garamond" w:hAnsi="Garamond"/>
          <w:lang w:val="en-GB"/>
        </w:rPr>
        <w:t>would be advised to</w:t>
      </w:r>
      <w:r w:rsidR="008528BB" w:rsidRPr="004E7BD2">
        <w:rPr>
          <w:rFonts w:ascii="Garamond" w:hAnsi="Garamond"/>
          <w:lang w:val="en-GB"/>
        </w:rPr>
        <w:t xml:space="preserve"> </w:t>
      </w:r>
      <w:r w:rsidRPr="004E7BD2">
        <w:rPr>
          <w:rFonts w:ascii="Garamond" w:hAnsi="Garamond"/>
          <w:lang w:val="en-GB"/>
        </w:rPr>
        <w:t xml:space="preserve">focus on the </w:t>
      </w:r>
      <w:r w:rsidR="008528BB">
        <w:rPr>
          <w:rFonts w:ascii="Garamond" w:hAnsi="Garamond"/>
          <w:lang w:val="en-GB"/>
        </w:rPr>
        <w:t>historically low rate</w:t>
      </w:r>
      <w:r w:rsidR="008528BB" w:rsidRPr="004E7BD2">
        <w:rPr>
          <w:rFonts w:ascii="Garamond" w:hAnsi="Garamond"/>
          <w:lang w:val="en-GB"/>
        </w:rPr>
        <w:t xml:space="preserve"> </w:t>
      </w:r>
      <w:r w:rsidRPr="004E7BD2">
        <w:rPr>
          <w:rFonts w:ascii="Garamond" w:hAnsi="Garamond"/>
          <w:lang w:val="en-GB"/>
        </w:rPr>
        <w:t xml:space="preserve">of crime concern </w:t>
      </w:r>
      <w:r w:rsidR="008528BB">
        <w:rPr>
          <w:rFonts w:ascii="Garamond" w:hAnsi="Garamond"/>
          <w:lang w:val="en-GB"/>
        </w:rPr>
        <w:t>while</w:t>
      </w:r>
      <w:r w:rsidR="008528BB" w:rsidRPr="004E7BD2">
        <w:rPr>
          <w:rFonts w:ascii="Garamond" w:hAnsi="Garamond"/>
          <w:lang w:val="en-GB"/>
        </w:rPr>
        <w:t xml:space="preserve"> </w:t>
      </w:r>
      <w:r w:rsidRPr="004E7BD2">
        <w:rPr>
          <w:rFonts w:ascii="Garamond" w:hAnsi="Garamond"/>
          <w:lang w:val="en-GB"/>
        </w:rPr>
        <w:t xml:space="preserve">in the U.S. reformers should recognize that punitiveness </w:t>
      </w:r>
      <w:r w:rsidR="00AB0F7D">
        <w:rPr>
          <w:rFonts w:ascii="Garamond" w:hAnsi="Garamond"/>
          <w:lang w:val="en-GB"/>
        </w:rPr>
        <w:t>has</w:t>
      </w:r>
      <w:r w:rsidRPr="004E7BD2">
        <w:rPr>
          <w:rFonts w:ascii="Garamond" w:hAnsi="Garamond"/>
          <w:lang w:val="en-GB"/>
        </w:rPr>
        <w:t xml:space="preserve"> been declining</w:t>
      </w:r>
      <w:r w:rsidR="00AB0F7D" w:rsidRPr="00AB0F7D">
        <w:rPr>
          <w:rFonts w:ascii="Garamond" w:hAnsi="Garamond"/>
          <w:lang w:val="en-GB"/>
        </w:rPr>
        <w:t xml:space="preserve"> </w:t>
      </w:r>
      <w:r w:rsidR="00AB0F7D" w:rsidRPr="004E7BD2">
        <w:rPr>
          <w:rFonts w:ascii="Garamond" w:hAnsi="Garamond"/>
          <w:lang w:val="en-GB"/>
        </w:rPr>
        <w:t>steadily</w:t>
      </w:r>
      <w:r w:rsidRPr="004E7BD2">
        <w:rPr>
          <w:rFonts w:ascii="Garamond" w:hAnsi="Garamond"/>
          <w:lang w:val="en-GB"/>
        </w:rPr>
        <w:t xml:space="preserve">, and a focus on reforming particular policies may gain the most traction. Finally, although the strength of the relationships varied, in both contexts, the public has </w:t>
      </w:r>
      <w:r w:rsidR="00AB0F7D">
        <w:rPr>
          <w:rFonts w:ascii="Garamond" w:hAnsi="Garamond"/>
          <w:lang w:val="en-GB"/>
        </w:rPr>
        <w:t>responded</w:t>
      </w:r>
      <w:r w:rsidR="00AB0F7D" w:rsidRPr="004E7BD2">
        <w:rPr>
          <w:rFonts w:ascii="Garamond" w:hAnsi="Garamond"/>
          <w:lang w:val="en-GB"/>
        </w:rPr>
        <w:t xml:space="preserve"> </w:t>
      </w:r>
      <w:r w:rsidRPr="004E7BD2">
        <w:rPr>
          <w:rFonts w:ascii="Garamond" w:hAnsi="Garamond"/>
          <w:lang w:val="en-GB"/>
        </w:rPr>
        <w:t>to declining crime rates. If crime</w:t>
      </w:r>
      <w:r w:rsidR="00AB0F7D">
        <w:rPr>
          <w:rFonts w:ascii="Garamond" w:hAnsi="Garamond"/>
          <w:lang w:val="en-GB"/>
        </w:rPr>
        <w:t xml:space="preserve"> were to</w:t>
      </w:r>
      <w:r w:rsidRPr="004E7BD2">
        <w:rPr>
          <w:rFonts w:ascii="Garamond" w:hAnsi="Garamond"/>
          <w:lang w:val="en-GB"/>
        </w:rPr>
        <w:t xml:space="preserve"> </w:t>
      </w:r>
      <w:r w:rsidRPr="004E7BD2">
        <w:rPr>
          <w:rFonts w:ascii="Garamond" w:hAnsi="Garamond"/>
          <w:i/>
          <w:lang w:val="en-GB"/>
        </w:rPr>
        <w:t>increase</w:t>
      </w:r>
      <w:r w:rsidR="00AB0F7D">
        <w:rPr>
          <w:rFonts w:ascii="Garamond" w:hAnsi="Garamond"/>
          <w:iCs/>
          <w:lang w:val="en-GB"/>
        </w:rPr>
        <w:t xml:space="preserve"> in</w:t>
      </w:r>
      <w:r w:rsidR="00582CB1">
        <w:rPr>
          <w:rFonts w:ascii="Garamond" w:hAnsi="Garamond"/>
          <w:iCs/>
          <w:lang w:val="en-GB"/>
        </w:rPr>
        <w:t xml:space="preserve"> the</w:t>
      </w:r>
      <w:r w:rsidR="00AB0F7D">
        <w:rPr>
          <w:rFonts w:ascii="Garamond" w:hAnsi="Garamond"/>
          <w:iCs/>
          <w:lang w:val="en-GB"/>
        </w:rPr>
        <w:t xml:space="preserve"> future</w:t>
      </w:r>
      <w:r w:rsidRPr="004E7BD2">
        <w:rPr>
          <w:rFonts w:ascii="Garamond" w:hAnsi="Garamond"/>
          <w:lang w:val="en-GB"/>
        </w:rPr>
        <w:t>, unless media</w:t>
      </w:r>
      <w:r w:rsidR="00AB0F7D">
        <w:rPr>
          <w:rFonts w:ascii="Garamond" w:hAnsi="Garamond"/>
          <w:lang w:val="en-GB"/>
        </w:rPr>
        <w:t xml:space="preserve"> coverage unusually</w:t>
      </w:r>
      <w:r w:rsidRPr="004E7BD2">
        <w:rPr>
          <w:rFonts w:ascii="Garamond" w:hAnsi="Garamond"/>
          <w:lang w:val="en-GB"/>
        </w:rPr>
        <w:t xml:space="preserve"> </w:t>
      </w:r>
      <w:r w:rsidR="00AB0F7D" w:rsidRPr="004E7BD2">
        <w:rPr>
          <w:rFonts w:ascii="Garamond" w:hAnsi="Garamond"/>
          <w:lang w:val="en-GB"/>
        </w:rPr>
        <w:t>focuse</w:t>
      </w:r>
      <w:r w:rsidR="00AB0F7D">
        <w:rPr>
          <w:rFonts w:ascii="Garamond" w:hAnsi="Garamond"/>
          <w:lang w:val="en-GB"/>
        </w:rPr>
        <w:t>d</w:t>
      </w:r>
      <w:r w:rsidR="00AB0F7D" w:rsidRPr="004E7BD2">
        <w:rPr>
          <w:rFonts w:ascii="Garamond" w:hAnsi="Garamond"/>
          <w:lang w:val="en-GB"/>
        </w:rPr>
        <w:t xml:space="preserve"> </w:t>
      </w:r>
      <w:r w:rsidRPr="004E7BD2">
        <w:rPr>
          <w:rFonts w:ascii="Garamond" w:hAnsi="Garamond"/>
          <w:lang w:val="en-GB"/>
        </w:rPr>
        <w:t>on understanding the roots of crime and</w:t>
      </w:r>
      <w:r w:rsidR="00AB0F7D">
        <w:rPr>
          <w:rFonts w:ascii="Garamond" w:hAnsi="Garamond"/>
          <w:lang w:val="en-GB"/>
        </w:rPr>
        <w:t xml:space="preserve"> on debates over </w:t>
      </w:r>
      <w:r w:rsidRPr="004E7BD2">
        <w:rPr>
          <w:rFonts w:ascii="Garamond" w:hAnsi="Garamond"/>
          <w:lang w:val="en-GB"/>
        </w:rPr>
        <w:t xml:space="preserve">holistic solutions to crime, we </w:t>
      </w:r>
      <w:r w:rsidR="00AB0F7D">
        <w:rPr>
          <w:rFonts w:ascii="Garamond" w:hAnsi="Garamond"/>
          <w:lang w:val="en-GB"/>
        </w:rPr>
        <w:t>would</w:t>
      </w:r>
      <w:r w:rsidR="00AB0F7D" w:rsidRPr="004E7BD2">
        <w:rPr>
          <w:rFonts w:ascii="Garamond" w:hAnsi="Garamond"/>
          <w:lang w:val="en-GB"/>
        </w:rPr>
        <w:t xml:space="preserve"> </w:t>
      </w:r>
      <w:r w:rsidRPr="004E7BD2">
        <w:rPr>
          <w:rFonts w:ascii="Garamond" w:hAnsi="Garamond"/>
          <w:lang w:val="en-GB"/>
        </w:rPr>
        <w:t>expect</w:t>
      </w:r>
      <w:r w:rsidR="00AB0F7D">
        <w:rPr>
          <w:rFonts w:ascii="Garamond" w:hAnsi="Garamond"/>
          <w:lang w:val="en-GB"/>
        </w:rPr>
        <w:t xml:space="preserve"> to see a resurgence of</w:t>
      </w:r>
      <w:r w:rsidRPr="004E7BD2">
        <w:rPr>
          <w:rFonts w:ascii="Garamond" w:hAnsi="Garamond"/>
          <w:lang w:val="en-GB"/>
        </w:rPr>
        <w:t xml:space="preserve"> punitive attitudes</w:t>
      </w:r>
      <w:r w:rsidR="00AB0F7D">
        <w:rPr>
          <w:rFonts w:ascii="Garamond" w:hAnsi="Garamond"/>
          <w:lang w:val="en-GB"/>
        </w:rPr>
        <w:t xml:space="preserve"> on th</w:t>
      </w:r>
      <w:r w:rsidR="0055129E">
        <w:rPr>
          <w:rFonts w:ascii="Garamond" w:hAnsi="Garamond"/>
          <w:lang w:val="en-GB"/>
        </w:rPr>
        <w:t>e</w:t>
      </w:r>
      <w:r w:rsidR="00AB0F7D">
        <w:rPr>
          <w:rFonts w:ascii="Garamond" w:hAnsi="Garamond"/>
          <w:lang w:val="en-GB"/>
        </w:rPr>
        <w:t xml:space="preserve"> issue</w:t>
      </w:r>
      <w:r w:rsidRPr="004E7BD2">
        <w:rPr>
          <w:rFonts w:ascii="Garamond" w:hAnsi="Garamond"/>
          <w:lang w:val="en-GB"/>
        </w:rPr>
        <w:t>.</w:t>
      </w:r>
    </w:p>
    <w:p w14:paraId="512E3685" w14:textId="77777777" w:rsidR="00142E5A" w:rsidRPr="004E7BD2" w:rsidRDefault="00142E5A">
      <w:pPr>
        <w:rPr>
          <w:rFonts w:ascii="Garamond" w:hAnsi="Garamond"/>
          <w:b/>
          <w:bCs/>
          <w:lang w:val="en-GB"/>
        </w:rPr>
      </w:pPr>
      <w:r w:rsidRPr="004E7BD2">
        <w:rPr>
          <w:rFonts w:ascii="Garamond" w:hAnsi="Garamond"/>
          <w:b/>
          <w:bCs/>
          <w:lang w:val="en-GB"/>
        </w:rPr>
        <w:br w:type="page"/>
      </w:r>
    </w:p>
    <w:p w14:paraId="6E655117" w14:textId="30A55157" w:rsidR="00822AA7" w:rsidRPr="004E7BD2" w:rsidRDefault="6A48693F">
      <w:pPr>
        <w:rPr>
          <w:rFonts w:ascii="Garamond" w:hAnsi="Garamond"/>
          <w:lang w:val="en-GB"/>
        </w:rPr>
      </w:pPr>
      <w:r w:rsidRPr="004E7BD2">
        <w:rPr>
          <w:rFonts w:ascii="Garamond" w:hAnsi="Garamond"/>
          <w:b/>
          <w:bCs/>
          <w:lang w:val="en-GB"/>
        </w:rPr>
        <w:lastRenderedPageBreak/>
        <w:t>References</w:t>
      </w:r>
    </w:p>
    <w:p w14:paraId="70DE5C85" w14:textId="61EEF3C4" w:rsidR="6A48693F" w:rsidRDefault="6A48693F" w:rsidP="003C48BD">
      <w:pPr>
        <w:ind w:left="284" w:hanging="284"/>
        <w:rPr>
          <w:rFonts w:ascii="Garamond" w:hAnsi="Garamond"/>
          <w:lang w:val="en-GB"/>
        </w:rPr>
      </w:pPr>
      <w:bookmarkStart w:id="10" w:name="_Hlk93099872"/>
      <w:r w:rsidRPr="004E7BD2">
        <w:rPr>
          <w:rFonts w:ascii="Garamond" w:hAnsi="Garamond"/>
          <w:lang w:val="en-GB"/>
        </w:rPr>
        <w:t xml:space="preserve">Ansari, Sami and Ni He. 2015. </w:t>
      </w:r>
      <w:r w:rsidR="00920740" w:rsidRPr="004E7BD2">
        <w:rPr>
          <w:rFonts w:ascii="Garamond" w:hAnsi="Garamond"/>
          <w:lang w:val="en-GB"/>
        </w:rPr>
        <w:t>“</w:t>
      </w:r>
      <w:r w:rsidRPr="004E7BD2">
        <w:rPr>
          <w:rFonts w:ascii="Garamond" w:hAnsi="Garamond"/>
          <w:lang w:val="en-GB"/>
        </w:rPr>
        <w:t>Convergence revisited: A multi-definition, multi-method analysis of the UCR and the NCVS crime series (1973-2008).</w:t>
      </w:r>
      <w:r w:rsidR="00920740" w:rsidRPr="004E7BD2">
        <w:rPr>
          <w:rFonts w:ascii="Garamond" w:hAnsi="Garamond"/>
          <w:lang w:val="en-GB"/>
        </w:rPr>
        <w:t>”</w:t>
      </w:r>
      <w:r w:rsidRPr="004E7BD2">
        <w:rPr>
          <w:rFonts w:ascii="Garamond" w:hAnsi="Garamond"/>
          <w:lang w:val="en-GB"/>
        </w:rPr>
        <w:t xml:space="preserve"> </w:t>
      </w:r>
      <w:r w:rsidRPr="004E7BD2">
        <w:rPr>
          <w:rFonts w:ascii="Garamond" w:hAnsi="Garamond"/>
          <w:i/>
          <w:iCs/>
          <w:lang w:val="en-GB"/>
        </w:rPr>
        <w:t>Justice Quarterly</w:t>
      </w:r>
      <w:r w:rsidRPr="004E7BD2">
        <w:rPr>
          <w:rFonts w:ascii="Garamond" w:hAnsi="Garamond"/>
          <w:lang w:val="en-GB"/>
        </w:rPr>
        <w:t xml:space="preserve"> 32(1): 1-31.</w:t>
      </w:r>
    </w:p>
    <w:bookmarkEnd w:id="10"/>
    <w:p w14:paraId="270A9FAA" w14:textId="78878556" w:rsidR="00F94056" w:rsidRPr="004E7BD2" w:rsidRDefault="00F94056" w:rsidP="003C48BD">
      <w:pPr>
        <w:ind w:left="284" w:hanging="284"/>
        <w:rPr>
          <w:rFonts w:ascii="Garamond" w:hAnsi="Garamond"/>
          <w:lang w:val="en-GB"/>
        </w:rPr>
      </w:pPr>
      <w:r w:rsidRPr="00F94056">
        <w:rPr>
          <w:rFonts w:ascii="Garamond" w:hAnsi="Garamond"/>
        </w:rPr>
        <w:t xml:space="preserve">Bartle, John; Sebastian </w:t>
      </w:r>
      <w:proofErr w:type="spellStart"/>
      <w:r w:rsidRPr="00F94056">
        <w:rPr>
          <w:rFonts w:ascii="Garamond" w:hAnsi="Garamond"/>
        </w:rPr>
        <w:t>Dellepiane</w:t>
      </w:r>
      <w:proofErr w:type="spellEnd"/>
      <w:r w:rsidRPr="00F94056">
        <w:rPr>
          <w:rFonts w:ascii="Garamond" w:hAnsi="Garamond"/>
        </w:rPr>
        <w:t xml:space="preserve"> Avellaneda and James A. Stimson. 2011. </w:t>
      </w:r>
      <w:r>
        <w:rPr>
          <w:rFonts w:ascii="Garamond" w:hAnsi="Garamond"/>
        </w:rPr>
        <w:t>“</w:t>
      </w:r>
      <w:r w:rsidRPr="00F94056">
        <w:rPr>
          <w:rFonts w:ascii="Garamond" w:hAnsi="Garamond"/>
        </w:rPr>
        <w:t>The Moving Centre: Preferences for Government Activity in Britain, 1950-2005.</w:t>
      </w:r>
      <w:r>
        <w:rPr>
          <w:rFonts w:ascii="Garamond" w:hAnsi="Garamond"/>
        </w:rPr>
        <w:t>”</w:t>
      </w:r>
      <w:r w:rsidRPr="00F94056">
        <w:rPr>
          <w:rFonts w:ascii="Garamond" w:hAnsi="Garamond"/>
        </w:rPr>
        <w:t xml:space="preserve"> </w:t>
      </w:r>
      <w:r w:rsidRPr="00294A5D">
        <w:rPr>
          <w:rFonts w:ascii="Garamond" w:hAnsi="Garamond"/>
          <w:i/>
        </w:rPr>
        <w:t>British Journal of Political Science</w:t>
      </w:r>
      <w:r w:rsidRPr="00F94056">
        <w:rPr>
          <w:rFonts w:ascii="Garamond" w:hAnsi="Garamond"/>
        </w:rPr>
        <w:t xml:space="preserve"> 41</w:t>
      </w:r>
      <w:r w:rsidR="00496ED6">
        <w:rPr>
          <w:rFonts w:ascii="Garamond" w:hAnsi="Garamond"/>
        </w:rPr>
        <w:t>(1):</w:t>
      </w:r>
      <w:r w:rsidRPr="00F94056">
        <w:rPr>
          <w:rFonts w:ascii="Garamond" w:hAnsi="Garamond"/>
        </w:rPr>
        <w:t xml:space="preserve"> 259-85.</w:t>
      </w:r>
    </w:p>
    <w:p w14:paraId="1758884D" w14:textId="00058DA6" w:rsidR="005D58CA" w:rsidRDefault="1BAFCB32" w:rsidP="003C48BD">
      <w:pPr>
        <w:ind w:left="284" w:hanging="284"/>
        <w:rPr>
          <w:rFonts w:ascii="Garamond" w:hAnsi="Garamond"/>
          <w:lang w:val="en-GB"/>
        </w:rPr>
      </w:pPr>
      <w:r w:rsidRPr="004E7BD2">
        <w:rPr>
          <w:rFonts w:ascii="Garamond" w:hAnsi="Garamond"/>
          <w:lang w:val="en-GB"/>
        </w:rPr>
        <w:t xml:space="preserve">Beckett, Katherine. 1997. </w:t>
      </w:r>
      <w:r w:rsidRPr="004E7BD2">
        <w:rPr>
          <w:rFonts w:ascii="Garamond" w:hAnsi="Garamond"/>
          <w:i/>
          <w:iCs/>
          <w:lang w:val="en-GB"/>
        </w:rPr>
        <w:t xml:space="preserve">Making Crime Pay. </w:t>
      </w:r>
      <w:r w:rsidRPr="004E7BD2">
        <w:rPr>
          <w:rFonts w:ascii="Garamond" w:hAnsi="Garamond"/>
          <w:lang w:val="en-GB"/>
        </w:rPr>
        <w:t>New York: Oxford University Press.</w:t>
      </w:r>
    </w:p>
    <w:p w14:paraId="7017D41F" w14:textId="38628103" w:rsidR="0044707A" w:rsidRPr="0044707A" w:rsidRDefault="0044707A" w:rsidP="003C48BD">
      <w:pPr>
        <w:ind w:left="284" w:hanging="284"/>
        <w:rPr>
          <w:rFonts w:ascii="Garamond" w:hAnsi="Garamond"/>
          <w:lang w:val="en-GB"/>
        </w:rPr>
      </w:pPr>
      <w:r w:rsidRPr="00B71A68">
        <w:rPr>
          <w:rFonts w:ascii="Garamond" w:hAnsi="Garamond"/>
          <w:lang w:val="de-DE"/>
        </w:rPr>
        <w:t xml:space="preserve">Baumgartner, Frank R., Suzanna L. De </w:t>
      </w:r>
      <w:proofErr w:type="spellStart"/>
      <w:r w:rsidRPr="00B71A68">
        <w:rPr>
          <w:rFonts w:ascii="Garamond" w:hAnsi="Garamond"/>
          <w:lang w:val="de-DE"/>
        </w:rPr>
        <w:t>Boef</w:t>
      </w:r>
      <w:proofErr w:type="spellEnd"/>
      <w:r w:rsidRPr="00B71A68">
        <w:rPr>
          <w:rFonts w:ascii="Garamond" w:hAnsi="Garamond"/>
          <w:lang w:val="de-DE"/>
        </w:rPr>
        <w:t xml:space="preserve">, and Amber E. </w:t>
      </w:r>
      <w:proofErr w:type="spellStart"/>
      <w:r w:rsidRPr="00B71A68">
        <w:rPr>
          <w:rFonts w:ascii="Garamond" w:hAnsi="Garamond"/>
          <w:lang w:val="de-DE"/>
        </w:rPr>
        <w:t>Boydstun</w:t>
      </w:r>
      <w:proofErr w:type="spellEnd"/>
      <w:r w:rsidRPr="00B71A68">
        <w:rPr>
          <w:rFonts w:ascii="Garamond" w:hAnsi="Garamond"/>
          <w:lang w:val="de-DE"/>
        </w:rPr>
        <w:t xml:space="preserve">. </w:t>
      </w:r>
      <w:r>
        <w:rPr>
          <w:rFonts w:ascii="Garamond" w:hAnsi="Garamond"/>
          <w:i/>
          <w:lang w:val="en-GB"/>
        </w:rPr>
        <w:t>The Decline of the Death Penalty and the Discovery of Innocence</w:t>
      </w:r>
      <w:r>
        <w:rPr>
          <w:rFonts w:ascii="Garamond" w:hAnsi="Garamond"/>
          <w:lang w:val="en-GB"/>
        </w:rPr>
        <w:t>. New York: Cambridge University Press.</w:t>
      </w:r>
    </w:p>
    <w:p w14:paraId="4BB62C87" w14:textId="4B209376" w:rsidR="1BAFCB32" w:rsidRDefault="4A205E5E" w:rsidP="003C48BD">
      <w:pPr>
        <w:ind w:left="284" w:hanging="284"/>
        <w:rPr>
          <w:rFonts w:ascii="Garamond" w:eastAsiaTheme="minorEastAsia" w:hAnsi="Garamond"/>
          <w:lang w:val="en-GB"/>
        </w:rPr>
      </w:pPr>
      <w:proofErr w:type="spellStart"/>
      <w:r w:rsidRPr="004E7BD2">
        <w:rPr>
          <w:rFonts w:ascii="Garamond" w:eastAsiaTheme="minorEastAsia" w:hAnsi="Garamond"/>
          <w:lang w:val="en-GB"/>
        </w:rPr>
        <w:t>Biderman</w:t>
      </w:r>
      <w:proofErr w:type="spellEnd"/>
      <w:r w:rsidRPr="004E7BD2">
        <w:rPr>
          <w:rFonts w:ascii="Garamond" w:eastAsiaTheme="minorEastAsia" w:hAnsi="Garamond"/>
          <w:lang w:val="en-GB"/>
        </w:rPr>
        <w:t xml:space="preserve">, Albert and James Lynch. 1991. </w:t>
      </w:r>
      <w:r w:rsidRPr="004E7BD2">
        <w:rPr>
          <w:rFonts w:ascii="Garamond" w:eastAsiaTheme="minorEastAsia" w:hAnsi="Garamond"/>
          <w:i/>
          <w:iCs/>
          <w:lang w:val="en-GB"/>
        </w:rPr>
        <w:t>Understanding crime incidence statistics: Why UCR diverges from the NCS.</w:t>
      </w:r>
      <w:r w:rsidRPr="004E7BD2">
        <w:rPr>
          <w:rFonts w:ascii="Garamond" w:eastAsiaTheme="minorEastAsia" w:hAnsi="Garamond"/>
          <w:lang w:val="en-GB"/>
        </w:rPr>
        <w:t xml:space="preserve"> New York: Springer Verlag.</w:t>
      </w:r>
    </w:p>
    <w:p w14:paraId="3BC5F16E" w14:textId="4A10B831" w:rsidR="00496ED6" w:rsidRDefault="00496ED6" w:rsidP="003C48BD">
      <w:pPr>
        <w:ind w:left="284" w:hanging="284"/>
        <w:rPr>
          <w:rFonts w:ascii="Garamond" w:eastAsiaTheme="minorEastAsia" w:hAnsi="Garamond"/>
          <w:lang w:val="en-GB"/>
        </w:rPr>
      </w:pPr>
      <w:r>
        <w:rPr>
          <w:rFonts w:ascii="Garamond" w:eastAsiaTheme="minorEastAsia" w:hAnsi="Garamond"/>
          <w:lang w:val="en-GB"/>
        </w:rPr>
        <w:t xml:space="preserve">Blumstein, Alfred, Jacqueline Cohen, and Richard Rosenfeld. 1991. “Trend and Deviation in Crime Rates: A Comparison of UCR and NCS Data for Burglary and Robbery” </w:t>
      </w:r>
      <w:r>
        <w:rPr>
          <w:rFonts w:ascii="Garamond" w:eastAsiaTheme="minorEastAsia" w:hAnsi="Garamond"/>
          <w:i/>
          <w:lang w:val="en-GB"/>
        </w:rPr>
        <w:t xml:space="preserve">Criminology </w:t>
      </w:r>
      <w:r>
        <w:rPr>
          <w:rFonts w:ascii="Garamond" w:eastAsiaTheme="minorEastAsia" w:hAnsi="Garamond"/>
          <w:lang w:val="en-GB"/>
        </w:rPr>
        <w:t>29(2): 237-263.</w:t>
      </w:r>
    </w:p>
    <w:p w14:paraId="1F017F6B" w14:textId="1D2956A9" w:rsidR="00D271BD" w:rsidRPr="00496ED6" w:rsidRDefault="00D271BD" w:rsidP="003C48BD">
      <w:pPr>
        <w:ind w:left="284" w:hanging="284"/>
        <w:rPr>
          <w:rFonts w:ascii="Garamond" w:eastAsiaTheme="minorEastAsia" w:hAnsi="Garamond"/>
          <w:lang w:val="en-GB"/>
        </w:rPr>
      </w:pPr>
      <w:proofErr w:type="spellStart"/>
      <w:r w:rsidRPr="00D271BD">
        <w:rPr>
          <w:rFonts w:ascii="Garamond" w:eastAsiaTheme="minorEastAsia" w:hAnsi="Garamond"/>
          <w:lang w:val="en-GB"/>
        </w:rPr>
        <w:t>Buil</w:t>
      </w:r>
      <w:proofErr w:type="spellEnd"/>
      <w:r w:rsidRPr="00D271BD">
        <w:rPr>
          <w:rFonts w:ascii="Garamond" w:eastAsiaTheme="minorEastAsia" w:hAnsi="Garamond"/>
          <w:lang w:val="en-GB"/>
        </w:rPr>
        <w:t>-Gil,</w:t>
      </w:r>
      <w:r>
        <w:rPr>
          <w:rFonts w:ascii="Garamond" w:eastAsiaTheme="minorEastAsia" w:hAnsi="Garamond"/>
          <w:lang w:val="en-GB"/>
        </w:rPr>
        <w:t xml:space="preserve"> </w:t>
      </w:r>
      <w:r w:rsidRPr="00D271BD">
        <w:rPr>
          <w:rFonts w:ascii="Garamond" w:eastAsiaTheme="minorEastAsia" w:hAnsi="Garamond"/>
          <w:lang w:val="en-GB"/>
        </w:rPr>
        <w:t>David</w:t>
      </w:r>
      <w:r>
        <w:rPr>
          <w:rFonts w:ascii="Garamond" w:eastAsiaTheme="minorEastAsia" w:hAnsi="Garamond"/>
          <w:lang w:val="en-GB"/>
        </w:rPr>
        <w:t>,</w:t>
      </w:r>
      <w:r w:rsidRPr="00D271BD">
        <w:rPr>
          <w:rFonts w:ascii="Garamond" w:eastAsiaTheme="minorEastAsia" w:hAnsi="Garamond"/>
          <w:lang w:val="en-GB"/>
        </w:rPr>
        <w:t xml:space="preserve"> </w:t>
      </w:r>
      <w:proofErr w:type="spellStart"/>
      <w:r w:rsidRPr="00D271BD">
        <w:rPr>
          <w:rFonts w:ascii="Garamond" w:eastAsiaTheme="minorEastAsia" w:hAnsi="Garamond"/>
          <w:lang w:val="en-GB"/>
        </w:rPr>
        <w:t>Juanjo</w:t>
      </w:r>
      <w:proofErr w:type="spellEnd"/>
      <w:r w:rsidRPr="00D271BD">
        <w:rPr>
          <w:rFonts w:ascii="Garamond" w:eastAsiaTheme="minorEastAsia" w:hAnsi="Garamond"/>
          <w:lang w:val="en-GB"/>
        </w:rPr>
        <w:t xml:space="preserve"> Medina,</w:t>
      </w:r>
      <w:r>
        <w:rPr>
          <w:rFonts w:ascii="Garamond" w:eastAsiaTheme="minorEastAsia" w:hAnsi="Garamond"/>
          <w:lang w:val="en-GB"/>
        </w:rPr>
        <w:t xml:space="preserve"> and</w:t>
      </w:r>
      <w:r w:rsidRPr="00D271BD">
        <w:rPr>
          <w:rFonts w:ascii="Garamond" w:eastAsiaTheme="minorEastAsia" w:hAnsi="Garamond"/>
          <w:lang w:val="en-GB"/>
        </w:rPr>
        <w:t xml:space="preserve"> Natalie </w:t>
      </w:r>
      <w:proofErr w:type="spellStart"/>
      <w:r w:rsidRPr="00D271BD">
        <w:rPr>
          <w:rFonts w:ascii="Garamond" w:eastAsiaTheme="minorEastAsia" w:hAnsi="Garamond"/>
          <w:lang w:val="en-GB"/>
        </w:rPr>
        <w:t>Shlomo</w:t>
      </w:r>
      <w:proofErr w:type="spellEnd"/>
      <w:r>
        <w:rPr>
          <w:rFonts w:ascii="Garamond" w:eastAsiaTheme="minorEastAsia" w:hAnsi="Garamond"/>
          <w:lang w:val="en-GB"/>
        </w:rPr>
        <w:t>. 2021.</w:t>
      </w:r>
      <w:r w:rsidRPr="00D271BD">
        <w:rPr>
          <w:rFonts w:ascii="Garamond" w:eastAsiaTheme="minorEastAsia" w:hAnsi="Garamond"/>
          <w:lang w:val="en-GB"/>
        </w:rPr>
        <w:t xml:space="preserve"> </w:t>
      </w:r>
      <w:r>
        <w:rPr>
          <w:rFonts w:ascii="Garamond" w:eastAsiaTheme="minorEastAsia" w:hAnsi="Garamond"/>
          <w:lang w:val="en-GB"/>
        </w:rPr>
        <w:t>“</w:t>
      </w:r>
      <w:r w:rsidRPr="00D271BD">
        <w:rPr>
          <w:rFonts w:ascii="Garamond" w:eastAsiaTheme="minorEastAsia" w:hAnsi="Garamond"/>
          <w:lang w:val="en-GB"/>
        </w:rPr>
        <w:t>Measuring the dark figure of crime in geographic areas: Small area estimation from the Crime Survey for England and Wales</w:t>
      </w:r>
      <w:r>
        <w:rPr>
          <w:rFonts w:ascii="Garamond" w:eastAsiaTheme="minorEastAsia" w:hAnsi="Garamond"/>
          <w:lang w:val="en-GB"/>
        </w:rPr>
        <w:t>.”</w:t>
      </w:r>
      <w:r w:rsidRPr="00D271BD">
        <w:rPr>
          <w:rFonts w:ascii="Garamond" w:eastAsiaTheme="minorEastAsia" w:hAnsi="Garamond"/>
          <w:lang w:val="en-GB"/>
        </w:rPr>
        <w:t xml:space="preserve"> </w:t>
      </w:r>
      <w:r w:rsidRPr="00061B2E">
        <w:rPr>
          <w:rFonts w:ascii="Garamond" w:eastAsiaTheme="minorEastAsia" w:hAnsi="Garamond"/>
          <w:i/>
          <w:iCs/>
          <w:lang w:val="en-GB"/>
        </w:rPr>
        <w:t>British Journal of Criminology</w:t>
      </w:r>
      <w:r w:rsidRPr="00D271BD">
        <w:rPr>
          <w:rFonts w:ascii="Garamond" w:eastAsiaTheme="minorEastAsia" w:hAnsi="Garamond"/>
          <w:lang w:val="en-GB"/>
        </w:rPr>
        <w:t xml:space="preserve"> 61</w:t>
      </w:r>
      <w:r>
        <w:rPr>
          <w:rFonts w:ascii="Garamond" w:eastAsiaTheme="minorEastAsia" w:hAnsi="Garamond"/>
          <w:lang w:val="en-GB"/>
        </w:rPr>
        <w:t>(</w:t>
      </w:r>
      <w:r w:rsidRPr="00D271BD">
        <w:rPr>
          <w:rFonts w:ascii="Garamond" w:eastAsiaTheme="minorEastAsia" w:hAnsi="Garamond"/>
          <w:lang w:val="en-GB"/>
        </w:rPr>
        <w:t>2</w:t>
      </w:r>
      <w:r>
        <w:rPr>
          <w:rFonts w:ascii="Garamond" w:eastAsiaTheme="minorEastAsia" w:hAnsi="Garamond"/>
          <w:lang w:val="en-GB"/>
        </w:rPr>
        <w:t>):</w:t>
      </w:r>
      <w:r w:rsidRPr="00D271BD">
        <w:rPr>
          <w:rFonts w:ascii="Garamond" w:eastAsiaTheme="minorEastAsia" w:hAnsi="Garamond"/>
          <w:lang w:val="en-GB"/>
        </w:rPr>
        <w:t xml:space="preserve"> 364–388</w:t>
      </w:r>
      <w:r>
        <w:rPr>
          <w:rFonts w:ascii="Garamond" w:eastAsiaTheme="minorEastAsia" w:hAnsi="Garamond"/>
          <w:lang w:val="en-GB"/>
        </w:rPr>
        <w:t>.</w:t>
      </w:r>
    </w:p>
    <w:p w14:paraId="7F3614C4" w14:textId="06B94067" w:rsidR="00185F35" w:rsidRPr="004E7BD2" w:rsidRDefault="00185F35" w:rsidP="003C48BD">
      <w:pPr>
        <w:ind w:left="284" w:hanging="284"/>
        <w:rPr>
          <w:rFonts w:ascii="Garamond" w:eastAsiaTheme="minorEastAsia" w:hAnsi="Garamond"/>
          <w:lang w:val="en-GB"/>
        </w:rPr>
      </w:pPr>
      <w:r w:rsidRPr="004E7BD2">
        <w:rPr>
          <w:rFonts w:ascii="Garamond" w:eastAsiaTheme="minorEastAsia" w:hAnsi="Garamond"/>
          <w:lang w:val="en-GB"/>
        </w:rPr>
        <w:t xml:space="preserve">Bureau of Justice Statistics. 2021a. NCVS </w:t>
      </w:r>
      <w:r w:rsidR="0041286C" w:rsidRPr="004E7BD2">
        <w:rPr>
          <w:rFonts w:ascii="Garamond" w:eastAsiaTheme="minorEastAsia" w:hAnsi="Garamond"/>
          <w:lang w:val="en-GB"/>
        </w:rPr>
        <w:t>Victimisation</w:t>
      </w:r>
      <w:r w:rsidRPr="004E7BD2">
        <w:rPr>
          <w:rFonts w:ascii="Garamond" w:eastAsiaTheme="minorEastAsia" w:hAnsi="Garamond"/>
          <w:lang w:val="en-GB"/>
        </w:rPr>
        <w:t xml:space="preserve"> Analysis Tool (NVAT. Accessed on 14</w:t>
      </w:r>
      <w:r w:rsidRPr="004E7BD2">
        <w:rPr>
          <w:rFonts w:ascii="Garamond" w:eastAsiaTheme="minorEastAsia" w:hAnsi="Garamond"/>
          <w:vertAlign w:val="superscript"/>
          <w:lang w:val="en-GB"/>
        </w:rPr>
        <w:t>th</w:t>
      </w:r>
      <w:r w:rsidRPr="004E7BD2">
        <w:rPr>
          <w:rFonts w:ascii="Garamond" w:eastAsiaTheme="minorEastAsia" w:hAnsi="Garamond"/>
          <w:lang w:val="en-GB"/>
        </w:rPr>
        <w:t xml:space="preserve"> June 2021 at: </w:t>
      </w:r>
      <w:hyperlink r:id="rId22" w:history="1">
        <w:r w:rsidRPr="004E7BD2">
          <w:rPr>
            <w:rStyle w:val="Hyperlink"/>
            <w:rFonts w:ascii="Garamond" w:eastAsiaTheme="minorEastAsia" w:hAnsi="Garamond"/>
            <w:lang w:val="en-GB"/>
          </w:rPr>
          <w:t>https://www.bjs.gov/index.cfm?ty=nvat</w:t>
        </w:r>
      </w:hyperlink>
      <w:r w:rsidRPr="004E7BD2">
        <w:rPr>
          <w:rFonts w:ascii="Garamond" w:eastAsiaTheme="minorEastAsia" w:hAnsi="Garamond"/>
          <w:lang w:val="en-GB"/>
        </w:rPr>
        <w:t>.</w:t>
      </w:r>
    </w:p>
    <w:p w14:paraId="2D4211C2" w14:textId="6FA4E026" w:rsidR="00185F35" w:rsidRPr="004E7BD2" w:rsidRDefault="00185F35" w:rsidP="003C48BD">
      <w:pPr>
        <w:spacing w:line="240" w:lineRule="auto"/>
        <w:ind w:left="284" w:hanging="284"/>
        <w:rPr>
          <w:rFonts w:ascii="Garamond" w:eastAsia="Times New Roman" w:hAnsi="Garamond" w:cs="Times New Roman"/>
          <w:lang w:val="en-GB"/>
        </w:rPr>
      </w:pPr>
      <w:bookmarkStart w:id="11" w:name="_Hlk93099886"/>
      <w:r w:rsidRPr="004E7BD2">
        <w:rPr>
          <w:rFonts w:ascii="Garamond" w:eastAsia="Times New Roman" w:hAnsi="Garamond" w:cs="Times New Roman"/>
          <w:lang w:val="en-GB"/>
        </w:rPr>
        <w:t xml:space="preserve">Bureau of Justice Statistics. 2021b. (Participation rates). Generated using the NCVS </w:t>
      </w:r>
      <w:r w:rsidR="0041286C" w:rsidRPr="004E7BD2">
        <w:rPr>
          <w:rFonts w:ascii="Garamond" w:eastAsia="Times New Roman" w:hAnsi="Garamond" w:cs="Times New Roman"/>
          <w:lang w:val="en-GB"/>
        </w:rPr>
        <w:t>Victimisation</w:t>
      </w:r>
      <w:r w:rsidRPr="004E7BD2">
        <w:rPr>
          <w:rFonts w:ascii="Garamond" w:eastAsia="Times New Roman" w:hAnsi="Garamond" w:cs="Times New Roman"/>
          <w:lang w:val="en-GB"/>
        </w:rPr>
        <w:t xml:space="preserve"> Analysis Tool (NVAT) at www.bjs.gov. (14</w:t>
      </w:r>
      <w:r w:rsidRPr="004E7BD2">
        <w:rPr>
          <w:rFonts w:ascii="Garamond" w:eastAsia="Times New Roman" w:hAnsi="Garamond" w:cs="Times New Roman"/>
          <w:vertAlign w:val="superscript"/>
          <w:lang w:val="en-GB"/>
        </w:rPr>
        <w:t>th</w:t>
      </w:r>
      <w:r w:rsidRPr="004E7BD2">
        <w:rPr>
          <w:rFonts w:ascii="Garamond" w:eastAsia="Times New Roman" w:hAnsi="Garamond" w:cs="Times New Roman"/>
          <w:lang w:val="en-GB"/>
        </w:rPr>
        <w:t xml:space="preserve"> June 2021). </w:t>
      </w:r>
    </w:p>
    <w:bookmarkEnd w:id="11"/>
    <w:p w14:paraId="46F020D2" w14:textId="58170E70" w:rsidR="1BAFCB32" w:rsidRPr="004E7BD2" w:rsidRDefault="4A205E5E" w:rsidP="003C48BD">
      <w:pPr>
        <w:ind w:left="284" w:hanging="284"/>
        <w:rPr>
          <w:rFonts w:ascii="Garamond" w:eastAsiaTheme="minorEastAsia" w:hAnsi="Garamond"/>
          <w:lang w:val="en-GB"/>
        </w:rPr>
      </w:pPr>
      <w:r w:rsidRPr="004E7BD2">
        <w:rPr>
          <w:rFonts w:ascii="Garamond" w:eastAsiaTheme="minorEastAsia" w:hAnsi="Garamond"/>
          <w:lang w:val="en-GB"/>
        </w:rPr>
        <w:t xml:space="preserve">Catalano, Shannan. M. 2007. Methodological change in the NCVS and the effect on convergence. In James P. Lynch &amp; Lynn A. Addington (Eds.), </w:t>
      </w:r>
      <w:r w:rsidRPr="004E7BD2">
        <w:rPr>
          <w:rFonts w:ascii="Garamond" w:eastAsiaTheme="minorEastAsia" w:hAnsi="Garamond"/>
          <w:i/>
          <w:iCs/>
          <w:lang w:val="en-GB"/>
        </w:rPr>
        <w:t>Understanding crime statistics: Revisiting the divergence of the NCVS and the UCR</w:t>
      </w:r>
      <w:r w:rsidRPr="004E7BD2">
        <w:rPr>
          <w:rFonts w:ascii="Garamond" w:eastAsiaTheme="minorEastAsia" w:hAnsi="Garamond"/>
          <w:lang w:val="en-GB"/>
        </w:rPr>
        <w:t xml:space="preserve"> (pp. 125-155). New York: Cambridge University Press.</w:t>
      </w:r>
    </w:p>
    <w:p w14:paraId="233781AE" w14:textId="1CC71808" w:rsidR="00AB38F2" w:rsidRPr="004E7BD2" w:rsidRDefault="00AB38F2" w:rsidP="003C48BD">
      <w:pPr>
        <w:ind w:left="284" w:hanging="284"/>
        <w:rPr>
          <w:rFonts w:ascii="Garamond" w:eastAsiaTheme="minorEastAsia" w:hAnsi="Garamond"/>
          <w:lang w:val="en-GB"/>
        </w:rPr>
      </w:pPr>
      <w:proofErr w:type="spellStart"/>
      <w:r w:rsidRPr="004E7BD2">
        <w:rPr>
          <w:rFonts w:ascii="Garamond" w:eastAsiaTheme="minorEastAsia" w:hAnsi="Garamond"/>
          <w:lang w:val="en-GB"/>
        </w:rPr>
        <w:t>Cheliotis</w:t>
      </w:r>
      <w:proofErr w:type="spellEnd"/>
      <w:r w:rsidRPr="004E7BD2">
        <w:rPr>
          <w:rFonts w:ascii="Garamond" w:eastAsiaTheme="minorEastAsia" w:hAnsi="Garamond"/>
          <w:lang w:val="en-GB"/>
        </w:rPr>
        <w:t xml:space="preserve">, Leonidas K. 2020. “Neither dupes, nor pipers: violent crime, public sentiment and the political origins of mass incarceration in the United States.” </w:t>
      </w:r>
      <w:r w:rsidRPr="004E7BD2">
        <w:rPr>
          <w:rFonts w:ascii="Garamond" w:eastAsiaTheme="minorEastAsia" w:hAnsi="Garamond"/>
          <w:i/>
          <w:iCs/>
          <w:lang w:val="en-GB"/>
        </w:rPr>
        <w:t>Current Issues in Criminal Justice</w:t>
      </w:r>
      <w:r w:rsidRPr="004E7BD2">
        <w:rPr>
          <w:rFonts w:ascii="Garamond" w:eastAsiaTheme="minorEastAsia" w:hAnsi="Garamond"/>
          <w:lang w:val="en-GB"/>
        </w:rPr>
        <w:t xml:space="preserve"> 32(1): 1-21.</w:t>
      </w:r>
    </w:p>
    <w:p w14:paraId="40506399" w14:textId="76ADC792" w:rsidR="00993019" w:rsidRPr="004E7BD2" w:rsidRDefault="00993019" w:rsidP="003C48BD">
      <w:pPr>
        <w:ind w:left="284" w:hanging="284"/>
        <w:rPr>
          <w:rFonts w:ascii="Garamond" w:eastAsiaTheme="minorEastAsia" w:hAnsi="Garamond"/>
          <w:lang w:val="en-GB"/>
        </w:rPr>
      </w:pPr>
      <w:r w:rsidRPr="004E7BD2">
        <w:rPr>
          <w:rFonts w:ascii="Garamond" w:eastAsiaTheme="minorEastAsia" w:hAnsi="Garamond"/>
          <w:lang w:val="en-GB"/>
        </w:rPr>
        <w:t xml:space="preserve">van Dijk, Jan, </w:t>
      </w:r>
      <w:proofErr w:type="spellStart"/>
      <w:r w:rsidRPr="004E7BD2">
        <w:rPr>
          <w:rFonts w:ascii="Garamond" w:eastAsiaTheme="minorEastAsia" w:hAnsi="Garamond"/>
          <w:lang w:val="en-GB"/>
        </w:rPr>
        <w:t>Andromachi</w:t>
      </w:r>
      <w:proofErr w:type="spellEnd"/>
      <w:r w:rsidRPr="004E7BD2">
        <w:rPr>
          <w:rFonts w:ascii="Garamond" w:eastAsiaTheme="minorEastAsia" w:hAnsi="Garamond"/>
          <w:lang w:val="en-GB"/>
        </w:rPr>
        <w:t xml:space="preserve"> </w:t>
      </w:r>
      <w:proofErr w:type="spellStart"/>
      <w:r w:rsidRPr="004E7BD2">
        <w:rPr>
          <w:rFonts w:ascii="Garamond" w:eastAsiaTheme="minorEastAsia" w:hAnsi="Garamond"/>
          <w:lang w:val="en-GB"/>
        </w:rPr>
        <w:t>Tseloni</w:t>
      </w:r>
      <w:proofErr w:type="spellEnd"/>
      <w:r w:rsidRPr="004E7BD2">
        <w:rPr>
          <w:rFonts w:ascii="Garamond" w:eastAsiaTheme="minorEastAsia" w:hAnsi="Garamond"/>
          <w:lang w:val="en-GB"/>
        </w:rPr>
        <w:t xml:space="preserve">, Graham Farrell (eds.). 2012. </w:t>
      </w:r>
      <w:r w:rsidRPr="004E7BD2">
        <w:rPr>
          <w:rFonts w:ascii="Garamond" w:eastAsiaTheme="minorEastAsia" w:hAnsi="Garamond"/>
          <w:i/>
          <w:iCs/>
          <w:lang w:val="en-GB"/>
        </w:rPr>
        <w:t>The International Crime Drop: New Directions in Research</w:t>
      </w:r>
      <w:r w:rsidRPr="004E7BD2">
        <w:rPr>
          <w:rFonts w:ascii="Garamond" w:eastAsiaTheme="minorEastAsia" w:hAnsi="Garamond"/>
          <w:lang w:val="en-GB"/>
        </w:rPr>
        <w:t>. London: Palgrave.</w:t>
      </w:r>
    </w:p>
    <w:p w14:paraId="59CD7654" w14:textId="6027B716" w:rsidR="00041D62" w:rsidRPr="004E7BD2" w:rsidRDefault="00041D62" w:rsidP="003C48BD">
      <w:pPr>
        <w:ind w:left="284" w:hanging="284"/>
        <w:rPr>
          <w:rFonts w:ascii="Garamond" w:hAnsi="Garamond"/>
          <w:lang w:val="en-GB"/>
        </w:rPr>
      </w:pPr>
      <w:r w:rsidRPr="004E7BD2">
        <w:rPr>
          <w:rFonts w:ascii="Garamond" w:hAnsi="Garamond"/>
          <w:lang w:val="en-GB"/>
        </w:rPr>
        <w:t>Enns, Peter 2014. “</w:t>
      </w:r>
      <w:r w:rsidRPr="004E7BD2">
        <w:rPr>
          <w:rFonts w:ascii="Garamond" w:hAnsi="Garamond"/>
          <w:bCs/>
          <w:lang w:val="en-GB"/>
        </w:rPr>
        <w:t>The Public’s Increasing Punitiveness and Its Influence on Mass Incarceration in the United States</w:t>
      </w:r>
      <w:r w:rsidRPr="004E7BD2">
        <w:rPr>
          <w:rFonts w:ascii="Garamond" w:hAnsi="Garamond"/>
          <w:lang w:val="en-GB"/>
        </w:rPr>
        <w:t>.” </w:t>
      </w:r>
      <w:r w:rsidRPr="004E7BD2">
        <w:rPr>
          <w:rFonts w:ascii="Garamond" w:hAnsi="Garamond"/>
          <w:i/>
          <w:iCs/>
          <w:lang w:val="en-GB"/>
        </w:rPr>
        <w:t>American Journal of Political Science</w:t>
      </w:r>
      <w:r w:rsidRPr="004E7BD2">
        <w:rPr>
          <w:rFonts w:ascii="Garamond" w:hAnsi="Garamond"/>
          <w:lang w:val="en-GB"/>
        </w:rPr>
        <w:t xml:space="preserve"> 58(4): 857-872</w:t>
      </w:r>
      <w:r w:rsidR="00FC73DF" w:rsidRPr="004E7BD2">
        <w:rPr>
          <w:rFonts w:ascii="Garamond" w:hAnsi="Garamond"/>
          <w:lang w:val="en-GB"/>
        </w:rPr>
        <w:t>.</w:t>
      </w:r>
    </w:p>
    <w:p w14:paraId="397CD6BC" w14:textId="6EA7C3AC" w:rsidR="00FA02AB" w:rsidRPr="004E7BD2" w:rsidRDefault="00FA02AB" w:rsidP="003C48BD">
      <w:pPr>
        <w:ind w:left="284" w:hanging="284"/>
        <w:rPr>
          <w:rFonts w:ascii="Garamond" w:hAnsi="Garamond"/>
          <w:lang w:val="en-GB"/>
        </w:rPr>
      </w:pPr>
      <w:r w:rsidRPr="004E7BD2">
        <w:rPr>
          <w:rFonts w:ascii="Garamond" w:hAnsi="Garamond"/>
          <w:lang w:val="en-GB"/>
        </w:rPr>
        <w:t>Enns, Peter 2016. </w:t>
      </w:r>
      <w:r w:rsidRPr="004E7BD2">
        <w:rPr>
          <w:rFonts w:ascii="Garamond" w:hAnsi="Garamond"/>
          <w:i/>
          <w:iCs/>
          <w:lang w:val="en-GB"/>
        </w:rPr>
        <w:t>Incarceration Nation</w:t>
      </w:r>
      <w:r w:rsidRPr="004E7BD2">
        <w:rPr>
          <w:rFonts w:ascii="Garamond" w:hAnsi="Garamond"/>
          <w:bCs/>
          <w:i/>
          <w:iCs/>
          <w:lang w:val="en-GB"/>
        </w:rPr>
        <w:t>: How the United States Became the Most Punitive Democracy in the World</w:t>
      </w:r>
      <w:r w:rsidRPr="004E7BD2">
        <w:rPr>
          <w:rFonts w:ascii="Garamond" w:hAnsi="Garamond"/>
          <w:lang w:val="en-GB"/>
        </w:rPr>
        <w:t>. New York: Cambridge University Press.</w:t>
      </w:r>
    </w:p>
    <w:p w14:paraId="4AB8C19F" w14:textId="350A80EA" w:rsidR="00FC73DF" w:rsidRPr="004E7BD2" w:rsidRDefault="00FC73DF" w:rsidP="003C48BD">
      <w:pPr>
        <w:ind w:left="284" w:hanging="284"/>
        <w:rPr>
          <w:rFonts w:ascii="Garamond" w:hAnsi="Garamond"/>
          <w:lang w:val="en-GB"/>
        </w:rPr>
      </w:pPr>
      <w:r w:rsidRPr="004E7BD2">
        <w:rPr>
          <w:rFonts w:ascii="Garamond" w:hAnsi="Garamond"/>
          <w:lang w:val="en-GB"/>
        </w:rPr>
        <w:t>Enns, Peter and Delphia Shanks-Booth. 2015. “</w:t>
      </w:r>
      <w:r w:rsidRPr="004E7BD2">
        <w:rPr>
          <w:rFonts w:ascii="Garamond" w:hAnsi="Garamond"/>
          <w:bCs/>
          <w:lang w:val="en-GB"/>
        </w:rPr>
        <w:t>The Great Recession and State Criminal Justice Policy: Do Economic Hard Times Matter</w:t>
      </w:r>
      <w:r w:rsidRPr="004E7BD2">
        <w:rPr>
          <w:rFonts w:ascii="Garamond" w:hAnsi="Garamond"/>
          <w:lang w:val="en-GB"/>
        </w:rPr>
        <w:t>.” </w:t>
      </w:r>
      <w:r w:rsidRPr="004E7BD2">
        <w:rPr>
          <w:rFonts w:ascii="Garamond" w:hAnsi="Garamond"/>
          <w:i/>
          <w:iCs/>
          <w:lang w:val="en-GB"/>
        </w:rPr>
        <w:t>Russell Sage Foundation Great Recession Brief</w:t>
      </w:r>
      <w:r w:rsidRPr="004E7BD2">
        <w:rPr>
          <w:rFonts w:ascii="Garamond" w:hAnsi="Garamond"/>
          <w:lang w:val="en-GB"/>
        </w:rPr>
        <w:t>.</w:t>
      </w:r>
    </w:p>
    <w:p w14:paraId="0AE9E536" w14:textId="7E4955EA" w:rsidR="00FA02AB" w:rsidRPr="004E7BD2" w:rsidRDefault="00FA02AB" w:rsidP="003C48BD">
      <w:pPr>
        <w:ind w:left="284" w:hanging="284"/>
        <w:rPr>
          <w:rFonts w:ascii="Garamond" w:hAnsi="Garamond"/>
          <w:lang w:val="en-GB"/>
        </w:rPr>
      </w:pPr>
      <w:r w:rsidRPr="004E7BD2">
        <w:rPr>
          <w:rFonts w:ascii="Garamond" w:hAnsi="Garamond"/>
          <w:lang w:val="en-GB"/>
        </w:rPr>
        <w:t xml:space="preserve">Enns, Peter and Paul </w:t>
      </w:r>
      <w:proofErr w:type="spellStart"/>
      <w:r w:rsidRPr="004E7BD2">
        <w:rPr>
          <w:rFonts w:ascii="Garamond" w:hAnsi="Garamond"/>
          <w:lang w:val="en-GB"/>
        </w:rPr>
        <w:t>Kellstedt</w:t>
      </w:r>
      <w:proofErr w:type="spellEnd"/>
      <w:r w:rsidRPr="004E7BD2">
        <w:rPr>
          <w:rFonts w:ascii="Garamond" w:hAnsi="Garamond"/>
          <w:lang w:val="en-GB"/>
        </w:rPr>
        <w:t>. 2008. “</w:t>
      </w:r>
      <w:r w:rsidRPr="004E7BD2">
        <w:rPr>
          <w:rFonts w:ascii="Garamond" w:hAnsi="Garamond"/>
          <w:bCs/>
          <w:lang w:val="en-GB"/>
        </w:rPr>
        <w:t>Policy Mood and Political Sophistication: Why Everybody Moves Mood</w:t>
      </w:r>
      <w:r w:rsidRPr="004E7BD2">
        <w:rPr>
          <w:rFonts w:ascii="Garamond" w:hAnsi="Garamond"/>
          <w:lang w:val="en-GB"/>
        </w:rPr>
        <w:t>.” </w:t>
      </w:r>
      <w:r w:rsidRPr="004E7BD2">
        <w:rPr>
          <w:rFonts w:ascii="Garamond" w:hAnsi="Garamond"/>
          <w:i/>
          <w:iCs/>
          <w:lang w:val="en-GB"/>
        </w:rPr>
        <w:t>British Journal of Political Science</w:t>
      </w:r>
      <w:r w:rsidRPr="004E7BD2">
        <w:rPr>
          <w:rFonts w:ascii="Garamond" w:hAnsi="Garamond"/>
          <w:lang w:val="en-GB"/>
        </w:rPr>
        <w:t> 38(3): 433-454.</w:t>
      </w:r>
    </w:p>
    <w:p w14:paraId="3D2AB4C2" w14:textId="49203CE1" w:rsidR="00B94883" w:rsidRPr="004E7BD2" w:rsidRDefault="00B94883" w:rsidP="003C48BD">
      <w:pPr>
        <w:ind w:left="284" w:hanging="284"/>
        <w:rPr>
          <w:rStyle w:val="Hyperlink"/>
          <w:rFonts w:ascii="Garamond" w:hAnsi="Garamond"/>
          <w:lang w:val="en-GB"/>
        </w:rPr>
      </w:pPr>
      <w:proofErr w:type="spellStart"/>
      <w:r w:rsidRPr="004E7BD2">
        <w:rPr>
          <w:rFonts w:ascii="Garamond" w:hAnsi="Garamond"/>
          <w:lang w:val="en-GB"/>
        </w:rPr>
        <w:t>Koerth</w:t>
      </w:r>
      <w:proofErr w:type="spellEnd"/>
      <w:r w:rsidRPr="004E7BD2">
        <w:rPr>
          <w:rFonts w:ascii="Garamond" w:hAnsi="Garamond"/>
          <w:lang w:val="en-GB"/>
        </w:rPr>
        <w:t>, Maggie and Amelia Thomson-</w:t>
      </w:r>
      <w:proofErr w:type="spellStart"/>
      <w:r w:rsidRPr="004E7BD2">
        <w:rPr>
          <w:rFonts w:ascii="Garamond" w:hAnsi="Garamond"/>
          <w:lang w:val="en-GB"/>
        </w:rPr>
        <w:t>DeVeaux</w:t>
      </w:r>
      <w:proofErr w:type="spellEnd"/>
      <w:r w:rsidRPr="004E7BD2">
        <w:rPr>
          <w:rFonts w:ascii="Garamond" w:hAnsi="Garamond"/>
          <w:lang w:val="en-GB"/>
        </w:rPr>
        <w:t xml:space="preserve">. 2020. “Many Americans Are Convinced Crime Is Rising In The U.S. They’re Wrong” </w:t>
      </w:r>
      <w:r w:rsidRPr="004E7BD2">
        <w:rPr>
          <w:rFonts w:ascii="Garamond" w:hAnsi="Garamond"/>
          <w:i/>
          <w:lang w:val="en-GB"/>
        </w:rPr>
        <w:t xml:space="preserve">FiveThirtyEight. </w:t>
      </w:r>
      <w:r w:rsidR="0001138E" w:rsidRPr="004E7BD2">
        <w:rPr>
          <w:rFonts w:ascii="Garamond" w:hAnsi="Garamond"/>
          <w:iCs/>
          <w:lang w:val="en-GB"/>
        </w:rPr>
        <w:t>3</w:t>
      </w:r>
      <w:r w:rsidR="0001138E" w:rsidRPr="004E7BD2">
        <w:rPr>
          <w:rFonts w:ascii="Garamond" w:hAnsi="Garamond"/>
          <w:iCs/>
          <w:vertAlign w:val="superscript"/>
          <w:lang w:val="en-GB"/>
        </w:rPr>
        <w:t>rd</w:t>
      </w:r>
      <w:r w:rsidR="0001138E" w:rsidRPr="004E7BD2">
        <w:rPr>
          <w:rFonts w:ascii="Garamond" w:hAnsi="Garamond"/>
          <w:iCs/>
          <w:lang w:val="en-GB"/>
        </w:rPr>
        <w:t xml:space="preserve"> </w:t>
      </w:r>
      <w:r w:rsidRPr="004E7BD2">
        <w:rPr>
          <w:rFonts w:ascii="Garamond" w:hAnsi="Garamond"/>
          <w:lang w:val="en-GB"/>
        </w:rPr>
        <w:t xml:space="preserve">August: </w:t>
      </w:r>
      <w:hyperlink r:id="rId23" w:history="1">
        <w:r w:rsidRPr="004E7BD2">
          <w:rPr>
            <w:rStyle w:val="Hyperlink"/>
            <w:rFonts w:ascii="Garamond" w:hAnsi="Garamond"/>
            <w:lang w:val="en-GB"/>
          </w:rPr>
          <w:t>https://fivethirtyeight.com/features/many-americans-are-convinced-crime-is-rising-in-the-u-s-theyre-wrong/</w:t>
        </w:r>
      </w:hyperlink>
      <w:r w:rsidRPr="004E7BD2">
        <w:rPr>
          <w:rStyle w:val="Hyperlink"/>
          <w:rFonts w:ascii="Garamond" w:hAnsi="Garamond"/>
          <w:lang w:val="en-GB"/>
        </w:rPr>
        <w:t xml:space="preserve">. </w:t>
      </w:r>
    </w:p>
    <w:p w14:paraId="751A4E92" w14:textId="218C4051" w:rsidR="006E7E6F" w:rsidRPr="004E7BD2" w:rsidRDefault="006E7E6F" w:rsidP="003C48BD">
      <w:pPr>
        <w:ind w:left="284" w:hanging="284"/>
        <w:rPr>
          <w:rFonts w:ascii="Garamond" w:hAnsi="Garamond"/>
          <w:lang w:val="en-GB"/>
        </w:rPr>
      </w:pPr>
      <w:r w:rsidRPr="004E7BD2">
        <w:rPr>
          <w:rFonts w:ascii="Garamond" w:hAnsi="Garamond"/>
          <w:lang w:val="en-GB"/>
        </w:rPr>
        <w:lastRenderedPageBreak/>
        <w:t>Farrall, Stephen</w:t>
      </w:r>
      <w:r w:rsidR="00497E20" w:rsidRPr="004E7BD2">
        <w:rPr>
          <w:rFonts w:ascii="Garamond" w:hAnsi="Garamond"/>
          <w:lang w:val="en-GB"/>
        </w:rPr>
        <w:t xml:space="preserve">. </w:t>
      </w:r>
      <w:r w:rsidRPr="004E7BD2">
        <w:rPr>
          <w:rFonts w:ascii="Garamond" w:hAnsi="Garamond"/>
          <w:lang w:val="en-GB"/>
        </w:rPr>
        <w:t>2017</w:t>
      </w:r>
      <w:r w:rsidR="00497E20" w:rsidRPr="004E7BD2">
        <w:rPr>
          <w:rFonts w:ascii="Garamond" w:hAnsi="Garamond"/>
          <w:lang w:val="en-GB"/>
        </w:rPr>
        <w:t xml:space="preserve">. </w:t>
      </w:r>
      <w:r w:rsidRPr="004E7BD2">
        <w:rPr>
          <w:rFonts w:ascii="Garamond" w:hAnsi="Garamond"/>
          <w:i/>
          <w:iCs/>
          <w:lang w:val="en-GB"/>
        </w:rPr>
        <w:t>Re-Examining The Crime Drop</w:t>
      </w:r>
      <w:r w:rsidRPr="004E7BD2">
        <w:rPr>
          <w:rFonts w:ascii="Garamond" w:hAnsi="Garamond"/>
          <w:lang w:val="en-GB"/>
        </w:rPr>
        <w:t>. Basingstoke: Palgrave Macmillan.</w:t>
      </w:r>
    </w:p>
    <w:p w14:paraId="608932D2" w14:textId="668C7232" w:rsidR="00453E9F" w:rsidRPr="004E7BD2" w:rsidRDefault="00453E9F" w:rsidP="003C48BD">
      <w:pPr>
        <w:ind w:left="284" w:hanging="284"/>
        <w:rPr>
          <w:rFonts w:ascii="Garamond" w:hAnsi="Garamond"/>
          <w:lang w:val="en-GB"/>
        </w:rPr>
      </w:pPr>
      <w:r w:rsidRPr="004E7BD2">
        <w:rPr>
          <w:rFonts w:ascii="Garamond" w:hAnsi="Garamond"/>
          <w:lang w:val="en-GB"/>
        </w:rPr>
        <w:t>Flatley</w:t>
      </w:r>
      <w:r w:rsidR="004E7BD2" w:rsidRPr="004E7BD2">
        <w:rPr>
          <w:rFonts w:ascii="Garamond" w:hAnsi="Garamond"/>
          <w:lang w:val="en-GB"/>
        </w:rPr>
        <w:t>,</w:t>
      </w:r>
      <w:r w:rsidRPr="004E7BD2">
        <w:rPr>
          <w:rFonts w:ascii="Garamond" w:hAnsi="Garamond"/>
          <w:lang w:val="en-GB"/>
        </w:rPr>
        <w:t xml:space="preserve"> J</w:t>
      </w:r>
      <w:r w:rsidR="00920740" w:rsidRPr="004E7BD2">
        <w:rPr>
          <w:rFonts w:ascii="Garamond" w:hAnsi="Garamond"/>
          <w:lang w:val="en-GB"/>
        </w:rPr>
        <w:t>ohn</w:t>
      </w:r>
      <w:r w:rsidRPr="004E7BD2">
        <w:rPr>
          <w:rFonts w:ascii="Garamond" w:hAnsi="Garamond"/>
          <w:lang w:val="en-GB"/>
        </w:rPr>
        <w:t>. 2014</w:t>
      </w:r>
      <w:r w:rsidR="00920740" w:rsidRPr="004E7BD2">
        <w:rPr>
          <w:rFonts w:ascii="Garamond" w:hAnsi="Garamond"/>
          <w:lang w:val="en-GB"/>
        </w:rPr>
        <w:t>.</w:t>
      </w:r>
      <w:r w:rsidRPr="004E7BD2">
        <w:rPr>
          <w:rFonts w:ascii="Garamond" w:hAnsi="Garamond"/>
          <w:lang w:val="en-GB"/>
        </w:rPr>
        <w:t xml:space="preserve"> </w:t>
      </w:r>
      <w:r w:rsidR="00920740" w:rsidRPr="004E7BD2">
        <w:rPr>
          <w:rFonts w:ascii="Garamond" w:hAnsi="Garamond"/>
          <w:lang w:val="en-GB"/>
        </w:rPr>
        <w:t>“</w:t>
      </w:r>
      <w:r w:rsidRPr="004E7BD2">
        <w:rPr>
          <w:rFonts w:ascii="Garamond" w:hAnsi="Garamond"/>
          <w:lang w:val="en-GB"/>
        </w:rPr>
        <w:t>British Crime Survey.</w:t>
      </w:r>
      <w:r w:rsidR="00920740" w:rsidRPr="004E7BD2">
        <w:rPr>
          <w:rFonts w:ascii="Garamond" w:hAnsi="Garamond"/>
          <w:lang w:val="en-GB"/>
        </w:rPr>
        <w:t>”</w:t>
      </w:r>
      <w:r w:rsidRPr="004E7BD2">
        <w:rPr>
          <w:rFonts w:ascii="Garamond" w:hAnsi="Garamond"/>
          <w:lang w:val="en-GB"/>
        </w:rPr>
        <w:t xml:space="preserve"> In: </w:t>
      </w:r>
      <w:r w:rsidR="0001138E" w:rsidRPr="004E7BD2">
        <w:rPr>
          <w:rFonts w:ascii="Garamond" w:hAnsi="Garamond"/>
          <w:lang w:val="en-GB"/>
        </w:rPr>
        <w:t xml:space="preserve">G. </w:t>
      </w:r>
      <w:proofErr w:type="spellStart"/>
      <w:r w:rsidRPr="004E7BD2">
        <w:rPr>
          <w:rFonts w:ascii="Garamond" w:hAnsi="Garamond"/>
          <w:lang w:val="en-GB"/>
        </w:rPr>
        <w:t>Bruinsma</w:t>
      </w:r>
      <w:proofErr w:type="spellEnd"/>
      <w:r w:rsidRPr="004E7BD2">
        <w:rPr>
          <w:rFonts w:ascii="Garamond" w:hAnsi="Garamond"/>
          <w:lang w:val="en-GB"/>
        </w:rPr>
        <w:t xml:space="preserve"> </w:t>
      </w:r>
      <w:r w:rsidR="0001138E" w:rsidRPr="004E7BD2">
        <w:rPr>
          <w:rFonts w:ascii="Garamond" w:hAnsi="Garamond"/>
          <w:lang w:val="en-GB"/>
        </w:rPr>
        <w:t>and D.</w:t>
      </w:r>
      <w:r w:rsidRPr="004E7BD2">
        <w:rPr>
          <w:rFonts w:ascii="Garamond" w:hAnsi="Garamond"/>
          <w:lang w:val="en-GB"/>
        </w:rPr>
        <w:t xml:space="preserve"> Weisburd (eds</w:t>
      </w:r>
      <w:r w:rsidR="0001138E" w:rsidRPr="004E7BD2">
        <w:rPr>
          <w:rFonts w:ascii="Garamond" w:hAnsi="Garamond"/>
          <w:lang w:val="en-GB"/>
        </w:rPr>
        <w:t>.</w:t>
      </w:r>
      <w:r w:rsidRPr="004E7BD2">
        <w:rPr>
          <w:rFonts w:ascii="Garamond" w:hAnsi="Garamond"/>
          <w:lang w:val="en-GB"/>
        </w:rPr>
        <w:t xml:space="preserve">) </w:t>
      </w:r>
      <w:proofErr w:type="spellStart"/>
      <w:r w:rsidRPr="004E7BD2">
        <w:rPr>
          <w:rFonts w:ascii="Garamond" w:hAnsi="Garamond"/>
          <w:i/>
          <w:iCs/>
          <w:lang w:val="en-GB"/>
        </w:rPr>
        <w:t>Encyclopedia</w:t>
      </w:r>
      <w:proofErr w:type="spellEnd"/>
      <w:r w:rsidRPr="004E7BD2">
        <w:rPr>
          <w:rFonts w:ascii="Garamond" w:hAnsi="Garamond"/>
          <w:i/>
          <w:iCs/>
          <w:lang w:val="en-GB"/>
        </w:rPr>
        <w:t xml:space="preserve"> of Criminology and Criminal Justice</w:t>
      </w:r>
      <w:r w:rsidRPr="004E7BD2">
        <w:rPr>
          <w:rFonts w:ascii="Garamond" w:hAnsi="Garamond"/>
          <w:lang w:val="en-GB"/>
        </w:rPr>
        <w:t>.</w:t>
      </w:r>
      <w:r w:rsidR="0001138E" w:rsidRPr="004E7BD2">
        <w:rPr>
          <w:rFonts w:ascii="Garamond" w:hAnsi="Garamond"/>
          <w:lang w:val="en-GB"/>
        </w:rPr>
        <w:t xml:space="preserve"> New York:</w:t>
      </w:r>
      <w:r w:rsidRPr="004E7BD2">
        <w:rPr>
          <w:rFonts w:ascii="Garamond" w:hAnsi="Garamond"/>
          <w:lang w:val="en-GB"/>
        </w:rPr>
        <w:t xml:space="preserve"> Springer. </w:t>
      </w:r>
    </w:p>
    <w:p w14:paraId="13A8A6F8" w14:textId="4FB4B5F3" w:rsidR="00270119" w:rsidRPr="004E7BD2" w:rsidRDefault="00270119" w:rsidP="003C48BD">
      <w:pPr>
        <w:ind w:left="284" w:hanging="284"/>
        <w:rPr>
          <w:rFonts w:ascii="Garamond" w:hAnsi="Garamond"/>
          <w:lang w:val="en-GB"/>
        </w:rPr>
      </w:pPr>
      <w:r w:rsidRPr="004E7BD2">
        <w:rPr>
          <w:rFonts w:ascii="Garamond" w:hAnsi="Garamond"/>
          <w:lang w:val="en-GB"/>
        </w:rPr>
        <w:t xml:space="preserve">Gallo, </w:t>
      </w:r>
      <w:proofErr w:type="spellStart"/>
      <w:r w:rsidRPr="004E7BD2">
        <w:rPr>
          <w:rFonts w:ascii="Garamond" w:hAnsi="Garamond"/>
          <w:lang w:val="en-GB"/>
        </w:rPr>
        <w:t>Zelia</w:t>
      </w:r>
      <w:proofErr w:type="spellEnd"/>
      <w:r w:rsidRPr="004E7BD2">
        <w:rPr>
          <w:rFonts w:ascii="Garamond" w:hAnsi="Garamond"/>
          <w:lang w:val="en-GB"/>
        </w:rPr>
        <w:t xml:space="preserve">, Nicola Lacey and David Soskice. 2018. </w:t>
      </w:r>
      <w:r w:rsidR="0001138E" w:rsidRPr="004E7BD2">
        <w:rPr>
          <w:rFonts w:ascii="Garamond" w:hAnsi="Garamond"/>
          <w:lang w:val="en-GB"/>
        </w:rPr>
        <w:t>“</w:t>
      </w:r>
      <w:r w:rsidRPr="004E7BD2">
        <w:rPr>
          <w:rFonts w:ascii="Garamond" w:hAnsi="Garamond"/>
          <w:lang w:val="en-GB"/>
        </w:rPr>
        <w:t>Comparing Serious Violent Crime in the United States and England and Wales: Why It Matters, and How It Can Be Done.</w:t>
      </w:r>
      <w:r w:rsidR="0001138E" w:rsidRPr="004E7BD2">
        <w:rPr>
          <w:rFonts w:ascii="Garamond" w:hAnsi="Garamond"/>
          <w:lang w:val="en-GB"/>
        </w:rPr>
        <w:t>”</w:t>
      </w:r>
      <w:r w:rsidRPr="004E7BD2">
        <w:rPr>
          <w:rFonts w:ascii="Garamond" w:hAnsi="Garamond"/>
          <w:lang w:val="en-GB"/>
        </w:rPr>
        <w:t xml:space="preserve"> In Kevin R. Reitz (ed.) </w:t>
      </w:r>
      <w:r w:rsidRPr="004E7BD2">
        <w:rPr>
          <w:rFonts w:ascii="Garamond" w:hAnsi="Garamond"/>
          <w:i/>
          <w:iCs/>
          <w:lang w:val="en-GB"/>
        </w:rPr>
        <w:t>American Exceptionalism in Crime and Punishment</w:t>
      </w:r>
      <w:r w:rsidRPr="004E7BD2">
        <w:rPr>
          <w:rFonts w:ascii="Garamond" w:hAnsi="Garamond"/>
          <w:lang w:val="en-GB"/>
        </w:rPr>
        <w:t>. Oxford: Oxford University Press.</w:t>
      </w:r>
    </w:p>
    <w:p w14:paraId="37517024" w14:textId="174D6772" w:rsidR="008870DB" w:rsidRDefault="008870DB" w:rsidP="003C48BD">
      <w:pPr>
        <w:ind w:left="284" w:hanging="284"/>
        <w:rPr>
          <w:rFonts w:ascii="Garamond" w:hAnsi="Garamond"/>
          <w:lang w:val="en-GB"/>
        </w:rPr>
      </w:pPr>
      <w:r w:rsidRPr="004E7BD2">
        <w:rPr>
          <w:rFonts w:ascii="Garamond" w:hAnsi="Garamond"/>
          <w:lang w:val="en-GB"/>
        </w:rPr>
        <w:t xml:space="preserve">Garland, David. 2001. </w:t>
      </w:r>
      <w:r w:rsidRPr="004E7BD2">
        <w:rPr>
          <w:rFonts w:ascii="Garamond" w:hAnsi="Garamond"/>
          <w:i/>
          <w:iCs/>
          <w:lang w:val="en-GB"/>
        </w:rPr>
        <w:t>The Culture of Control: Crime and Social Order in Contemporary Society</w:t>
      </w:r>
      <w:r w:rsidRPr="004E7BD2">
        <w:rPr>
          <w:rFonts w:ascii="Garamond" w:hAnsi="Garamond"/>
          <w:lang w:val="en-GB"/>
        </w:rPr>
        <w:t>. Oxford: Oxford University Press.</w:t>
      </w:r>
    </w:p>
    <w:p w14:paraId="5964AC36" w14:textId="77777777" w:rsidR="00186D7C" w:rsidRPr="00186D7C" w:rsidRDefault="00186D7C" w:rsidP="00186D7C">
      <w:pPr>
        <w:ind w:left="284" w:hanging="284"/>
        <w:rPr>
          <w:rFonts w:ascii="Garamond" w:hAnsi="Garamond"/>
          <w:lang w:val="en-GB"/>
        </w:rPr>
      </w:pPr>
      <w:proofErr w:type="spellStart"/>
      <w:r w:rsidRPr="00186D7C">
        <w:rPr>
          <w:rFonts w:ascii="Garamond" w:hAnsi="Garamond"/>
          <w:lang w:val="en-GB"/>
        </w:rPr>
        <w:t>Gramlich</w:t>
      </w:r>
      <w:proofErr w:type="spellEnd"/>
      <w:r w:rsidRPr="00186D7C">
        <w:rPr>
          <w:rFonts w:ascii="Garamond" w:hAnsi="Garamond"/>
          <w:lang w:val="en-GB"/>
        </w:rPr>
        <w:t xml:space="preserve">, John. 2020. “What the data says (and doesn’t say) about crime in the United States” </w:t>
      </w:r>
      <w:r w:rsidRPr="00186D7C">
        <w:rPr>
          <w:rFonts w:ascii="Garamond" w:hAnsi="Garamond"/>
          <w:i/>
          <w:lang w:val="en-GB"/>
        </w:rPr>
        <w:t xml:space="preserve">Pew Research </w:t>
      </w:r>
      <w:proofErr w:type="spellStart"/>
      <w:r w:rsidRPr="00186D7C">
        <w:rPr>
          <w:rFonts w:ascii="Garamond" w:hAnsi="Garamond"/>
          <w:i/>
          <w:lang w:val="en-GB"/>
        </w:rPr>
        <w:t>Center</w:t>
      </w:r>
      <w:proofErr w:type="spellEnd"/>
      <w:r w:rsidRPr="00186D7C">
        <w:rPr>
          <w:rFonts w:ascii="Garamond" w:hAnsi="Garamond"/>
          <w:lang w:val="en-GB"/>
        </w:rPr>
        <w:t xml:space="preserve"> (Nov. 20): </w:t>
      </w:r>
      <w:hyperlink r:id="rId24" w:history="1">
        <w:r w:rsidRPr="00186D7C">
          <w:rPr>
            <w:rStyle w:val="Hyperlink"/>
            <w:rFonts w:ascii="Garamond" w:hAnsi="Garamond"/>
            <w:lang w:val="en-GB"/>
          </w:rPr>
          <w:t>https://www.pewresearch.org/fact-tank/2020/11/20/facts-about-crime-in-the-u-s/</w:t>
        </w:r>
      </w:hyperlink>
      <w:r w:rsidRPr="00186D7C">
        <w:rPr>
          <w:rFonts w:ascii="Garamond" w:hAnsi="Garamond"/>
          <w:lang w:val="en-GB"/>
        </w:rPr>
        <w:t xml:space="preserve">. </w:t>
      </w:r>
    </w:p>
    <w:p w14:paraId="16006B94" w14:textId="55797678" w:rsidR="00497E20" w:rsidRDefault="00497E20" w:rsidP="003C48BD">
      <w:pPr>
        <w:ind w:left="284" w:hanging="284"/>
        <w:rPr>
          <w:rFonts w:ascii="Garamond" w:hAnsi="Garamond"/>
          <w:lang w:val="en-GB"/>
        </w:rPr>
      </w:pPr>
      <w:r w:rsidRPr="004E7BD2">
        <w:rPr>
          <w:rFonts w:ascii="Garamond" w:hAnsi="Garamond"/>
          <w:lang w:val="en-GB"/>
        </w:rPr>
        <w:t xml:space="preserve">Gray Emily, Jonathan Jackson and Stephen Farrall. 2008. “Reassessing the Fear of Crime.” </w:t>
      </w:r>
      <w:r w:rsidRPr="004E7BD2">
        <w:rPr>
          <w:rFonts w:ascii="Garamond" w:hAnsi="Garamond"/>
          <w:i/>
          <w:iCs/>
          <w:lang w:val="en-GB"/>
        </w:rPr>
        <w:t xml:space="preserve">European Journal of Criminology </w:t>
      </w:r>
      <w:r w:rsidRPr="004E7BD2">
        <w:rPr>
          <w:rFonts w:ascii="Garamond" w:hAnsi="Garamond"/>
          <w:lang w:val="en-GB"/>
        </w:rPr>
        <w:t>5(3): 363-380.</w:t>
      </w:r>
    </w:p>
    <w:p w14:paraId="67B591EE" w14:textId="77777777" w:rsidR="00186D7C" w:rsidRPr="00186D7C" w:rsidRDefault="00186D7C" w:rsidP="00186D7C">
      <w:pPr>
        <w:ind w:left="284" w:hanging="284"/>
        <w:rPr>
          <w:rFonts w:ascii="Garamond" w:hAnsi="Garamond"/>
          <w:lang w:val="en-GB"/>
        </w:rPr>
      </w:pPr>
      <w:r w:rsidRPr="00186D7C">
        <w:rPr>
          <w:rFonts w:ascii="Garamond" w:hAnsi="Garamond"/>
          <w:lang w:val="en-GB"/>
        </w:rPr>
        <w:t xml:space="preserve">Howard, Gregory J., Graeme Newman, and Joshua D. </w:t>
      </w:r>
      <w:proofErr w:type="spellStart"/>
      <w:r w:rsidRPr="00186D7C">
        <w:rPr>
          <w:rFonts w:ascii="Garamond" w:hAnsi="Garamond"/>
          <w:lang w:val="en-GB"/>
        </w:rPr>
        <w:t>Freilich</w:t>
      </w:r>
      <w:proofErr w:type="spellEnd"/>
      <w:r w:rsidRPr="00186D7C">
        <w:rPr>
          <w:rFonts w:ascii="Garamond" w:hAnsi="Garamond"/>
          <w:lang w:val="en-GB"/>
        </w:rPr>
        <w:t xml:space="preserve">. 2017. “Population Diversity and Homicide: A cross-national Amplification of </w:t>
      </w:r>
      <w:proofErr w:type="spellStart"/>
      <w:r w:rsidRPr="00186D7C">
        <w:rPr>
          <w:rFonts w:ascii="Garamond" w:hAnsi="Garamond"/>
          <w:lang w:val="en-GB"/>
        </w:rPr>
        <w:t>Blau’s</w:t>
      </w:r>
      <w:proofErr w:type="spellEnd"/>
      <w:r w:rsidRPr="00186D7C">
        <w:rPr>
          <w:rFonts w:ascii="Garamond" w:hAnsi="Garamond"/>
          <w:lang w:val="en-GB"/>
        </w:rPr>
        <w:t xml:space="preserve"> Theory of Diversity” in </w:t>
      </w:r>
      <w:r w:rsidRPr="00186D7C">
        <w:rPr>
          <w:rFonts w:ascii="Garamond" w:hAnsi="Garamond"/>
          <w:i/>
          <w:lang w:val="en-GB"/>
        </w:rPr>
        <w:t xml:space="preserve">Migration, Culture Conflict and Crime </w:t>
      </w:r>
      <w:r w:rsidRPr="00186D7C">
        <w:rPr>
          <w:rFonts w:ascii="Garamond" w:hAnsi="Garamond"/>
          <w:lang w:val="en-GB"/>
        </w:rPr>
        <w:t xml:space="preserve">Eds. Joshua D. </w:t>
      </w:r>
      <w:proofErr w:type="spellStart"/>
      <w:r w:rsidRPr="00186D7C">
        <w:rPr>
          <w:rFonts w:ascii="Garamond" w:hAnsi="Garamond"/>
          <w:lang w:val="en-GB"/>
        </w:rPr>
        <w:t>Freilich</w:t>
      </w:r>
      <w:proofErr w:type="spellEnd"/>
      <w:r w:rsidRPr="00186D7C">
        <w:rPr>
          <w:rFonts w:ascii="Garamond" w:hAnsi="Garamond"/>
          <w:lang w:val="en-GB"/>
        </w:rPr>
        <w:t xml:space="preserve">, Graeme Newman, S. </w:t>
      </w:r>
      <w:proofErr w:type="spellStart"/>
      <w:r w:rsidRPr="00186D7C">
        <w:rPr>
          <w:rFonts w:ascii="Garamond" w:hAnsi="Garamond"/>
          <w:lang w:val="en-GB"/>
        </w:rPr>
        <w:t>Giora</w:t>
      </w:r>
      <w:proofErr w:type="spellEnd"/>
      <w:r w:rsidRPr="00186D7C">
        <w:rPr>
          <w:rFonts w:ascii="Garamond" w:hAnsi="Garamond"/>
          <w:lang w:val="en-GB"/>
        </w:rPr>
        <w:t xml:space="preserve"> </w:t>
      </w:r>
      <w:proofErr w:type="spellStart"/>
      <w:r w:rsidRPr="00186D7C">
        <w:rPr>
          <w:rFonts w:ascii="Garamond" w:hAnsi="Garamond"/>
          <w:lang w:val="en-GB"/>
        </w:rPr>
        <w:t>Shoham</w:t>
      </w:r>
      <w:proofErr w:type="spellEnd"/>
      <w:r w:rsidRPr="00186D7C">
        <w:rPr>
          <w:rFonts w:ascii="Garamond" w:hAnsi="Garamond"/>
          <w:lang w:val="en-GB"/>
        </w:rPr>
        <w:t xml:space="preserve">, and Moshe </w:t>
      </w:r>
      <w:proofErr w:type="spellStart"/>
      <w:r w:rsidRPr="00186D7C">
        <w:rPr>
          <w:rFonts w:ascii="Garamond" w:hAnsi="Garamond"/>
          <w:lang w:val="en-GB"/>
        </w:rPr>
        <w:t>Addad</w:t>
      </w:r>
      <w:proofErr w:type="spellEnd"/>
      <w:r w:rsidRPr="00186D7C">
        <w:rPr>
          <w:rFonts w:ascii="Garamond" w:hAnsi="Garamond"/>
          <w:lang w:val="en-GB"/>
        </w:rPr>
        <w:t>. New York: Routledge.</w:t>
      </w:r>
    </w:p>
    <w:p w14:paraId="14D83158" w14:textId="0753D6AD" w:rsidR="004507C7" w:rsidRPr="004E7BD2" w:rsidRDefault="004507C7" w:rsidP="003C48BD">
      <w:pPr>
        <w:ind w:left="284" w:hanging="284"/>
        <w:rPr>
          <w:rFonts w:ascii="Garamond" w:hAnsi="Garamond"/>
          <w:lang w:val="en-GB"/>
        </w:rPr>
      </w:pPr>
      <w:r w:rsidRPr="004E7BD2">
        <w:rPr>
          <w:rFonts w:ascii="Garamond" w:hAnsi="Garamond"/>
          <w:lang w:val="en-GB"/>
        </w:rPr>
        <w:t>Jennings, Will, </w:t>
      </w:r>
      <w:r w:rsidR="00497E20" w:rsidRPr="004E7BD2">
        <w:rPr>
          <w:rFonts w:ascii="Garamond" w:hAnsi="Garamond"/>
          <w:lang w:val="en-GB"/>
        </w:rPr>
        <w:t xml:space="preserve">Stephen </w:t>
      </w:r>
      <w:r w:rsidRPr="004E7BD2">
        <w:rPr>
          <w:rFonts w:ascii="Garamond" w:hAnsi="Garamond"/>
          <w:lang w:val="en-GB"/>
        </w:rPr>
        <w:t>Farrall,</w:t>
      </w:r>
      <w:r w:rsidR="00497E20" w:rsidRPr="004E7BD2">
        <w:rPr>
          <w:rFonts w:ascii="Garamond" w:hAnsi="Garamond"/>
          <w:lang w:val="en-GB"/>
        </w:rPr>
        <w:t xml:space="preserve"> Emily</w:t>
      </w:r>
      <w:r w:rsidRPr="004E7BD2">
        <w:rPr>
          <w:rFonts w:ascii="Garamond" w:hAnsi="Garamond"/>
          <w:lang w:val="en-GB"/>
        </w:rPr>
        <w:t> Gray and Hay, Colin</w:t>
      </w:r>
      <w:r w:rsidR="00497E20" w:rsidRPr="004E7BD2">
        <w:rPr>
          <w:rFonts w:ascii="Garamond" w:hAnsi="Garamond"/>
          <w:lang w:val="en-GB"/>
        </w:rPr>
        <w:t>.</w:t>
      </w:r>
      <w:r w:rsidRPr="004E7BD2">
        <w:rPr>
          <w:rFonts w:ascii="Garamond" w:hAnsi="Garamond"/>
          <w:lang w:val="en-GB"/>
        </w:rPr>
        <w:t> </w:t>
      </w:r>
      <w:r w:rsidR="00D81691" w:rsidRPr="004E7BD2">
        <w:rPr>
          <w:rFonts w:ascii="Garamond" w:hAnsi="Garamond"/>
          <w:lang w:val="en-GB"/>
        </w:rPr>
        <w:t>2020</w:t>
      </w:r>
      <w:r w:rsidR="00497E20" w:rsidRPr="004E7BD2">
        <w:rPr>
          <w:rFonts w:ascii="Garamond" w:hAnsi="Garamond"/>
          <w:lang w:val="en-GB"/>
        </w:rPr>
        <w:t>. “</w:t>
      </w:r>
      <w:r w:rsidRPr="004E7BD2">
        <w:rPr>
          <w:rFonts w:ascii="Garamond" w:hAnsi="Garamond"/>
          <w:lang w:val="en-GB"/>
        </w:rPr>
        <w:t>Moral panics and punctuated equilibrium in public policy: an analysis of the criminal justice policy agenda in Britain.</w:t>
      </w:r>
      <w:r w:rsidR="00497E20" w:rsidRPr="004E7BD2">
        <w:rPr>
          <w:rFonts w:ascii="Garamond" w:hAnsi="Garamond"/>
          <w:lang w:val="en-GB"/>
        </w:rPr>
        <w:t>”</w:t>
      </w:r>
      <w:r w:rsidRPr="004E7BD2">
        <w:rPr>
          <w:rFonts w:ascii="Garamond" w:hAnsi="Garamond"/>
          <w:lang w:val="en-GB"/>
        </w:rPr>
        <w:t> </w:t>
      </w:r>
      <w:r w:rsidRPr="004E7BD2">
        <w:rPr>
          <w:rFonts w:ascii="Garamond" w:hAnsi="Garamond"/>
          <w:i/>
          <w:iCs/>
          <w:lang w:val="en-GB"/>
        </w:rPr>
        <w:t>Policy Studies Journal</w:t>
      </w:r>
      <w:r w:rsidR="00D81691" w:rsidRPr="004E7BD2">
        <w:rPr>
          <w:rFonts w:ascii="Garamond" w:hAnsi="Garamond"/>
          <w:lang w:val="en-GB"/>
        </w:rPr>
        <w:t xml:space="preserve"> 48(1):</w:t>
      </w:r>
      <w:r w:rsidRPr="004E7BD2">
        <w:rPr>
          <w:rFonts w:ascii="Garamond" w:hAnsi="Garamond"/>
          <w:lang w:val="en-GB"/>
        </w:rPr>
        <w:t> </w:t>
      </w:r>
      <w:r w:rsidR="00D81691" w:rsidRPr="004E7BD2">
        <w:rPr>
          <w:rFonts w:ascii="Garamond" w:hAnsi="Garamond"/>
          <w:lang w:val="en-GB"/>
        </w:rPr>
        <w:t>207-234</w:t>
      </w:r>
      <w:r w:rsidRPr="004E7BD2">
        <w:rPr>
          <w:rFonts w:ascii="Garamond" w:hAnsi="Garamond"/>
          <w:lang w:val="en-GB"/>
        </w:rPr>
        <w:t>. </w:t>
      </w:r>
    </w:p>
    <w:p w14:paraId="18DBEB2D" w14:textId="03BBFE3F" w:rsidR="004E39B9" w:rsidRPr="004E7BD2" w:rsidRDefault="004E39B9" w:rsidP="003C48BD">
      <w:pPr>
        <w:ind w:left="284" w:hanging="284"/>
        <w:rPr>
          <w:rFonts w:ascii="Garamond" w:hAnsi="Garamond"/>
          <w:lang w:val="en-GB"/>
        </w:rPr>
      </w:pPr>
      <w:r w:rsidRPr="004E7BD2">
        <w:rPr>
          <w:rFonts w:ascii="Garamond" w:hAnsi="Garamond"/>
          <w:lang w:val="en-GB"/>
        </w:rPr>
        <w:t>Jennings, Will, </w:t>
      </w:r>
      <w:r w:rsidR="00497E20" w:rsidRPr="004E7BD2">
        <w:rPr>
          <w:rFonts w:ascii="Garamond" w:hAnsi="Garamond"/>
          <w:lang w:val="en-GB"/>
        </w:rPr>
        <w:t xml:space="preserve">Emily </w:t>
      </w:r>
      <w:r w:rsidRPr="004E7BD2">
        <w:rPr>
          <w:rFonts w:ascii="Garamond" w:hAnsi="Garamond"/>
          <w:lang w:val="en-GB"/>
        </w:rPr>
        <w:t xml:space="preserve">Gray, </w:t>
      </w:r>
      <w:r w:rsidR="00497E20" w:rsidRPr="004E7BD2">
        <w:rPr>
          <w:rFonts w:ascii="Garamond" w:hAnsi="Garamond"/>
          <w:lang w:val="en-GB"/>
        </w:rPr>
        <w:t>Stephen</w:t>
      </w:r>
      <w:r w:rsidRPr="004E7BD2">
        <w:rPr>
          <w:rFonts w:ascii="Garamond" w:hAnsi="Garamond"/>
          <w:lang w:val="en-GB"/>
        </w:rPr>
        <w:t> Farrall and</w:t>
      </w:r>
      <w:r w:rsidR="00497E20" w:rsidRPr="004E7BD2">
        <w:rPr>
          <w:rFonts w:ascii="Garamond" w:hAnsi="Garamond"/>
          <w:lang w:val="en-GB"/>
        </w:rPr>
        <w:t xml:space="preserve"> Colin</w:t>
      </w:r>
      <w:r w:rsidRPr="004E7BD2">
        <w:rPr>
          <w:rFonts w:ascii="Garamond" w:hAnsi="Garamond"/>
          <w:lang w:val="en-GB"/>
        </w:rPr>
        <w:t> Hay</w:t>
      </w:r>
      <w:r w:rsidR="00497E20" w:rsidRPr="004E7BD2">
        <w:rPr>
          <w:rFonts w:ascii="Garamond" w:hAnsi="Garamond"/>
          <w:lang w:val="en-GB"/>
        </w:rPr>
        <w:t xml:space="preserve">. </w:t>
      </w:r>
      <w:r w:rsidRPr="004E7BD2">
        <w:rPr>
          <w:rFonts w:ascii="Garamond" w:hAnsi="Garamond"/>
          <w:lang w:val="en-GB"/>
        </w:rPr>
        <w:t>2017</w:t>
      </w:r>
      <w:r w:rsidR="00497E20" w:rsidRPr="004E7BD2">
        <w:rPr>
          <w:rFonts w:ascii="Garamond" w:hAnsi="Garamond"/>
          <w:lang w:val="en-GB"/>
        </w:rPr>
        <w:t>. “</w:t>
      </w:r>
      <w:r w:rsidRPr="004E7BD2">
        <w:rPr>
          <w:rFonts w:ascii="Garamond" w:hAnsi="Garamond"/>
          <w:lang w:val="en-GB"/>
        </w:rPr>
        <w:t>Penal populism and the public thermostat: crime, public punitiveness and public policy.</w:t>
      </w:r>
      <w:r w:rsidR="00497E20" w:rsidRPr="004E7BD2">
        <w:rPr>
          <w:rFonts w:ascii="Garamond" w:hAnsi="Garamond"/>
          <w:lang w:val="en-GB"/>
        </w:rPr>
        <w:t>”</w:t>
      </w:r>
      <w:r w:rsidRPr="004E7BD2">
        <w:rPr>
          <w:rFonts w:ascii="Garamond" w:hAnsi="Garamond"/>
          <w:lang w:val="en-GB"/>
        </w:rPr>
        <w:t> </w:t>
      </w:r>
      <w:r w:rsidRPr="004E7BD2">
        <w:rPr>
          <w:rFonts w:ascii="Garamond" w:hAnsi="Garamond"/>
          <w:i/>
          <w:iCs/>
          <w:lang w:val="en-GB"/>
        </w:rPr>
        <w:t>Governance</w:t>
      </w:r>
      <w:r w:rsidRPr="004E7BD2">
        <w:rPr>
          <w:rFonts w:ascii="Garamond" w:hAnsi="Garamond"/>
          <w:lang w:val="en-GB"/>
        </w:rPr>
        <w:t> 30(3</w:t>
      </w:r>
      <w:r w:rsidR="00497E20" w:rsidRPr="004E7BD2">
        <w:rPr>
          <w:rFonts w:ascii="Garamond" w:hAnsi="Garamond"/>
          <w:lang w:val="en-GB"/>
        </w:rPr>
        <w:t>): </w:t>
      </w:r>
      <w:r w:rsidRPr="004E7BD2">
        <w:rPr>
          <w:rFonts w:ascii="Garamond" w:hAnsi="Garamond"/>
          <w:lang w:val="en-GB"/>
        </w:rPr>
        <w:t>463-481.</w:t>
      </w:r>
    </w:p>
    <w:p w14:paraId="198B9BCB" w14:textId="196DFAD9" w:rsidR="00E227A5" w:rsidRPr="004E7BD2" w:rsidRDefault="00E227A5" w:rsidP="003C48BD">
      <w:pPr>
        <w:ind w:left="284" w:hanging="284"/>
        <w:rPr>
          <w:rStyle w:val="Hyperlink"/>
          <w:rFonts w:ascii="Garamond" w:hAnsi="Garamond"/>
          <w:lang w:val="en-GB"/>
        </w:rPr>
      </w:pPr>
      <w:r w:rsidRPr="004E7BD2">
        <w:rPr>
          <w:rFonts w:ascii="Garamond" w:hAnsi="Garamond"/>
          <w:lang w:val="en-GB"/>
        </w:rPr>
        <w:t xml:space="preserve">Jennings, Will, </w:t>
      </w:r>
      <w:r w:rsidR="006378B3">
        <w:rPr>
          <w:rFonts w:ascii="Garamond" w:hAnsi="Garamond"/>
          <w:lang w:val="en-GB"/>
        </w:rPr>
        <w:t xml:space="preserve">Emily </w:t>
      </w:r>
      <w:r w:rsidRPr="004E7BD2">
        <w:rPr>
          <w:rFonts w:ascii="Garamond" w:hAnsi="Garamond"/>
          <w:lang w:val="en-GB"/>
        </w:rPr>
        <w:t xml:space="preserve">Gray, </w:t>
      </w:r>
      <w:r w:rsidR="006378B3">
        <w:rPr>
          <w:rFonts w:ascii="Garamond" w:hAnsi="Garamond"/>
          <w:lang w:val="en-GB"/>
        </w:rPr>
        <w:t>Colin</w:t>
      </w:r>
      <w:r w:rsidRPr="004E7BD2">
        <w:rPr>
          <w:rFonts w:ascii="Garamond" w:hAnsi="Garamond"/>
          <w:lang w:val="en-GB"/>
        </w:rPr>
        <w:t xml:space="preserve"> Hay </w:t>
      </w:r>
      <w:r w:rsidR="005B6DB8" w:rsidRPr="004E7BD2">
        <w:rPr>
          <w:rFonts w:ascii="Garamond" w:hAnsi="Garamond"/>
          <w:lang w:val="en-GB"/>
        </w:rPr>
        <w:t>and</w:t>
      </w:r>
      <w:r w:rsidRPr="004E7BD2">
        <w:rPr>
          <w:rFonts w:ascii="Garamond" w:hAnsi="Garamond"/>
          <w:lang w:val="en-GB"/>
        </w:rPr>
        <w:t xml:space="preserve"> </w:t>
      </w:r>
      <w:r w:rsidR="006378B3">
        <w:rPr>
          <w:rFonts w:ascii="Garamond" w:hAnsi="Garamond"/>
          <w:lang w:val="en-GB"/>
        </w:rPr>
        <w:t xml:space="preserve">Stephen </w:t>
      </w:r>
      <w:r w:rsidRPr="004E7BD2">
        <w:rPr>
          <w:rFonts w:ascii="Garamond" w:hAnsi="Garamond"/>
          <w:lang w:val="en-GB"/>
        </w:rPr>
        <w:t>Farrall.</w:t>
      </w:r>
      <w:r w:rsidR="00497E20" w:rsidRPr="004E7BD2">
        <w:rPr>
          <w:rFonts w:ascii="Garamond" w:hAnsi="Garamond"/>
          <w:lang w:val="en-GB"/>
        </w:rPr>
        <w:t xml:space="preserve"> </w:t>
      </w:r>
      <w:r w:rsidRPr="004E7BD2">
        <w:rPr>
          <w:rFonts w:ascii="Garamond" w:hAnsi="Garamond"/>
          <w:lang w:val="en-GB"/>
        </w:rPr>
        <w:t>2015. </w:t>
      </w:r>
      <w:r w:rsidR="00497E20" w:rsidRPr="004E7BD2">
        <w:rPr>
          <w:rFonts w:ascii="Garamond" w:hAnsi="Garamond"/>
          <w:lang w:val="en-GB"/>
        </w:rPr>
        <w:t>“</w:t>
      </w:r>
      <w:r w:rsidR="00D81691" w:rsidRPr="004E7BD2">
        <w:rPr>
          <w:rFonts w:ascii="Garamond" w:hAnsi="Garamond"/>
          <w:lang w:val="en-GB"/>
        </w:rPr>
        <w:t>Collating longitudinal data on crime, victimisation and social attitudes in England and Wales: a new resource for exploring long-term trends in crime</w:t>
      </w:r>
      <w:r w:rsidRPr="004E7BD2">
        <w:rPr>
          <w:rFonts w:ascii="Garamond" w:hAnsi="Garamond"/>
          <w:lang w:val="en-GB"/>
        </w:rPr>
        <w:t>.</w:t>
      </w:r>
      <w:r w:rsidR="00497E20" w:rsidRPr="004E7BD2">
        <w:rPr>
          <w:rFonts w:ascii="Garamond" w:hAnsi="Garamond"/>
          <w:lang w:val="en-GB"/>
        </w:rPr>
        <w:t>”</w:t>
      </w:r>
      <w:r w:rsidRPr="004E7BD2">
        <w:rPr>
          <w:rFonts w:ascii="Garamond" w:hAnsi="Garamond"/>
          <w:lang w:val="en-GB"/>
        </w:rPr>
        <w:t> </w:t>
      </w:r>
      <w:r w:rsidRPr="004E7BD2">
        <w:rPr>
          <w:rFonts w:ascii="Garamond" w:hAnsi="Garamond"/>
          <w:i/>
          <w:iCs/>
          <w:lang w:val="en-GB"/>
        </w:rPr>
        <w:t>British Journal of Criminology</w:t>
      </w:r>
      <w:r w:rsidRPr="004E7BD2">
        <w:rPr>
          <w:rFonts w:ascii="Garamond" w:hAnsi="Garamond"/>
          <w:lang w:val="en-GB"/>
        </w:rPr>
        <w:t> 55(5</w:t>
      </w:r>
      <w:r w:rsidR="00497E20" w:rsidRPr="004E7BD2">
        <w:rPr>
          <w:rFonts w:ascii="Garamond" w:hAnsi="Garamond"/>
          <w:lang w:val="en-GB"/>
        </w:rPr>
        <w:t xml:space="preserve">): </w:t>
      </w:r>
      <w:r w:rsidRPr="004E7BD2">
        <w:rPr>
          <w:rFonts w:ascii="Garamond" w:hAnsi="Garamond"/>
          <w:lang w:val="en-GB"/>
        </w:rPr>
        <w:t>1005-1015. </w:t>
      </w:r>
    </w:p>
    <w:p w14:paraId="4FAE71E9" w14:textId="708D7976" w:rsidR="00C65FFC" w:rsidRDefault="1BAFCB32" w:rsidP="003C48BD">
      <w:pPr>
        <w:ind w:left="284" w:hanging="284"/>
        <w:rPr>
          <w:rFonts w:ascii="Garamond" w:hAnsi="Garamond"/>
          <w:lang w:val="en-GB"/>
        </w:rPr>
      </w:pPr>
      <w:proofErr w:type="spellStart"/>
      <w:r w:rsidRPr="004E7BD2">
        <w:rPr>
          <w:rFonts w:ascii="Garamond" w:hAnsi="Garamond"/>
          <w:lang w:val="en-GB"/>
        </w:rPr>
        <w:t>Jerit</w:t>
      </w:r>
      <w:proofErr w:type="spellEnd"/>
      <w:r w:rsidRPr="004E7BD2">
        <w:rPr>
          <w:rFonts w:ascii="Garamond" w:hAnsi="Garamond"/>
          <w:lang w:val="en-GB"/>
        </w:rPr>
        <w:t xml:space="preserve">, Jennifer and Yangzi Zhao. 2020. “Political Misinformation.” </w:t>
      </w:r>
      <w:r w:rsidRPr="004E7BD2">
        <w:rPr>
          <w:rFonts w:ascii="Garamond" w:hAnsi="Garamond"/>
          <w:i/>
          <w:iCs/>
          <w:lang w:val="en-GB"/>
        </w:rPr>
        <w:t xml:space="preserve">Annual Review of Political Science </w:t>
      </w:r>
      <w:r w:rsidRPr="004E7BD2">
        <w:rPr>
          <w:rFonts w:ascii="Garamond" w:hAnsi="Garamond"/>
          <w:lang w:val="en-GB"/>
        </w:rPr>
        <w:t>23: 77-94.</w:t>
      </w:r>
    </w:p>
    <w:p w14:paraId="7E799B60" w14:textId="1A20F3A7" w:rsidR="006C5125" w:rsidRDefault="006C5125" w:rsidP="003C48BD">
      <w:pPr>
        <w:ind w:left="284" w:hanging="284"/>
        <w:rPr>
          <w:rFonts w:ascii="Garamond" w:hAnsi="Garamond"/>
        </w:rPr>
      </w:pPr>
      <w:proofErr w:type="spellStart"/>
      <w:r w:rsidRPr="006C5125">
        <w:rPr>
          <w:rFonts w:ascii="Garamond" w:hAnsi="Garamond"/>
        </w:rPr>
        <w:t>Karstedt</w:t>
      </w:r>
      <w:proofErr w:type="spellEnd"/>
      <w:r w:rsidRPr="006C5125">
        <w:rPr>
          <w:rFonts w:ascii="Garamond" w:hAnsi="Garamond"/>
        </w:rPr>
        <w:t xml:space="preserve"> S</w:t>
      </w:r>
      <w:r>
        <w:rPr>
          <w:rFonts w:ascii="Garamond" w:hAnsi="Garamond"/>
        </w:rPr>
        <w:t>usanne</w:t>
      </w:r>
      <w:r w:rsidRPr="006C5125">
        <w:rPr>
          <w:rFonts w:ascii="Garamond" w:hAnsi="Garamond"/>
        </w:rPr>
        <w:t xml:space="preserve">, </w:t>
      </w:r>
      <w:r>
        <w:rPr>
          <w:rFonts w:ascii="Garamond" w:hAnsi="Garamond"/>
        </w:rPr>
        <w:t xml:space="preserve">Tiffany </w:t>
      </w:r>
      <w:r w:rsidRPr="006C5125">
        <w:rPr>
          <w:rFonts w:ascii="Garamond" w:hAnsi="Garamond"/>
        </w:rPr>
        <w:t xml:space="preserve">Bergin, </w:t>
      </w:r>
      <w:r>
        <w:rPr>
          <w:rFonts w:ascii="Garamond" w:hAnsi="Garamond"/>
        </w:rPr>
        <w:t xml:space="preserve">and Michael </w:t>
      </w:r>
      <w:r w:rsidRPr="006C5125">
        <w:rPr>
          <w:rFonts w:ascii="Garamond" w:hAnsi="Garamond"/>
        </w:rPr>
        <w:t xml:space="preserve">Koch. </w:t>
      </w:r>
      <w:r>
        <w:rPr>
          <w:rFonts w:ascii="Garamond" w:hAnsi="Garamond"/>
        </w:rPr>
        <w:t>“</w:t>
      </w:r>
      <w:r w:rsidRPr="006C5125">
        <w:rPr>
          <w:rFonts w:ascii="Garamond" w:hAnsi="Garamond"/>
        </w:rPr>
        <w:t>Critical Junctures and Conditions of Change: Exploring the Fall of Prison Populations in US States.</w:t>
      </w:r>
      <w:r>
        <w:rPr>
          <w:rFonts w:ascii="Garamond" w:hAnsi="Garamond"/>
        </w:rPr>
        <w:t>”</w:t>
      </w:r>
      <w:r w:rsidRPr="006C5125">
        <w:rPr>
          <w:rFonts w:ascii="Garamond" w:hAnsi="Garamond"/>
        </w:rPr>
        <w:t> </w:t>
      </w:r>
      <w:r w:rsidRPr="006C5125">
        <w:rPr>
          <w:rFonts w:ascii="Garamond" w:hAnsi="Garamond"/>
          <w:i/>
          <w:iCs/>
        </w:rPr>
        <w:t>Social &amp; Legal Studies</w:t>
      </w:r>
      <w:r w:rsidRPr="006C5125">
        <w:rPr>
          <w:rFonts w:ascii="Garamond" w:hAnsi="Garamond"/>
        </w:rPr>
        <w:t>. 2019</w:t>
      </w:r>
      <w:r>
        <w:rPr>
          <w:rFonts w:ascii="Garamond" w:hAnsi="Garamond"/>
        </w:rPr>
        <w:t xml:space="preserve"> </w:t>
      </w:r>
      <w:r w:rsidRPr="006C5125">
        <w:rPr>
          <w:rFonts w:ascii="Garamond" w:hAnsi="Garamond"/>
        </w:rPr>
        <w:t>28(1):58-80.</w:t>
      </w:r>
    </w:p>
    <w:p w14:paraId="055EA6D3" w14:textId="77777777" w:rsidR="00186D7C" w:rsidRPr="00186D7C" w:rsidRDefault="00186D7C" w:rsidP="00186D7C">
      <w:pPr>
        <w:ind w:left="284" w:hanging="284"/>
        <w:rPr>
          <w:rFonts w:ascii="Garamond" w:hAnsi="Garamond"/>
          <w:lang w:val="en-GB"/>
        </w:rPr>
      </w:pPr>
      <w:proofErr w:type="spellStart"/>
      <w:r w:rsidRPr="00186D7C">
        <w:rPr>
          <w:rFonts w:ascii="Garamond" w:hAnsi="Garamond"/>
          <w:lang w:val="en-GB"/>
        </w:rPr>
        <w:t>Koerth</w:t>
      </w:r>
      <w:proofErr w:type="spellEnd"/>
      <w:r w:rsidRPr="00186D7C">
        <w:rPr>
          <w:rFonts w:ascii="Garamond" w:hAnsi="Garamond"/>
          <w:lang w:val="en-GB"/>
        </w:rPr>
        <w:t>, Maggie and Amelia Thomson-</w:t>
      </w:r>
      <w:proofErr w:type="spellStart"/>
      <w:r w:rsidRPr="00186D7C">
        <w:rPr>
          <w:rFonts w:ascii="Garamond" w:hAnsi="Garamond"/>
          <w:lang w:val="en-GB"/>
        </w:rPr>
        <w:t>DeVeaux</w:t>
      </w:r>
      <w:proofErr w:type="spellEnd"/>
      <w:r w:rsidRPr="00186D7C">
        <w:rPr>
          <w:rFonts w:ascii="Garamond" w:hAnsi="Garamond"/>
          <w:lang w:val="en-GB"/>
        </w:rPr>
        <w:t xml:space="preserve">. 2020. “Many Americans Are Convinced Crime Is Rising In The U.S. They’re Wrong” </w:t>
      </w:r>
      <w:r w:rsidRPr="00186D7C">
        <w:rPr>
          <w:rFonts w:ascii="Garamond" w:hAnsi="Garamond"/>
          <w:i/>
          <w:lang w:val="en-GB"/>
        </w:rPr>
        <w:t xml:space="preserve">FiveThirtyEight </w:t>
      </w:r>
      <w:r w:rsidRPr="00186D7C">
        <w:rPr>
          <w:rFonts w:ascii="Garamond" w:hAnsi="Garamond"/>
          <w:lang w:val="en-GB"/>
        </w:rPr>
        <w:t xml:space="preserve">(Aug. 3): </w:t>
      </w:r>
      <w:hyperlink r:id="rId25" w:history="1">
        <w:r w:rsidRPr="00186D7C">
          <w:rPr>
            <w:rStyle w:val="Hyperlink"/>
            <w:rFonts w:ascii="Garamond" w:hAnsi="Garamond"/>
            <w:lang w:val="en-GB"/>
          </w:rPr>
          <w:t>https://fivethirtyeight.com/features/many-americans-are-convinced-crime-is-rising-in-the-u-s-theyre-wrong/</w:t>
        </w:r>
      </w:hyperlink>
      <w:r w:rsidRPr="00186D7C">
        <w:rPr>
          <w:rFonts w:ascii="Garamond" w:hAnsi="Garamond"/>
          <w:lang w:val="en-GB"/>
        </w:rPr>
        <w:t>.</w:t>
      </w:r>
    </w:p>
    <w:p w14:paraId="6F4DB026" w14:textId="312EACFD" w:rsidR="0070302B" w:rsidRDefault="0070302B" w:rsidP="003C48BD">
      <w:pPr>
        <w:ind w:left="284" w:hanging="284"/>
        <w:rPr>
          <w:rFonts w:ascii="Garamond" w:eastAsiaTheme="minorEastAsia" w:hAnsi="Garamond"/>
          <w:lang w:val="en-GB"/>
        </w:rPr>
      </w:pPr>
      <w:r w:rsidRPr="004E7BD2">
        <w:rPr>
          <w:rFonts w:ascii="Garamond" w:eastAsiaTheme="minorEastAsia" w:hAnsi="Garamond"/>
          <w:lang w:val="en-GB"/>
        </w:rPr>
        <w:t>Lynch, James and Lynn Addington</w:t>
      </w:r>
      <w:r w:rsidR="0039409A" w:rsidRPr="004E7BD2">
        <w:rPr>
          <w:rFonts w:ascii="Garamond" w:eastAsiaTheme="minorEastAsia" w:hAnsi="Garamond"/>
          <w:lang w:val="en-GB"/>
        </w:rPr>
        <w:t xml:space="preserve">. 2006. </w:t>
      </w:r>
      <w:r w:rsidRPr="004E7BD2">
        <w:rPr>
          <w:rFonts w:ascii="Garamond" w:eastAsiaTheme="minorEastAsia" w:hAnsi="Garamond"/>
          <w:i/>
          <w:iCs/>
          <w:lang w:val="en-GB"/>
        </w:rPr>
        <w:t>Understanding Crime Statistics: Revisiting the Divergence of the NCVS and the UCR</w:t>
      </w:r>
      <w:r w:rsidRPr="004E7BD2">
        <w:rPr>
          <w:rFonts w:ascii="Garamond" w:eastAsiaTheme="minorEastAsia" w:hAnsi="Garamond"/>
          <w:lang w:val="en-GB"/>
        </w:rPr>
        <w:t xml:space="preserve">. </w:t>
      </w:r>
      <w:r w:rsidR="0039409A" w:rsidRPr="004E7BD2">
        <w:rPr>
          <w:rFonts w:ascii="Garamond" w:eastAsiaTheme="minorEastAsia" w:hAnsi="Garamond"/>
          <w:lang w:val="en-GB"/>
        </w:rPr>
        <w:t xml:space="preserve">New York: </w:t>
      </w:r>
      <w:r w:rsidRPr="004E7BD2">
        <w:rPr>
          <w:rFonts w:ascii="Garamond" w:eastAsiaTheme="minorEastAsia" w:hAnsi="Garamond"/>
          <w:lang w:val="en-GB"/>
        </w:rPr>
        <w:t>Cambridge University Press</w:t>
      </w:r>
      <w:r w:rsidR="0039409A" w:rsidRPr="004E7BD2">
        <w:rPr>
          <w:rFonts w:ascii="Garamond" w:eastAsiaTheme="minorEastAsia" w:hAnsi="Garamond"/>
          <w:lang w:val="en-GB"/>
        </w:rPr>
        <w:t>.</w:t>
      </w:r>
    </w:p>
    <w:p w14:paraId="10B99938" w14:textId="200A08D8" w:rsidR="00705C74" w:rsidRPr="004E7BD2" w:rsidRDefault="00705C74" w:rsidP="003C48BD">
      <w:pPr>
        <w:ind w:left="284" w:hanging="284"/>
        <w:rPr>
          <w:rFonts w:ascii="Garamond" w:eastAsiaTheme="minorEastAsia" w:hAnsi="Garamond"/>
          <w:lang w:val="en-GB"/>
        </w:rPr>
      </w:pPr>
      <w:r w:rsidRPr="004E7BD2">
        <w:rPr>
          <w:rFonts w:ascii="Garamond" w:eastAsiaTheme="minorEastAsia" w:hAnsi="Garamond"/>
          <w:lang w:val="en-GB"/>
        </w:rPr>
        <w:t xml:space="preserve">Mayhew, Pat and Mike Hough. 1983. </w:t>
      </w:r>
      <w:r w:rsidR="00F60459">
        <w:rPr>
          <w:rFonts w:ascii="Garamond" w:eastAsiaTheme="minorEastAsia" w:hAnsi="Garamond"/>
          <w:lang w:val="en-GB"/>
        </w:rPr>
        <w:t>“</w:t>
      </w:r>
      <w:r w:rsidRPr="004E7BD2">
        <w:rPr>
          <w:rFonts w:ascii="Garamond" w:eastAsiaTheme="minorEastAsia" w:hAnsi="Garamond"/>
          <w:lang w:val="en-GB"/>
        </w:rPr>
        <w:t>The British Crime Survey.</w:t>
      </w:r>
      <w:r w:rsidR="00F60459">
        <w:rPr>
          <w:rFonts w:ascii="Garamond" w:eastAsiaTheme="minorEastAsia" w:hAnsi="Garamond"/>
          <w:lang w:val="en-GB"/>
        </w:rPr>
        <w:t>”</w:t>
      </w:r>
      <w:r w:rsidRPr="004E7BD2">
        <w:rPr>
          <w:rFonts w:ascii="Garamond" w:eastAsiaTheme="minorEastAsia" w:hAnsi="Garamond"/>
          <w:i/>
          <w:iCs/>
          <w:lang w:val="en-GB"/>
        </w:rPr>
        <w:t xml:space="preserve"> British Journal of Criminology</w:t>
      </w:r>
      <w:r w:rsidRPr="004E7BD2">
        <w:rPr>
          <w:rFonts w:ascii="Garamond" w:eastAsiaTheme="minorEastAsia" w:hAnsi="Garamond"/>
          <w:lang w:val="en-GB"/>
        </w:rPr>
        <w:t xml:space="preserve"> 23(4): 394–395.  </w:t>
      </w:r>
    </w:p>
    <w:p w14:paraId="267953B8" w14:textId="45F4CB13" w:rsidR="00705C74" w:rsidRPr="004E7BD2" w:rsidRDefault="00705C74" w:rsidP="003C48BD">
      <w:pPr>
        <w:ind w:left="284" w:hanging="284"/>
        <w:rPr>
          <w:rFonts w:ascii="Garamond" w:eastAsiaTheme="minorEastAsia" w:hAnsi="Garamond"/>
          <w:lang w:val="en-GB"/>
        </w:rPr>
      </w:pPr>
      <w:r w:rsidRPr="004E7BD2">
        <w:rPr>
          <w:rFonts w:ascii="Garamond" w:eastAsiaTheme="minorEastAsia" w:hAnsi="Garamond"/>
          <w:lang w:val="en-GB"/>
        </w:rPr>
        <w:t>Mayhew</w:t>
      </w:r>
      <w:r w:rsidR="006378B3">
        <w:rPr>
          <w:rFonts w:ascii="Garamond" w:eastAsiaTheme="minorEastAsia" w:hAnsi="Garamond"/>
          <w:lang w:val="en-GB"/>
        </w:rPr>
        <w:t>,</w:t>
      </w:r>
      <w:r w:rsidR="00F60459">
        <w:rPr>
          <w:rFonts w:ascii="Garamond" w:eastAsiaTheme="minorEastAsia" w:hAnsi="Garamond"/>
          <w:lang w:val="en-GB"/>
        </w:rPr>
        <w:t xml:space="preserve"> </w:t>
      </w:r>
      <w:r w:rsidRPr="004E7BD2">
        <w:rPr>
          <w:rFonts w:ascii="Garamond" w:eastAsiaTheme="minorEastAsia" w:hAnsi="Garamond"/>
          <w:lang w:val="en-GB"/>
        </w:rPr>
        <w:t xml:space="preserve">Pat and Mike Hough. 1992. </w:t>
      </w:r>
      <w:r w:rsidR="00F60459">
        <w:rPr>
          <w:rFonts w:ascii="Garamond" w:eastAsiaTheme="minorEastAsia" w:hAnsi="Garamond"/>
          <w:lang w:val="en-GB"/>
        </w:rPr>
        <w:t>“</w:t>
      </w:r>
      <w:r w:rsidRPr="004E7BD2">
        <w:rPr>
          <w:rFonts w:ascii="Garamond" w:eastAsiaTheme="minorEastAsia" w:hAnsi="Garamond"/>
          <w:lang w:val="en-GB"/>
        </w:rPr>
        <w:t>The British Crime Survey: The First Ten Years.</w:t>
      </w:r>
      <w:r w:rsidR="00F60459">
        <w:rPr>
          <w:rFonts w:ascii="Garamond" w:eastAsiaTheme="minorEastAsia" w:hAnsi="Garamond"/>
          <w:lang w:val="en-GB"/>
        </w:rPr>
        <w:t>”</w:t>
      </w:r>
      <w:r w:rsidRPr="004E7BD2">
        <w:rPr>
          <w:rFonts w:ascii="Garamond" w:eastAsiaTheme="minorEastAsia" w:hAnsi="Garamond"/>
          <w:lang w:val="en-GB"/>
        </w:rPr>
        <w:t xml:space="preserve"> </w:t>
      </w:r>
      <w:r w:rsidRPr="004E7BD2">
        <w:rPr>
          <w:rFonts w:ascii="Garamond" w:eastAsiaTheme="minorEastAsia" w:hAnsi="Garamond"/>
          <w:i/>
          <w:iCs/>
          <w:lang w:val="en-GB"/>
        </w:rPr>
        <w:t xml:space="preserve">Market Research Society Journal </w:t>
      </w:r>
      <w:r w:rsidRPr="004E7BD2">
        <w:rPr>
          <w:rFonts w:ascii="Garamond" w:eastAsiaTheme="minorEastAsia" w:hAnsi="Garamond"/>
          <w:lang w:val="en-GB"/>
        </w:rPr>
        <w:t>34(1): 1-15.</w:t>
      </w:r>
    </w:p>
    <w:p w14:paraId="0EFD19D2" w14:textId="1ED4402B" w:rsidR="00C65FFC" w:rsidRPr="004E7BD2" w:rsidRDefault="1BAFCB32" w:rsidP="003C48BD">
      <w:pPr>
        <w:ind w:left="284" w:hanging="284"/>
        <w:rPr>
          <w:rFonts w:ascii="Garamond" w:hAnsi="Garamond"/>
          <w:lang w:val="en-GB"/>
        </w:rPr>
      </w:pPr>
      <w:r w:rsidRPr="004E7BD2">
        <w:rPr>
          <w:rFonts w:ascii="Garamond" w:hAnsi="Garamond"/>
          <w:lang w:val="en-GB"/>
        </w:rPr>
        <w:t xml:space="preserve">McDowall, David and Colin Loftin. 2007. “What is Convergence, and What Do We Know About It?” in </w:t>
      </w:r>
      <w:r w:rsidRPr="004E7BD2">
        <w:rPr>
          <w:rFonts w:ascii="Garamond" w:hAnsi="Garamond"/>
          <w:i/>
          <w:iCs/>
          <w:lang w:val="en-GB"/>
        </w:rPr>
        <w:t xml:space="preserve">Understanding Crime Statistics: Revisiting the Divergence of the NCVS and UCR. </w:t>
      </w:r>
      <w:r w:rsidRPr="004E7BD2">
        <w:rPr>
          <w:rFonts w:ascii="Garamond" w:hAnsi="Garamond"/>
          <w:lang w:val="en-GB"/>
        </w:rPr>
        <w:t>eds. James P. Lynch and Lynn A. Addington. New York: Cambridge University Press.</w:t>
      </w:r>
    </w:p>
    <w:p w14:paraId="0CC397C3" w14:textId="205B84D5" w:rsidR="1BAFCB32" w:rsidRPr="004E7BD2" w:rsidRDefault="4A205E5E" w:rsidP="003C48BD">
      <w:pPr>
        <w:ind w:left="284" w:hanging="284"/>
        <w:rPr>
          <w:rFonts w:ascii="Garamond" w:eastAsiaTheme="minorEastAsia" w:hAnsi="Garamond"/>
          <w:lang w:val="en-GB"/>
        </w:rPr>
      </w:pPr>
      <w:r w:rsidRPr="004E7BD2">
        <w:rPr>
          <w:rFonts w:ascii="Garamond" w:eastAsiaTheme="minorEastAsia" w:hAnsi="Garamond"/>
          <w:lang w:val="en-GB"/>
        </w:rPr>
        <w:lastRenderedPageBreak/>
        <w:t xml:space="preserve">McDowall, David and Colin Loftin. 1992. “Comparing the UCR and NCS over time.” </w:t>
      </w:r>
      <w:r w:rsidRPr="004E7BD2">
        <w:rPr>
          <w:rFonts w:ascii="Garamond" w:eastAsiaTheme="minorEastAsia" w:hAnsi="Garamond"/>
          <w:i/>
          <w:iCs/>
          <w:lang w:val="en-GB"/>
        </w:rPr>
        <w:t>Criminology</w:t>
      </w:r>
      <w:r w:rsidRPr="004E7BD2">
        <w:rPr>
          <w:rFonts w:ascii="Garamond" w:eastAsiaTheme="minorEastAsia" w:hAnsi="Garamond"/>
          <w:lang w:val="en-GB"/>
        </w:rPr>
        <w:t xml:space="preserve"> 30(1)</w:t>
      </w:r>
      <w:r w:rsidR="00F60459">
        <w:rPr>
          <w:rFonts w:ascii="Garamond" w:eastAsiaTheme="minorEastAsia" w:hAnsi="Garamond"/>
          <w:lang w:val="en-GB"/>
        </w:rPr>
        <w:t>:</w:t>
      </w:r>
      <w:r w:rsidRPr="004E7BD2">
        <w:rPr>
          <w:rFonts w:ascii="Garamond" w:eastAsiaTheme="minorEastAsia" w:hAnsi="Garamond"/>
          <w:lang w:val="en-GB"/>
        </w:rPr>
        <w:t xml:space="preserve"> 125-132.</w:t>
      </w:r>
    </w:p>
    <w:p w14:paraId="02DF5F6D" w14:textId="594389FA" w:rsidR="007D7AFE" w:rsidRPr="004E7BD2" w:rsidRDefault="007D7AFE" w:rsidP="003C48BD">
      <w:pPr>
        <w:ind w:left="284" w:hanging="284"/>
        <w:rPr>
          <w:rFonts w:ascii="Garamond" w:eastAsiaTheme="minorEastAsia" w:hAnsi="Garamond"/>
          <w:lang w:val="en-GB"/>
        </w:rPr>
      </w:pPr>
      <w:r w:rsidRPr="004E7BD2">
        <w:rPr>
          <w:rFonts w:ascii="Garamond" w:eastAsiaTheme="minorEastAsia" w:hAnsi="Garamond"/>
          <w:lang w:val="en-GB"/>
        </w:rPr>
        <w:t xml:space="preserve">Miller, Lisa. 2016. </w:t>
      </w:r>
      <w:r w:rsidRPr="004E7BD2">
        <w:rPr>
          <w:rFonts w:ascii="Garamond" w:eastAsiaTheme="minorEastAsia" w:hAnsi="Garamond"/>
          <w:i/>
          <w:iCs/>
          <w:lang w:val="en-GB"/>
        </w:rPr>
        <w:t>The Myth of Mob Rule: Violent Crime and Democratic Politics</w:t>
      </w:r>
      <w:r w:rsidRPr="004E7BD2">
        <w:rPr>
          <w:rFonts w:ascii="Garamond" w:eastAsiaTheme="minorEastAsia" w:hAnsi="Garamond"/>
          <w:lang w:val="en-GB"/>
        </w:rPr>
        <w:t>. Oxford: Oxford University Press</w:t>
      </w:r>
      <w:r w:rsidR="00517DAA" w:rsidRPr="004E7BD2">
        <w:rPr>
          <w:rFonts w:ascii="Garamond" w:eastAsiaTheme="minorEastAsia" w:hAnsi="Garamond"/>
          <w:lang w:val="en-GB"/>
        </w:rPr>
        <w:t>.</w:t>
      </w:r>
    </w:p>
    <w:p w14:paraId="622734B7" w14:textId="35CF80FC" w:rsidR="00517DAA" w:rsidRPr="004E7BD2" w:rsidRDefault="00517DAA" w:rsidP="003C48BD">
      <w:pPr>
        <w:ind w:left="284" w:hanging="284"/>
        <w:rPr>
          <w:rFonts w:ascii="Garamond" w:eastAsiaTheme="minorEastAsia" w:hAnsi="Garamond"/>
          <w:lang w:val="en-GB"/>
        </w:rPr>
      </w:pPr>
      <w:r w:rsidRPr="004E7BD2">
        <w:rPr>
          <w:rFonts w:ascii="Garamond" w:eastAsiaTheme="minorEastAsia" w:hAnsi="Garamond"/>
          <w:lang w:val="en-GB"/>
        </w:rPr>
        <w:t>Mohan,</w:t>
      </w:r>
      <w:r w:rsidR="00920740" w:rsidRPr="004E7BD2">
        <w:rPr>
          <w:rFonts w:ascii="Garamond" w:eastAsiaTheme="minorEastAsia" w:hAnsi="Garamond"/>
          <w:lang w:val="en-GB"/>
        </w:rPr>
        <w:t xml:space="preserve"> John,</w:t>
      </w:r>
      <w:r w:rsidRPr="004E7BD2">
        <w:rPr>
          <w:rFonts w:ascii="Garamond" w:eastAsiaTheme="minorEastAsia" w:hAnsi="Garamond"/>
          <w:lang w:val="en-GB"/>
        </w:rPr>
        <w:t xml:space="preserve"> Liz Twigg</w:t>
      </w:r>
      <w:r w:rsidR="0001138E" w:rsidRPr="004E7BD2">
        <w:rPr>
          <w:rFonts w:ascii="Garamond" w:eastAsiaTheme="minorEastAsia" w:hAnsi="Garamond"/>
          <w:lang w:val="en-GB"/>
        </w:rPr>
        <w:t xml:space="preserve"> and</w:t>
      </w:r>
      <w:r w:rsidRPr="004E7BD2">
        <w:rPr>
          <w:rFonts w:ascii="Garamond" w:eastAsiaTheme="minorEastAsia" w:hAnsi="Garamond"/>
          <w:lang w:val="en-GB"/>
        </w:rPr>
        <w:t xml:space="preserve"> Joanna Taylor</w:t>
      </w:r>
      <w:r w:rsidR="0001138E" w:rsidRPr="004E7BD2">
        <w:rPr>
          <w:rFonts w:ascii="Garamond" w:eastAsiaTheme="minorEastAsia" w:hAnsi="Garamond"/>
          <w:lang w:val="en-GB"/>
        </w:rPr>
        <w:t>. 2011. “</w:t>
      </w:r>
      <w:r w:rsidRPr="004E7BD2">
        <w:rPr>
          <w:rFonts w:ascii="Garamond" w:eastAsiaTheme="minorEastAsia" w:hAnsi="Garamond"/>
          <w:lang w:val="en-GB"/>
        </w:rPr>
        <w:t>Mind The Double Gap: Using Multivariate Multilevel Modelling to Investigate Public Perceptions of Crime Trends</w:t>
      </w:r>
      <w:r w:rsidR="0001138E" w:rsidRPr="004E7BD2">
        <w:rPr>
          <w:rFonts w:ascii="Garamond" w:eastAsiaTheme="minorEastAsia" w:hAnsi="Garamond"/>
          <w:lang w:val="en-GB"/>
        </w:rPr>
        <w:t xml:space="preserve">.” </w:t>
      </w:r>
      <w:r w:rsidRPr="004E7BD2">
        <w:rPr>
          <w:rFonts w:ascii="Garamond" w:eastAsiaTheme="minorEastAsia" w:hAnsi="Garamond"/>
          <w:i/>
          <w:iCs/>
          <w:lang w:val="en-GB"/>
        </w:rPr>
        <w:t>British Journal of Criminology</w:t>
      </w:r>
      <w:r w:rsidR="0001138E" w:rsidRPr="004E7BD2">
        <w:rPr>
          <w:rFonts w:ascii="Garamond" w:eastAsiaTheme="minorEastAsia" w:hAnsi="Garamond"/>
          <w:lang w:val="en-GB"/>
        </w:rPr>
        <w:t xml:space="preserve"> </w:t>
      </w:r>
      <w:r w:rsidRPr="004E7BD2">
        <w:rPr>
          <w:rFonts w:ascii="Garamond" w:eastAsiaTheme="minorEastAsia" w:hAnsi="Garamond"/>
          <w:lang w:val="en-GB"/>
        </w:rPr>
        <w:t>51</w:t>
      </w:r>
      <w:r w:rsidR="0001138E" w:rsidRPr="004E7BD2">
        <w:rPr>
          <w:rFonts w:ascii="Garamond" w:eastAsiaTheme="minorEastAsia" w:hAnsi="Garamond"/>
          <w:lang w:val="en-GB"/>
        </w:rPr>
        <w:t>(</w:t>
      </w:r>
      <w:r w:rsidRPr="004E7BD2">
        <w:rPr>
          <w:rFonts w:ascii="Garamond" w:eastAsiaTheme="minorEastAsia" w:hAnsi="Garamond"/>
          <w:lang w:val="en-GB"/>
        </w:rPr>
        <w:t>6</w:t>
      </w:r>
      <w:r w:rsidR="0001138E" w:rsidRPr="004E7BD2">
        <w:rPr>
          <w:rFonts w:ascii="Garamond" w:eastAsiaTheme="minorEastAsia" w:hAnsi="Garamond"/>
          <w:lang w:val="en-GB"/>
        </w:rPr>
        <w:t>):</w:t>
      </w:r>
      <w:r w:rsidRPr="004E7BD2">
        <w:rPr>
          <w:rFonts w:ascii="Garamond" w:eastAsiaTheme="minorEastAsia" w:hAnsi="Garamond"/>
          <w:lang w:val="en-GB"/>
        </w:rPr>
        <w:t xml:space="preserve"> 1035</w:t>
      </w:r>
      <w:r w:rsidR="0001138E" w:rsidRPr="004E7BD2">
        <w:rPr>
          <w:rFonts w:ascii="Garamond" w:eastAsiaTheme="minorEastAsia" w:hAnsi="Garamond"/>
          <w:lang w:val="en-GB"/>
        </w:rPr>
        <w:t>-</w:t>
      </w:r>
      <w:r w:rsidRPr="004E7BD2">
        <w:rPr>
          <w:rFonts w:ascii="Garamond" w:eastAsiaTheme="minorEastAsia" w:hAnsi="Garamond"/>
          <w:lang w:val="en-GB"/>
        </w:rPr>
        <w:t>1053</w:t>
      </w:r>
      <w:r w:rsidR="0001138E" w:rsidRPr="004E7BD2">
        <w:rPr>
          <w:rFonts w:ascii="Garamond" w:eastAsiaTheme="minorEastAsia" w:hAnsi="Garamond"/>
          <w:lang w:val="en-GB"/>
        </w:rPr>
        <w:t>.</w:t>
      </w:r>
    </w:p>
    <w:p w14:paraId="727CA16A" w14:textId="2EDC9459" w:rsidR="0001764E" w:rsidRPr="004E7BD2" w:rsidRDefault="0001764E" w:rsidP="003C48BD">
      <w:pPr>
        <w:ind w:left="284" w:hanging="284"/>
        <w:rPr>
          <w:rFonts w:ascii="Garamond" w:hAnsi="Garamond"/>
          <w:lang w:val="en-GB"/>
        </w:rPr>
      </w:pPr>
      <w:proofErr w:type="spellStart"/>
      <w:r w:rsidRPr="004E7BD2">
        <w:rPr>
          <w:rFonts w:ascii="Garamond" w:hAnsi="Garamond"/>
          <w:lang w:val="en-GB"/>
        </w:rPr>
        <w:t>O’Hear</w:t>
      </w:r>
      <w:proofErr w:type="spellEnd"/>
      <w:r w:rsidRPr="004E7BD2">
        <w:rPr>
          <w:rFonts w:ascii="Garamond" w:hAnsi="Garamond"/>
          <w:lang w:val="en-GB"/>
        </w:rPr>
        <w:t xml:space="preserve">, Michael and Darren Wheelock. 2020. “Violent Crime and Punitiveness: An Empirical Study of Public Opinion.” </w:t>
      </w:r>
      <w:r w:rsidRPr="004E7BD2">
        <w:rPr>
          <w:rFonts w:ascii="Garamond" w:hAnsi="Garamond"/>
          <w:i/>
          <w:lang w:val="en-GB"/>
        </w:rPr>
        <w:t>Marquette Law Review</w:t>
      </w:r>
      <w:r w:rsidRPr="004E7BD2">
        <w:rPr>
          <w:rFonts w:ascii="Garamond" w:hAnsi="Garamond"/>
          <w:lang w:val="en-GB"/>
        </w:rPr>
        <w:t xml:space="preserve"> 103: 1035-1071.</w:t>
      </w:r>
    </w:p>
    <w:p w14:paraId="5F33F5BE" w14:textId="10B23A01" w:rsidR="008057DA" w:rsidRPr="004E7BD2" w:rsidRDefault="008057DA" w:rsidP="003C48BD">
      <w:pPr>
        <w:ind w:left="284" w:hanging="284"/>
        <w:rPr>
          <w:rFonts w:ascii="Garamond" w:hAnsi="Garamond"/>
          <w:lang w:val="en-GB"/>
        </w:rPr>
      </w:pPr>
      <w:r w:rsidRPr="004E7BD2">
        <w:rPr>
          <w:rFonts w:ascii="Garamond" w:hAnsi="Garamond"/>
          <w:lang w:val="en-GB"/>
        </w:rPr>
        <w:t xml:space="preserve">Office for National Statistics. 2021. </w:t>
      </w:r>
      <w:r w:rsidRPr="004E7BD2">
        <w:rPr>
          <w:rFonts w:ascii="Garamond" w:hAnsi="Garamond"/>
          <w:i/>
          <w:iCs/>
          <w:lang w:val="en-GB"/>
        </w:rPr>
        <w:t>Crime in England and Wales: year ending December 2020</w:t>
      </w:r>
      <w:r w:rsidRPr="004E7BD2">
        <w:rPr>
          <w:rFonts w:ascii="Garamond" w:hAnsi="Garamond"/>
          <w:lang w:val="en-GB"/>
        </w:rPr>
        <w:t>. Accessed on 8</w:t>
      </w:r>
      <w:r w:rsidRPr="004E7BD2">
        <w:rPr>
          <w:rFonts w:ascii="Garamond" w:hAnsi="Garamond"/>
          <w:vertAlign w:val="superscript"/>
          <w:lang w:val="en-GB"/>
        </w:rPr>
        <w:t>th</w:t>
      </w:r>
      <w:r w:rsidRPr="004E7BD2">
        <w:rPr>
          <w:rFonts w:ascii="Garamond" w:hAnsi="Garamond"/>
          <w:lang w:val="en-GB"/>
        </w:rPr>
        <w:t xml:space="preserve"> June 2021 at: https://www.ons.gov.uk/peoplepopulationandcommunity/crimeandjustice/bulletins/crimeinenglandandwales/yearendingdecember2020</w:t>
      </w:r>
    </w:p>
    <w:p w14:paraId="3C38817A" w14:textId="065C45C9" w:rsidR="00E46F52" w:rsidRPr="004E7BD2" w:rsidRDefault="00E46F52" w:rsidP="003C48BD">
      <w:pPr>
        <w:ind w:left="284" w:hanging="284"/>
        <w:rPr>
          <w:rFonts w:ascii="Garamond" w:hAnsi="Garamond"/>
          <w:lang w:val="en-GB"/>
        </w:rPr>
      </w:pPr>
      <w:r w:rsidRPr="004E7BD2">
        <w:rPr>
          <w:rFonts w:ascii="Garamond" w:hAnsi="Garamond"/>
          <w:lang w:val="en-GB"/>
        </w:rPr>
        <w:t xml:space="preserve">Page, Benjamin and Robert Shapiro. 1992. </w:t>
      </w:r>
      <w:r w:rsidRPr="004E7BD2">
        <w:rPr>
          <w:rFonts w:ascii="Garamond" w:hAnsi="Garamond"/>
          <w:i/>
          <w:lang w:val="en-GB"/>
        </w:rPr>
        <w:t>The Rational Public</w:t>
      </w:r>
      <w:r w:rsidRPr="004E7BD2">
        <w:rPr>
          <w:rFonts w:ascii="Garamond" w:hAnsi="Garamond"/>
          <w:lang w:val="en-GB"/>
        </w:rPr>
        <w:t xml:space="preserve">. </w:t>
      </w:r>
      <w:r w:rsidR="000469AB" w:rsidRPr="004E7BD2">
        <w:rPr>
          <w:rFonts w:ascii="Garamond" w:hAnsi="Garamond"/>
          <w:lang w:val="en-GB"/>
        </w:rPr>
        <w:t>Chicago</w:t>
      </w:r>
      <w:r w:rsidRPr="004E7BD2">
        <w:rPr>
          <w:rFonts w:ascii="Garamond" w:hAnsi="Garamond"/>
          <w:lang w:val="en-GB"/>
        </w:rPr>
        <w:t>:</w:t>
      </w:r>
      <w:r w:rsidR="000469AB" w:rsidRPr="004E7BD2">
        <w:rPr>
          <w:rFonts w:ascii="Garamond" w:hAnsi="Garamond"/>
          <w:lang w:val="en-GB"/>
        </w:rPr>
        <w:t xml:space="preserve"> University of Chicago Press.</w:t>
      </w:r>
      <w:r w:rsidRPr="004E7BD2">
        <w:rPr>
          <w:rFonts w:ascii="Garamond" w:hAnsi="Garamond"/>
          <w:lang w:val="en-GB"/>
        </w:rPr>
        <w:t xml:space="preserve"> </w:t>
      </w:r>
    </w:p>
    <w:p w14:paraId="3ED8E9CF" w14:textId="304D7720" w:rsidR="00AB38F2" w:rsidRPr="004E7BD2" w:rsidRDefault="00AB38F2" w:rsidP="003C48BD">
      <w:pPr>
        <w:ind w:left="284" w:hanging="284"/>
        <w:rPr>
          <w:rFonts w:ascii="Garamond" w:hAnsi="Garamond"/>
          <w:lang w:val="en-GB"/>
        </w:rPr>
      </w:pPr>
      <w:bookmarkStart w:id="12" w:name="_Hlk74009978"/>
      <w:r w:rsidRPr="004E7BD2">
        <w:rPr>
          <w:rFonts w:ascii="Garamond" w:hAnsi="Garamond"/>
          <w:lang w:val="en-GB"/>
        </w:rPr>
        <w:t xml:space="preserve">Ramirez, Mark. 2013. “Americans changing views toward crime and punishment.” </w:t>
      </w:r>
      <w:r w:rsidRPr="004E7BD2">
        <w:rPr>
          <w:rFonts w:ascii="Garamond" w:hAnsi="Garamond"/>
          <w:i/>
          <w:iCs/>
          <w:lang w:val="en-GB"/>
        </w:rPr>
        <w:t>Public Opinion Quarterly</w:t>
      </w:r>
      <w:r w:rsidRPr="004E7BD2">
        <w:rPr>
          <w:rFonts w:ascii="Garamond" w:hAnsi="Garamond"/>
          <w:lang w:val="en-GB"/>
        </w:rPr>
        <w:t xml:space="preserve"> 77(4): 1006-1031.</w:t>
      </w:r>
    </w:p>
    <w:p w14:paraId="0CCBAEBA" w14:textId="764B600C" w:rsidR="007D7AFE" w:rsidRPr="004E7BD2" w:rsidRDefault="007D7AFE" w:rsidP="003C48BD">
      <w:pPr>
        <w:ind w:left="284" w:hanging="284"/>
        <w:rPr>
          <w:rFonts w:ascii="Garamond" w:hAnsi="Garamond"/>
          <w:lang w:val="en-GB"/>
        </w:rPr>
      </w:pPr>
      <w:r w:rsidRPr="004E7BD2">
        <w:rPr>
          <w:rFonts w:ascii="Garamond" w:hAnsi="Garamond"/>
          <w:lang w:val="en-GB"/>
        </w:rPr>
        <w:t>Reitz, Kevin (</w:t>
      </w:r>
      <w:r w:rsidR="006378B3">
        <w:rPr>
          <w:rFonts w:ascii="Garamond" w:hAnsi="Garamond"/>
          <w:lang w:val="en-GB"/>
        </w:rPr>
        <w:t>e</w:t>
      </w:r>
      <w:r w:rsidRPr="004E7BD2">
        <w:rPr>
          <w:rFonts w:ascii="Garamond" w:hAnsi="Garamond"/>
          <w:lang w:val="en-GB"/>
        </w:rPr>
        <w:t>d.)</w:t>
      </w:r>
      <w:r w:rsidR="006378B3">
        <w:rPr>
          <w:rFonts w:ascii="Garamond" w:hAnsi="Garamond"/>
          <w:lang w:val="en-GB"/>
        </w:rPr>
        <w:t>.</w:t>
      </w:r>
      <w:r w:rsidRPr="004E7BD2">
        <w:rPr>
          <w:rFonts w:ascii="Garamond" w:hAnsi="Garamond"/>
          <w:lang w:val="en-GB"/>
        </w:rPr>
        <w:t xml:space="preserve"> 2018. </w:t>
      </w:r>
      <w:r w:rsidRPr="004E7BD2">
        <w:rPr>
          <w:rFonts w:ascii="Garamond" w:hAnsi="Garamond"/>
          <w:i/>
          <w:iCs/>
          <w:lang w:val="en-GB"/>
        </w:rPr>
        <w:t>American Exceptionalism in Crime and Punishment</w:t>
      </w:r>
      <w:r w:rsidRPr="004E7BD2">
        <w:rPr>
          <w:rFonts w:ascii="Garamond" w:hAnsi="Garamond"/>
          <w:lang w:val="en-GB"/>
        </w:rPr>
        <w:t>. Oxford: Oxford University Press.</w:t>
      </w:r>
      <w:bookmarkEnd w:id="12"/>
    </w:p>
    <w:p w14:paraId="03E92A4D" w14:textId="0292CBD6" w:rsidR="00722025" w:rsidRPr="004E7BD2" w:rsidRDefault="00722025" w:rsidP="003C48BD">
      <w:pPr>
        <w:ind w:left="284" w:hanging="284"/>
        <w:rPr>
          <w:rFonts w:ascii="Garamond" w:hAnsi="Garamond"/>
          <w:lang w:val="en-GB"/>
        </w:rPr>
      </w:pPr>
      <w:r w:rsidRPr="004E7BD2">
        <w:rPr>
          <w:rFonts w:ascii="Garamond" w:hAnsi="Garamond"/>
          <w:lang w:val="en-GB"/>
        </w:rPr>
        <w:t xml:space="preserve">Rosenberger, Jared, and Valerie Callanan. 2011. "The influence of media on penal attitudes." </w:t>
      </w:r>
      <w:r w:rsidRPr="004E7BD2">
        <w:rPr>
          <w:rFonts w:ascii="Garamond" w:hAnsi="Garamond"/>
          <w:i/>
          <w:iCs/>
          <w:lang w:val="en-GB"/>
        </w:rPr>
        <w:t>Criminal Justice Review</w:t>
      </w:r>
      <w:r w:rsidRPr="004E7BD2">
        <w:rPr>
          <w:rFonts w:ascii="Garamond" w:hAnsi="Garamond"/>
          <w:lang w:val="en-GB"/>
        </w:rPr>
        <w:t xml:space="preserve"> 36(4): 435-455.</w:t>
      </w:r>
    </w:p>
    <w:p w14:paraId="7AB50FA9" w14:textId="439371B3" w:rsidR="006E7E6F" w:rsidRPr="004E7BD2" w:rsidRDefault="006E7E6F" w:rsidP="003C48BD">
      <w:pPr>
        <w:ind w:left="284" w:hanging="284"/>
        <w:rPr>
          <w:rFonts w:ascii="Garamond" w:hAnsi="Garamond"/>
          <w:lang w:val="en-GB"/>
        </w:rPr>
      </w:pPr>
      <w:r w:rsidRPr="004E7BD2">
        <w:rPr>
          <w:rFonts w:ascii="Garamond" w:hAnsi="Garamond"/>
          <w:lang w:val="en-GB"/>
        </w:rPr>
        <w:t xml:space="preserve">Rosenfeld, Richard and Steven F. Messner (2009) ‘The crime drop in comparative perspective: the impact of the economy and imprisonment on American and European burglary rates.’ </w:t>
      </w:r>
      <w:r w:rsidRPr="004E7BD2">
        <w:rPr>
          <w:rFonts w:ascii="Garamond" w:hAnsi="Garamond"/>
          <w:i/>
          <w:iCs/>
          <w:lang w:val="en-GB"/>
        </w:rPr>
        <w:t>British Journal of Sociology</w:t>
      </w:r>
      <w:r w:rsidRPr="004E7BD2">
        <w:rPr>
          <w:rFonts w:ascii="Garamond" w:hAnsi="Garamond"/>
          <w:lang w:val="en-GB"/>
        </w:rPr>
        <w:t xml:space="preserve"> 60(3): 445-471.</w:t>
      </w:r>
    </w:p>
    <w:p w14:paraId="3FE4C509" w14:textId="42E9018A" w:rsidR="00822AA7" w:rsidRPr="004E7BD2" w:rsidRDefault="00822AA7" w:rsidP="003C48BD">
      <w:pPr>
        <w:ind w:left="284" w:hanging="284"/>
        <w:rPr>
          <w:rFonts w:ascii="Garamond" w:hAnsi="Garamond"/>
          <w:lang w:val="en-GB"/>
        </w:rPr>
      </w:pPr>
      <w:r w:rsidRPr="004E7BD2">
        <w:rPr>
          <w:rFonts w:ascii="Garamond" w:hAnsi="Garamond"/>
          <w:lang w:val="en-GB"/>
        </w:rPr>
        <w:t xml:space="preserve">Shi, </w:t>
      </w:r>
      <w:proofErr w:type="spellStart"/>
      <w:r w:rsidRPr="004E7BD2">
        <w:rPr>
          <w:rFonts w:ascii="Garamond" w:hAnsi="Garamond"/>
          <w:lang w:val="en-GB"/>
        </w:rPr>
        <w:t>Luzi</w:t>
      </w:r>
      <w:proofErr w:type="spellEnd"/>
      <w:r w:rsidRPr="004E7BD2">
        <w:rPr>
          <w:rFonts w:ascii="Garamond" w:hAnsi="Garamond"/>
          <w:lang w:val="en-GB"/>
        </w:rPr>
        <w:t xml:space="preserve">. 2021. “Crime trend perceptions, negative emotions, and public punitiveness: a survey experiment of information treatment.” </w:t>
      </w:r>
      <w:r w:rsidRPr="004E7BD2">
        <w:rPr>
          <w:rFonts w:ascii="Garamond" w:hAnsi="Garamond"/>
          <w:i/>
          <w:lang w:val="en-GB"/>
        </w:rPr>
        <w:t xml:space="preserve">Journal of Experimental Criminology </w:t>
      </w:r>
      <w:hyperlink r:id="rId26" w:history="1">
        <w:r w:rsidRPr="004E7BD2">
          <w:rPr>
            <w:rStyle w:val="Hyperlink"/>
            <w:rFonts w:ascii="Garamond" w:hAnsi="Garamond"/>
            <w:lang w:val="en-GB"/>
          </w:rPr>
          <w:t>https://doi.org/10.1007/s11292-020-09454-7</w:t>
        </w:r>
      </w:hyperlink>
      <w:r w:rsidRPr="004E7BD2">
        <w:rPr>
          <w:rFonts w:ascii="Garamond" w:hAnsi="Garamond"/>
          <w:lang w:val="en-GB"/>
        </w:rPr>
        <w:t>.</w:t>
      </w:r>
    </w:p>
    <w:p w14:paraId="4D65DE94" w14:textId="12BBE216" w:rsidR="1BAFCB32" w:rsidRPr="004E7BD2" w:rsidRDefault="1BAFCB32" w:rsidP="003C48BD">
      <w:pPr>
        <w:ind w:left="284" w:hanging="284"/>
        <w:rPr>
          <w:rFonts w:ascii="Garamond" w:hAnsi="Garamond"/>
          <w:lang w:val="en-GB"/>
        </w:rPr>
      </w:pPr>
      <w:r w:rsidRPr="004E7BD2">
        <w:rPr>
          <w:rFonts w:ascii="Garamond" w:hAnsi="Garamond"/>
          <w:lang w:val="en-GB"/>
        </w:rPr>
        <w:t xml:space="preserve">Shi, </w:t>
      </w:r>
      <w:proofErr w:type="spellStart"/>
      <w:r w:rsidRPr="004E7BD2">
        <w:rPr>
          <w:rFonts w:ascii="Garamond" w:hAnsi="Garamond"/>
          <w:lang w:val="en-GB"/>
        </w:rPr>
        <w:t>Luzi</w:t>
      </w:r>
      <w:proofErr w:type="spellEnd"/>
      <w:r w:rsidRPr="004E7BD2">
        <w:rPr>
          <w:rFonts w:ascii="Garamond" w:hAnsi="Garamond"/>
          <w:lang w:val="en-GB"/>
        </w:rPr>
        <w:t xml:space="preserve">, </w:t>
      </w:r>
      <w:proofErr w:type="spellStart"/>
      <w:r w:rsidRPr="004E7BD2">
        <w:rPr>
          <w:rFonts w:ascii="Garamond" w:hAnsi="Garamond"/>
          <w:lang w:val="en-GB"/>
        </w:rPr>
        <w:t>Yunmei</w:t>
      </w:r>
      <w:proofErr w:type="spellEnd"/>
      <w:r w:rsidRPr="004E7BD2">
        <w:rPr>
          <w:rFonts w:ascii="Garamond" w:hAnsi="Garamond"/>
          <w:lang w:val="en-GB"/>
        </w:rPr>
        <w:t xml:space="preserve"> Lu, and Justin Pickett. 2020. “The Public Salience of Crime, 1960-2014: Age-Period-Cohort and Time Series Analysis.” </w:t>
      </w:r>
      <w:r w:rsidRPr="004E7BD2">
        <w:rPr>
          <w:rFonts w:ascii="Garamond" w:hAnsi="Garamond"/>
          <w:i/>
          <w:iCs/>
          <w:lang w:val="en-GB"/>
        </w:rPr>
        <w:t>Criminology</w:t>
      </w:r>
      <w:r w:rsidRPr="004E7BD2">
        <w:rPr>
          <w:rFonts w:ascii="Garamond" w:hAnsi="Garamond"/>
          <w:lang w:val="en-GB"/>
        </w:rPr>
        <w:t xml:space="preserve"> 58(3): 568-593.</w:t>
      </w:r>
    </w:p>
    <w:p w14:paraId="4CDD2ED2" w14:textId="6840AB07" w:rsidR="00D77DB3" w:rsidRPr="004E7BD2" w:rsidRDefault="00D77DB3" w:rsidP="003C48BD">
      <w:pPr>
        <w:ind w:left="284" w:hanging="284"/>
        <w:rPr>
          <w:rFonts w:ascii="Garamond" w:hAnsi="Garamond"/>
          <w:lang w:val="en-GB"/>
        </w:rPr>
      </w:pPr>
      <w:r w:rsidRPr="004E7BD2">
        <w:rPr>
          <w:rFonts w:ascii="Garamond" w:hAnsi="Garamond"/>
          <w:lang w:val="en-GB"/>
        </w:rPr>
        <w:t xml:space="preserve">Simmons, Jon, Clarissa Legg and Rachel Hosking. 2003. </w:t>
      </w:r>
      <w:r w:rsidRPr="004E7BD2">
        <w:rPr>
          <w:rFonts w:ascii="Garamond" w:hAnsi="Garamond"/>
          <w:i/>
          <w:iCs/>
          <w:lang w:val="en-GB"/>
        </w:rPr>
        <w:t>National Crime Recording Standard (NCRS): an analysis of the impact on recorded crime</w:t>
      </w:r>
      <w:r w:rsidRPr="004E7BD2">
        <w:rPr>
          <w:rFonts w:ascii="Garamond" w:hAnsi="Garamond"/>
          <w:lang w:val="en-GB"/>
        </w:rPr>
        <w:t xml:space="preserve">. London: Home Office.  </w:t>
      </w:r>
    </w:p>
    <w:p w14:paraId="112DBAD1" w14:textId="54A2705C" w:rsidR="1BAFCB32" w:rsidRPr="004E7BD2" w:rsidRDefault="4A205E5E" w:rsidP="003C48BD">
      <w:pPr>
        <w:ind w:left="284" w:hanging="284"/>
        <w:rPr>
          <w:rFonts w:ascii="Garamond" w:eastAsiaTheme="minorEastAsia" w:hAnsi="Garamond"/>
          <w:lang w:val="en-GB"/>
        </w:rPr>
      </w:pPr>
      <w:proofErr w:type="spellStart"/>
      <w:r w:rsidRPr="004E7BD2">
        <w:rPr>
          <w:rFonts w:ascii="Garamond" w:eastAsiaTheme="minorEastAsia" w:hAnsi="Garamond"/>
          <w:lang w:val="en-GB"/>
        </w:rPr>
        <w:t>Skogan</w:t>
      </w:r>
      <w:proofErr w:type="spellEnd"/>
      <w:r w:rsidRPr="004E7BD2">
        <w:rPr>
          <w:rFonts w:ascii="Garamond" w:eastAsiaTheme="minorEastAsia" w:hAnsi="Garamond"/>
          <w:lang w:val="en-GB"/>
        </w:rPr>
        <w:t xml:space="preserve">, Wesley. 1974. </w:t>
      </w:r>
      <w:r w:rsidR="0001138E" w:rsidRPr="004E7BD2">
        <w:rPr>
          <w:rFonts w:ascii="Garamond" w:eastAsiaTheme="minorEastAsia" w:hAnsi="Garamond"/>
          <w:lang w:val="en-GB"/>
        </w:rPr>
        <w:t>“</w:t>
      </w:r>
      <w:r w:rsidRPr="004E7BD2">
        <w:rPr>
          <w:rFonts w:ascii="Garamond" w:eastAsiaTheme="minorEastAsia" w:hAnsi="Garamond"/>
          <w:lang w:val="en-GB"/>
        </w:rPr>
        <w:t>The validity of official crime statistics: An empirical investigation</w:t>
      </w:r>
      <w:r w:rsidR="0001138E" w:rsidRPr="004E7BD2">
        <w:rPr>
          <w:rFonts w:ascii="Garamond" w:eastAsiaTheme="minorEastAsia" w:hAnsi="Garamond"/>
          <w:lang w:val="en-GB"/>
        </w:rPr>
        <w:t xml:space="preserve">.” </w:t>
      </w:r>
      <w:r w:rsidRPr="004E7BD2">
        <w:rPr>
          <w:rFonts w:ascii="Garamond" w:eastAsiaTheme="minorEastAsia" w:hAnsi="Garamond"/>
          <w:i/>
          <w:iCs/>
          <w:lang w:val="en-GB"/>
        </w:rPr>
        <w:t>Social Science Quarterly</w:t>
      </w:r>
      <w:r w:rsidRPr="004E7BD2">
        <w:rPr>
          <w:rFonts w:ascii="Garamond" w:eastAsiaTheme="minorEastAsia" w:hAnsi="Garamond"/>
          <w:lang w:val="en-GB"/>
        </w:rPr>
        <w:t xml:space="preserve"> 55(1): 25-38.</w:t>
      </w:r>
    </w:p>
    <w:p w14:paraId="577A1DD2" w14:textId="422C999B" w:rsidR="000007DA" w:rsidRDefault="000007DA" w:rsidP="003C48BD">
      <w:pPr>
        <w:ind w:left="284" w:hanging="284"/>
        <w:rPr>
          <w:rFonts w:ascii="Garamond" w:eastAsiaTheme="minorEastAsia" w:hAnsi="Garamond"/>
          <w:lang w:val="en-GB"/>
        </w:rPr>
      </w:pPr>
      <w:proofErr w:type="spellStart"/>
      <w:r w:rsidRPr="004E7BD2">
        <w:rPr>
          <w:rFonts w:ascii="Garamond" w:eastAsiaTheme="minorEastAsia" w:hAnsi="Garamond"/>
          <w:lang w:val="en-GB"/>
        </w:rPr>
        <w:t>Soroka</w:t>
      </w:r>
      <w:proofErr w:type="spellEnd"/>
      <w:r w:rsidRPr="004E7BD2">
        <w:rPr>
          <w:rFonts w:ascii="Garamond" w:eastAsiaTheme="minorEastAsia" w:hAnsi="Garamond"/>
          <w:lang w:val="en-GB"/>
        </w:rPr>
        <w:t xml:space="preserve">, Stuart. 2014. </w:t>
      </w:r>
      <w:r w:rsidRPr="004E7BD2">
        <w:rPr>
          <w:rFonts w:ascii="Garamond" w:eastAsiaTheme="minorEastAsia" w:hAnsi="Garamond"/>
          <w:i/>
          <w:lang w:val="en-GB"/>
        </w:rPr>
        <w:t>Negativity in Democratic Politics</w:t>
      </w:r>
      <w:r w:rsidRPr="004E7BD2">
        <w:rPr>
          <w:rFonts w:ascii="Garamond" w:eastAsiaTheme="minorEastAsia" w:hAnsi="Garamond"/>
          <w:lang w:val="en-GB"/>
        </w:rPr>
        <w:t xml:space="preserve"> New York: Cambridge University Press.</w:t>
      </w:r>
    </w:p>
    <w:p w14:paraId="440D948B" w14:textId="33E3CAAE" w:rsidR="00DD2626" w:rsidRDefault="00DD2626" w:rsidP="003C48BD">
      <w:pPr>
        <w:ind w:left="284" w:hanging="284"/>
        <w:rPr>
          <w:rFonts w:ascii="Garamond" w:eastAsiaTheme="minorEastAsia" w:hAnsi="Garamond"/>
          <w:lang w:val="en-GB"/>
        </w:rPr>
      </w:pPr>
      <w:r>
        <w:rPr>
          <w:rFonts w:ascii="Garamond" w:eastAsiaTheme="minorEastAsia" w:hAnsi="Garamond"/>
          <w:lang w:val="en-GB"/>
        </w:rPr>
        <w:t>Stimson, James. 199</w:t>
      </w:r>
      <w:r w:rsidR="008A490B">
        <w:rPr>
          <w:rFonts w:ascii="Garamond" w:eastAsiaTheme="minorEastAsia" w:hAnsi="Garamond"/>
          <w:lang w:val="en-GB"/>
        </w:rPr>
        <w:t>1</w:t>
      </w:r>
      <w:r>
        <w:rPr>
          <w:rFonts w:ascii="Garamond" w:eastAsiaTheme="minorEastAsia" w:hAnsi="Garamond"/>
          <w:lang w:val="en-GB"/>
        </w:rPr>
        <w:t xml:space="preserve">. </w:t>
      </w:r>
      <w:r>
        <w:rPr>
          <w:rFonts w:ascii="Garamond" w:eastAsiaTheme="minorEastAsia" w:hAnsi="Garamond"/>
          <w:i/>
          <w:lang w:val="en-GB"/>
        </w:rPr>
        <w:t>Public Opinion in America</w:t>
      </w:r>
      <w:r>
        <w:rPr>
          <w:rFonts w:ascii="Garamond" w:eastAsiaTheme="minorEastAsia" w:hAnsi="Garamond"/>
          <w:lang w:val="en-GB"/>
        </w:rPr>
        <w:t>. New York: Cambridge University Press.</w:t>
      </w:r>
    </w:p>
    <w:p w14:paraId="44E33520" w14:textId="0907E29E" w:rsidR="00D271BD" w:rsidRPr="00DD2626" w:rsidRDefault="00D271BD" w:rsidP="003C48BD">
      <w:pPr>
        <w:ind w:left="284" w:hanging="284"/>
        <w:rPr>
          <w:rFonts w:ascii="Garamond" w:eastAsiaTheme="minorEastAsia" w:hAnsi="Garamond"/>
          <w:lang w:val="en-GB"/>
        </w:rPr>
      </w:pPr>
      <w:proofErr w:type="spellStart"/>
      <w:r w:rsidRPr="00D271BD">
        <w:rPr>
          <w:rFonts w:ascii="Garamond" w:eastAsiaTheme="minorEastAsia" w:hAnsi="Garamond"/>
          <w:lang w:val="en-GB"/>
        </w:rPr>
        <w:t>Walby</w:t>
      </w:r>
      <w:proofErr w:type="spellEnd"/>
      <w:r w:rsidRPr="00D271BD">
        <w:rPr>
          <w:rFonts w:ascii="Garamond" w:eastAsiaTheme="minorEastAsia" w:hAnsi="Garamond"/>
          <w:lang w:val="en-GB"/>
        </w:rPr>
        <w:t>,</w:t>
      </w:r>
      <w:r>
        <w:rPr>
          <w:rFonts w:ascii="Garamond" w:eastAsiaTheme="minorEastAsia" w:hAnsi="Garamond"/>
          <w:lang w:val="en-GB"/>
        </w:rPr>
        <w:t xml:space="preserve"> </w:t>
      </w:r>
      <w:r w:rsidRPr="00D271BD">
        <w:rPr>
          <w:rFonts w:ascii="Garamond" w:eastAsiaTheme="minorEastAsia" w:hAnsi="Garamond"/>
          <w:lang w:val="en-GB"/>
        </w:rPr>
        <w:t>Sylvia</w:t>
      </w:r>
      <w:r>
        <w:rPr>
          <w:rFonts w:ascii="Garamond" w:eastAsiaTheme="minorEastAsia" w:hAnsi="Garamond"/>
          <w:lang w:val="en-GB"/>
        </w:rPr>
        <w:t>,</w:t>
      </w:r>
      <w:r w:rsidRPr="00D271BD">
        <w:rPr>
          <w:rFonts w:ascii="Garamond" w:eastAsiaTheme="minorEastAsia" w:hAnsi="Garamond"/>
          <w:lang w:val="en-GB"/>
        </w:rPr>
        <w:t xml:space="preserve"> Jude Towers, </w:t>
      </w:r>
      <w:r>
        <w:rPr>
          <w:rFonts w:ascii="Garamond" w:eastAsiaTheme="minorEastAsia" w:hAnsi="Garamond"/>
          <w:lang w:val="en-GB"/>
        </w:rPr>
        <w:t xml:space="preserve">and </w:t>
      </w:r>
      <w:r w:rsidRPr="00D271BD">
        <w:rPr>
          <w:rFonts w:ascii="Garamond" w:eastAsiaTheme="minorEastAsia" w:hAnsi="Garamond"/>
          <w:lang w:val="en-GB"/>
        </w:rPr>
        <w:t>Brian Francis</w:t>
      </w:r>
      <w:r>
        <w:rPr>
          <w:rFonts w:ascii="Garamond" w:eastAsiaTheme="minorEastAsia" w:hAnsi="Garamond"/>
          <w:lang w:val="en-GB"/>
        </w:rPr>
        <w:t>. 2016.</w:t>
      </w:r>
      <w:r w:rsidRPr="00D271BD">
        <w:rPr>
          <w:rFonts w:ascii="Garamond" w:eastAsiaTheme="minorEastAsia" w:hAnsi="Garamond"/>
          <w:lang w:val="en-GB"/>
        </w:rPr>
        <w:t xml:space="preserve"> </w:t>
      </w:r>
      <w:r>
        <w:rPr>
          <w:rFonts w:ascii="Garamond" w:eastAsiaTheme="minorEastAsia" w:hAnsi="Garamond"/>
          <w:lang w:val="en-GB"/>
        </w:rPr>
        <w:t>“</w:t>
      </w:r>
      <w:r w:rsidRPr="00D271BD">
        <w:rPr>
          <w:rFonts w:ascii="Garamond" w:eastAsiaTheme="minorEastAsia" w:hAnsi="Garamond"/>
          <w:lang w:val="en-GB"/>
        </w:rPr>
        <w:t>Is Violent Crime Increasing or Decreasing? a New Methodology to Measure Repeat Attacks Making Visible the Significance of Gender and Domestic Relations</w:t>
      </w:r>
      <w:r>
        <w:rPr>
          <w:rFonts w:ascii="Garamond" w:eastAsiaTheme="minorEastAsia" w:hAnsi="Garamond"/>
          <w:lang w:val="en-GB"/>
        </w:rPr>
        <w:t>.”</w:t>
      </w:r>
      <w:r w:rsidRPr="00D271BD">
        <w:rPr>
          <w:rFonts w:ascii="Garamond" w:eastAsiaTheme="minorEastAsia" w:hAnsi="Garamond"/>
          <w:lang w:val="en-GB"/>
        </w:rPr>
        <w:t xml:space="preserve"> </w:t>
      </w:r>
      <w:r w:rsidRPr="00D271BD">
        <w:rPr>
          <w:rFonts w:ascii="Garamond" w:eastAsiaTheme="minorEastAsia" w:hAnsi="Garamond"/>
          <w:i/>
          <w:iCs/>
          <w:lang w:val="en-GB"/>
        </w:rPr>
        <w:t>British Journal of Criminology</w:t>
      </w:r>
      <w:r w:rsidRPr="00D271BD">
        <w:rPr>
          <w:rFonts w:ascii="Garamond" w:eastAsiaTheme="minorEastAsia" w:hAnsi="Garamond"/>
          <w:lang w:val="en-GB"/>
        </w:rPr>
        <w:t xml:space="preserve"> 56</w:t>
      </w:r>
      <w:r>
        <w:rPr>
          <w:rFonts w:ascii="Garamond" w:eastAsiaTheme="minorEastAsia" w:hAnsi="Garamond"/>
          <w:lang w:val="en-GB"/>
        </w:rPr>
        <w:t>(</w:t>
      </w:r>
      <w:r w:rsidRPr="00D271BD">
        <w:rPr>
          <w:rFonts w:ascii="Garamond" w:eastAsiaTheme="minorEastAsia" w:hAnsi="Garamond"/>
          <w:lang w:val="en-GB"/>
        </w:rPr>
        <w:t>6</w:t>
      </w:r>
      <w:r>
        <w:rPr>
          <w:rFonts w:ascii="Garamond" w:eastAsiaTheme="minorEastAsia" w:hAnsi="Garamond"/>
          <w:lang w:val="en-GB"/>
        </w:rPr>
        <w:t xml:space="preserve">): </w:t>
      </w:r>
      <w:r w:rsidRPr="00D271BD">
        <w:rPr>
          <w:rFonts w:ascii="Garamond" w:eastAsiaTheme="minorEastAsia" w:hAnsi="Garamond"/>
          <w:lang w:val="en-GB"/>
        </w:rPr>
        <w:t>1203</w:t>
      </w:r>
      <w:r>
        <w:rPr>
          <w:rFonts w:ascii="Garamond" w:eastAsiaTheme="minorEastAsia" w:hAnsi="Garamond"/>
          <w:lang w:val="en-GB"/>
        </w:rPr>
        <w:t>-</w:t>
      </w:r>
      <w:r w:rsidRPr="00D271BD">
        <w:rPr>
          <w:rFonts w:ascii="Garamond" w:eastAsiaTheme="minorEastAsia" w:hAnsi="Garamond"/>
          <w:lang w:val="en-GB"/>
        </w:rPr>
        <w:t>1234</w:t>
      </w:r>
      <w:r>
        <w:rPr>
          <w:rFonts w:ascii="Garamond" w:eastAsiaTheme="minorEastAsia" w:hAnsi="Garamond"/>
          <w:lang w:val="en-GB"/>
        </w:rPr>
        <w:t>.</w:t>
      </w:r>
    </w:p>
    <w:p w14:paraId="3601E264" w14:textId="1448366A" w:rsidR="00D53DCB" w:rsidRDefault="00A8257E" w:rsidP="003C48BD">
      <w:pPr>
        <w:ind w:left="284" w:hanging="284"/>
        <w:rPr>
          <w:rFonts w:ascii="Garamond" w:eastAsiaTheme="minorEastAsia" w:hAnsi="Garamond"/>
          <w:lang w:val="en-GB"/>
        </w:rPr>
      </w:pPr>
      <w:r>
        <w:rPr>
          <w:rFonts w:ascii="Garamond" w:eastAsiaTheme="minorEastAsia" w:hAnsi="Garamond"/>
          <w:lang w:val="en-GB"/>
        </w:rPr>
        <w:t xml:space="preserve">Wilson, </w:t>
      </w:r>
      <w:r w:rsidR="00202743">
        <w:rPr>
          <w:rFonts w:ascii="Garamond" w:eastAsiaTheme="minorEastAsia" w:hAnsi="Garamond"/>
          <w:lang w:val="en-GB"/>
        </w:rPr>
        <w:t xml:space="preserve">James Q. 1975. </w:t>
      </w:r>
      <w:r w:rsidR="00202743">
        <w:rPr>
          <w:rFonts w:ascii="Garamond" w:eastAsiaTheme="minorEastAsia" w:hAnsi="Garamond"/>
          <w:i/>
          <w:lang w:val="en-GB"/>
        </w:rPr>
        <w:t>Thinking About Crime.</w:t>
      </w:r>
      <w:r w:rsidR="00202743">
        <w:rPr>
          <w:rFonts w:ascii="Garamond" w:eastAsiaTheme="minorEastAsia" w:hAnsi="Garamond"/>
          <w:lang w:val="en-GB"/>
        </w:rPr>
        <w:t xml:space="preserve"> New York: Basic Books.</w:t>
      </w:r>
    </w:p>
    <w:p w14:paraId="315C4225" w14:textId="77777777" w:rsidR="00D53DCB" w:rsidRDefault="00D53DCB">
      <w:pPr>
        <w:rPr>
          <w:rFonts w:ascii="Garamond" w:eastAsiaTheme="minorEastAsia" w:hAnsi="Garamond"/>
          <w:lang w:val="en-GB"/>
        </w:rPr>
      </w:pPr>
      <w:r>
        <w:rPr>
          <w:rFonts w:ascii="Garamond" w:eastAsiaTheme="minorEastAsia" w:hAnsi="Garamond"/>
          <w:lang w:val="en-GB"/>
        </w:rPr>
        <w:br w:type="page"/>
      </w:r>
    </w:p>
    <w:p w14:paraId="34B3416B" w14:textId="77777777" w:rsidR="00D53DCB" w:rsidRPr="004E7BD2" w:rsidRDefault="00D53DCB" w:rsidP="00D53DCB">
      <w:pPr>
        <w:jc w:val="center"/>
        <w:rPr>
          <w:rFonts w:ascii="Garamond" w:hAnsi="Garamond"/>
          <w:b/>
          <w:lang w:val="en-GB"/>
        </w:rPr>
      </w:pPr>
    </w:p>
    <w:p w14:paraId="5BE16A21" w14:textId="77777777" w:rsidR="00D53DCB" w:rsidRPr="004E7BD2" w:rsidRDefault="00D53DCB" w:rsidP="00D53DCB">
      <w:pPr>
        <w:jc w:val="center"/>
        <w:rPr>
          <w:rFonts w:ascii="Garamond" w:hAnsi="Garamond"/>
          <w:b/>
          <w:lang w:val="en-GB"/>
        </w:rPr>
      </w:pPr>
    </w:p>
    <w:p w14:paraId="71B16008" w14:textId="77777777" w:rsidR="00D53DCB" w:rsidRPr="004E7BD2" w:rsidRDefault="00D53DCB" w:rsidP="00D53DCB">
      <w:pPr>
        <w:spacing w:after="0"/>
        <w:jc w:val="center"/>
        <w:rPr>
          <w:rFonts w:ascii="Garamond" w:hAnsi="Garamond"/>
          <w:b/>
          <w:sz w:val="32"/>
          <w:lang w:val="en-GB"/>
        </w:rPr>
      </w:pPr>
    </w:p>
    <w:p w14:paraId="3CBE1043" w14:textId="77777777" w:rsidR="00D53DCB" w:rsidRPr="004E7BD2" w:rsidRDefault="00D53DCB" w:rsidP="00D53DCB">
      <w:pPr>
        <w:spacing w:after="0"/>
        <w:jc w:val="center"/>
        <w:rPr>
          <w:rFonts w:ascii="Garamond" w:hAnsi="Garamond"/>
          <w:b/>
          <w:sz w:val="32"/>
          <w:lang w:val="en-GB"/>
        </w:rPr>
      </w:pPr>
    </w:p>
    <w:p w14:paraId="6282AFD5" w14:textId="77777777" w:rsidR="00D53DCB" w:rsidRPr="004E7BD2" w:rsidRDefault="00D53DCB" w:rsidP="00D53DCB">
      <w:pPr>
        <w:spacing w:after="0"/>
        <w:jc w:val="center"/>
        <w:rPr>
          <w:rFonts w:ascii="Garamond" w:hAnsi="Garamond"/>
          <w:b/>
          <w:sz w:val="32"/>
          <w:lang w:val="en-GB"/>
        </w:rPr>
      </w:pPr>
    </w:p>
    <w:p w14:paraId="4AA061E2" w14:textId="77777777" w:rsidR="00D53DCB" w:rsidRPr="004E7BD2" w:rsidRDefault="00D53DCB" w:rsidP="00D53DCB">
      <w:pPr>
        <w:spacing w:after="0"/>
        <w:jc w:val="center"/>
        <w:rPr>
          <w:rFonts w:ascii="Garamond" w:hAnsi="Garamond"/>
          <w:b/>
          <w:sz w:val="32"/>
          <w:lang w:val="en-GB"/>
        </w:rPr>
      </w:pPr>
    </w:p>
    <w:p w14:paraId="05D7FD56" w14:textId="77777777" w:rsidR="00D53DCB" w:rsidRPr="004E7BD2" w:rsidRDefault="00D53DCB" w:rsidP="00D53DCB">
      <w:pPr>
        <w:spacing w:after="0"/>
        <w:jc w:val="center"/>
        <w:rPr>
          <w:rFonts w:ascii="Garamond" w:hAnsi="Garamond"/>
          <w:b/>
          <w:sz w:val="32"/>
          <w:lang w:val="en-GB"/>
        </w:rPr>
      </w:pPr>
    </w:p>
    <w:p w14:paraId="4A1E84BD" w14:textId="77777777" w:rsidR="00D53DCB" w:rsidRPr="004E7BD2" w:rsidRDefault="00D53DCB" w:rsidP="00D53DCB">
      <w:pPr>
        <w:spacing w:after="0"/>
        <w:jc w:val="center"/>
        <w:rPr>
          <w:rFonts w:ascii="Garamond" w:hAnsi="Garamond"/>
          <w:b/>
          <w:sz w:val="32"/>
          <w:lang w:val="en-GB"/>
        </w:rPr>
      </w:pPr>
    </w:p>
    <w:p w14:paraId="0FD71EDB" w14:textId="77777777" w:rsidR="00D53DCB" w:rsidRPr="004E7BD2" w:rsidRDefault="00D53DCB" w:rsidP="00D53DCB">
      <w:pPr>
        <w:spacing w:after="0"/>
        <w:jc w:val="center"/>
        <w:rPr>
          <w:rFonts w:ascii="Garamond" w:hAnsi="Garamond"/>
          <w:b/>
          <w:sz w:val="32"/>
          <w:lang w:val="en-GB"/>
        </w:rPr>
      </w:pPr>
      <w:r w:rsidRPr="004E7BD2">
        <w:rPr>
          <w:rFonts w:ascii="Garamond" w:hAnsi="Garamond"/>
          <w:b/>
          <w:sz w:val="32"/>
          <w:lang w:val="en-GB"/>
        </w:rPr>
        <w:t xml:space="preserve">Public Responsiveness to Declining Crime Rates </w:t>
      </w:r>
    </w:p>
    <w:p w14:paraId="4AC76304" w14:textId="77777777" w:rsidR="00D53DCB" w:rsidRDefault="00D53DCB" w:rsidP="00D53DCB">
      <w:pPr>
        <w:spacing w:after="0"/>
        <w:jc w:val="center"/>
        <w:rPr>
          <w:rFonts w:ascii="Garamond" w:hAnsi="Garamond"/>
          <w:b/>
          <w:sz w:val="32"/>
          <w:lang w:val="en-GB"/>
        </w:rPr>
      </w:pPr>
      <w:r w:rsidRPr="004E7BD2">
        <w:rPr>
          <w:rFonts w:ascii="Garamond" w:hAnsi="Garamond"/>
          <w:b/>
          <w:sz w:val="32"/>
          <w:lang w:val="en-GB"/>
        </w:rPr>
        <w:t>in the United States and England &amp; Wales</w:t>
      </w:r>
    </w:p>
    <w:p w14:paraId="5E2E77C7" w14:textId="77777777" w:rsidR="00D53DCB" w:rsidRDefault="00D53DCB" w:rsidP="00D53DCB">
      <w:pPr>
        <w:spacing w:after="0"/>
        <w:jc w:val="center"/>
        <w:rPr>
          <w:rFonts w:ascii="Garamond" w:hAnsi="Garamond"/>
          <w:b/>
          <w:sz w:val="32"/>
          <w:lang w:val="en-GB"/>
        </w:rPr>
      </w:pPr>
    </w:p>
    <w:p w14:paraId="37B5F9A4" w14:textId="77777777" w:rsidR="00D53DCB" w:rsidRDefault="00D53DCB" w:rsidP="00D53DCB">
      <w:pPr>
        <w:spacing w:after="0"/>
        <w:jc w:val="center"/>
        <w:rPr>
          <w:rFonts w:ascii="Garamond" w:hAnsi="Garamond"/>
          <w:b/>
          <w:sz w:val="32"/>
          <w:lang w:val="en-GB"/>
        </w:rPr>
      </w:pPr>
    </w:p>
    <w:p w14:paraId="5B36D514" w14:textId="77777777" w:rsidR="00D53DCB" w:rsidRDefault="00D53DCB" w:rsidP="00D53DCB">
      <w:pPr>
        <w:spacing w:after="0"/>
        <w:jc w:val="center"/>
        <w:rPr>
          <w:rFonts w:ascii="Garamond" w:hAnsi="Garamond"/>
          <w:b/>
          <w:sz w:val="32"/>
          <w:lang w:val="en-GB"/>
        </w:rPr>
      </w:pPr>
    </w:p>
    <w:p w14:paraId="61994B90" w14:textId="77777777" w:rsidR="00D53DCB" w:rsidRDefault="00D53DCB" w:rsidP="00D53DCB">
      <w:pPr>
        <w:spacing w:after="0"/>
        <w:jc w:val="center"/>
        <w:rPr>
          <w:rFonts w:ascii="Garamond" w:hAnsi="Garamond"/>
          <w:b/>
          <w:sz w:val="32"/>
          <w:lang w:val="en-GB"/>
        </w:rPr>
      </w:pPr>
    </w:p>
    <w:p w14:paraId="50F4B159" w14:textId="77777777" w:rsidR="00D53DCB" w:rsidRPr="004E7BD2" w:rsidRDefault="00D53DCB" w:rsidP="00D53DCB">
      <w:pPr>
        <w:spacing w:after="0"/>
        <w:jc w:val="center"/>
        <w:rPr>
          <w:rFonts w:ascii="Garamond" w:hAnsi="Garamond"/>
          <w:b/>
          <w:sz w:val="32"/>
          <w:lang w:val="en-GB"/>
        </w:rPr>
      </w:pPr>
      <w:r>
        <w:rPr>
          <w:rFonts w:ascii="Garamond" w:hAnsi="Garamond"/>
          <w:b/>
          <w:sz w:val="32"/>
          <w:lang w:val="en-GB"/>
        </w:rPr>
        <w:t>SUPPLEMENTARY MATERIALS</w:t>
      </w:r>
    </w:p>
    <w:p w14:paraId="56447B99" w14:textId="77777777" w:rsidR="00D53DCB" w:rsidRPr="004E7BD2" w:rsidRDefault="00D53DCB" w:rsidP="00D53DCB">
      <w:pPr>
        <w:jc w:val="center"/>
        <w:rPr>
          <w:rFonts w:ascii="Garamond" w:hAnsi="Garamond"/>
          <w:lang w:val="en-GB"/>
        </w:rPr>
      </w:pPr>
    </w:p>
    <w:p w14:paraId="1C467560" w14:textId="77777777" w:rsidR="00D53DCB" w:rsidRDefault="00D53DCB" w:rsidP="00D53DCB">
      <w:pPr>
        <w:rPr>
          <w:rFonts w:ascii="Garamond" w:hAnsi="Garamond"/>
          <w:lang w:val="en-GB"/>
        </w:rPr>
      </w:pPr>
    </w:p>
    <w:p w14:paraId="5611A0B7" w14:textId="77777777" w:rsidR="00D53DCB" w:rsidRPr="004E7BD2" w:rsidRDefault="00D53DCB" w:rsidP="00D53DCB">
      <w:pPr>
        <w:rPr>
          <w:rFonts w:ascii="Garamond" w:hAnsi="Garamond"/>
          <w:b/>
          <w:lang w:val="en-GB"/>
        </w:rPr>
      </w:pPr>
      <w:r w:rsidRPr="004E7BD2">
        <w:rPr>
          <w:rFonts w:ascii="Garamond" w:hAnsi="Garamond"/>
          <w:b/>
          <w:lang w:val="en-GB"/>
        </w:rPr>
        <w:br w:type="page"/>
      </w:r>
    </w:p>
    <w:p w14:paraId="7D4F7933" w14:textId="77777777" w:rsidR="00D53DCB" w:rsidRDefault="00D53DCB" w:rsidP="00D53DCB">
      <w:pPr>
        <w:spacing w:after="120"/>
        <w:rPr>
          <w:rFonts w:ascii="Garamond" w:hAnsi="Garamond"/>
          <w:b/>
        </w:rPr>
      </w:pPr>
      <w:r>
        <w:rPr>
          <w:rFonts w:ascii="Garamond" w:hAnsi="Garamond"/>
          <w:b/>
        </w:rPr>
        <w:lastRenderedPageBreak/>
        <w:t>Appendix 1. CRIME REPORTING IN THE U.S. AND ENGLAND &amp; WALES</w:t>
      </w:r>
    </w:p>
    <w:p w14:paraId="6CE988DE" w14:textId="77777777" w:rsidR="00D53DCB" w:rsidRDefault="00D53DCB" w:rsidP="00D53DCB">
      <w:pPr>
        <w:spacing w:after="120"/>
        <w:rPr>
          <w:rFonts w:ascii="Garamond" w:hAnsi="Garamond"/>
          <w:b/>
        </w:rPr>
      </w:pPr>
    </w:p>
    <w:p w14:paraId="5634A9DA" w14:textId="77777777" w:rsidR="00D53DCB" w:rsidRDefault="00D53DCB" w:rsidP="00D53DCB">
      <w:pPr>
        <w:spacing w:after="120"/>
        <w:rPr>
          <w:rFonts w:ascii="Garamond" w:hAnsi="Garamond"/>
          <w:b/>
        </w:rPr>
      </w:pPr>
      <w:r>
        <w:rPr>
          <w:rFonts w:ascii="Garamond" w:hAnsi="Garamond"/>
          <w:b/>
        </w:rPr>
        <w:t>Note on crime recording in England and Wales</w:t>
      </w:r>
    </w:p>
    <w:p w14:paraId="3D64FE1E" w14:textId="77777777" w:rsidR="00D53DCB" w:rsidRDefault="00D53DCB" w:rsidP="00D53DCB">
      <w:pPr>
        <w:rPr>
          <w:rFonts w:ascii="Garamond" w:hAnsi="Garamond"/>
          <w:iCs/>
          <w:lang w:val="en-GB"/>
        </w:rPr>
      </w:pPr>
      <w:r>
        <w:rPr>
          <w:rFonts w:ascii="Garamond" w:hAnsi="Garamond"/>
          <w:iCs/>
          <w:lang w:val="en-GB"/>
        </w:rPr>
        <w:t>The U.K. Home Office, t</w:t>
      </w:r>
      <w:r w:rsidRPr="004A75F8">
        <w:rPr>
          <w:rFonts w:ascii="Garamond" w:hAnsi="Garamond"/>
          <w:iCs/>
          <w:lang w:val="en-GB"/>
        </w:rPr>
        <w:t>he government department responsible for crime and policing</w:t>
      </w:r>
      <w:r>
        <w:rPr>
          <w:rFonts w:ascii="Garamond" w:hAnsi="Garamond"/>
          <w:iCs/>
          <w:lang w:val="en-GB"/>
        </w:rPr>
        <w:t>. It</w:t>
      </w:r>
      <w:r w:rsidRPr="004A75F8">
        <w:rPr>
          <w:rFonts w:ascii="Garamond" w:hAnsi="Garamond"/>
          <w:iCs/>
          <w:lang w:val="en-GB"/>
        </w:rPr>
        <w:t xml:space="preserve"> began to produce a regular bulletin of national crime statistics in 1857 derived from annual returns from local police forces and courts (Maguire and McVie 2017)</w:t>
      </w:r>
      <w:r>
        <w:rPr>
          <w:rFonts w:ascii="Garamond" w:hAnsi="Garamond"/>
          <w:iCs/>
          <w:lang w:val="en-GB"/>
        </w:rPr>
        <w:t xml:space="preserve"> and these have continued to be produced ever since. For most of the twentieth century there was r</w:t>
      </w:r>
      <w:r w:rsidRPr="004A75F8">
        <w:rPr>
          <w:rFonts w:ascii="Garamond" w:hAnsi="Garamond"/>
          <w:iCs/>
          <w:lang w:val="en-GB"/>
        </w:rPr>
        <w:t>elative consistency in measurement practices</w:t>
      </w:r>
      <w:r>
        <w:rPr>
          <w:rFonts w:ascii="Garamond" w:hAnsi="Garamond"/>
          <w:iCs/>
          <w:lang w:val="en-GB"/>
        </w:rPr>
        <w:t xml:space="preserve">. Recent years, however, have seen a number of significant changes in police recording practices. </w:t>
      </w:r>
      <w:r w:rsidRPr="004E7BD2">
        <w:rPr>
          <w:rFonts w:ascii="Garamond" w:eastAsia="Times New Roman" w:hAnsi="Garamond" w:cstheme="minorHAnsi"/>
          <w:lang w:val="en-GB"/>
        </w:rPr>
        <w:t xml:space="preserve">Specifically, in April 1998 a change in Home Office counting rules, placing a greater emphasis on recording one crime per victim, had the effect of increasing the number of crimes recorded. </w:t>
      </w:r>
      <w:r>
        <w:rPr>
          <w:rFonts w:ascii="Garamond" w:eastAsia="Times New Roman" w:hAnsi="Garamond" w:cstheme="minorHAnsi"/>
          <w:lang w:val="en-GB"/>
        </w:rPr>
        <w:t xml:space="preserve">While it is possible to adjust the data based on the impact during the transition year itself </w:t>
      </w:r>
      <w:r w:rsidRPr="004E7BD2">
        <w:rPr>
          <w:rFonts w:ascii="Garamond" w:eastAsia="Times New Roman" w:hAnsi="Garamond" w:cstheme="minorHAnsi"/>
          <w:lang w:val="en-GB"/>
        </w:rPr>
        <w:t>(an increase of around 5% for violent crimes),</w:t>
      </w:r>
      <w:r w:rsidRPr="004E7BD2">
        <w:rPr>
          <w:rStyle w:val="FootnoteReference"/>
          <w:rFonts w:ascii="Garamond" w:eastAsia="Times New Roman" w:hAnsi="Garamond" w:cstheme="minorHAnsi"/>
          <w:lang w:val="en-GB"/>
        </w:rPr>
        <w:footnoteReference w:id="13"/>
      </w:r>
      <w:r w:rsidRPr="004E7BD2">
        <w:rPr>
          <w:rFonts w:ascii="Garamond" w:eastAsia="Times New Roman" w:hAnsi="Garamond" w:cstheme="minorHAnsi"/>
          <w:lang w:val="en-GB"/>
        </w:rPr>
        <w:t xml:space="preserve"> subsequent years saw sharp increases in the number of violent crimes recorded, which as we will see are at odds with victimisation data. </w:t>
      </w:r>
      <w:r>
        <w:rPr>
          <w:rFonts w:ascii="Garamond" w:eastAsia="Times New Roman" w:hAnsi="Garamond" w:cstheme="minorHAnsi"/>
          <w:lang w:val="en-GB"/>
        </w:rPr>
        <w:t>Soon after</w:t>
      </w:r>
      <w:r w:rsidRPr="004E7BD2">
        <w:rPr>
          <w:rFonts w:ascii="Garamond" w:eastAsia="Times New Roman" w:hAnsi="Garamond" w:cstheme="minorHAnsi"/>
          <w:lang w:val="en-GB"/>
        </w:rPr>
        <w:t>, in April 2002, the National Crime Recording Standard was introduced which also had the effect of increasing the number of recorded crimes (some police forces had adopted the standard before this date). While this led to a significant jump in many categories of offences, it is not possible to precisely estimate the size of effect. As a result, the official crime statistics from this period must be treated with care</w:t>
      </w:r>
    </w:p>
    <w:p w14:paraId="66758A48" w14:textId="77777777" w:rsidR="00D53DCB" w:rsidRDefault="00D53DCB" w:rsidP="00D53DCB">
      <w:pPr>
        <w:rPr>
          <w:rFonts w:ascii="Garamond" w:eastAsia="Times New Roman" w:hAnsi="Garamond" w:cstheme="minorHAnsi"/>
          <w:lang w:val="en-GB"/>
        </w:rPr>
      </w:pPr>
      <w:r w:rsidRPr="004E7BD2">
        <w:rPr>
          <w:rFonts w:ascii="Garamond" w:eastAsia="Times New Roman" w:hAnsi="Garamond" w:cstheme="minorHAnsi"/>
          <w:lang w:val="en-GB"/>
        </w:rPr>
        <w:t>For a while the crime survey was viewed as a complement to recorded crime statistics, but it has increasingly been seen as a more trusted measure of trends in victimisation, not least due to some of the changes in recording practices noted above creating discontinuities in the official statistics. As a sign of this shift, responsibility for the CSEW moved from the Home Office to the Office for National Statistics in 2012. Concerns over the quality and consistency of crime recording led police recorded crime data to be evaluated against the Code of Practice for Official Statistics in 2014 and were found to not meet the required standard to be considered as ‘National Statistics’.</w:t>
      </w:r>
    </w:p>
    <w:p w14:paraId="4646CDA3" w14:textId="77777777" w:rsidR="00D53DCB" w:rsidRDefault="00D53DCB" w:rsidP="00D53DCB">
      <w:pPr>
        <w:rPr>
          <w:rFonts w:ascii="Garamond" w:eastAsia="Times New Roman" w:hAnsi="Garamond" w:cstheme="minorHAnsi"/>
          <w:lang w:val="en-GB"/>
        </w:rPr>
      </w:pPr>
    </w:p>
    <w:p w14:paraId="254BCC1F" w14:textId="77777777" w:rsidR="00D53DCB" w:rsidRPr="00D06EEC" w:rsidRDefault="00D53DCB" w:rsidP="00D53DCB">
      <w:pPr>
        <w:rPr>
          <w:rFonts w:ascii="Garamond" w:eastAsia="Times New Roman" w:hAnsi="Garamond" w:cstheme="minorHAnsi"/>
          <w:b/>
          <w:bCs/>
          <w:lang w:val="en-GB"/>
        </w:rPr>
      </w:pPr>
      <w:r w:rsidRPr="00D06EEC">
        <w:rPr>
          <w:rFonts w:ascii="Garamond" w:eastAsia="Times New Roman" w:hAnsi="Garamond" w:cstheme="minorHAnsi"/>
          <w:b/>
          <w:bCs/>
          <w:lang w:val="en-GB"/>
        </w:rPr>
        <w:t>Note on crime recording in the U.S.</w:t>
      </w:r>
    </w:p>
    <w:p w14:paraId="67E275EF" w14:textId="77777777" w:rsidR="00D53DCB" w:rsidRDefault="00D53DCB" w:rsidP="00D53DCB">
      <w:pPr>
        <w:rPr>
          <w:rFonts w:ascii="Garamond" w:eastAsia="Times New Roman" w:hAnsi="Garamond" w:cstheme="minorHAnsi"/>
          <w:lang w:val="en-GB"/>
        </w:rPr>
      </w:pPr>
      <w:r w:rsidRPr="004E7BD2">
        <w:rPr>
          <w:rFonts w:ascii="Garamond" w:hAnsi="Garamond"/>
          <w:iCs/>
          <w:lang w:val="en-GB"/>
        </w:rPr>
        <w:t>The U.S. data come from the FBI’s Uniform Crime Reports (UCR), which document crimes reported to the police. The UCR program was first established in 1930 and was the only authoritative source of national crime statistics in the U.S. for several decades. It was not until 1972 when the National Crime Victimisation Survey, a nationally representative survey of American households (which we analyse below), provided an additional metric for analysing crime trends (Ansari and He 2015).</w:t>
      </w:r>
    </w:p>
    <w:p w14:paraId="75D34643" w14:textId="77777777" w:rsidR="00D53DCB" w:rsidRPr="00521180" w:rsidRDefault="00D53DCB" w:rsidP="00D53DCB">
      <w:pPr>
        <w:rPr>
          <w:rFonts w:ascii="Garamond" w:hAnsi="Garamond"/>
          <w:iCs/>
        </w:rPr>
      </w:pPr>
      <w:r w:rsidRPr="004E7BD2">
        <w:rPr>
          <w:rFonts w:ascii="Garamond" w:eastAsia="Times New Roman" w:hAnsi="Garamond" w:cstheme="minorHAnsi"/>
          <w:lang w:val="en-GB"/>
        </w:rPr>
        <w:t xml:space="preserve">The NCVS collects data on a nationally representative sample of U.S. households on nonfatal victimisations against individuals 12 and older (Bureau of Justice Statistics 2021b). Households selected for the NCVS are interviewed biannually over a three-year period. Each initial interview is conducted in person with the majority of follow-up interviews conducted over the phone. Since 1993, an average of 94,000 household and 166,000 personal interviews have been conducted each year (Bureau of Justice Statistics 2021). One unfortunate complication of comparing U.S. victimisation trends over time is that the NCVS made major methodological adjustments in 1993 that make comparisons to pre-1992 rates tenuous. Some of the most significant changes include more direct questioning about sexual and violent crimes, questions specifically designed to aid victims in recalling past victimisations, additional sexual victimisation measures beyond rape and attempted rape, and a greater number of interviews conducted using computer assisted telephone </w:t>
      </w:r>
      <w:r w:rsidRPr="004E7BD2">
        <w:rPr>
          <w:rFonts w:ascii="Garamond" w:eastAsia="Times New Roman" w:hAnsi="Garamond" w:cstheme="minorHAnsi"/>
          <w:lang w:val="en-GB"/>
        </w:rPr>
        <w:lastRenderedPageBreak/>
        <w:t>interviews (Bureau of Justice Statistics 2021). Together, these changes served to detect higher levels of victimisation and improve the validity of the NCVS moving forward.</w:t>
      </w:r>
    </w:p>
    <w:p w14:paraId="453B5C85" w14:textId="77777777" w:rsidR="00D53DCB" w:rsidRDefault="00D53DCB" w:rsidP="00D53DCB">
      <w:pPr>
        <w:ind w:left="284" w:hanging="284"/>
        <w:rPr>
          <w:rFonts w:ascii="Garamond" w:eastAsiaTheme="minorEastAsia" w:hAnsi="Garamond"/>
          <w:lang w:val="en-GB"/>
        </w:rPr>
      </w:pPr>
    </w:p>
    <w:p w14:paraId="11592E9D" w14:textId="77777777" w:rsidR="00D53DCB" w:rsidRDefault="00D53DCB" w:rsidP="00D53DCB">
      <w:pPr>
        <w:ind w:left="284" w:hanging="284"/>
        <w:rPr>
          <w:rFonts w:ascii="Garamond" w:hAnsi="Garamond"/>
          <w:lang w:val="en-GB"/>
        </w:rPr>
      </w:pPr>
      <w:r w:rsidRPr="004E7BD2">
        <w:rPr>
          <w:rFonts w:ascii="Garamond" w:hAnsi="Garamond"/>
          <w:lang w:val="en-GB"/>
        </w:rPr>
        <w:t xml:space="preserve">Ansari, Sami and Ni He. 2015. “Convergence revisited: A multi-definition, multi-method analysis of the UCR and the NCVS crime series (1973-2008).” </w:t>
      </w:r>
      <w:r w:rsidRPr="004E7BD2">
        <w:rPr>
          <w:rFonts w:ascii="Garamond" w:hAnsi="Garamond"/>
          <w:i/>
          <w:iCs/>
          <w:lang w:val="en-GB"/>
        </w:rPr>
        <w:t>Justice Quarterly</w:t>
      </w:r>
      <w:r w:rsidRPr="004E7BD2">
        <w:rPr>
          <w:rFonts w:ascii="Garamond" w:hAnsi="Garamond"/>
          <w:lang w:val="en-GB"/>
        </w:rPr>
        <w:t xml:space="preserve"> 32(1): 1-31.</w:t>
      </w:r>
    </w:p>
    <w:p w14:paraId="255DFDC6" w14:textId="77777777" w:rsidR="00D53DCB" w:rsidRPr="004E7BD2" w:rsidRDefault="00D53DCB" w:rsidP="00D53DCB">
      <w:pPr>
        <w:spacing w:line="240" w:lineRule="auto"/>
        <w:ind w:left="284" w:hanging="284"/>
        <w:rPr>
          <w:rFonts w:ascii="Garamond" w:eastAsia="Times New Roman" w:hAnsi="Garamond" w:cs="Times New Roman"/>
          <w:lang w:val="en-GB"/>
        </w:rPr>
      </w:pPr>
      <w:r w:rsidRPr="004E7BD2">
        <w:rPr>
          <w:rFonts w:ascii="Garamond" w:eastAsia="Times New Roman" w:hAnsi="Garamond" w:cs="Times New Roman"/>
          <w:lang w:val="en-GB"/>
        </w:rPr>
        <w:t>Bureau of Justice Statistics. 2021. (Participation rates). Generated using the NCVS Victimisation Analysis Tool (NVAT) at www.bjs.gov. (14</w:t>
      </w:r>
      <w:r w:rsidRPr="004E7BD2">
        <w:rPr>
          <w:rFonts w:ascii="Garamond" w:eastAsia="Times New Roman" w:hAnsi="Garamond" w:cs="Times New Roman"/>
          <w:vertAlign w:val="superscript"/>
          <w:lang w:val="en-GB"/>
        </w:rPr>
        <w:t>th</w:t>
      </w:r>
      <w:r w:rsidRPr="004E7BD2">
        <w:rPr>
          <w:rFonts w:ascii="Garamond" w:eastAsia="Times New Roman" w:hAnsi="Garamond" w:cs="Times New Roman"/>
          <w:lang w:val="en-GB"/>
        </w:rPr>
        <w:t xml:space="preserve"> June 2021). </w:t>
      </w:r>
    </w:p>
    <w:p w14:paraId="21DD6C60" w14:textId="77777777" w:rsidR="00D53DCB" w:rsidRPr="00DD2626" w:rsidRDefault="00D53DCB" w:rsidP="00D53DCB">
      <w:pPr>
        <w:ind w:left="284" w:hanging="284"/>
        <w:rPr>
          <w:rFonts w:ascii="Garamond" w:eastAsiaTheme="minorEastAsia" w:hAnsi="Garamond"/>
          <w:lang w:val="en-GB"/>
        </w:rPr>
      </w:pPr>
      <w:r>
        <w:rPr>
          <w:rFonts w:ascii="Garamond" w:eastAsiaTheme="minorEastAsia" w:hAnsi="Garamond"/>
          <w:lang w:val="en-GB"/>
        </w:rPr>
        <w:t xml:space="preserve">Maguire, Mike and Susan McVie. 2017. “Crime data and criminal statistics: a critical reflection” in </w:t>
      </w:r>
      <w:r>
        <w:rPr>
          <w:rFonts w:ascii="Garamond" w:eastAsiaTheme="minorEastAsia" w:hAnsi="Garamond"/>
          <w:i/>
          <w:lang w:val="en-GB"/>
        </w:rPr>
        <w:t>The Oxford Handbook of Criminology 6</w:t>
      </w:r>
      <w:r w:rsidRPr="0012270E">
        <w:rPr>
          <w:rFonts w:ascii="Garamond" w:eastAsiaTheme="minorEastAsia" w:hAnsi="Garamond"/>
          <w:i/>
          <w:vertAlign w:val="superscript"/>
          <w:lang w:val="en-GB"/>
        </w:rPr>
        <w:t>th</w:t>
      </w:r>
      <w:r>
        <w:rPr>
          <w:rFonts w:ascii="Garamond" w:eastAsiaTheme="minorEastAsia" w:hAnsi="Garamond"/>
          <w:i/>
          <w:lang w:val="en-GB"/>
        </w:rPr>
        <w:t xml:space="preserve"> Ed. </w:t>
      </w:r>
      <w:r>
        <w:rPr>
          <w:rFonts w:ascii="Garamond" w:eastAsiaTheme="minorEastAsia" w:hAnsi="Garamond"/>
          <w:lang w:val="en-GB"/>
        </w:rPr>
        <w:t xml:space="preserve">Eds. Alison Liebling, Shadd </w:t>
      </w:r>
      <w:proofErr w:type="spellStart"/>
      <w:r>
        <w:rPr>
          <w:rFonts w:ascii="Garamond" w:eastAsiaTheme="minorEastAsia" w:hAnsi="Garamond"/>
          <w:lang w:val="en-GB"/>
        </w:rPr>
        <w:t>Maruna</w:t>
      </w:r>
      <w:proofErr w:type="spellEnd"/>
      <w:r>
        <w:rPr>
          <w:rFonts w:ascii="Garamond" w:eastAsiaTheme="minorEastAsia" w:hAnsi="Garamond"/>
          <w:lang w:val="en-GB"/>
        </w:rPr>
        <w:t xml:space="preserve">, and Lesley </w:t>
      </w:r>
      <w:proofErr w:type="spellStart"/>
      <w:r>
        <w:rPr>
          <w:rFonts w:ascii="Garamond" w:eastAsiaTheme="minorEastAsia" w:hAnsi="Garamond"/>
          <w:lang w:val="en-GB"/>
        </w:rPr>
        <w:t>McAra</w:t>
      </w:r>
      <w:proofErr w:type="spellEnd"/>
      <w:r>
        <w:rPr>
          <w:rFonts w:ascii="Garamond" w:eastAsiaTheme="minorEastAsia" w:hAnsi="Garamond"/>
          <w:lang w:val="en-GB"/>
        </w:rPr>
        <w:t>. Oxford: Oxford University Press.</w:t>
      </w:r>
    </w:p>
    <w:p w14:paraId="46935160" w14:textId="77777777" w:rsidR="00D53DCB" w:rsidRDefault="00D53DCB" w:rsidP="00D53DCB">
      <w:pPr>
        <w:rPr>
          <w:rFonts w:ascii="Garamond" w:hAnsi="Garamond"/>
          <w:b/>
          <w:lang w:val="en-GB"/>
        </w:rPr>
      </w:pPr>
      <w:r>
        <w:rPr>
          <w:rFonts w:ascii="Garamond" w:hAnsi="Garamond"/>
          <w:b/>
          <w:lang w:val="en-GB"/>
        </w:rPr>
        <w:br w:type="page"/>
      </w:r>
    </w:p>
    <w:p w14:paraId="1CA5BA0D" w14:textId="77777777" w:rsidR="00D53DCB" w:rsidRDefault="00D53DCB" w:rsidP="00D53DCB">
      <w:pPr>
        <w:spacing w:after="120"/>
        <w:rPr>
          <w:rFonts w:ascii="Garamond" w:hAnsi="Garamond"/>
          <w:b/>
        </w:rPr>
      </w:pPr>
      <w:r>
        <w:rPr>
          <w:rFonts w:ascii="Garamond" w:hAnsi="Garamond"/>
          <w:b/>
        </w:rPr>
        <w:lastRenderedPageBreak/>
        <w:t>Appendix 2. Measures of Crime Concern and Punitive Opinion</w:t>
      </w:r>
    </w:p>
    <w:p w14:paraId="1CDF46F6" w14:textId="77777777" w:rsidR="00D53DCB" w:rsidRDefault="00D53DCB" w:rsidP="00D53DCB">
      <w:pPr>
        <w:spacing w:after="120"/>
        <w:rPr>
          <w:rFonts w:ascii="Garamond" w:hAnsi="Garamond"/>
          <w:b/>
          <w:lang w:val="en-GB"/>
        </w:rPr>
      </w:pPr>
    </w:p>
    <w:p w14:paraId="3CB214B9" w14:textId="77777777" w:rsidR="00D53DCB" w:rsidRPr="004E7BD2" w:rsidRDefault="00D53DCB" w:rsidP="00D53DCB">
      <w:pPr>
        <w:spacing w:after="120"/>
        <w:rPr>
          <w:rFonts w:ascii="Garamond" w:hAnsi="Garamond"/>
          <w:lang w:val="en-GB"/>
        </w:rPr>
      </w:pPr>
      <w:r w:rsidRPr="004E7BD2">
        <w:rPr>
          <w:rFonts w:ascii="Garamond" w:hAnsi="Garamond"/>
          <w:b/>
          <w:lang w:val="en-GB"/>
        </w:rPr>
        <w:t xml:space="preserve">Table </w:t>
      </w:r>
      <w:r>
        <w:rPr>
          <w:rFonts w:ascii="Garamond" w:hAnsi="Garamond"/>
          <w:b/>
          <w:lang w:val="en-GB"/>
        </w:rPr>
        <w:t>A</w:t>
      </w:r>
      <w:r w:rsidRPr="004E7BD2">
        <w:rPr>
          <w:rFonts w:ascii="Garamond" w:hAnsi="Garamond"/>
          <w:b/>
          <w:lang w:val="en-GB"/>
        </w:rPr>
        <w:t>1(a).</w:t>
      </w:r>
      <w:r w:rsidRPr="004E7BD2">
        <w:rPr>
          <w:rFonts w:ascii="Garamond" w:hAnsi="Garamond"/>
          <w:lang w:val="en-GB"/>
        </w:rPr>
        <w:t xml:space="preserve"> </w:t>
      </w:r>
      <w:r w:rsidRPr="004E7BD2">
        <w:rPr>
          <w:rFonts w:ascii="Garamond" w:hAnsi="Garamond" w:cstheme="minorHAnsi"/>
          <w:lang w:val="en-GB"/>
        </w:rPr>
        <w:t xml:space="preserve">Factor Loadings of </w:t>
      </w:r>
      <w:r>
        <w:rPr>
          <w:rFonts w:ascii="Garamond" w:hAnsi="Garamond" w:cstheme="minorHAnsi"/>
          <w:lang w:val="en-GB"/>
        </w:rPr>
        <w:t xml:space="preserve">Question </w:t>
      </w:r>
      <w:r w:rsidRPr="004E7BD2">
        <w:rPr>
          <w:rFonts w:ascii="Garamond" w:hAnsi="Garamond" w:cstheme="minorHAnsi"/>
          <w:lang w:val="en-GB"/>
        </w:rPr>
        <w:t xml:space="preserve">Series and the </w:t>
      </w:r>
      <w:r>
        <w:rPr>
          <w:rFonts w:ascii="Garamond" w:hAnsi="Garamond" w:cstheme="minorHAnsi"/>
          <w:lang w:val="en-GB"/>
        </w:rPr>
        <w:t xml:space="preserve">Overall </w:t>
      </w:r>
      <w:r w:rsidRPr="004E7BD2">
        <w:rPr>
          <w:rFonts w:ascii="Garamond" w:hAnsi="Garamond" w:cstheme="minorHAnsi"/>
          <w:lang w:val="en-GB"/>
        </w:rPr>
        <w:t xml:space="preserve">Measure of Crime </w:t>
      </w:r>
      <w:r>
        <w:rPr>
          <w:rFonts w:ascii="Garamond" w:hAnsi="Garamond" w:cstheme="minorHAnsi"/>
          <w:lang w:val="en-GB"/>
        </w:rPr>
        <w:t>Concern</w:t>
      </w:r>
      <w:r w:rsidRPr="004E7BD2">
        <w:rPr>
          <w:rFonts w:ascii="Garamond" w:hAnsi="Garamond" w:cstheme="minorHAnsi"/>
          <w:lang w:val="en-GB"/>
        </w:rPr>
        <w:t>, U.S.</w:t>
      </w:r>
    </w:p>
    <w:tbl>
      <w:tblPr>
        <w:tblW w:w="8557" w:type="dxa"/>
        <w:tblInd w:w="108" w:type="dxa"/>
        <w:tblLayout w:type="fixed"/>
        <w:tblLook w:val="0000" w:firstRow="0" w:lastRow="0" w:firstColumn="0" w:lastColumn="0" w:noHBand="0" w:noVBand="0"/>
      </w:tblPr>
      <w:tblGrid>
        <w:gridCol w:w="6815"/>
        <w:gridCol w:w="633"/>
        <w:gridCol w:w="1109"/>
      </w:tblGrid>
      <w:tr w:rsidR="00D53DCB" w:rsidRPr="004E7BD2" w14:paraId="61A3ECC9" w14:textId="77777777" w:rsidTr="006254B5">
        <w:trPr>
          <w:trHeight w:val="361"/>
        </w:trPr>
        <w:tc>
          <w:tcPr>
            <w:tcW w:w="6815" w:type="dxa"/>
            <w:tcBorders>
              <w:top w:val="double" w:sz="4" w:space="0" w:color="auto"/>
              <w:bottom w:val="single" w:sz="4" w:space="0" w:color="auto"/>
            </w:tcBorders>
            <w:shd w:val="clear" w:color="auto" w:fill="auto"/>
          </w:tcPr>
          <w:p w14:paraId="16D1D061" w14:textId="77777777" w:rsidR="00D53DCB" w:rsidRPr="004E7BD2" w:rsidRDefault="00D53DCB" w:rsidP="006254B5">
            <w:pPr>
              <w:spacing w:before="60" w:after="60"/>
              <w:rPr>
                <w:rFonts w:ascii="Garamond" w:hAnsi="Garamond"/>
                <w:lang w:val="en-GB"/>
              </w:rPr>
            </w:pPr>
            <w:r w:rsidRPr="004E7BD2">
              <w:rPr>
                <w:rFonts w:ascii="Garamond" w:hAnsi="Garamond"/>
                <w:u w:val="single"/>
                <w:lang w:val="en-GB"/>
              </w:rPr>
              <w:t xml:space="preserve">Survey </w:t>
            </w:r>
            <w:r>
              <w:rPr>
                <w:rFonts w:ascii="Garamond" w:hAnsi="Garamond"/>
                <w:u w:val="single"/>
                <w:lang w:val="en-GB"/>
              </w:rPr>
              <w:t>Question</w:t>
            </w:r>
            <w:r w:rsidRPr="004E7BD2">
              <w:rPr>
                <w:rFonts w:ascii="Garamond" w:hAnsi="Garamond"/>
                <w:u w:val="single"/>
                <w:lang w:val="en-GB"/>
              </w:rPr>
              <w:t xml:space="preserve"> (</w:t>
            </w:r>
            <w:r>
              <w:rPr>
                <w:rFonts w:ascii="Garamond" w:hAnsi="Garamond"/>
                <w:u w:val="single"/>
                <w:lang w:val="en-GB"/>
              </w:rPr>
              <w:t>survey organisation</w:t>
            </w:r>
            <w:r w:rsidRPr="004E7BD2">
              <w:rPr>
                <w:rFonts w:ascii="Garamond" w:hAnsi="Garamond"/>
                <w:u w:val="single"/>
                <w:lang w:val="en-GB"/>
              </w:rPr>
              <w:t>)</w:t>
            </w:r>
          </w:p>
        </w:tc>
        <w:tc>
          <w:tcPr>
            <w:tcW w:w="633" w:type="dxa"/>
            <w:tcBorders>
              <w:top w:val="double" w:sz="4" w:space="0" w:color="auto"/>
              <w:bottom w:val="single" w:sz="4" w:space="0" w:color="auto"/>
            </w:tcBorders>
            <w:noWrap/>
            <w:tcMar>
              <w:left w:w="28" w:type="dxa"/>
              <w:right w:w="28" w:type="dxa"/>
            </w:tcMar>
            <w:vAlign w:val="center"/>
          </w:tcPr>
          <w:p w14:paraId="0A33E48B" w14:textId="77777777" w:rsidR="00D53DCB" w:rsidRPr="004E7BD2" w:rsidRDefault="00D53DCB" w:rsidP="006254B5">
            <w:pPr>
              <w:spacing w:after="0" w:line="240" w:lineRule="auto"/>
              <w:jc w:val="center"/>
              <w:rPr>
                <w:rFonts w:ascii="Garamond" w:hAnsi="Garamond"/>
                <w:lang w:val="en-GB"/>
              </w:rPr>
            </w:pPr>
            <w:r w:rsidRPr="004E7BD2">
              <w:rPr>
                <w:rFonts w:ascii="Garamond" w:hAnsi="Garamond"/>
                <w:lang w:val="en-GB"/>
              </w:rPr>
              <w:t>Cases</w:t>
            </w:r>
          </w:p>
        </w:tc>
        <w:tc>
          <w:tcPr>
            <w:tcW w:w="1109" w:type="dxa"/>
            <w:tcBorders>
              <w:top w:val="double" w:sz="4" w:space="0" w:color="auto"/>
              <w:bottom w:val="single" w:sz="4" w:space="0" w:color="auto"/>
            </w:tcBorders>
            <w:noWrap/>
            <w:tcMar>
              <w:left w:w="28" w:type="dxa"/>
              <w:right w:w="28" w:type="dxa"/>
            </w:tcMar>
            <w:vAlign w:val="center"/>
          </w:tcPr>
          <w:p w14:paraId="03D37108" w14:textId="77777777" w:rsidR="00D53DCB" w:rsidRPr="004E7BD2" w:rsidRDefault="00D53DCB" w:rsidP="006254B5">
            <w:pPr>
              <w:spacing w:after="0" w:line="240" w:lineRule="auto"/>
              <w:jc w:val="center"/>
              <w:rPr>
                <w:rFonts w:ascii="Garamond" w:hAnsi="Garamond"/>
                <w:lang w:val="en-GB"/>
              </w:rPr>
            </w:pPr>
            <w:r>
              <w:rPr>
                <w:rFonts w:ascii="Garamond" w:hAnsi="Garamond"/>
                <w:lang w:val="en-GB"/>
              </w:rPr>
              <w:t>Loading</w:t>
            </w:r>
          </w:p>
        </w:tc>
      </w:tr>
      <w:tr w:rsidR="00D53DCB" w:rsidRPr="004E7BD2" w14:paraId="5410673C" w14:textId="77777777" w:rsidTr="006254B5">
        <w:trPr>
          <w:trHeight w:hRule="exact" w:val="114"/>
        </w:trPr>
        <w:tc>
          <w:tcPr>
            <w:tcW w:w="6815" w:type="dxa"/>
            <w:shd w:val="clear" w:color="auto" w:fill="auto"/>
          </w:tcPr>
          <w:p w14:paraId="68BFD3A7" w14:textId="77777777" w:rsidR="00D53DCB" w:rsidRPr="004E7BD2" w:rsidRDefault="00D53DCB" w:rsidP="006254B5">
            <w:pPr>
              <w:spacing w:before="60" w:after="60"/>
              <w:rPr>
                <w:rFonts w:ascii="Garamond" w:hAnsi="Garamond"/>
                <w:lang w:val="en-GB"/>
              </w:rPr>
            </w:pPr>
          </w:p>
        </w:tc>
        <w:tc>
          <w:tcPr>
            <w:tcW w:w="633" w:type="dxa"/>
            <w:noWrap/>
            <w:tcMar>
              <w:left w:w="28" w:type="dxa"/>
              <w:right w:w="28" w:type="dxa"/>
            </w:tcMar>
            <w:vAlign w:val="center"/>
          </w:tcPr>
          <w:p w14:paraId="22279871" w14:textId="77777777" w:rsidR="00D53DCB" w:rsidRPr="004E7BD2" w:rsidRDefault="00D53DCB" w:rsidP="006254B5">
            <w:pPr>
              <w:spacing w:after="0" w:line="240" w:lineRule="auto"/>
              <w:jc w:val="center"/>
              <w:rPr>
                <w:rFonts w:ascii="Garamond" w:hAnsi="Garamond"/>
                <w:lang w:val="en-GB"/>
              </w:rPr>
            </w:pPr>
          </w:p>
        </w:tc>
        <w:tc>
          <w:tcPr>
            <w:tcW w:w="1109" w:type="dxa"/>
            <w:noWrap/>
            <w:tcMar>
              <w:left w:w="28" w:type="dxa"/>
              <w:right w:w="28" w:type="dxa"/>
            </w:tcMar>
            <w:vAlign w:val="center"/>
          </w:tcPr>
          <w:p w14:paraId="640FFAAB" w14:textId="77777777" w:rsidR="00D53DCB" w:rsidRPr="004E7BD2" w:rsidRDefault="00D53DCB" w:rsidP="006254B5">
            <w:pPr>
              <w:jc w:val="center"/>
              <w:rPr>
                <w:rFonts w:ascii="Garamond" w:hAnsi="Garamond"/>
                <w:lang w:val="en-GB"/>
              </w:rPr>
            </w:pPr>
          </w:p>
        </w:tc>
      </w:tr>
      <w:tr w:rsidR="00D53DCB" w:rsidRPr="004E7BD2" w14:paraId="46A486D9" w14:textId="77777777" w:rsidTr="006254B5">
        <w:trPr>
          <w:trHeight w:val="361"/>
        </w:trPr>
        <w:tc>
          <w:tcPr>
            <w:tcW w:w="6815" w:type="dxa"/>
            <w:shd w:val="clear" w:color="auto" w:fill="auto"/>
            <w:vAlign w:val="center"/>
          </w:tcPr>
          <w:p w14:paraId="14553EF8" w14:textId="77777777" w:rsidR="00D53DCB" w:rsidRPr="004E7BD2" w:rsidRDefault="00D53DCB" w:rsidP="006254B5">
            <w:pPr>
              <w:spacing w:before="60" w:after="60"/>
              <w:rPr>
                <w:rFonts w:ascii="Garamond" w:hAnsi="Garamond"/>
                <w:lang w:val="en-GB"/>
              </w:rPr>
            </w:pPr>
            <w:r>
              <w:rPr>
                <w:rFonts w:ascii="Garamond" w:hAnsi="Garamond"/>
                <w:lang w:val="en-GB"/>
              </w:rPr>
              <w:t>There i</w:t>
            </w:r>
            <w:r w:rsidRPr="004E7BD2">
              <w:rPr>
                <w:rFonts w:ascii="Garamond" w:hAnsi="Garamond"/>
                <w:lang w:val="en-GB"/>
              </w:rPr>
              <w:t xml:space="preserve">s more crime in this area than there was a year ago (Gallup) </w:t>
            </w:r>
          </w:p>
        </w:tc>
        <w:tc>
          <w:tcPr>
            <w:tcW w:w="633" w:type="dxa"/>
            <w:noWrap/>
            <w:tcMar>
              <w:left w:w="28" w:type="dxa"/>
              <w:right w:w="28" w:type="dxa"/>
            </w:tcMar>
            <w:vAlign w:val="center"/>
          </w:tcPr>
          <w:p w14:paraId="255D5F3A" w14:textId="77777777" w:rsidR="00D53DCB" w:rsidRPr="004E7BD2" w:rsidRDefault="00D53DCB" w:rsidP="006254B5">
            <w:pPr>
              <w:spacing w:after="0" w:line="240" w:lineRule="auto"/>
              <w:jc w:val="center"/>
              <w:rPr>
                <w:rFonts w:ascii="Garamond" w:hAnsi="Garamond"/>
                <w:lang w:val="en-GB"/>
              </w:rPr>
            </w:pPr>
            <w:r w:rsidRPr="004E7BD2">
              <w:rPr>
                <w:rFonts w:ascii="Garamond" w:hAnsi="Garamond"/>
                <w:lang w:val="en-GB"/>
              </w:rPr>
              <w:t>33</w:t>
            </w:r>
          </w:p>
        </w:tc>
        <w:tc>
          <w:tcPr>
            <w:tcW w:w="1109" w:type="dxa"/>
            <w:noWrap/>
            <w:tcMar>
              <w:left w:w="28" w:type="dxa"/>
              <w:right w:w="28" w:type="dxa"/>
            </w:tcMar>
            <w:vAlign w:val="center"/>
          </w:tcPr>
          <w:p w14:paraId="0A1AF137" w14:textId="77777777" w:rsidR="00D53DCB" w:rsidRPr="004E7BD2" w:rsidRDefault="00D53DCB" w:rsidP="006254B5">
            <w:pPr>
              <w:spacing w:after="0"/>
              <w:jc w:val="center"/>
              <w:rPr>
                <w:rFonts w:ascii="Garamond" w:hAnsi="Garamond"/>
                <w:lang w:val="en-GB"/>
              </w:rPr>
            </w:pPr>
            <w:r w:rsidRPr="004E7BD2">
              <w:rPr>
                <w:rFonts w:ascii="Garamond" w:hAnsi="Garamond"/>
                <w:lang w:val="en-GB"/>
              </w:rPr>
              <w:t>0.97</w:t>
            </w:r>
          </w:p>
        </w:tc>
      </w:tr>
      <w:tr w:rsidR="00D53DCB" w:rsidRPr="004E7BD2" w14:paraId="62FED88B" w14:textId="77777777" w:rsidTr="006254B5">
        <w:trPr>
          <w:trHeight w:val="602"/>
        </w:trPr>
        <w:tc>
          <w:tcPr>
            <w:tcW w:w="6815" w:type="dxa"/>
            <w:shd w:val="clear" w:color="auto" w:fill="auto"/>
            <w:vAlign w:val="center"/>
          </w:tcPr>
          <w:p w14:paraId="30D611B1" w14:textId="77777777" w:rsidR="00D53DCB" w:rsidRPr="004E7BD2" w:rsidRDefault="00D53DCB" w:rsidP="006254B5">
            <w:pPr>
              <w:spacing w:before="60" w:after="60"/>
              <w:rPr>
                <w:rFonts w:ascii="Garamond" w:hAnsi="Garamond"/>
                <w:lang w:val="en-GB"/>
              </w:rPr>
            </w:pPr>
            <w:r>
              <w:rPr>
                <w:rFonts w:ascii="Garamond" w:hAnsi="Garamond"/>
                <w:lang w:val="en-GB"/>
              </w:rPr>
              <w:t>There i</w:t>
            </w:r>
            <w:r w:rsidRPr="004E7BD2">
              <w:rPr>
                <w:rFonts w:ascii="Garamond" w:hAnsi="Garamond"/>
                <w:lang w:val="en-GB"/>
              </w:rPr>
              <w:t xml:space="preserve">s </w:t>
            </w:r>
            <w:r>
              <w:rPr>
                <w:rFonts w:ascii="Garamond" w:hAnsi="Garamond"/>
                <w:lang w:val="en-GB"/>
              </w:rPr>
              <w:t>an</w:t>
            </w:r>
            <w:r w:rsidRPr="004E7BD2">
              <w:rPr>
                <w:rFonts w:ascii="Garamond" w:hAnsi="Garamond"/>
                <w:lang w:val="en-GB"/>
              </w:rPr>
              <w:t xml:space="preserve"> area near where you live</w:t>
            </w:r>
            <w:r>
              <w:rPr>
                <w:rFonts w:ascii="Garamond" w:hAnsi="Garamond"/>
                <w:lang w:val="en-GB"/>
              </w:rPr>
              <w:t xml:space="preserve"> </w:t>
            </w:r>
            <w:r w:rsidRPr="004E7BD2">
              <w:rPr>
                <w:rFonts w:ascii="Garamond" w:hAnsi="Garamond"/>
                <w:lang w:val="en-GB"/>
              </w:rPr>
              <w:t>where afraid to walk alone at night (Gallup)</w:t>
            </w:r>
          </w:p>
        </w:tc>
        <w:tc>
          <w:tcPr>
            <w:tcW w:w="633" w:type="dxa"/>
            <w:noWrap/>
            <w:tcMar>
              <w:left w:w="28" w:type="dxa"/>
              <w:right w:w="28" w:type="dxa"/>
            </w:tcMar>
            <w:vAlign w:val="center"/>
          </w:tcPr>
          <w:p w14:paraId="1F718B7E" w14:textId="77777777" w:rsidR="00D53DCB" w:rsidRPr="004E7BD2" w:rsidRDefault="00D53DCB" w:rsidP="006254B5">
            <w:pPr>
              <w:spacing w:after="0" w:line="240" w:lineRule="auto"/>
              <w:jc w:val="center"/>
              <w:rPr>
                <w:rFonts w:ascii="Garamond" w:hAnsi="Garamond"/>
                <w:lang w:val="en-GB"/>
              </w:rPr>
            </w:pPr>
            <w:r w:rsidRPr="004E7BD2">
              <w:rPr>
                <w:rFonts w:ascii="Garamond" w:hAnsi="Garamond"/>
                <w:lang w:val="en-GB"/>
              </w:rPr>
              <w:t>34</w:t>
            </w:r>
          </w:p>
        </w:tc>
        <w:tc>
          <w:tcPr>
            <w:tcW w:w="1109" w:type="dxa"/>
            <w:noWrap/>
            <w:tcMar>
              <w:left w:w="28" w:type="dxa"/>
              <w:right w:w="28" w:type="dxa"/>
            </w:tcMar>
            <w:vAlign w:val="center"/>
          </w:tcPr>
          <w:p w14:paraId="62013298" w14:textId="77777777" w:rsidR="00D53DCB" w:rsidRPr="004E7BD2" w:rsidRDefault="00D53DCB" w:rsidP="006254B5">
            <w:pPr>
              <w:spacing w:after="0"/>
              <w:jc w:val="center"/>
              <w:rPr>
                <w:rFonts w:ascii="Garamond" w:hAnsi="Garamond"/>
                <w:lang w:val="en-GB"/>
              </w:rPr>
            </w:pPr>
            <w:r w:rsidRPr="004E7BD2">
              <w:rPr>
                <w:rFonts w:ascii="Garamond" w:hAnsi="Garamond"/>
                <w:lang w:val="en-GB"/>
              </w:rPr>
              <w:t>0.93</w:t>
            </w:r>
          </w:p>
        </w:tc>
      </w:tr>
      <w:tr w:rsidR="00D53DCB" w:rsidRPr="004E7BD2" w14:paraId="70828D5D" w14:textId="77777777" w:rsidTr="006254B5">
        <w:trPr>
          <w:trHeight w:val="361"/>
        </w:trPr>
        <w:tc>
          <w:tcPr>
            <w:tcW w:w="6815" w:type="dxa"/>
            <w:shd w:val="clear" w:color="auto" w:fill="auto"/>
            <w:vAlign w:val="center"/>
          </w:tcPr>
          <w:p w14:paraId="65C638D7" w14:textId="77777777" w:rsidR="00D53DCB" w:rsidRPr="004E7BD2" w:rsidRDefault="00D53DCB" w:rsidP="006254B5">
            <w:pPr>
              <w:spacing w:before="60" w:after="60"/>
              <w:rPr>
                <w:rFonts w:ascii="Garamond" w:hAnsi="Garamond"/>
                <w:lang w:val="en-GB"/>
              </w:rPr>
            </w:pPr>
            <w:r w:rsidRPr="004E7BD2">
              <w:rPr>
                <w:rFonts w:ascii="Garamond" w:hAnsi="Garamond"/>
                <w:lang w:val="en-GB"/>
              </w:rPr>
              <w:t xml:space="preserve">Is more crime in the U.S. than there was a year ago (Gallup) </w:t>
            </w:r>
          </w:p>
        </w:tc>
        <w:tc>
          <w:tcPr>
            <w:tcW w:w="633" w:type="dxa"/>
            <w:noWrap/>
            <w:tcMar>
              <w:left w:w="28" w:type="dxa"/>
              <w:right w:w="28" w:type="dxa"/>
            </w:tcMar>
            <w:vAlign w:val="center"/>
          </w:tcPr>
          <w:p w14:paraId="007F82FA" w14:textId="77777777" w:rsidR="00D53DCB" w:rsidRPr="004E7BD2" w:rsidRDefault="00D53DCB" w:rsidP="006254B5">
            <w:pPr>
              <w:spacing w:after="0" w:line="240" w:lineRule="auto"/>
              <w:jc w:val="center"/>
              <w:rPr>
                <w:rFonts w:ascii="Garamond" w:hAnsi="Garamond"/>
                <w:lang w:val="en-GB"/>
              </w:rPr>
            </w:pPr>
            <w:r w:rsidRPr="004E7BD2">
              <w:rPr>
                <w:rFonts w:ascii="Garamond" w:hAnsi="Garamond"/>
                <w:lang w:val="en-GB"/>
              </w:rPr>
              <w:t>26</w:t>
            </w:r>
          </w:p>
        </w:tc>
        <w:tc>
          <w:tcPr>
            <w:tcW w:w="1109" w:type="dxa"/>
            <w:noWrap/>
            <w:tcMar>
              <w:left w:w="28" w:type="dxa"/>
              <w:right w:w="28" w:type="dxa"/>
            </w:tcMar>
            <w:vAlign w:val="center"/>
          </w:tcPr>
          <w:p w14:paraId="36D04F64" w14:textId="77777777" w:rsidR="00D53DCB" w:rsidRPr="004E7BD2" w:rsidRDefault="00D53DCB" w:rsidP="006254B5">
            <w:pPr>
              <w:spacing w:after="0"/>
              <w:jc w:val="center"/>
              <w:rPr>
                <w:rFonts w:ascii="Garamond" w:hAnsi="Garamond"/>
                <w:lang w:val="en-GB"/>
              </w:rPr>
            </w:pPr>
            <w:r w:rsidRPr="004E7BD2">
              <w:rPr>
                <w:rFonts w:ascii="Garamond" w:hAnsi="Garamond"/>
                <w:lang w:val="en-GB"/>
              </w:rPr>
              <w:t>0.96</w:t>
            </w:r>
          </w:p>
        </w:tc>
      </w:tr>
      <w:tr w:rsidR="00D53DCB" w:rsidRPr="004E7BD2" w14:paraId="1D080D62" w14:textId="77777777" w:rsidTr="006254B5">
        <w:trPr>
          <w:trHeight w:val="369"/>
        </w:trPr>
        <w:tc>
          <w:tcPr>
            <w:tcW w:w="6815" w:type="dxa"/>
            <w:shd w:val="clear" w:color="auto" w:fill="auto"/>
            <w:vAlign w:val="center"/>
          </w:tcPr>
          <w:p w14:paraId="5B760C83" w14:textId="77777777" w:rsidR="00D53DCB" w:rsidRPr="004E7BD2" w:rsidRDefault="00D53DCB" w:rsidP="006254B5">
            <w:pPr>
              <w:spacing w:before="60" w:after="60"/>
              <w:rPr>
                <w:rFonts w:ascii="Garamond" w:hAnsi="Garamond"/>
                <w:lang w:val="en-GB"/>
              </w:rPr>
            </w:pPr>
            <w:r>
              <w:rPr>
                <w:rFonts w:ascii="Garamond" w:hAnsi="Garamond"/>
                <w:lang w:val="en-GB"/>
              </w:rPr>
              <w:t>F</w:t>
            </w:r>
            <w:r w:rsidRPr="004E7BD2">
              <w:rPr>
                <w:rFonts w:ascii="Garamond" w:hAnsi="Garamond"/>
                <w:lang w:val="en-GB"/>
              </w:rPr>
              <w:t>eel the crime rate in your area has been increasing</w:t>
            </w:r>
            <w:r>
              <w:rPr>
                <w:rFonts w:ascii="Garamond" w:hAnsi="Garamond"/>
                <w:lang w:val="en-GB"/>
              </w:rPr>
              <w:t xml:space="preserve"> in the past year</w:t>
            </w:r>
            <w:r w:rsidRPr="004E7BD2">
              <w:rPr>
                <w:rFonts w:ascii="Garamond" w:hAnsi="Garamond"/>
                <w:lang w:val="en-GB"/>
              </w:rPr>
              <w:t xml:space="preserve"> (Harris)</w:t>
            </w:r>
          </w:p>
        </w:tc>
        <w:tc>
          <w:tcPr>
            <w:tcW w:w="633" w:type="dxa"/>
            <w:noWrap/>
            <w:tcMar>
              <w:left w:w="28" w:type="dxa"/>
              <w:right w:w="28" w:type="dxa"/>
            </w:tcMar>
            <w:vAlign w:val="center"/>
          </w:tcPr>
          <w:p w14:paraId="5ACAF4CD" w14:textId="77777777" w:rsidR="00D53DCB" w:rsidRPr="004E7BD2" w:rsidDel="00D2222B" w:rsidRDefault="00D53DCB" w:rsidP="006254B5">
            <w:pPr>
              <w:spacing w:after="0" w:line="240" w:lineRule="auto"/>
              <w:jc w:val="center"/>
              <w:rPr>
                <w:rFonts w:ascii="Garamond" w:hAnsi="Garamond"/>
                <w:lang w:val="en-GB"/>
              </w:rPr>
            </w:pPr>
            <w:r w:rsidRPr="004E7BD2">
              <w:rPr>
                <w:rFonts w:ascii="Garamond" w:hAnsi="Garamond"/>
                <w:lang w:val="en-GB"/>
              </w:rPr>
              <w:t>10</w:t>
            </w:r>
          </w:p>
        </w:tc>
        <w:tc>
          <w:tcPr>
            <w:tcW w:w="1109" w:type="dxa"/>
            <w:noWrap/>
            <w:tcMar>
              <w:left w:w="28" w:type="dxa"/>
              <w:right w:w="28" w:type="dxa"/>
            </w:tcMar>
            <w:vAlign w:val="center"/>
          </w:tcPr>
          <w:p w14:paraId="371E35F0" w14:textId="77777777" w:rsidR="00D53DCB" w:rsidRPr="004E7BD2" w:rsidDel="00D2222B" w:rsidRDefault="00D53DCB" w:rsidP="006254B5">
            <w:pPr>
              <w:spacing w:after="0"/>
              <w:jc w:val="center"/>
              <w:rPr>
                <w:rFonts w:ascii="Garamond" w:hAnsi="Garamond"/>
                <w:lang w:val="en-GB"/>
              </w:rPr>
            </w:pPr>
            <w:r w:rsidRPr="004E7BD2">
              <w:rPr>
                <w:rFonts w:ascii="Garamond" w:hAnsi="Garamond"/>
                <w:lang w:val="en-GB"/>
              </w:rPr>
              <w:t>0.93</w:t>
            </w:r>
          </w:p>
        </w:tc>
      </w:tr>
      <w:tr w:rsidR="00D53DCB" w:rsidRPr="004E7BD2" w14:paraId="6497AEAF" w14:textId="77777777" w:rsidTr="006254B5">
        <w:trPr>
          <w:trHeight w:val="602"/>
        </w:trPr>
        <w:tc>
          <w:tcPr>
            <w:tcW w:w="6815" w:type="dxa"/>
            <w:shd w:val="clear" w:color="auto" w:fill="auto"/>
            <w:vAlign w:val="center"/>
          </w:tcPr>
          <w:p w14:paraId="58F6303B" w14:textId="77777777" w:rsidR="00D53DCB" w:rsidRPr="004E7BD2" w:rsidRDefault="00D53DCB" w:rsidP="006254B5">
            <w:pPr>
              <w:spacing w:before="60" w:after="60"/>
              <w:rPr>
                <w:rFonts w:ascii="Garamond" w:hAnsi="Garamond"/>
                <w:lang w:val="en-GB"/>
              </w:rPr>
            </w:pPr>
            <w:r>
              <w:rPr>
                <w:rFonts w:ascii="Garamond" w:hAnsi="Garamond"/>
                <w:lang w:val="en-GB"/>
              </w:rPr>
              <w:t>Don’t feel safe and secure</w:t>
            </w:r>
            <w:r w:rsidRPr="004E7BD2">
              <w:rPr>
                <w:rFonts w:ascii="Garamond" w:hAnsi="Garamond"/>
                <w:lang w:val="en-GB"/>
              </w:rPr>
              <w:t xml:space="preserve"> when at home at night</w:t>
            </w:r>
            <w:r>
              <w:rPr>
                <w:rFonts w:ascii="Garamond" w:hAnsi="Garamond"/>
                <w:lang w:val="en-GB"/>
              </w:rPr>
              <w:t xml:space="preserve"> </w:t>
            </w:r>
            <w:r w:rsidRPr="004E7BD2">
              <w:rPr>
                <w:rFonts w:ascii="Garamond" w:hAnsi="Garamond"/>
                <w:lang w:val="en-GB"/>
              </w:rPr>
              <w:t>(Gallup)</w:t>
            </w:r>
          </w:p>
        </w:tc>
        <w:tc>
          <w:tcPr>
            <w:tcW w:w="633" w:type="dxa"/>
            <w:noWrap/>
            <w:tcMar>
              <w:left w:w="28" w:type="dxa"/>
              <w:right w:w="28" w:type="dxa"/>
            </w:tcMar>
            <w:vAlign w:val="center"/>
          </w:tcPr>
          <w:p w14:paraId="77A53A25" w14:textId="77777777" w:rsidR="00D53DCB" w:rsidRPr="004E7BD2" w:rsidRDefault="00D53DCB" w:rsidP="006254B5">
            <w:pPr>
              <w:spacing w:after="0" w:line="240" w:lineRule="auto"/>
              <w:jc w:val="center"/>
              <w:rPr>
                <w:rFonts w:ascii="Garamond" w:hAnsi="Garamond"/>
                <w:lang w:val="en-GB"/>
              </w:rPr>
            </w:pPr>
            <w:r w:rsidRPr="004E7BD2">
              <w:rPr>
                <w:rFonts w:ascii="Garamond" w:hAnsi="Garamond"/>
                <w:lang w:val="en-GB"/>
              </w:rPr>
              <w:t>10</w:t>
            </w:r>
          </w:p>
        </w:tc>
        <w:tc>
          <w:tcPr>
            <w:tcW w:w="1109" w:type="dxa"/>
            <w:noWrap/>
            <w:tcMar>
              <w:left w:w="28" w:type="dxa"/>
              <w:right w:w="28" w:type="dxa"/>
            </w:tcMar>
            <w:vAlign w:val="center"/>
          </w:tcPr>
          <w:p w14:paraId="18B4A12B" w14:textId="77777777" w:rsidR="00D53DCB" w:rsidRPr="004E7BD2" w:rsidRDefault="00D53DCB" w:rsidP="006254B5">
            <w:pPr>
              <w:spacing w:after="0"/>
              <w:jc w:val="center"/>
              <w:rPr>
                <w:rFonts w:ascii="Garamond" w:hAnsi="Garamond"/>
                <w:lang w:val="en-GB"/>
              </w:rPr>
            </w:pPr>
            <w:r w:rsidRPr="004E7BD2">
              <w:rPr>
                <w:rFonts w:ascii="Garamond" w:hAnsi="Garamond"/>
                <w:lang w:val="en-GB"/>
              </w:rPr>
              <w:t>0.80</w:t>
            </w:r>
          </w:p>
        </w:tc>
      </w:tr>
      <w:tr w:rsidR="00D53DCB" w:rsidRPr="004E7BD2" w14:paraId="43850A19" w14:textId="77777777" w:rsidTr="006254B5">
        <w:trPr>
          <w:trHeight w:hRule="exact" w:val="114"/>
        </w:trPr>
        <w:tc>
          <w:tcPr>
            <w:tcW w:w="6815" w:type="dxa"/>
            <w:shd w:val="clear" w:color="auto" w:fill="auto"/>
            <w:vAlign w:val="center"/>
          </w:tcPr>
          <w:p w14:paraId="2A155507" w14:textId="77777777" w:rsidR="00D53DCB" w:rsidRPr="004E7BD2" w:rsidRDefault="00D53DCB" w:rsidP="006254B5">
            <w:pPr>
              <w:spacing w:before="60" w:after="60"/>
              <w:rPr>
                <w:rFonts w:ascii="Garamond" w:hAnsi="Garamond"/>
                <w:lang w:val="en-GB"/>
              </w:rPr>
            </w:pPr>
          </w:p>
        </w:tc>
        <w:tc>
          <w:tcPr>
            <w:tcW w:w="633" w:type="dxa"/>
            <w:noWrap/>
            <w:tcMar>
              <w:left w:w="28" w:type="dxa"/>
              <w:right w:w="28" w:type="dxa"/>
            </w:tcMar>
            <w:vAlign w:val="center"/>
          </w:tcPr>
          <w:p w14:paraId="0F6BC523" w14:textId="77777777" w:rsidR="00D53DCB" w:rsidRPr="004E7BD2" w:rsidRDefault="00D53DCB" w:rsidP="006254B5">
            <w:pPr>
              <w:spacing w:after="0" w:line="240" w:lineRule="auto"/>
              <w:jc w:val="center"/>
              <w:rPr>
                <w:rFonts w:ascii="Garamond" w:hAnsi="Garamond"/>
                <w:lang w:val="en-GB"/>
              </w:rPr>
            </w:pPr>
          </w:p>
        </w:tc>
        <w:tc>
          <w:tcPr>
            <w:tcW w:w="1109" w:type="dxa"/>
            <w:noWrap/>
            <w:tcMar>
              <w:left w:w="28" w:type="dxa"/>
              <w:right w:w="28" w:type="dxa"/>
            </w:tcMar>
            <w:vAlign w:val="center"/>
          </w:tcPr>
          <w:p w14:paraId="34769027" w14:textId="77777777" w:rsidR="00D53DCB" w:rsidRPr="004E7BD2" w:rsidRDefault="00D53DCB" w:rsidP="006254B5">
            <w:pPr>
              <w:jc w:val="center"/>
              <w:rPr>
                <w:rFonts w:ascii="Garamond" w:hAnsi="Garamond"/>
                <w:lang w:val="en-GB"/>
              </w:rPr>
            </w:pPr>
          </w:p>
        </w:tc>
      </w:tr>
      <w:tr w:rsidR="00D53DCB" w:rsidRPr="004E7BD2" w14:paraId="00D49C30" w14:textId="77777777" w:rsidTr="006254B5">
        <w:trPr>
          <w:trHeight w:hRule="exact" w:val="345"/>
        </w:trPr>
        <w:tc>
          <w:tcPr>
            <w:tcW w:w="6815" w:type="dxa"/>
            <w:shd w:val="clear" w:color="auto" w:fill="auto"/>
            <w:vAlign w:val="center"/>
          </w:tcPr>
          <w:p w14:paraId="61E14A6E" w14:textId="77777777" w:rsidR="00D53DCB" w:rsidRPr="004E7BD2" w:rsidRDefault="00D53DCB" w:rsidP="006254B5">
            <w:pPr>
              <w:spacing w:after="0"/>
              <w:rPr>
                <w:rFonts w:ascii="Garamond" w:hAnsi="Garamond"/>
                <w:u w:val="single"/>
                <w:lang w:val="en-GB"/>
              </w:rPr>
            </w:pPr>
            <w:r w:rsidRPr="004E7BD2">
              <w:rPr>
                <w:rFonts w:ascii="Garamond" w:hAnsi="Garamond"/>
                <w:u w:val="single"/>
                <w:lang w:val="en-GB"/>
              </w:rPr>
              <w:t>First dimension</w:t>
            </w:r>
          </w:p>
        </w:tc>
        <w:tc>
          <w:tcPr>
            <w:tcW w:w="633" w:type="dxa"/>
            <w:noWrap/>
            <w:tcMar>
              <w:left w:w="28" w:type="dxa"/>
              <w:right w:w="28" w:type="dxa"/>
            </w:tcMar>
            <w:vAlign w:val="center"/>
          </w:tcPr>
          <w:p w14:paraId="1AF146A3" w14:textId="77777777" w:rsidR="00D53DCB" w:rsidRPr="004E7BD2" w:rsidRDefault="00D53DCB" w:rsidP="006254B5">
            <w:pPr>
              <w:spacing w:after="0" w:line="240" w:lineRule="auto"/>
              <w:jc w:val="center"/>
              <w:rPr>
                <w:rFonts w:ascii="Garamond" w:hAnsi="Garamond"/>
                <w:lang w:val="en-GB"/>
              </w:rPr>
            </w:pPr>
          </w:p>
        </w:tc>
        <w:tc>
          <w:tcPr>
            <w:tcW w:w="1109" w:type="dxa"/>
            <w:noWrap/>
            <w:tcMar>
              <w:left w:w="28" w:type="dxa"/>
              <w:right w:w="28" w:type="dxa"/>
            </w:tcMar>
            <w:vAlign w:val="center"/>
          </w:tcPr>
          <w:p w14:paraId="352FAB8A" w14:textId="77777777" w:rsidR="00D53DCB" w:rsidRPr="004E7BD2" w:rsidRDefault="00D53DCB" w:rsidP="006254B5">
            <w:pPr>
              <w:jc w:val="center"/>
              <w:rPr>
                <w:rFonts w:ascii="Garamond" w:hAnsi="Garamond"/>
                <w:lang w:val="en-GB"/>
              </w:rPr>
            </w:pPr>
          </w:p>
        </w:tc>
      </w:tr>
      <w:tr w:rsidR="00D53DCB" w:rsidRPr="004E7BD2" w14:paraId="6D14F4E0" w14:textId="77777777" w:rsidTr="006254B5">
        <w:trPr>
          <w:trHeight w:val="361"/>
        </w:trPr>
        <w:tc>
          <w:tcPr>
            <w:tcW w:w="6815" w:type="dxa"/>
            <w:shd w:val="clear" w:color="auto" w:fill="auto"/>
            <w:vAlign w:val="center"/>
          </w:tcPr>
          <w:p w14:paraId="777882C0" w14:textId="77777777" w:rsidR="00D53DCB" w:rsidRPr="004E7BD2" w:rsidRDefault="00D53DCB" w:rsidP="006254B5">
            <w:pPr>
              <w:spacing w:before="60" w:after="60"/>
              <w:rPr>
                <w:rFonts w:ascii="Garamond" w:hAnsi="Garamond"/>
                <w:lang w:val="en-GB"/>
              </w:rPr>
            </w:pPr>
            <w:r w:rsidRPr="004E7BD2">
              <w:rPr>
                <w:rFonts w:ascii="Garamond" w:hAnsi="Garamond"/>
                <w:lang w:val="en-GB"/>
              </w:rPr>
              <w:t>Proportion of variance explained</w:t>
            </w:r>
          </w:p>
        </w:tc>
        <w:tc>
          <w:tcPr>
            <w:tcW w:w="1742" w:type="dxa"/>
            <w:gridSpan w:val="2"/>
            <w:noWrap/>
            <w:tcMar>
              <w:left w:w="28" w:type="dxa"/>
              <w:right w:w="28" w:type="dxa"/>
            </w:tcMar>
            <w:vAlign w:val="center"/>
          </w:tcPr>
          <w:p w14:paraId="653CEB1F" w14:textId="77777777" w:rsidR="00D53DCB" w:rsidRPr="004E7BD2" w:rsidRDefault="00D53DCB" w:rsidP="006254B5">
            <w:pPr>
              <w:spacing w:after="0" w:line="240" w:lineRule="auto"/>
              <w:jc w:val="center"/>
              <w:rPr>
                <w:rFonts w:ascii="Garamond" w:hAnsi="Garamond"/>
                <w:lang w:val="en-GB"/>
              </w:rPr>
            </w:pPr>
            <w:r w:rsidRPr="004E7BD2">
              <w:rPr>
                <w:rFonts w:ascii="Garamond" w:hAnsi="Garamond"/>
                <w:lang w:val="en-GB"/>
              </w:rPr>
              <w:t>88.0</w:t>
            </w:r>
          </w:p>
        </w:tc>
      </w:tr>
      <w:tr w:rsidR="00D53DCB" w:rsidRPr="004E7BD2" w14:paraId="772CDF7D" w14:textId="77777777" w:rsidTr="006254B5">
        <w:trPr>
          <w:trHeight w:val="361"/>
        </w:trPr>
        <w:tc>
          <w:tcPr>
            <w:tcW w:w="6815" w:type="dxa"/>
            <w:shd w:val="clear" w:color="auto" w:fill="auto"/>
            <w:vAlign w:val="center"/>
          </w:tcPr>
          <w:p w14:paraId="580335CD" w14:textId="77777777" w:rsidR="00D53DCB" w:rsidRPr="004E7BD2" w:rsidRDefault="00D53DCB" w:rsidP="006254B5">
            <w:pPr>
              <w:spacing w:before="60" w:after="60"/>
              <w:rPr>
                <w:rFonts w:ascii="Garamond" w:hAnsi="Garamond"/>
                <w:lang w:val="en-GB"/>
              </w:rPr>
            </w:pPr>
          </w:p>
        </w:tc>
        <w:tc>
          <w:tcPr>
            <w:tcW w:w="1742" w:type="dxa"/>
            <w:gridSpan w:val="2"/>
            <w:noWrap/>
            <w:tcMar>
              <w:left w:w="28" w:type="dxa"/>
              <w:right w:w="28" w:type="dxa"/>
            </w:tcMar>
            <w:vAlign w:val="center"/>
          </w:tcPr>
          <w:p w14:paraId="0E33E034" w14:textId="77777777" w:rsidR="00D53DCB" w:rsidRPr="004E7BD2" w:rsidRDefault="00D53DCB" w:rsidP="006254B5">
            <w:pPr>
              <w:spacing w:after="0" w:line="240" w:lineRule="auto"/>
              <w:jc w:val="center"/>
              <w:rPr>
                <w:rFonts w:ascii="Garamond" w:hAnsi="Garamond"/>
                <w:lang w:val="en-GB"/>
              </w:rPr>
            </w:pPr>
          </w:p>
        </w:tc>
      </w:tr>
      <w:tr w:rsidR="00D53DCB" w:rsidRPr="004E7BD2" w14:paraId="18BC965A" w14:textId="77777777" w:rsidTr="006254B5">
        <w:trPr>
          <w:trHeight w:val="361"/>
        </w:trPr>
        <w:tc>
          <w:tcPr>
            <w:tcW w:w="6815" w:type="dxa"/>
            <w:shd w:val="clear" w:color="auto" w:fill="auto"/>
            <w:vAlign w:val="center"/>
          </w:tcPr>
          <w:p w14:paraId="0F86ABE2" w14:textId="77777777" w:rsidR="00D53DCB" w:rsidRPr="004E7BD2" w:rsidRDefault="00D53DCB" w:rsidP="006254B5">
            <w:pPr>
              <w:spacing w:before="60" w:after="60"/>
              <w:rPr>
                <w:rFonts w:ascii="Garamond" w:hAnsi="Garamond"/>
                <w:lang w:val="en-GB"/>
              </w:rPr>
            </w:pPr>
            <w:r>
              <w:rPr>
                <w:rFonts w:ascii="Garamond" w:hAnsi="Garamond"/>
                <w:lang w:val="en-GB"/>
              </w:rPr>
              <w:t>N of question series used to estimate the overall measure</w:t>
            </w:r>
          </w:p>
        </w:tc>
        <w:tc>
          <w:tcPr>
            <w:tcW w:w="1742" w:type="dxa"/>
            <w:gridSpan w:val="2"/>
            <w:noWrap/>
            <w:tcMar>
              <w:left w:w="28" w:type="dxa"/>
              <w:right w:w="28" w:type="dxa"/>
            </w:tcMar>
            <w:vAlign w:val="center"/>
          </w:tcPr>
          <w:p w14:paraId="3C7CBF1D" w14:textId="77777777" w:rsidR="00D53DCB" w:rsidRPr="004E7BD2" w:rsidRDefault="00D53DCB" w:rsidP="006254B5">
            <w:pPr>
              <w:spacing w:after="0" w:line="240" w:lineRule="auto"/>
              <w:jc w:val="center"/>
              <w:rPr>
                <w:rFonts w:ascii="Garamond" w:hAnsi="Garamond"/>
                <w:lang w:val="en-GB"/>
              </w:rPr>
            </w:pPr>
            <w:r w:rsidRPr="004E7BD2">
              <w:rPr>
                <w:rFonts w:ascii="Garamond" w:hAnsi="Garamond"/>
                <w:lang w:val="en-GB"/>
              </w:rPr>
              <w:t>5</w:t>
            </w:r>
          </w:p>
        </w:tc>
      </w:tr>
      <w:tr w:rsidR="00D53DCB" w:rsidRPr="004E7BD2" w14:paraId="6F8F391C" w14:textId="77777777" w:rsidTr="006254B5">
        <w:trPr>
          <w:trHeight w:val="361"/>
        </w:trPr>
        <w:tc>
          <w:tcPr>
            <w:tcW w:w="6815" w:type="dxa"/>
            <w:shd w:val="clear" w:color="auto" w:fill="auto"/>
            <w:vAlign w:val="center"/>
          </w:tcPr>
          <w:p w14:paraId="15E0B3DE" w14:textId="77777777" w:rsidR="00D53DCB" w:rsidRPr="004E7BD2" w:rsidRDefault="00D53DCB" w:rsidP="006254B5">
            <w:pPr>
              <w:spacing w:before="60" w:after="60"/>
              <w:rPr>
                <w:rFonts w:ascii="Garamond" w:hAnsi="Garamond"/>
                <w:lang w:val="en-GB"/>
              </w:rPr>
            </w:pPr>
            <w:r>
              <w:rPr>
                <w:rFonts w:ascii="Garamond" w:hAnsi="Garamond"/>
                <w:lang w:val="en-GB"/>
              </w:rPr>
              <w:t xml:space="preserve">Total </w:t>
            </w:r>
            <w:r w:rsidRPr="004E7BD2">
              <w:rPr>
                <w:rFonts w:ascii="Garamond" w:hAnsi="Garamond"/>
                <w:lang w:val="en-GB"/>
              </w:rPr>
              <w:t>N of survey items</w:t>
            </w:r>
          </w:p>
        </w:tc>
        <w:tc>
          <w:tcPr>
            <w:tcW w:w="1742" w:type="dxa"/>
            <w:gridSpan w:val="2"/>
            <w:noWrap/>
            <w:tcMar>
              <w:left w:w="28" w:type="dxa"/>
              <w:right w:w="28" w:type="dxa"/>
            </w:tcMar>
            <w:vAlign w:val="center"/>
          </w:tcPr>
          <w:p w14:paraId="686115D3" w14:textId="77777777" w:rsidR="00D53DCB" w:rsidRPr="004E7BD2" w:rsidRDefault="00D53DCB" w:rsidP="006254B5">
            <w:pPr>
              <w:spacing w:after="0" w:line="240" w:lineRule="auto"/>
              <w:jc w:val="center"/>
              <w:rPr>
                <w:rFonts w:ascii="Garamond" w:hAnsi="Garamond"/>
                <w:lang w:val="en-GB"/>
              </w:rPr>
            </w:pPr>
            <w:r w:rsidRPr="004E7BD2">
              <w:rPr>
                <w:rFonts w:ascii="Garamond" w:hAnsi="Garamond"/>
                <w:lang w:val="en-GB"/>
              </w:rPr>
              <w:t>120</w:t>
            </w:r>
          </w:p>
        </w:tc>
      </w:tr>
      <w:tr w:rsidR="00D53DCB" w:rsidRPr="004E7BD2" w14:paraId="2A8960A1" w14:textId="77777777" w:rsidTr="006254B5">
        <w:trPr>
          <w:trHeight w:val="369"/>
        </w:trPr>
        <w:tc>
          <w:tcPr>
            <w:tcW w:w="6815" w:type="dxa"/>
            <w:shd w:val="clear" w:color="auto" w:fill="auto"/>
            <w:vAlign w:val="center"/>
          </w:tcPr>
          <w:p w14:paraId="648ED1DE" w14:textId="77777777" w:rsidR="00D53DCB" w:rsidRPr="004E7BD2" w:rsidRDefault="00D53DCB" w:rsidP="006254B5">
            <w:pPr>
              <w:spacing w:before="60" w:after="60"/>
              <w:rPr>
                <w:rFonts w:ascii="Garamond" w:hAnsi="Garamond"/>
                <w:lang w:val="en-GB"/>
              </w:rPr>
            </w:pPr>
          </w:p>
        </w:tc>
        <w:tc>
          <w:tcPr>
            <w:tcW w:w="1742" w:type="dxa"/>
            <w:gridSpan w:val="2"/>
            <w:noWrap/>
            <w:tcMar>
              <w:left w:w="28" w:type="dxa"/>
              <w:right w:w="28" w:type="dxa"/>
            </w:tcMar>
            <w:vAlign w:val="center"/>
          </w:tcPr>
          <w:p w14:paraId="561624AA" w14:textId="77777777" w:rsidR="00D53DCB" w:rsidRPr="004E7BD2" w:rsidDel="00D2222B" w:rsidRDefault="00D53DCB" w:rsidP="006254B5">
            <w:pPr>
              <w:spacing w:after="0" w:line="240" w:lineRule="auto"/>
              <w:jc w:val="center"/>
              <w:rPr>
                <w:rFonts w:ascii="Garamond" w:hAnsi="Garamond"/>
                <w:lang w:val="en-GB"/>
              </w:rPr>
            </w:pPr>
          </w:p>
        </w:tc>
      </w:tr>
      <w:tr w:rsidR="00D53DCB" w:rsidRPr="004E7BD2" w14:paraId="602DA6BB" w14:textId="77777777" w:rsidTr="006254B5">
        <w:trPr>
          <w:trHeight w:val="361"/>
        </w:trPr>
        <w:tc>
          <w:tcPr>
            <w:tcW w:w="6815" w:type="dxa"/>
            <w:shd w:val="clear" w:color="auto" w:fill="auto"/>
            <w:vAlign w:val="center"/>
          </w:tcPr>
          <w:p w14:paraId="734CD647" w14:textId="77777777" w:rsidR="00D53DCB" w:rsidRPr="004E7BD2" w:rsidRDefault="00D53DCB" w:rsidP="006254B5">
            <w:pPr>
              <w:spacing w:before="60" w:after="60"/>
              <w:rPr>
                <w:rFonts w:ascii="Garamond" w:hAnsi="Garamond"/>
                <w:lang w:val="en-GB"/>
              </w:rPr>
            </w:pPr>
            <w:r w:rsidRPr="004E7BD2">
              <w:rPr>
                <w:rFonts w:ascii="Garamond" w:hAnsi="Garamond"/>
                <w:lang w:val="en-GB"/>
              </w:rPr>
              <w:t>Start</w:t>
            </w:r>
          </w:p>
        </w:tc>
        <w:tc>
          <w:tcPr>
            <w:tcW w:w="1742" w:type="dxa"/>
            <w:gridSpan w:val="2"/>
            <w:noWrap/>
            <w:tcMar>
              <w:left w:w="28" w:type="dxa"/>
              <w:right w:w="28" w:type="dxa"/>
            </w:tcMar>
            <w:vAlign w:val="center"/>
          </w:tcPr>
          <w:p w14:paraId="65C5612B" w14:textId="77777777" w:rsidR="00D53DCB" w:rsidRPr="004E7BD2" w:rsidDel="00D2222B" w:rsidRDefault="00D53DCB" w:rsidP="006254B5">
            <w:pPr>
              <w:spacing w:after="0" w:line="240" w:lineRule="auto"/>
              <w:jc w:val="center"/>
              <w:rPr>
                <w:rFonts w:ascii="Garamond" w:hAnsi="Garamond"/>
                <w:lang w:val="en-GB"/>
              </w:rPr>
            </w:pPr>
            <w:r w:rsidRPr="004E7BD2">
              <w:rPr>
                <w:rFonts w:ascii="Garamond" w:hAnsi="Garamond"/>
                <w:lang w:val="en-GB"/>
              </w:rPr>
              <w:t>1965</w:t>
            </w:r>
          </w:p>
        </w:tc>
      </w:tr>
      <w:tr w:rsidR="00D53DCB" w:rsidRPr="004E7BD2" w14:paraId="7F5DA7D2" w14:textId="77777777" w:rsidTr="006254B5">
        <w:trPr>
          <w:trHeight w:val="361"/>
        </w:trPr>
        <w:tc>
          <w:tcPr>
            <w:tcW w:w="6815" w:type="dxa"/>
            <w:shd w:val="clear" w:color="auto" w:fill="auto"/>
            <w:vAlign w:val="center"/>
          </w:tcPr>
          <w:p w14:paraId="5262344A" w14:textId="77777777" w:rsidR="00D53DCB" w:rsidRPr="004E7BD2" w:rsidRDefault="00D53DCB" w:rsidP="006254B5">
            <w:pPr>
              <w:spacing w:before="60" w:after="60"/>
              <w:rPr>
                <w:rFonts w:ascii="Garamond" w:hAnsi="Garamond"/>
                <w:lang w:val="en-GB"/>
              </w:rPr>
            </w:pPr>
            <w:r w:rsidRPr="004E7BD2">
              <w:rPr>
                <w:rFonts w:ascii="Garamond" w:hAnsi="Garamond"/>
                <w:lang w:val="en-GB"/>
              </w:rPr>
              <w:t>End</w:t>
            </w:r>
          </w:p>
        </w:tc>
        <w:tc>
          <w:tcPr>
            <w:tcW w:w="1742" w:type="dxa"/>
            <w:gridSpan w:val="2"/>
            <w:noWrap/>
            <w:tcMar>
              <w:left w:w="28" w:type="dxa"/>
              <w:right w:w="28" w:type="dxa"/>
            </w:tcMar>
            <w:vAlign w:val="center"/>
          </w:tcPr>
          <w:p w14:paraId="1C7CEB5A" w14:textId="77777777" w:rsidR="00D53DCB" w:rsidRPr="004E7BD2" w:rsidDel="00D2222B" w:rsidRDefault="00D53DCB" w:rsidP="006254B5">
            <w:pPr>
              <w:spacing w:after="0" w:line="240" w:lineRule="auto"/>
              <w:jc w:val="center"/>
              <w:rPr>
                <w:rFonts w:ascii="Garamond" w:hAnsi="Garamond"/>
                <w:lang w:val="en-GB"/>
              </w:rPr>
            </w:pPr>
            <w:r w:rsidRPr="004E7BD2">
              <w:rPr>
                <w:rFonts w:ascii="Garamond" w:hAnsi="Garamond"/>
                <w:lang w:val="en-GB"/>
              </w:rPr>
              <w:t>2021</w:t>
            </w:r>
          </w:p>
        </w:tc>
      </w:tr>
      <w:tr w:rsidR="00D53DCB" w:rsidRPr="004E7BD2" w14:paraId="39355A0B" w14:textId="77777777" w:rsidTr="006254B5">
        <w:trPr>
          <w:trHeight w:hRule="exact" w:val="172"/>
        </w:trPr>
        <w:tc>
          <w:tcPr>
            <w:tcW w:w="6815" w:type="dxa"/>
            <w:tcBorders>
              <w:bottom w:val="double" w:sz="4" w:space="0" w:color="auto"/>
            </w:tcBorders>
            <w:shd w:val="clear" w:color="auto" w:fill="auto"/>
            <w:vAlign w:val="center"/>
          </w:tcPr>
          <w:p w14:paraId="46FC121C" w14:textId="77777777" w:rsidR="00D53DCB" w:rsidRPr="004E7BD2" w:rsidRDefault="00D53DCB" w:rsidP="006254B5">
            <w:pPr>
              <w:rPr>
                <w:rFonts w:ascii="Garamond" w:hAnsi="Garamond"/>
                <w:lang w:val="en-GB"/>
              </w:rPr>
            </w:pPr>
          </w:p>
        </w:tc>
        <w:tc>
          <w:tcPr>
            <w:tcW w:w="1742" w:type="dxa"/>
            <w:gridSpan w:val="2"/>
            <w:tcBorders>
              <w:bottom w:val="double" w:sz="4" w:space="0" w:color="auto"/>
            </w:tcBorders>
            <w:noWrap/>
            <w:tcMar>
              <w:left w:w="28" w:type="dxa"/>
              <w:right w:w="28" w:type="dxa"/>
            </w:tcMar>
            <w:vAlign w:val="center"/>
          </w:tcPr>
          <w:p w14:paraId="4F4F8886" w14:textId="77777777" w:rsidR="00D53DCB" w:rsidRPr="004E7BD2" w:rsidRDefault="00D53DCB" w:rsidP="006254B5">
            <w:pPr>
              <w:spacing w:after="0" w:line="240" w:lineRule="auto"/>
              <w:jc w:val="center"/>
              <w:rPr>
                <w:rFonts w:ascii="Garamond" w:hAnsi="Garamond"/>
                <w:lang w:val="en-GB"/>
              </w:rPr>
            </w:pPr>
          </w:p>
        </w:tc>
      </w:tr>
    </w:tbl>
    <w:p w14:paraId="4ECC17E9" w14:textId="77777777" w:rsidR="00D53DCB" w:rsidRDefault="00D53DCB" w:rsidP="00D53DCB">
      <w:pPr>
        <w:spacing w:after="0"/>
        <w:jc w:val="both"/>
        <w:rPr>
          <w:rFonts w:ascii="Garamond" w:hAnsi="Garamond"/>
          <w:lang w:val="en-GB"/>
        </w:rPr>
      </w:pPr>
    </w:p>
    <w:p w14:paraId="06BE1D2A" w14:textId="77777777" w:rsidR="00D53DCB" w:rsidRDefault="00D53DCB" w:rsidP="00D53DCB">
      <w:pPr>
        <w:spacing w:after="120"/>
        <w:rPr>
          <w:rFonts w:ascii="Garamond" w:hAnsi="Garamond"/>
          <w:b/>
        </w:rPr>
      </w:pPr>
    </w:p>
    <w:p w14:paraId="46718DBA" w14:textId="77777777" w:rsidR="00D53DCB" w:rsidRDefault="00D53DCB" w:rsidP="00D53DCB">
      <w:pPr>
        <w:rPr>
          <w:rFonts w:ascii="Garamond" w:hAnsi="Garamond"/>
          <w:b/>
        </w:rPr>
      </w:pPr>
      <w:r>
        <w:rPr>
          <w:rFonts w:ascii="Garamond" w:hAnsi="Garamond"/>
          <w:b/>
        </w:rPr>
        <w:br w:type="page"/>
      </w:r>
    </w:p>
    <w:p w14:paraId="0D56FEA0" w14:textId="77777777" w:rsidR="00D53DCB" w:rsidRPr="00DA1AA7" w:rsidRDefault="00D53DCB" w:rsidP="00D53DCB">
      <w:pPr>
        <w:spacing w:after="120"/>
        <w:rPr>
          <w:rFonts w:ascii="Garamond" w:hAnsi="Garamond"/>
        </w:rPr>
      </w:pPr>
      <w:r w:rsidRPr="00DA1AA7">
        <w:rPr>
          <w:rFonts w:ascii="Garamond" w:hAnsi="Garamond"/>
          <w:b/>
        </w:rPr>
        <w:lastRenderedPageBreak/>
        <w:t xml:space="preserve">Table </w:t>
      </w:r>
      <w:r>
        <w:rPr>
          <w:rFonts w:ascii="Garamond" w:hAnsi="Garamond"/>
          <w:b/>
        </w:rPr>
        <w:t>A</w:t>
      </w:r>
      <w:r w:rsidRPr="00DA1AA7">
        <w:rPr>
          <w:rFonts w:ascii="Garamond" w:hAnsi="Garamond"/>
          <w:b/>
        </w:rPr>
        <w:t>1(</w:t>
      </w:r>
      <w:r>
        <w:rPr>
          <w:rFonts w:ascii="Garamond" w:hAnsi="Garamond"/>
          <w:b/>
        </w:rPr>
        <w:t>b</w:t>
      </w:r>
      <w:r w:rsidRPr="00DA1AA7">
        <w:rPr>
          <w:rFonts w:ascii="Garamond" w:hAnsi="Garamond"/>
          <w:b/>
        </w:rPr>
        <w:t>).</w:t>
      </w:r>
      <w:r w:rsidRPr="00DA1AA7">
        <w:rPr>
          <w:rFonts w:ascii="Garamond" w:hAnsi="Garamond"/>
        </w:rPr>
        <w:t xml:space="preserve"> </w:t>
      </w:r>
      <w:r w:rsidRPr="00DA1AA7">
        <w:rPr>
          <w:rFonts w:ascii="Garamond" w:hAnsi="Garamond" w:cstheme="minorHAnsi"/>
        </w:rPr>
        <w:t xml:space="preserve">Factor Loadings of Series and the </w:t>
      </w:r>
      <w:r>
        <w:rPr>
          <w:rFonts w:ascii="Garamond" w:hAnsi="Garamond" w:cstheme="minorHAnsi"/>
        </w:rPr>
        <w:t xml:space="preserve">Overall </w:t>
      </w:r>
      <w:r w:rsidRPr="00DA1AA7">
        <w:rPr>
          <w:rFonts w:ascii="Garamond" w:hAnsi="Garamond" w:cstheme="minorHAnsi"/>
        </w:rPr>
        <w:t xml:space="preserve">Measure of </w:t>
      </w:r>
      <w:r>
        <w:rPr>
          <w:rFonts w:ascii="Garamond" w:hAnsi="Garamond" w:cstheme="minorHAnsi"/>
        </w:rPr>
        <w:t>Crime Perceptions</w:t>
      </w:r>
      <w:r w:rsidRPr="00DA1AA7">
        <w:rPr>
          <w:rFonts w:ascii="Garamond" w:hAnsi="Garamond" w:cstheme="minorHAnsi"/>
        </w:rPr>
        <w:t xml:space="preserve">, </w:t>
      </w:r>
      <w:r>
        <w:rPr>
          <w:rFonts w:ascii="Garamond" w:hAnsi="Garamond" w:cstheme="minorHAnsi"/>
        </w:rPr>
        <w:t>England &amp; Wales</w:t>
      </w:r>
    </w:p>
    <w:tbl>
      <w:tblPr>
        <w:tblW w:w="8557" w:type="dxa"/>
        <w:tblInd w:w="108" w:type="dxa"/>
        <w:tblLayout w:type="fixed"/>
        <w:tblLook w:val="0000" w:firstRow="0" w:lastRow="0" w:firstColumn="0" w:lastColumn="0" w:noHBand="0" w:noVBand="0"/>
      </w:tblPr>
      <w:tblGrid>
        <w:gridCol w:w="6815"/>
        <w:gridCol w:w="633"/>
        <w:gridCol w:w="1109"/>
      </w:tblGrid>
      <w:tr w:rsidR="00D53DCB" w:rsidRPr="00DA1AA7" w14:paraId="586410B3" w14:textId="77777777" w:rsidTr="006254B5">
        <w:trPr>
          <w:trHeight w:val="690"/>
        </w:trPr>
        <w:tc>
          <w:tcPr>
            <w:tcW w:w="6815" w:type="dxa"/>
            <w:tcBorders>
              <w:top w:val="double" w:sz="4" w:space="0" w:color="auto"/>
            </w:tcBorders>
            <w:shd w:val="clear" w:color="auto" w:fill="auto"/>
          </w:tcPr>
          <w:p w14:paraId="5D7302BC" w14:textId="77777777" w:rsidR="00D53DCB" w:rsidRPr="00DA1AA7" w:rsidRDefault="00D53DCB" w:rsidP="006254B5">
            <w:pPr>
              <w:spacing w:before="60" w:after="60"/>
              <w:rPr>
                <w:rFonts w:ascii="Garamond" w:hAnsi="Garamond"/>
              </w:rPr>
            </w:pPr>
          </w:p>
        </w:tc>
        <w:tc>
          <w:tcPr>
            <w:tcW w:w="1742" w:type="dxa"/>
            <w:gridSpan w:val="2"/>
            <w:tcBorders>
              <w:top w:val="double" w:sz="4" w:space="0" w:color="auto"/>
            </w:tcBorders>
            <w:noWrap/>
            <w:tcMar>
              <w:left w:w="28" w:type="dxa"/>
              <w:right w:w="28" w:type="dxa"/>
            </w:tcMar>
            <w:vAlign w:val="center"/>
          </w:tcPr>
          <w:p w14:paraId="203CD27F" w14:textId="77777777" w:rsidR="00D53DCB" w:rsidRPr="00DA1AA7" w:rsidRDefault="00D53DCB" w:rsidP="006254B5">
            <w:pPr>
              <w:spacing w:before="120" w:after="120" w:line="240" w:lineRule="auto"/>
              <w:jc w:val="center"/>
              <w:rPr>
                <w:rFonts w:ascii="Garamond" w:hAnsi="Garamond"/>
              </w:rPr>
            </w:pPr>
            <w:r>
              <w:rPr>
                <w:rFonts w:ascii="Garamond" w:hAnsi="Garamond"/>
              </w:rPr>
              <w:t>Crime Perceptions</w:t>
            </w:r>
          </w:p>
        </w:tc>
      </w:tr>
      <w:tr w:rsidR="00D53DCB" w:rsidRPr="00DA1AA7" w14:paraId="175B917D" w14:textId="77777777" w:rsidTr="006254B5">
        <w:trPr>
          <w:trHeight w:val="361"/>
        </w:trPr>
        <w:tc>
          <w:tcPr>
            <w:tcW w:w="6815" w:type="dxa"/>
            <w:tcBorders>
              <w:bottom w:val="single" w:sz="4" w:space="0" w:color="auto"/>
            </w:tcBorders>
            <w:shd w:val="clear" w:color="auto" w:fill="auto"/>
          </w:tcPr>
          <w:p w14:paraId="11E19692" w14:textId="77777777" w:rsidR="00D53DCB" w:rsidRPr="00DA1AA7" w:rsidRDefault="00D53DCB" w:rsidP="006254B5">
            <w:pPr>
              <w:spacing w:before="60" w:after="60"/>
              <w:rPr>
                <w:rFonts w:ascii="Garamond" w:hAnsi="Garamond"/>
              </w:rPr>
            </w:pPr>
            <w:r w:rsidRPr="00DA1AA7">
              <w:rPr>
                <w:rFonts w:ascii="Garamond" w:hAnsi="Garamond"/>
                <w:u w:val="single"/>
              </w:rPr>
              <w:t>Survey item (source)</w:t>
            </w:r>
          </w:p>
        </w:tc>
        <w:tc>
          <w:tcPr>
            <w:tcW w:w="633" w:type="dxa"/>
            <w:tcBorders>
              <w:bottom w:val="single" w:sz="4" w:space="0" w:color="auto"/>
            </w:tcBorders>
            <w:noWrap/>
            <w:tcMar>
              <w:left w:w="28" w:type="dxa"/>
              <w:right w:w="28" w:type="dxa"/>
            </w:tcMar>
            <w:vAlign w:val="center"/>
          </w:tcPr>
          <w:p w14:paraId="165A15F7" w14:textId="77777777" w:rsidR="00D53DCB" w:rsidRPr="00DA1AA7" w:rsidRDefault="00D53DCB" w:rsidP="006254B5">
            <w:pPr>
              <w:spacing w:after="0" w:line="240" w:lineRule="auto"/>
              <w:jc w:val="center"/>
              <w:rPr>
                <w:rFonts w:ascii="Garamond" w:hAnsi="Garamond"/>
              </w:rPr>
            </w:pPr>
            <w:r w:rsidRPr="00DA1AA7">
              <w:rPr>
                <w:rFonts w:ascii="Garamond" w:hAnsi="Garamond"/>
              </w:rPr>
              <w:t>Cases</w:t>
            </w:r>
          </w:p>
        </w:tc>
        <w:tc>
          <w:tcPr>
            <w:tcW w:w="1109" w:type="dxa"/>
            <w:tcBorders>
              <w:bottom w:val="single" w:sz="4" w:space="0" w:color="auto"/>
            </w:tcBorders>
            <w:noWrap/>
            <w:tcMar>
              <w:left w:w="28" w:type="dxa"/>
              <w:right w:w="28" w:type="dxa"/>
            </w:tcMar>
            <w:vAlign w:val="center"/>
          </w:tcPr>
          <w:p w14:paraId="19095DAE" w14:textId="77777777" w:rsidR="00D53DCB" w:rsidRPr="00DA1AA7" w:rsidRDefault="00D53DCB" w:rsidP="006254B5">
            <w:pPr>
              <w:spacing w:after="0" w:line="240" w:lineRule="auto"/>
              <w:jc w:val="center"/>
              <w:rPr>
                <w:rFonts w:ascii="Garamond" w:hAnsi="Garamond"/>
              </w:rPr>
            </w:pPr>
            <w:r>
              <w:rPr>
                <w:rFonts w:ascii="Garamond" w:hAnsi="Garamond"/>
              </w:rPr>
              <w:t>Loading</w:t>
            </w:r>
          </w:p>
        </w:tc>
      </w:tr>
      <w:tr w:rsidR="00D53DCB" w:rsidRPr="00DA1AA7" w14:paraId="75F89E3D" w14:textId="77777777" w:rsidTr="006254B5">
        <w:trPr>
          <w:trHeight w:hRule="exact" w:val="114"/>
        </w:trPr>
        <w:tc>
          <w:tcPr>
            <w:tcW w:w="6815" w:type="dxa"/>
            <w:shd w:val="clear" w:color="auto" w:fill="auto"/>
          </w:tcPr>
          <w:p w14:paraId="2EE92182" w14:textId="77777777" w:rsidR="00D53DCB" w:rsidRPr="00DA1AA7" w:rsidRDefault="00D53DCB" w:rsidP="006254B5">
            <w:pPr>
              <w:spacing w:before="60" w:after="60"/>
              <w:rPr>
                <w:rFonts w:ascii="Garamond" w:hAnsi="Garamond"/>
              </w:rPr>
            </w:pPr>
          </w:p>
        </w:tc>
        <w:tc>
          <w:tcPr>
            <w:tcW w:w="633" w:type="dxa"/>
            <w:noWrap/>
            <w:tcMar>
              <w:left w:w="28" w:type="dxa"/>
              <w:right w:w="28" w:type="dxa"/>
            </w:tcMar>
            <w:vAlign w:val="center"/>
          </w:tcPr>
          <w:p w14:paraId="40B73B70" w14:textId="77777777" w:rsidR="00D53DCB" w:rsidRPr="00DA1AA7" w:rsidRDefault="00D53DCB" w:rsidP="006254B5">
            <w:pPr>
              <w:spacing w:after="0" w:line="240" w:lineRule="auto"/>
              <w:jc w:val="center"/>
              <w:rPr>
                <w:rFonts w:ascii="Garamond" w:hAnsi="Garamond"/>
              </w:rPr>
            </w:pPr>
          </w:p>
        </w:tc>
        <w:tc>
          <w:tcPr>
            <w:tcW w:w="1109" w:type="dxa"/>
            <w:noWrap/>
            <w:tcMar>
              <w:left w:w="28" w:type="dxa"/>
              <w:right w:w="28" w:type="dxa"/>
            </w:tcMar>
            <w:vAlign w:val="center"/>
          </w:tcPr>
          <w:p w14:paraId="50700EE7" w14:textId="77777777" w:rsidR="00D53DCB" w:rsidRPr="00DA1AA7" w:rsidRDefault="00D53DCB" w:rsidP="006254B5">
            <w:pPr>
              <w:jc w:val="center"/>
              <w:rPr>
                <w:rFonts w:ascii="Garamond" w:hAnsi="Garamond"/>
              </w:rPr>
            </w:pPr>
          </w:p>
        </w:tc>
      </w:tr>
      <w:tr w:rsidR="00D53DCB" w:rsidRPr="00DA1AA7" w14:paraId="494F010A" w14:textId="77777777" w:rsidTr="006254B5">
        <w:trPr>
          <w:trHeight w:val="340"/>
        </w:trPr>
        <w:tc>
          <w:tcPr>
            <w:tcW w:w="6815" w:type="dxa"/>
            <w:shd w:val="clear" w:color="auto" w:fill="auto"/>
            <w:vAlign w:val="center"/>
          </w:tcPr>
          <w:p w14:paraId="5DDB80B2" w14:textId="77777777" w:rsidR="00D53DCB" w:rsidRPr="006D08BD" w:rsidRDefault="00D53DCB" w:rsidP="006254B5">
            <w:pPr>
              <w:spacing w:after="0" w:line="240" w:lineRule="auto"/>
              <w:rPr>
                <w:rFonts w:ascii="Garamond" w:hAnsi="Garamond"/>
              </w:rPr>
            </w:pPr>
            <w:r>
              <w:rPr>
                <w:rFonts w:ascii="Garamond" w:hAnsi="Garamond"/>
              </w:rPr>
              <w:t>Crime rate in area going up (YouGov)</w:t>
            </w:r>
          </w:p>
        </w:tc>
        <w:tc>
          <w:tcPr>
            <w:tcW w:w="633" w:type="dxa"/>
            <w:noWrap/>
            <w:tcMar>
              <w:left w:w="28" w:type="dxa"/>
              <w:right w:w="28" w:type="dxa"/>
            </w:tcMar>
            <w:vAlign w:val="center"/>
          </w:tcPr>
          <w:p w14:paraId="48E5144A" w14:textId="77777777" w:rsidR="00D53DCB" w:rsidRPr="00DA1AA7" w:rsidRDefault="00D53DCB" w:rsidP="006254B5">
            <w:pPr>
              <w:spacing w:after="0" w:line="240" w:lineRule="auto"/>
              <w:jc w:val="center"/>
              <w:rPr>
                <w:rFonts w:ascii="Garamond" w:hAnsi="Garamond"/>
              </w:rPr>
            </w:pPr>
            <w:r>
              <w:rPr>
                <w:rFonts w:ascii="Garamond" w:hAnsi="Garamond"/>
              </w:rPr>
              <w:t>3</w:t>
            </w:r>
          </w:p>
        </w:tc>
        <w:tc>
          <w:tcPr>
            <w:tcW w:w="1109" w:type="dxa"/>
            <w:noWrap/>
            <w:tcMar>
              <w:left w:w="28" w:type="dxa"/>
              <w:right w:w="28" w:type="dxa"/>
            </w:tcMar>
            <w:vAlign w:val="center"/>
          </w:tcPr>
          <w:p w14:paraId="17483CBE" w14:textId="77777777" w:rsidR="00D53DCB" w:rsidRPr="00DA1AA7" w:rsidRDefault="00D53DCB" w:rsidP="006254B5">
            <w:pPr>
              <w:spacing w:after="0" w:line="240" w:lineRule="auto"/>
              <w:jc w:val="center"/>
              <w:rPr>
                <w:rFonts w:ascii="Garamond" w:hAnsi="Garamond"/>
              </w:rPr>
            </w:pPr>
            <w:r>
              <w:rPr>
                <w:rFonts w:ascii="Garamond" w:hAnsi="Garamond"/>
              </w:rPr>
              <w:t>1.00</w:t>
            </w:r>
          </w:p>
        </w:tc>
      </w:tr>
      <w:tr w:rsidR="00D53DCB" w:rsidRPr="00DA1AA7" w14:paraId="036B7723" w14:textId="77777777" w:rsidTr="006254B5">
        <w:trPr>
          <w:trHeight w:val="340"/>
        </w:trPr>
        <w:tc>
          <w:tcPr>
            <w:tcW w:w="6815" w:type="dxa"/>
            <w:shd w:val="clear" w:color="auto" w:fill="auto"/>
            <w:vAlign w:val="center"/>
          </w:tcPr>
          <w:p w14:paraId="76E7C96D" w14:textId="77777777" w:rsidR="00D53DCB" w:rsidRPr="006D08BD" w:rsidRDefault="00D53DCB" w:rsidP="006254B5">
            <w:pPr>
              <w:spacing w:after="0" w:line="240" w:lineRule="auto"/>
              <w:rPr>
                <w:rFonts w:ascii="Garamond" w:hAnsi="Garamond"/>
              </w:rPr>
            </w:pPr>
            <w:r>
              <w:rPr>
                <w:rFonts w:ascii="Garamond" w:hAnsi="Garamond"/>
              </w:rPr>
              <w:t>Crime rate nationally going up (YouGov)</w:t>
            </w:r>
          </w:p>
        </w:tc>
        <w:tc>
          <w:tcPr>
            <w:tcW w:w="633" w:type="dxa"/>
            <w:noWrap/>
            <w:tcMar>
              <w:left w:w="28" w:type="dxa"/>
              <w:right w:w="28" w:type="dxa"/>
            </w:tcMar>
            <w:vAlign w:val="center"/>
          </w:tcPr>
          <w:p w14:paraId="352750E9" w14:textId="77777777" w:rsidR="00D53DCB" w:rsidRPr="00DA1AA7" w:rsidRDefault="00D53DCB" w:rsidP="006254B5">
            <w:pPr>
              <w:spacing w:after="0" w:line="240" w:lineRule="auto"/>
              <w:jc w:val="center"/>
              <w:rPr>
                <w:rFonts w:ascii="Garamond" w:hAnsi="Garamond"/>
              </w:rPr>
            </w:pPr>
            <w:r>
              <w:rPr>
                <w:rFonts w:ascii="Garamond" w:hAnsi="Garamond"/>
              </w:rPr>
              <w:t>3</w:t>
            </w:r>
          </w:p>
        </w:tc>
        <w:tc>
          <w:tcPr>
            <w:tcW w:w="1109" w:type="dxa"/>
            <w:noWrap/>
            <w:tcMar>
              <w:left w:w="28" w:type="dxa"/>
              <w:right w:w="28" w:type="dxa"/>
            </w:tcMar>
            <w:vAlign w:val="center"/>
          </w:tcPr>
          <w:p w14:paraId="4057CD4A" w14:textId="77777777" w:rsidR="00D53DCB" w:rsidRPr="00DA1AA7" w:rsidRDefault="00D53DCB" w:rsidP="006254B5">
            <w:pPr>
              <w:spacing w:after="0" w:line="240" w:lineRule="auto"/>
              <w:jc w:val="center"/>
              <w:rPr>
                <w:rFonts w:ascii="Garamond" w:hAnsi="Garamond"/>
              </w:rPr>
            </w:pPr>
            <w:r>
              <w:rPr>
                <w:rFonts w:ascii="Garamond" w:hAnsi="Garamond"/>
              </w:rPr>
              <w:t>1.00</w:t>
            </w:r>
          </w:p>
        </w:tc>
      </w:tr>
      <w:tr w:rsidR="00D53DCB" w:rsidRPr="00DA1AA7" w14:paraId="30A5A4DC" w14:textId="77777777" w:rsidTr="006254B5">
        <w:trPr>
          <w:trHeight w:val="340"/>
        </w:trPr>
        <w:tc>
          <w:tcPr>
            <w:tcW w:w="6815" w:type="dxa"/>
            <w:shd w:val="clear" w:color="auto" w:fill="auto"/>
            <w:vAlign w:val="center"/>
          </w:tcPr>
          <w:p w14:paraId="4CC638BB" w14:textId="77777777" w:rsidR="00D53DCB" w:rsidRPr="006D08BD" w:rsidRDefault="00D53DCB" w:rsidP="006254B5">
            <w:pPr>
              <w:spacing w:after="0" w:line="240" w:lineRule="auto"/>
              <w:rPr>
                <w:rFonts w:ascii="Garamond" w:hAnsi="Garamond"/>
              </w:rPr>
            </w:pPr>
            <w:r>
              <w:rPr>
                <w:rFonts w:ascii="Garamond" w:hAnsi="Garamond"/>
              </w:rPr>
              <w:t>Worried about being mugged and robbed (CSEW)</w:t>
            </w:r>
          </w:p>
        </w:tc>
        <w:tc>
          <w:tcPr>
            <w:tcW w:w="633" w:type="dxa"/>
            <w:noWrap/>
            <w:tcMar>
              <w:left w:w="28" w:type="dxa"/>
              <w:right w:w="28" w:type="dxa"/>
            </w:tcMar>
            <w:vAlign w:val="center"/>
          </w:tcPr>
          <w:p w14:paraId="6B7B2E8E" w14:textId="77777777" w:rsidR="00D53DCB" w:rsidRPr="00DA1AA7" w:rsidRDefault="00D53DCB" w:rsidP="006254B5">
            <w:pPr>
              <w:spacing w:after="0" w:line="240" w:lineRule="auto"/>
              <w:jc w:val="center"/>
              <w:rPr>
                <w:rFonts w:ascii="Garamond" w:hAnsi="Garamond"/>
              </w:rPr>
            </w:pPr>
            <w:r>
              <w:rPr>
                <w:rFonts w:ascii="Garamond" w:hAnsi="Garamond"/>
              </w:rPr>
              <w:t>26</w:t>
            </w:r>
          </w:p>
        </w:tc>
        <w:tc>
          <w:tcPr>
            <w:tcW w:w="1109" w:type="dxa"/>
            <w:noWrap/>
            <w:tcMar>
              <w:left w:w="28" w:type="dxa"/>
              <w:right w:w="28" w:type="dxa"/>
            </w:tcMar>
            <w:vAlign w:val="center"/>
          </w:tcPr>
          <w:p w14:paraId="6FB5E882" w14:textId="77777777" w:rsidR="00D53DCB" w:rsidRPr="00DA1AA7" w:rsidRDefault="00D53DCB" w:rsidP="006254B5">
            <w:pPr>
              <w:spacing w:after="0" w:line="240" w:lineRule="auto"/>
              <w:jc w:val="center"/>
              <w:rPr>
                <w:rFonts w:ascii="Garamond" w:hAnsi="Garamond"/>
              </w:rPr>
            </w:pPr>
            <w:r>
              <w:rPr>
                <w:rFonts w:ascii="Garamond" w:hAnsi="Garamond"/>
              </w:rPr>
              <w:t>0.99</w:t>
            </w:r>
          </w:p>
        </w:tc>
      </w:tr>
      <w:tr w:rsidR="00D53DCB" w:rsidRPr="00DA1AA7" w14:paraId="70FF2F27" w14:textId="77777777" w:rsidTr="006254B5">
        <w:trPr>
          <w:trHeight w:val="340"/>
        </w:trPr>
        <w:tc>
          <w:tcPr>
            <w:tcW w:w="6815" w:type="dxa"/>
            <w:shd w:val="clear" w:color="auto" w:fill="auto"/>
            <w:vAlign w:val="center"/>
          </w:tcPr>
          <w:p w14:paraId="5DB25979" w14:textId="77777777" w:rsidR="00D53DCB" w:rsidRPr="006D08BD" w:rsidRDefault="00D53DCB" w:rsidP="006254B5">
            <w:pPr>
              <w:spacing w:after="0" w:line="240" w:lineRule="auto"/>
              <w:rPr>
                <w:rFonts w:ascii="Garamond" w:hAnsi="Garamond"/>
              </w:rPr>
            </w:pPr>
            <w:r>
              <w:rPr>
                <w:rFonts w:ascii="Garamond" w:hAnsi="Garamond"/>
              </w:rPr>
              <w:t>Worried about being attacked (CSEW)</w:t>
            </w:r>
          </w:p>
        </w:tc>
        <w:tc>
          <w:tcPr>
            <w:tcW w:w="633" w:type="dxa"/>
            <w:noWrap/>
            <w:tcMar>
              <w:left w:w="28" w:type="dxa"/>
              <w:right w:w="28" w:type="dxa"/>
            </w:tcMar>
            <w:vAlign w:val="center"/>
          </w:tcPr>
          <w:p w14:paraId="1E1F50B9" w14:textId="77777777" w:rsidR="00D53DCB" w:rsidRPr="00DA1AA7" w:rsidDel="00D2222B" w:rsidRDefault="00D53DCB" w:rsidP="006254B5">
            <w:pPr>
              <w:spacing w:after="0" w:line="240" w:lineRule="auto"/>
              <w:jc w:val="center"/>
              <w:rPr>
                <w:rFonts w:ascii="Garamond" w:hAnsi="Garamond"/>
              </w:rPr>
            </w:pPr>
            <w:r>
              <w:rPr>
                <w:rFonts w:ascii="Garamond" w:hAnsi="Garamond"/>
              </w:rPr>
              <w:t>16</w:t>
            </w:r>
          </w:p>
        </w:tc>
        <w:tc>
          <w:tcPr>
            <w:tcW w:w="1109" w:type="dxa"/>
            <w:noWrap/>
            <w:tcMar>
              <w:left w:w="28" w:type="dxa"/>
              <w:right w:w="28" w:type="dxa"/>
            </w:tcMar>
            <w:vAlign w:val="center"/>
          </w:tcPr>
          <w:p w14:paraId="326893E9" w14:textId="77777777" w:rsidR="00D53DCB" w:rsidRPr="00DA1AA7" w:rsidDel="00D2222B" w:rsidRDefault="00D53DCB" w:rsidP="006254B5">
            <w:pPr>
              <w:spacing w:after="0" w:line="240" w:lineRule="auto"/>
              <w:jc w:val="center"/>
              <w:rPr>
                <w:rFonts w:ascii="Garamond" w:hAnsi="Garamond"/>
              </w:rPr>
            </w:pPr>
            <w:r>
              <w:rPr>
                <w:rFonts w:ascii="Garamond" w:hAnsi="Garamond"/>
              </w:rPr>
              <w:t>0.99</w:t>
            </w:r>
          </w:p>
        </w:tc>
      </w:tr>
      <w:tr w:rsidR="00D53DCB" w:rsidRPr="00DA1AA7" w14:paraId="0BB555E8" w14:textId="77777777" w:rsidTr="006254B5">
        <w:trPr>
          <w:trHeight w:val="340"/>
        </w:trPr>
        <w:tc>
          <w:tcPr>
            <w:tcW w:w="6815" w:type="dxa"/>
            <w:shd w:val="clear" w:color="auto" w:fill="auto"/>
            <w:vAlign w:val="center"/>
          </w:tcPr>
          <w:p w14:paraId="08C0DF63" w14:textId="77777777" w:rsidR="00D53DCB" w:rsidRPr="006D08BD" w:rsidRDefault="00D53DCB" w:rsidP="006254B5">
            <w:pPr>
              <w:spacing w:after="0" w:line="240" w:lineRule="auto"/>
              <w:rPr>
                <w:rFonts w:ascii="Garamond" w:hAnsi="Garamond"/>
              </w:rPr>
            </w:pPr>
            <w:r>
              <w:rPr>
                <w:rFonts w:ascii="Garamond" w:hAnsi="Garamond"/>
              </w:rPr>
              <w:t>Worried about having car stolen (CSEW)</w:t>
            </w:r>
          </w:p>
        </w:tc>
        <w:tc>
          <w:tcPr>
            <w:tcW w:w="633" w:type="dxa"/>
            <w:noWrap/>
            <w:tcMar>
              <w:left w:w="28" w:type="dxa"/>
              <w:right w:w="28" w:type="dxa"/>
            </w:tcMar>
            <w:vAlign w:val="center"/>
          </w:tcPr>
          <w:p w14:paraId="6A4681F3" w14:textId="77777777" w:rsidR="00D53DCB" w:rsidRPr="00DA1AA7" w:rsidRDefault="00D53DCB" w:rsidP="006254B5">
            <w:pPr>
              <w:spacing w:after="0" w:line="240" w:lineRule="auto"/>
              <w:jc w:val="center"/>
              <w:rPr>
                <w:rFonts w:ascii="Garamond" w:hAnsi="Garamond"/>
              </w:rPr>
            </w:pPr>
            <w:r>
              <w:rPr>
                <w:rFonts w:ascii="Garamond" w:hAnsi="Garamond"/>
              </w:rPr>
              <w:t>26</w:t>
            </w:r>
          </w:p>
        </w:tc>
        <w:tc>
          <w:tcPr>
            <w:tcW w:w="1109" w:type="dxa"/>
            <w:noWrap/>
            <w:tcMar>
              <w:left w:w="28" w:type="dxa"/>
              <w:right w:w="28" w:type="dxa"/>
            </w:tcMar>
            <w:vAlign w:val="center"/>
          </w:tcPr>
          <w:p w14:paraId="2DF42ED4" w14:textId="77777777" w:rsidR="00D53DCB" w:rsidRPr="00DA1AA7" w:rsidRDefault="00D53DCB" w:rsidP="006254B5">
            <w:pPr>
              <w:spacing w:after="0" w:line="240" w:lineRule="auto"/>
              <w:jc w:val="center"/>
              <w:rPr>
                <w:rFonts w:ascii="Garamond" w:hAnsi="Garamond"/>
              </w:rPr>
            </w:pPr>
            <w:r>
              <w:rPr>
                <w:rFonts w:ascii="Garamond" w:hAnsi="Garamond"/>
              </w:rPr>
              <w:t>0.99</w:t>
            </w:r>
          </w:p>
        </w:tc>
      </w:tr>
      <w:tr w:rsidR="00D53DCB" w:rsidRPr="00DA1AA7" w14:paraId="122E79A9" w14:textId="77777777" w:rsidTr="006254B5">
        <w:trPr>
          <w:trHeight w:val="340"/>
        </w:trPr>
        <w:tc>
          <w:tcPr>
            <w:tcW w:w="6815" w:type="dxa"/>
            <w:shd w:val="clear" w:color="auto" w:fill="auto"/>
            <w:vAlign w:val="center"/>
          </w:tcPr>
          <w:p w14:paraId="46AD656B" w14:textId="77777777" w:rsidR="00D53DCB" w:rsidRDefault="00D53DCB" w:rsidP="006254B5">
            <w:pPr>
              <w:spacing w:after="0" w:line="240" w:lineRule="auto"/>
              <w:rPr>
                <w:rFonts w:ascii="Garamond" w:hAnsi="Garamond"/>
              </w:rPr>
            </w:pPr>
            <w:r>
              <w:rPr>
                <w:rFonts w:ascii="Garamond" w:hAnsi="Garamond"/>
              </w:rPr>
              <w:t>Worried about having your home broken into and something stolen (CSEW)</w:t>
            </w:r>
          </w:p>
        </w:tc>
        <w:tc>
          <w:tcPr>
            <w:tcW w:w="633" w:type="dxa"/>
            <w:noWrap/>
            <w:tcMar>
              <w:left w:w="28" w:type="dxa"/>
              <w:right w:w="28" w:type="dxa"/>
            </w:tcMar>
            <w:vAlign w:val="center"/>
          </w:tcPr>
          <w:p w14:paraId="0518A64C" w14:textId="77777777" w:rsidR="00D53DCB" w:rsidRPr="00DA1AA7" w:rsidRDefault="00D53DCB" w:rsidP="006254B5">
            <w:pPr>
              <w:spacing w:after="0" w:line="240" w:lineRule="auto"/>
              <w:jc w:val="center"/>
              <w:rPr>
                <w:rFonts w:ascii="Garamond" w:hAnsi="Garamond"/>
              </w:rPr>
            </w:pPr>
            <w:r>
              <w:rPr>
                <w:rFonts w:ascii="Garamond" w:hAnsi="Garamond"/>
              </w:rPr>
              <w:t>26</w:t>
            </w:r>
          </w:p>
        </w:tc>
        <w:tc>
          <w:tcPr>
            <w:tcW w:w="1109" w:type="dxa"/>
            <w:noWrap/>
            <w:tcMar>
              <w:left w:w="28" w:type="dxa"/>
              <w:right w:w="28" w:type="dxa"/>
            </w:tcMar>
            <w:vAlign w:val="center"/>
          </w:tcPr>
          <w:p w14:paraId="1DB05EB8" w14:textId="77777777" w:rsidR="00D53DCB" w:rsidRPr="00DA1AA7" w:rsidRDefault="00D53DCB" w:rsidP="006254B5">
            <w:pPr>
              <w:spacing w:after="0" w:line="240" w:lineRule="auto"/>
              <w:jc w:val="center"/>
              <w:rPr>
                <w:rFonts w:ascii="Garamond" w:hAnsi="Garamond"/>
              </w:rPr>
            </w:pPr>
            <w:r>
              <w:rPr>
                <w:rFonts w:ascii="Garamond" w:hAnsi="Garamond"/>
              </w:rPr>
              <w:t>0.98</w:t>
            </w:r>
          </w:p>
        </w:tc>
      </w:tr>
      <w:tr w:rsidR="00D53DCB" w:rsidRPr="00DA1AA7" w14:paraId="24E57B7A" w14:textId="77777777" w:rsidTr="006254B5">
        <w:trPr>
          <w:trHeight w:val="340"/>
        </w:trPr>
        <w:tc>
          <w:tcPr>
            <w:tcW w:w="6815" w:type="dxa"/>
            <w:shd w:val="clear" w:color="auto" w:fill="auto"/>
            <w:vAlign w:val="center"/>
          </w:tcPr>
          <w:p w14:paraId="1BFE0072" w14:textId="77777777" w:rsidR="00D53DCB" w:rsidRDefault="00D53DCB" w:rsidP="006254B5">
            <w:pPr>
              <w:spacing w:after="0" w:line="240" w:lineRule="auto"/>
              <w:rPr>
                <w:rFonts w:ascii="Garamond" w:hAnsi="Garamond"/>
              </w:rPr>
            </w:pPr>
            <w:r>
              <w:rPr>
                <w:rFonts w:ascii="Garamond" w:hAnsi="Garamond"/>
              </w:rPr>
              <w:t>Worried about having things stolen from car (CSEW)</w:t>
            </w:r>
          </w:p>
        </w:tc>
        <w:tc>
          <w:tcPr>
            <w:tcW w:w="633" w:type="dxa"/>
            <w:noWrap/>
            <w:tcMar>
              <w:left w:w="28" w:type="dxa"/>
              <w:right w:w="28" w:type="dxa"/>
            </w:tcMar>
            <w:vAlign w:val="center"/>
          </w:tcPr>
          <w:p w14:paraId="7A63C3CB" w14:textId="77777777" w:rsidR="00D53DCB" w:rsidRPr="00DA1AA7" w:rsidRDefault="00D53DCB" w:rsidP="006254B5">
            <w:pPr>
              <w:spacing w:after="0" w:line="240" w:lineRule="auto"/>
              <w:jc w:val="center"/>
              <w:rPr>
                <w:rFonts w:ascii="Garamond" w:hAnsi="Garamond"/>
              </w:rPr>
            </w:pPr>
            <w:r>
              <w:rPr>
                <w:rFonts w:ascii="Garamond" w:hAnsi="Garamond"/>
              </w:rPr>
              <w:t>26</w:t>
            </w:r>
          </w:p>
        </w:tc>
        <w:tc>
          <w:tcPr>
            <w:tcW w:w="1109" w:type="dxa"/>
            <w:noWrap/>
            <w:tcMar>
              <w:left w:w="28" w:type="dxa"/>
              <w:right w:w="28" w:type="dxa"/>
            </w:tcMar>
            <w:vAlign w:val="center"/>
          </w:tcPr>
          <w:p w14:paraId="605B2D4B" w14:textId="77777777" w:rsidR="00D53DCB" w:rsidRPr="00DA1AA7" w:rsidRDefault="00D53DCB" w:rsidP="006254B5">
            <w:pPr>
              <w:spacing w:after="0" w:line="240" w:lineRule="auto"/>
              <w:jc w:val="center"/>
              <w:rPr>
                <w:rFonts w:ascii="Garamond" w:hAnsi="Garamond"/>
              </w:rPr>
            </w:pPr>
            <w:r>
              <w:rPr>
                <w:rFonts w:ascii="Garamond" w:hAnsi="Garamond"/>
              </w:rPr>
              <w:t>0.98</w:t>
            </w:r>
          </w:p>
        </w:tc>
      </w:tr>
      <w:tr w:rsidR="00D53DCB" w:rsidRPr="00DA1AA7" w14:paraId="1CFD8AC0" w14:textId="77777777" w:rsidTr="006254B5">
        <w:trPr>
          <w:trHeight w:val="340"/>
        </w:trPr>
        <w:tc>
          <w:tcPr>
            <w:tcW w:w="6815" w:type="dxa"/>
            <w:shd w:val="clear" w:color="auto" w:fill="auto"/>
            <w:vAlign w:val="center"/>
          </w:tcPr>
          <w:p w14:paraId="12BEBA02" w14:textId="77777777" w:rsidR="00D53DCB" w:rsidRDefault="00D53DCB" w:rsidP="006254B5">
            <w:pPr>
              <w:spacing w:after="0" w:line="240" w:lineRule="auto"/>
              <w:rPr>
                <w:rFonts w:ascii="Garamond" w:hAnsi="Garamond"/>
              </w:rPr>
            </w:pPr>
            <w:r>
              <w:rPr>
                <w:rFonts w:ascii="Garamond" w:hAnsi="Garamond"/>
              </w:rPr>
              <w:t>Don’t feel safe walking about in the dark (CSEW)</w:t>
            </w:r>
          </w:p>
        </w:tc>
        <w:tc>
          <w:tcPr>
            <w:tcW w:w="633" w:type="dxa"/>
            <w:noWrap/>
            <w:tcMar>
              <w:left w:w="28" w:type="dxa"/>
              <w:right w:w="28" w:type="dxa"/>
            </w:tcMar>
            <w:vAlign w:val="center"/>
          </w:tcPr>
          <w:p w14:paraId="39F2AB87" w14:textId="77777777" w:rsidR="00D53DCB" w:rsidRPr="00DA1AA7" w:rsidRDefault="00D53DCB" w:rsidP="006254B5">
            <w:pPr>
              <w:spacing w:after="0" w:line="240" w:lineRule="auto"/>
              <w:jc w:val="center"/>
              <w:rPr>
                <w:rFonts w:ascii="Garamond" w:hAnsi="Garamond"/>
              </w:rPr>
            </w:pPr>
            <w:r>
              <w:rPr>
                <w:rFonts w:ascii="Garamond" w:hAnsi="Garamond"/>
              </w:rPr>
              <w:t>24</w:t>
            </w:r>
          </w:p>
        </w:tc>
        <w:tc>
          <w:tcPr>
            <w:tcW w:w="1109" w:type="dxa"/>
            <w:noWrap/>
            <w:tcMar>
              <w:left w:w="28" w:type="dxa"/>
              <w:right w:w="28" w:type="dxa"/>
            </w:tcMar>
            <w:vAlign w:val="center"/>
          </w:tcPr>
          <w:p w14:paraId="2DAB3ADA" w14:textId="77777777" w:rsidR="00D53DCB" w:rsidRPr="00DA1AA7" w:rsidRDefault="00D53DCB" w:rsidP="006254B5">
            <w:pPr>
              <w:spacing w:after="0" w:line="240" w:lineRule="auto"/>
              <w:jc w:val="center"/>
              <w:rPr>
                <w:rFonts w:ascii="Garamond" w:hAnsi="Garamond"/>
              </w:rPr>
            </w:pPr>
            <w:r>
              <w:rPr>
                <w:rFonts w:ascii="Garamond" w:hAnsi="Garamond"/>
              </w:rPr>
              <w:t>0.93</w:t>
            </w:r>
          </w:p>
        </w:tc>
      </w:tr>
      <w:tr w:rsidR="00D53DCB" w:rsidRPr="00DA1AA7" w14:paraId="51B74388" w14:textId="77777777" w:rsidTr="006254B5">
        <w:trPr>
          <w:trHeight w:val="340"/>
        </w:trPr>
        <w:tc>
          <w:tcPr>
            <w:tcW w:w="6815" w:type="dxa"/>
            <w:shd w:val="clear" w:color="auto" w:fill="auto"/>
            <w:vAlign w:val="center"/>
          </w:tcPr>
          <w:p w14:paraId="45C09B27" w14:textId="77777777" w:rsidR="00D53DCB" w:rsidRDefault="00D53DCB" w:rsidP="006254B5">
            <w:pPr>
              <w:spacing w:after="0" w:line="240" w:lineRule="auto"/>
              <w:rPr>
                <w:rFonts w:ascii="Garamond" w:hAnsi="Garamond"/>
              </w:rPr>
            </w:pPr>
            <w:r>
              <w:rPr>
                <w:rFonts w:ascii="Garamond" w:hAnsi="Garamond"/>
              </w:rPr>
              <w:t>Crime situation getting worse these days (BES-CMS)</w:t>
            </w:r>
          </w:p>
        </w:tc>
        <w:tc>
          <w:tcPr>
            <w:tcW w:w="633" w:type="dxa"/>
            <w:noWrap/>
            <w:tcMar>
              <w:left w:w="28" w:type="dxa"/>
              <w:right w:w="28" w:type="dxa"/>
            </w:tcMar>
            <w:vAlign w:val="center"/>
          </w:tcPr>
          <w:p w14:paraId="090CF1E0" w14:textId="77777777" w:rsidR="00D53DCB" w:rsidRPr="00DA1AA7" w:rsidRDefault="00D53DCB" w:rsidP="006254B5">
            <w:pPr>
              <w:spacing w:after="0" w:line="240" w:lineRule="auto"/>
              <w:jc w:val="center"/>
              <w:rPr>
                <w:rFonts w:ascii="Garamond" w:hAnsi="Garamond"/>
              </w:rPr>
            </w:pPr>
            <w:r>
              <w:rPr>
                <w:rFonts w:ascii="Garamond" w:hAnsi="Garamond"/>
              </w:rPr>
              <w:t>10</w:t>
            </w:r>
          </w:p>
        </w:tc>
        <w:tc>
          <w:tcPr>
            <w:tcW w:w="1109" w:type="dxa"/>
            <w:noWrap/>
            <w:tcMar>
              <w:left w:w="28" w:type="dxa"/>
              <w:right w:w="28" w:type="dxa"/>
            </w:tcMar>
            <w:vAlign w:val="center"/>
          </w:tcPr>
          <w:p w14:paraId="50A7D586" w14:textId="77777777" w:rsidR="00D53DCB" w:rsidRPr="00DA1AA7" w:rsidRDefault="00D53DCB" w:rsidP="006254B5">
            <w:pPr>
              <w:spacing w:after="0" w:line="240" w:lineRule="auto"/>
              <w:jc w:val="center"/>
              <w:rPr>
                <w:rFonts w:ascii="Garamond" w:hAnsi="Garamond"/>
              </w:rPr>
            </w:pPr>
            <w:r>
              <w:rPr>
                <w:rFonts w:ascii="Garamond" w:hAnsi="Garamond"/>
              </w:rPr>
              <w:t>0.92</w:t>
            </w:r>
          </w:p>
        </w:tc>
      </w:tr>
      <w:tr w:rsidR="00D53DCB" w:rsidRPr="00DA1AA7" w14:paraId="1E97021D" w14:textId="77777777" w:rsidTr="006254B5">
        <w:trPr>
          <w:trHeight w:val="340"/>
        </w:trPr>
        <w:tc>
          <w:tcPr>
            <w:tcW w:w="6815" w:type="dxa"/>
            <w:shd w:val="clear" w:color="auto" w:fill="auto"/>
            <w:vAlign w:val="center"/>
          </w:tcPr>
          <w:p w14:paraId="7EA687AD" w14:textId="77777777" w:rsidR="00D53DCB" w:rsidRDefault="00D53DCB" w:rsidP="006254B5">
            <w:pPr>
              <w:spacing w:after="0" w:line="240" w:lineRule="auto"/>
              <w:rPr>
                <w:rFonts w:ascii="Garamond" w:hAnsi="Garamond"/>
              </w:rPr>
            </w:pPr>
            <w:r>
              <w:rPr>
                <w:rFonts w:ascii="Garamond" w:hAnsi="Garamond"/>
              </w:rPr>
              <w:t>Worried about being raped (CSEW)</w:t>
            </w:r>
          </w:p>
        </w:tc>
        <w:tc>
          <w:tcPr>
            <w:tcW w:w="633" w:type="dxa"/>
            <w:noWrap/>
            <w:tcMar>
              <w:left w:w="28" w:type="dxa"/>
              <w:right w:w="28" w:type="dxa"/>
            </w:tcMar>
            <w:vAlign w:val="center"/>
          </w:tcPr>
          <w:p w14:paraId="55AFFECB" w14:textId="77777777" w:rsidR="00D53DCB" w:rsidRPr="00DA1AA7" w:rsidRDefault="00D53DCB" w:rsidP="006254B5">
            <w:pPr>
              <w:spacing w:after="0" w:line="240" w:lineRule="auto"/>
              <w:jc w:val="center"/>
              <w:rPr>
                <w:rFonts w:ascii="Garamond" w:hAnsi="Garamond"/>
              </w:rPr>
            </w:pPr>
            <w:r>
              <w:rPr>
                <w:rFonts w:ascii="Garamond" w:hAnsi="Garamond"/>
              </w:rPr>
              <w:t>26</w:t>
            </w:r>
          </w:p>
        </w:tc>
        <w:tc>
          <w:tcPr>
            <w:tcW w:w="1109" w:type="dxa"/>
            <w:noWrap/>
            <w:tcMar>
              <w:left w:w="28" w:type="dxa"/>
              <w:right w:w="28" w:type="dxa"/>
            </w:tcMar>
            <w:vAlign w:val="center"/>
          </w:tcPr>
          <w:p w14:paraId="5BCE90D4" w14:textId="77777777" w:rsidR="00D53DCB" w:rsidRPr="00DA1AA7" w:rsidRDefault="00D53DCB" w:rsidP="006254B5">
            <w:pPr>
              <w:spacing w:after="0" w:line="240" w:lineRule="auto"/>
              <w:jc w:val="center"/>
              <w:rPr>
                <w:rFonts w:ascii="Garamond" w:hAnsi="Garamond"/>
              </w:rPr>
            </w:pPr>
            <w:r>
              <w:rPr>
                <w:rFonts w:ascii="Garamond" w:hAnsi="Garamond"/>
              </w:rPr>
              <w:t>0.92</w:t>
            </w:r>
          </w:p>
        </w:tc>
      </w:tr>
      <w:tr w:rsidR="00D53DCB" w:rsidRPr="00DA1AA7" w14:paraId="4BFFA266" w14:textId="77777777" w:rsidTr="006254B5">
        <w:trPr>
          <w:trHeight w:val="340"/>
        </w:trPr>
        <w:tc>
          <w:tcPr>
            <w:tcW w:w="6815" w:type="dxa"/>
            <w:shd w:val="clear" w:color="auto" w:fill="auto"/>
            <w:vAlign w:val="center"/>
          </w:tcPr>
          <w:p w14:paraId="2238D7FF" w14:textId="77777777" w:rsidR="00D53DCB" w:rsidRDefault="00D53DCB" w:rsidP="006254B5">
            <w:pPr>
              <w:spacing w:after="0" w:line="240" w:lineRule="auto"/>
              <w:rPr>
                <w:rFonts w:ascii="Garamond" w:hAnsi="Garamond"/>
              </w:rPr>
            </w:pPr>
            <w:r w:rsidRPr="002F628A">
              <w:rPr>
                <w:rFonts w:ascii="Garamond" w:hAnsi="Garamond"/>
              </w:rPr>
              <w:t>Crime makes feel</w:t>
            </w:r>
            <w:r>
              <w:rPr>
                <w:rFonts w:ascii="Garamond" w:hAnsi="Garamond"/>
              </w:rPr>
              <w:t xml:space="preserve"> </w:t>
            </w:r>
            <w:r w:rsidRPr="002F628A">
              <w:rPr>
                <w:rFonts w:ascii="Garamond" w:hAnsi="Garamond"/>
              </w:rPr>
              <w:t>angry</w:t>
            </w:r>
            <w:r>
              <w:rPr>
                <w:rFonts w:ascii="Garamond" w:hAnsi="Garamond"/>
              </w:rPr>
              <w:t xml:space="preserve"> (BES-CMS)</w:t>
            </w:r>
          </w:p>
        </w:tc>
        <w:tc>
          <w:tcPr>
            <w:tcW w:w="633" w:type="dxa"/>
            <w:noWrap/>
            <w:tcMar>
              <w:left w:w="28" w:type="dxa"/>
              <w:right w:w="28" w:type="dxa"/>
            </w:tcMar>
            <w:vAlign w:val="center"/>
          </w:tcPr>
          <w:p w14:paraId="79C313B8" w14:textId="77777777" w:rsidR="00D53DCB" w:rsidRDefault="00D53DCB" w:rsidP="006254B5">
            <w:pPr>
              <w:spacing w:after="0" w:line="240" w:lineRule="auto"/>
              <w:jc w:val="center"/>
              <w:rPr>
                <w:rFonts w:ascii="Garamond" w:hAnsi="Garamond"/>
              </w:rPr>
            </w:pPr>
            <w:r>
              <w:rPr>
                <w:rFonts w:ascii="Garamond" w:hAnsi="Garamond"/>
              </w:rPr>
              <w:t>10</w:t>
            </w:r>
          </w:p>
        </w:tc>
        <w:tc>
          <w:tcPr>
            <w:tcW w:w="1109" w:type="dxa"/>
            <w:noWrap/>
            <w:tcMar>
              <w:left w:w="28" w:type="dxa"/>
              <w:right w:w="28" w:type="dxa"/>
            </w:tcMar>
            <w:vAlign w:val="center"/>
          </w:tcPr>
          <w:p w14:paraId="4BD881FD" w14:textId="77777777" w:rsidR="00D53DCB" w:rsidRDefault="00D53DCB" w:rsidP="006254B5">
            <w:pPr>
              <w:spacing w:after="0" w:line="240" w:lineRule="auto"/>
              <w:jc w:val="center"/>
              <w:rPr>
                <w:rFonts w:ascii="Garamond" w:hAnsi="Garamond"/>
              </w:rPr>
            </w:pPr>
            <w:r>
              <w:rPr>
                <w:rFonts w:ascii="Garamond" w:hAnsi="Garamond"/>
              </w:rPr>
              <w:t>0.91</w:t>
            </w:r>
          </w:p>
        </w:tc>
      </w:tr>
      <w:tr w:rsidR="00D53DCB" w:rsidRPr="00DA1AA7" w14:paraId="0F864D92" w14:textId="77777777" w:rsidTr="006254B5">
        <w:trPr>
          <w:trHeight w:val="340"/>
        </w:trPr>
        <w:tc>
          <w:tcPr>
            <w:tcW w:w="6815" w:type="dxa"/>
            <w:shd w:val="clear" w:color="auto" w:fill="auto"/>
            <w:vAlign w:val="center"/>
          </w:tcPr>
          <w:p w14:paraId="2905F494" w14:textId="77777777" w:rsidR="00D53DCB" w:rsidRDefault="00D53DCB" w:rsidP="006254B5">
            <w:pPr>
              <w:spacing w:after="0" w:line="240" w:lineRule="auto"/>
              <w:rPr>
                <w:rFonts w:ascii="Garamond" w:hAnsi="Garamond"/>
              </w:rPr>
            </w:pPr>
            <w:r w:rsidRPr="002F628A">
              <w:rPr>
                <w:rFonts w:ascii="Garamond" w:hAnsi="Garamond"/>
              </w:rPr>
              <w:t>Crime makes feel</w:t>
            </w:r>
            <w:r>
              <w:rPr>
                <w:rFonts w:ascii="Garamond" w:hAnsi="Garamond"/>
              </w:rPr>
              <w:t xml:space="preserve"> afraid (BES-CMS)</w:t>
            </w:r>
          </w:p>
        </w:tc>
        <w:tc>
          <w:tcPr>
            <w:tcW w:w="633" w:type="dxa"/>
            <w:noWrap/>
            <w:tcMar>
              <w:left w:w="28" w:type="dxa"/>
              <w:right w:w="28" w:type="dxa"/>
            </w:tcMar>
            <w:vAlign w:val="center"/>
          </w:tcPr>
          <w:p w14:paraId="64849D37" w14:textId="77777777" w:rsidR="00D53DCB" w:rsidRDefault="00D53DCB" w:rsidP="006254B5">
            <w:pPr>
              <w:spacing w:after="0" w:line="240" w:lineRule="auto"/>
              <w:jc w:val="center"/>
              <w:rPr>
                <w:rFonts w:ascii="Garamond" w:hAnsi="Garamond"/>
              </w:rPr>
            </w:pPr>
            <w:r>
              <w:rPr>
                <w:rFonts w:ascii="Garamond" w:hAnsi="Garamond"/>
              </w:rPr>
              <w:t>10</w:t>
            </w:r>
          </w:p>
        </w:tc>
        <w:tc>
          <w:tcPr>
            <w:tcW w:w="1109" w:type="dxa"/>
            <w:noWrap/>
            <w:tcMar>
              <w:left w:w="28" w:type="dxa"/>
              <w:right w:w="28" w:type="dxa"/>
            </w:tcMar>
            <w:vAlign w:val="center"/>
          </w:tcPr>
          <w:p w14:paraId="4E9043CF" w14:textId="77777777" w:rsidR="00D53DCB" w:rsidRDefault="00D53DCB" w:rsidP="006254B5">
            <w:pPr>
              <w:spacing w:after="0" w:line="240" w:lineRule="auto"/>
              <w:jc w:val="center"/>
              <w:rPr>
                <w:rFonts w:ascii="Garamond" w:hAnsi="Garamond"/>
              </w:rPr>
            </w:pPr>
            <w:r>
              <w:rPr>
                <w:rFonts w:ascii="Garamond" w:hAnsi="Garamond"/>
              </w:rPr>
              <w:t>0.90</w:t>
            </w:r>
          </w:p>
        </w:tc>
      </w:tr>
      <w:tr w:rsidR="00D53DCB" w:rsidRPr="00DA1AA7" w14:paraId="242C9CBB" w14:textId="77777777" w:rsidTr="006254B5">
        <w:trPr>
          <w:trHeight w:val="340"/>
        </w:trPr>
        <w:tc>
          <w:tcPr>
            <w:tcW w:w="6815" w:type="dxa"/>
            <w:shd w:val="clear" w:color="auto" w:fill="auto"/>
            <w:vAlign w:val="center"/>
          </w:tcPr>
          <w:p w14:paraId="2E5A86B3" w14:textId="77777777" w:rsidR="00D53DCB" w:rsidRPr="002F628A" w:rsidRDefault="00D53DCB" w:rsidP="006254B5">
            <w:pPr>
              <w:spacing w:after="0" w:line="240" w:lineRule="auto"/>
              <w:rPr>
                <w:rFonts w:ascii="Garamond" w:hAnsi="Garamond"/>
              </w:rPr>
            </w:pPr>
            <w:r>
              <w:rPr>
                <w:rFonts w:ascii="Garamond" w:hAnsi="Garamond"/>
              </w:rPr>
              <w:t>Crime makes feel disgust (BES-CMS)</w:t>
            </w:r>
          </w:p>
        </w:tc>
        <w:tc>
          <w:tcPr>
            <w:tcW w:w="633" w:type="dxa"/>
            <w:noWrap/>
            <w:tcMar>
              <w:left w:w="28" w:type="dxa"/>
              <w:right w:w="28" w:type="dxa"/>
            </w:tcMar>
            <w:vAlign w:val="center"/>
          </w:tcPr>
          <w:p w14:paraId="61EE3E64" w14:textId="77777777" w:rsidR="00D53DCB" w:rsidRDefault="00D53DCB" w:rsidP="006254B5">
            <w:pPr>
              <w:spacing w:after="0" w:line="240" w:lineRule="auto"/>
              <w:jc w:val="center"/>
              <w:rPr>
                <w:rFonts w:ascii="Garamond" w:hAnsi="Garamond"/>
              </w:rPr>
            </w:pPr>
            <w:r>
              <w:rPr>
                <w:rFonts w:ascii="Garamond" w:hAnsi="Garamond"/>
              </w:rPr>
              <w:t>10</w:t>
            </w:r>
          </w:p>
        </w:tc>
        <w:tc>
          <w:tcPr>
            <w:tcW w:w="1109" w:type="dxa"/>
            <w:noWrap/>
            <w:tcMar>
              <w:left w:w="28" w:type="dxa"/>
              <w:right w:w="28" w:type="dxa"/>
            </w:tcMar>
            <w:vAlign w:val="center"/>
          </w:tcPr>
          <w:p w14:paraId="0BDC7978" w14:textId="77777777" w:rsidR="00D53DCB" w:rsidRDefault="00D53DCB" w:rsidP="006254B5">
            <w:pPr>
              <w:spacing w:after="0" w:line="240" w:lineRule="auto"/>
              <w:jc w:val="center"/>
              <w:rPr>
                <w:rFonts w:ascii="Garamond" w:hAnsi="Garamond"/>
              </w:rPr>
            </w:pPr>
            <w:r>
              <w:rPr>
                <w:rFonts w:ascii="Garamond" w:hAnsi="Garamond"/>
              </w:rPr>
              <w:t>0.89</w:t>
            </w:r>
          </w:p>
        </w:tc>
      </w:tr>
      <w:tr w:rsidR="00D53DCB" w:rsidRPr="00DA1AA7" w14:paraId="50770D3B" w14:textId="77777777" w:rsidTr="006254B5">
        <w:trPr>
          <w:trHeight w:val="340"/>
        </w:trPr>
        <w:tc>
          <w:tcPr>
            <w:tcW w:w="6815" w:type="dxa"/>
            <w:shd w:val="clear" w:color="auto" w:fill="auto"/>
            <w:vAlign w:val="center"/>
          </w:tcPr>
          <w:p w14:paraId="5E8564E2" w14:textId="77777777" w:rsidR="00D53DCB" w:rsidRPr="005F2BB9" w:rsidRDefault="00D53DCB" w:rsidP="006254B5">
            <w:pPr>
              <w:spacing w:after="0" w:line="240" w:lineRule="auto"/>
              <w:rPr>
                <w:rFonts w:ascii="Garamond" w:hAnsi="Garamond"/>
              </w:rPr>
            </w:pPr>
            <w:r w:rsidRPr="005F2BB9">
              <w:rPr>
                <w:rFonts w:ascii="Garamond" w:hAnsi="Garamond"/>
              </w:rPr>
              <w:t>Level of crime is getting higher (BESIP)</w:t>
            </w:r>
          </w:p>
        </w:tc>
        <w:tc>
          <w:tcPr>
            <w:tcW w:w="633" w:type="dxa"/>
            <w:noWrap/>
            <w:tcMar>
              <w:left w:w="28" w:type="dxa"/>
              <w:right w:w="28" w:type="dxa"/>
            </w:tcMar>
            <w:vAlign w:val="center"/>
          </w:tcPr>
          <w:p w14:paraId="3E7C1FB9" w14:textId="77777777" w:rsidR="00D53DCB" w:rsidRDefault="00D53DCB" w:rsidP="006254B5">
            <w:pPr>
              <w:spacing w:after="0" w:line="240" w:lineRule="auto"/>
              <w:jc w:val="center"/>
              <w:rPr>
                <w:rFonts w:ascii="Garamond" w:hAnsi="Garamond"/>
              </w:rPr>
            </w:pPr>
            <w:r>
              <w:rPr>
                <w:rFonts w:ascii="Garamond" w:hAnsi="Garamond"/>
              </w:rPr>
              <w:t>6</w:t>
            </w:r>
          </w:p>
        </w:tc>
        <w:tc>
          <w:tcPr>
            <w:tcW w:w="1109" w:type="dxa"/>
            <w:noWrap/>
            <w:tcMar>
              <w:left w:w="28" w:type="dxa"/>
              <w:right w:w="28" w:type="dxa"/>
            </w:tcMar>
            <w:vAlign w:val="center"/>
          </w:tcPr>
          <w:p w14:paraId="3AD9CC15" w14:textId="77777777" w:rsidR="00D53DCB" w:rsidRDefault="00D53DCB" w:rsidP="006254B5">
            <w:pPr>
              <w:spacing w:after="0" w:line="240" w:lineRule="auto"/>
              <w:jc w:val="center"/>
              <w:rPr>
                <w:rFonts w:ascii="Garamond" w:hAnsi="Garamond"/>
              </w:rPr>
            </w:pPr>
            <w:r>
              <w:rPr>
                <w:rFonts w:ascii="Garamond" w:hAnsi="Garamond"/>
              </w:rPr>
              <w:t>0.88</w:t>
            </w:r>
          </w:p>
        </w:tc>
      </w:tr>
      <w:tr w:rsidR="00D53DCB" w:rsidRPr="00DA1AA7" w14:paraId="3D3F42A3" w14:textId="77777777" w:rsidTr="006254B5">
        <w:trPr>
          <w:trHeight w:val="340"/>
        </w:trPr>
        <w:tc>
          <w:tcPr>
            <w:tcW w:w="6815" w:type="dxa"/>
            <w:shd w:val="clear" w:color="auto" w:fill="auto"/>
            <w:vAlign w:val="center"/>
          </w:tcPr>
          <w:p w14:paraId="024374D7" w14:textId="77777777" w:rsidR="00D53DCB" w:rsidRPr="005F2BB9" w:rsidRDefault="00D53DCB" w:rsidP="006254B5">
            <w:pPr>
              <w:spacing w:after="0" w:line="240" w:lineRule="auto"/>
              <w:rPr>
                <w:rFonts w:ascii="Garamond" w:hAnsi="Garamond"/>
              </w:rPr>
            </w:pPr>
            <w:r w:rsidRPr="005F2BB9">
              <w:rPr>
                <w:rFonts w:ascii="Garamond" w:hAnsi="Garamond"/>
              </w:rPr>
              <w:t xml:space="preserve">Worried about being attacked because of skin </w:t>
            </w:r>
            <w:proofErr w:type="spellStart"/>
            <w:r w:rsidRPr="005F2BB9">
              <w:rPr>
                <w:rFonts w:ascii="Garamond" w:hAnsi="Garamond"/>
              </w:rPr>
              <w:t>colour</w:t>
            </w:r>
            <w:proofErr w:type="spellEnd"/>
            <w:r w:rsidRPr="005F2BB9">
              <w:rPr>
                <w:rFonts w:ascii="Garamond" w:hAnsi="Garamond"/>
              </w:rPr>
              <w:t xml:space="preserve"> (CSEW)</w:t>
            </w:r>
          </w:p>
        </w:tc>
        <w:tc>
          <w:tcPr>
            <w:tcW w:w="633" w:type="dxa"/>
            <w:noWrap/>
            <w:tcMar>
              <w:left w:w="28" w:type="dxa"/>
              <w:right w:w="28" w:type="dxa"/>
            </w:tcMar>
            <w:vAlign w:val="center"/>
          </w:tcPr>
          <w:p w14:paraId="70E61EDD" w14:textId="77777777" w:rsidR="00D53DCB" w:rsidRDefault="00D53DCB" w:rsidP="006254B5">
            <w:pPr>
              <w:spacing w:after="0" w:line="240" w:lineRule="auto"/>
              <w:jc w:val="center"/>
              <w:rPr>
                <w:rFonts w:ascii="Garamond" w:hAnsi="Garamond"/>
              </w:rPr>
            </w:pPr>
            <w:r>
              <w:rPr>
                <w:rFonts w:ascii="Garamond" w:hAnsi="Garamond"/>
              </w:rPr>
              <w:t>23</w:t>
            </w:r>
          </w:p>
        </w:tc>
        <w:tc>
          <w:tcPr>
            <w:tcW w:w="1109" w:type="dxa"/>
            <w:noWrap/>
            <w:tcMar>
              <w:left w:w="28" w:type="dxa"/>
              <w:right w:w="28" w:type="dxa"/>
            </w:tcMar>
            <w:vAlign w:val="center"/>
          </w:tcPr>
          <w:p w14:paraId="473AFE6C" w14:textId="77777777" w:rsidR="00D53DCB" w:rsidRDefault="00D53DCB" w:rsidP="006254B5">
            <w:pPr>
              <w:spacing w:after="0" w:line="240" w:lineRule="auto"/>
              <w:jc w:val="center"/>
              <w:rPr>
                <w:rFonts w:ascii="Garamond" w:hAnsi="Garamond"/>
              </w:rPr>
            </w:pPr>
            <w:r>
              <w:rPr>
                <w:rFonts w:ascii="Garamond" w:hAnsi="Garamond"/>
              </w:rPr>
              <w:t>0</w:t>
            </w:r>
            <w:r w:rsidRPr="00DF7112">
              <w:rPr>
                <w:rFonts w:ascii="Garamond" w:hAnsi="Garamond"/>
              </w:rPr>
              <w:t>.85</w:t>
            </w:r>
          </w:p>
        </w:tc>
      </w:tr>
      <w:tr w:rsidR="00D53DCB" w:rsidRPr="00DA1AA7" w14:paraId="0168DAF6" w14:textId="77777777" w:rsidTr="006254B5">
        <w:trPr>
          <w:trHeight w:val="340"/>
        </w:trPr>
        <w:tc>
          <w:tcPr>
            <w:tcW w:w="6815" w:type="dxa"/>
            <w:shd w:val="clear" w:color="auto" w:fill="auto"/>
            <w:vAlign w:val="center"/>
          </w:tcPr>
          <w:p w14:paraId="3EEC330B" w14:textId="77777777" w:rsidR="00D53DCB" w:rsidRPr="005F2BB9" w:rsidRDefault="00D53DCB" w:rsidP="006254B5">
            <w:pPr>
              <w:spacing w:after="0" w:line="240" w:lineRule="auto"/>
              <w:rPr>
                <w:rFonts w:ascii="Garamond" w:hAnsi="Garamond"/>
              </w:rPr>
            </w:pPr>
            <w:r w:rsidRPr="005F2BB9">
              <w:rPr>
                <w:rFonts w:ascii="Garamond" w:hAnsi="Garamond"/>
              </w:rPr>
              <w:t>More crime in area since two years ago (CSEW)</w:t>
            </w:r>
          </w:p>
        </w:tc>
        <w:tc>
          <w:tcPr>
            <w:tcW w:w="633" w:type="dxa"/>
            <w:noWrap/>
            <w:tcMar>
              <w:left w:w="28" w:type="dxa"/>
              <w:right w:w="28" w:type="dxa"/>
            </w:tcMar>
            <w:vAlign w:val="center"/>
          </w:tcPr>
          <w:p w14:paraId="066EFFF2" w14:textId="77777777" w:rsidR="00D53DCB" w:rsidRDefault="00D53DCB" w:rsidP="006254B5">
            <w:pPr>
              <w:spacing w:after="0" w:line="240" w:lineRule="auto"/>
              <w:jc w:val="center"/>
              <w:rPr>
                <w:rFonts w:ascii="Garamond" w:hAnsi="Garamond"/>
              </w:rPr>
            </w:pPr>
            <w:r>
              <w:rPr>
                <w:rFonts w:ascii="Garamond" w:hAnsi="Garamond"/>
              </w:rPr>
              <w:t>24</w:t>
            </w:r>
          </w:p>
        </w:tc>
        <w:tc>
          <w:tcPr>
            <w:tcW w:w="1109" w:type="dxa"/>
            <w:noWrap/>
            <w:tcMar>
              <w:left w:w="28" w:type="dxa"/>
              <w:right w:w="28" w:type="dxa"/>
            </w:tcMar>
            <w:vAlign w:val="center"/>
          </w:tcPr>
          <w:p w14:paraId="6B5D9D4F" w14:textId="77777777" w:rsidR="00D53DCB" w:rsidRDefault="00D53DCB" w:rsidP="006254B5">
            <w:pPr>
              <w:spacing w:after="0" w:line="240" w:lineRule="auto"/>
              <w:jc w:val="center"/>
              <w:rPr>
                <w:rFonts w:ascii="Garamond" w:hAnsi="Garamond"/>
              </w:rPr>
            </w:pPr>
            <w:r>
              <w:rPr>
                <w:rFonts w:ascii="Garamond" w:hAnsi="Garamond"/>
              </w:rPr>
              <w:t>0.83</w:t>
            </w:r>
          </w:p>
        </w:tc>
      </w:tr>
      <w:tr w:rsidR="00D53DCB" w:rsidRPr="00DA1AA7" w14:paraId="60F71149" w14:textId="77777777" w:rsidTr="006254B5">
        <w:trPr>
          <w:trHeight w:val="340"/>
        </w:trPr>
        <w:tc>
          <w:tcPr>
            <w:tcW w:w="6815" w:type="dxa"/>
            <w:shd w:val="clear" w:color="auto" w:fill="auto"/>
            <w:vAlign w:val="center"/>
          </w:tcPr>
          <w:p w14:paraId="2EA4BB34" w14:textId="77777777" w:rsidR="00D53DCB" w:rsidRPr="005F2BB9" w:rsidRDefault="00D53DCB" w:rsidP="006254B5">
            <w:pPr>
              <w:spacing w:after="0" w:line="240" w:lineRule="auto"/>
              <w:rPr>
                <w:rFonts w:ascii="Garamond" w:hAnsi="Garamond"/>
              </w:rPr>
            </w:pPr>
            <w:r w:rsidRPr="005F2BB9">
              <w:rPr>
                <w:rFonts w:ascii="Garamond" w:hAnsi="Garamond"/>
              </w:rPr>
              <w:t>Crime makes feel uneasy (BES-CMS)</w:t>
            </w:r>
          </w:p>
        </w:tc>
        <w:tc>
          <w:tcPr>
            <w:tcW w:w="633" w:type="dxa"/>
            <w:noWrap/>
            <w:tcMar>
              <w:left w:w="28" w:type="dxa"/>
              <w:right w:w="28" w:type="dxa"/>
            </w:tcMar>
            <w:vAlign w:val="center"/>
          </w:tcPr>
          <w:p w14:paraId="00AE7756" w14:textId="77777777" w:rsidR="00D53DCB" w:rsidRDefault="00D53DCB" w:rsidP="006254B5">
            <w:pPr>
              <w:spacing w:after="0" w:line="240" w:lineRule="auto"/>
              <w:jc w:val="center"/>
              <w:rPr>
                <w:rFonts w:ascii="Garamond" w:hAnsi="Garamond"/>
              </w:rPr>
            </w:pPr>
            <w:r>
              <w:rPr>
                <w:rFonts w:ascii="Garamond" w:hAnsi="Garamond"/>
              </w:rPr>
              <w:t>10</w:t>
            </w:r>
          </w:p>
        </w:tc>
        <w:tc>
          <w:tcPr>
            <w:tcW w:w="1109" w:type="dxa"/>
            <w:noWrap/>
            <w:tcMar>
              <w:left w:w="28" w:type="dxa"/>
              <w:right w:w="28" w:type="dxa"/>
            </w:tcMar>
            <w:vAlign w:val="center"/>
          </w:tcPr>
          <w:p w14:paraId="4024DB1F" w14:textId="77777777" w:rsidR="00D53DCB" w:rsidRDefault="00D53DCB" w:rsidP="006254B5">
            <w:pPr>
              <w:spacing w:after="0" w:line="240" w:lineRule="auto"/>
              <w:jc w:val="center"/>
              <w:rPr>
                <w:rFonts w:ascii="Garamond" w:hAnsi="Garamond"/>
              </w:rPr>
            </w:pPr>
            <w:r>
              <w:rPr>
                <w:rFonts w:ascii="Garamond" w:hAnsi="Garamond"/>
              </w:rPr>
              <w:t>0.80</w:t>
            </w:r>
          </w:p>
        </w:tc>
      </w:tr>
      <w:tr w:rsidR="00D53DCB" w:rsidRPr="00DA1AA7" w14:paraId="44E92BBC" w14:textId="77777777" w:rsidTr="006254B5">
        <w:trPr>
          <w:trHeight w:val="340"/>
        </w:trPr>
        <w:tc>
          <w:tcPr>
            <w:tcW w:w="6815" w:type="dxa"/>
            <w:shd w:val="clear" w:color="auto" w:fill="auto"/>
            <w:vAlign w:val="center"/>
          </w:tcPr>
          <w:p w14:paraId="015F0320" w14:textId="77777777" w:rsidR="00D53DCB" w:rsidRPr="005F2BB9" w:rsidRDefault="00D53DCB" w:rsidP="006254B5">
            <w:pPr>
              <w:spacing w:after="0" w:line="240" w:lineRule="auto"/>
              <w:rPr>
                <w:rFonts w:ascii="Garamond" w:hAnsi="Garamond"/>
              </w:rPr>
            </w:pPr>
            <w:r w:rsidRPr="005F2BB9">
              <w:rPr>
                <w:rFonts w:ascii="Garamond" w:hAnsi="Garamond"/>
              </w:rPr>
              <w:t>Worried about being insulted or pestered by anybody (CSEW)</w:t>
            </w:r>
          </w:p>
        </w:tc>
        <w:tc>
          <w:tcPr>
            <w:tcW w:w="633" w:type="dxa"/>
            <w:noWrap/>
            <w:tcMar>
              <w:left w:w="28" w:type="dxa"/>
              <w:right w:w="28" w:type="dxa"/>
            </w:tcMar>
            <w:vAlign w:val="center"/>
          </w:tcPr>
          <w:p w14:paraId="3507A1CA" w14:textId="77777777" w:rsidR="00D53DCB" w:rsidRDefault="00D53DCB" w:rsidP="006254B5">
            <w:pPr>
              <w:spacing w:after="0" w:line="240" w:lineRule="auto"/>
              <w:jc w:val="center"/>
              <w:rPr>
                <w:rFonts w:ascii="Garamond" w:hAnsi="Garamond"/>
              </w:rPr>
            </w:pPr>
            <w:r>
              <w:rPr>
                <w:rFonts w:ascii="Garamond" w:hAnsi="Garamond"/>
              </w:rPr>
              <w:t>14</w:t>
            </w:r>
          </w:p>
        </w:tc>
        <w:tc>
          <w:tcPr>
            <w:tcW w:w="1109" w:type="dxa"/>
            <w:noWrap/>
            <w:tcMar>
              <w:left w:w="28" w:type="dxa"/>
              <w:right w:w="28" w:type="dxa"/>
            </w:tcMar>
            <w:vAlign w:val="center"/>
          </w:tcPr>
          <w:p w14:paraId="00D6A0F3" w14:textId="77777777" w:rsidR="00D53DCB" w:rsidRDefault="00D53DCB" w:rsidP="006254B5">
            <w:pPr>
              <w:spacing w:after="0" w:line="240" w:lineRule="auto"/>
              <w:jc w:val="center"/>
              <w:rPr>
                <w:rFonts w:ascii="Garamond" w:hAnsi="Garamond"/>
              </w:rPr>
            </w:pPr>
            <w:r>
              <w:rPr>
                <w:rFonts w:ascii="Garamond" w:hAnsi="Garamond"/>
              </w:rPr>
              <w:t>0.79</w:t>
            </w:r>
          </w:p>
        </w:tc>
      </w:tr>
      <w:tr w:rsidR="00D53DCB" w:rsidRPr="00DA1AA7" w14:paraId="50568A3D" w14:textId="77777777" w:rsidTr="006254B5">
        <w:trPr>
          <w:trHeight w:val="340"/>
        </w:trPr>
        <w:tc>
          <w:tcPr>
            <w:tcW w:w="6815" w:type="dxa"/>
            <w:shd w:val="clear" w:color="auto" w:fill="auto"/>
            <w:vAlign w:val="center"/>
          </w:tcPr>
          <w:p w14:paraId="403F95E4" w14:textId="77777777" w:rsidR="00D53DCB" w:rsidRPr="005F2BB9" w:rsidRDefault="00D53DCB" w:rsidP="006254B5">
            <w:pPr>
              <w:spacing w:after="0" w:line="240" w:lineRule="auto"/>
              <w:rPr>
                <w:rFonts w:ascii="Garamond" w:hAnsi="Garamond"/>
              </w:rPr>
            </w:pPr>
            <w:r w:rsidRPr="005F2BB9">
              <w:rPr>
                <w:rFonts w:ascii="Garamond" w:hAnsi="Garamond"/>
              </w:rPr>
              <w:t>More crime nationally in last two years (CSEW)</w:t>
            </w:r>
          </w:p>
        </w:tc>
        <w:tc>
          <w:tcPr>
            <w:tcW w:w="633" w:type="dxa"/>
            <w:noWrap/>
            <w:tcMar>
              <w:left w:w="28" w:type="dxa"/>
              <w:right w:w="28" w:type="dxa"/>
            </w:tcMar>
            <w:vAlign w:val="center"/>
          </w:tcPr>
          <w:p w14:paraId="62661734" w14:textId="77777777" w:rsidR="00D53DCB" w:rsidRDefault="00D53DCB" w:rsidP="006254B5">
            <w:pPr>
              <w:spacing w:after="0" w:line="240" w:lineRule="auto"/>
              <w:jc w:val="center"/>
              <w:rPr>
                <w:rFonts w:ascii="Garamond" w:hAnsi="Garamond"/>
              </w:rPr>
            </w:pPr>
            <w:r>
              <w:rPr>
                <w:rFonts w:ascii="Garamond" w:hAnsi="Garamond"/>
              </w:rPr>
              <w:t>22</w:t>
            </w:r>
          </w:p>
        </w:tc>
        <w:tc>
          <w:tcPr>
            <w:tcW w:w="1109" w:type="dxa"/>
            <w:noWrap/>
            <w:tcMar>
              <w:left w:w="28" w:type="dxa"/>
              <w:right w:w="28" w:type="dxa"/>
            </w:tcMar>
            <w:vAlign w:val="center"/>
          </w:tcPr>
          <w:p w14:paraId="01951BC2" w14:textId="77777777" w:rsidR="00D53DCB" w:rsidRDefault="00D53DCB" w:rsidP="006254B5">
            <w:pPr>
              <w:spacing w:after="0" w:line="240" w:lineRule="auto"/>
              <w:jc w:val="center"/>
              <w:rPr>
                <w:rFonts w:ascii="Garamond" w:hAnsi="Garamond"/>
              </w:rPr>
            </w:pPr>
            <w:r>
              <w:rPr>
                <w:rFonts w:ascii="Garamond" w:hAnsi="Garamond"/>
              </w:rPr>
              <w:t>-0.02</w:t>
            </w:r>
          </w:p>
        </w:tc>
      </w:tr>
      <w:tr w:rsidR="00D53DCB" w:rsidRPr="00DA1AA7" w14:paraId="39AF1168" w14:textId="77777777" w:rsidTr="006254B5">
        <w:trPr>
          <w:trHeight w:val="340"/>
        </w:trPr>
        <w:tc>
          <w:tcPr>
            <w:tcW w:w="6815" w:type="dxa"/>
            <w:shd w:val="clear" w:color="auto" w:fill="auto"/>
            <w:vAlign w:val="center"/>
          </w:tcPr>
          <w:p w14:paraId="230218CF" w14:textId="77777777" w:rsidR="00D53DCB" w:rsidRPr="005F2BB9" w:rsidRDefault="00D53DCB" w:rsidP="006254B5">
            <w:pPr>
              <w:spacing w:after="0" w:line="240" w:lineRule="auto"/>
              <w:rPr>
                <w:rFonts w:ascii="Garamond" w:hAnsi="Garamond"/>
              </w:rPr>
            </w:pPr>
          </w:p>
        </w:tc>
        <w:tc>
          <w:tcPr>
            <w:tcW w:w="633" w:type="dxa"/>
            <w:noWrap/>
            <w:tcMar>
              <w:left w:w="28" w:type="dxa"/>
              <w:right w:w="28" w:type="dxa"/>
            </w:tcMar>
            <w:vAlign w:val="center"/>
          </w:tcPr>
          <w:p w14:paraId="227E898E" w14:textId="77777777" w:rsidR="00D53DCB" w:rsidRDefault="00D53DCB" w:rsidP="006254B5">
            <w:pPr>
              <w:spacing w:after="0" w:line="240" w:lineRule="auto"/>
              <w:jc w:val="center"/>
              <w:rPr>
                <w:rFonts w:ascii="Garamond" w:hAnsi="Garamond"/>
              </w:rPr>
            </w:pPr>
          </w:p>
        </w:tc>
        <w:tc>
          <w:tcPr>
            <w:tcW w:w="1109" w:type="dxa"/>
            <w:noWrap/>
            <w:tcMar>
              <w:left w:w="28" w:type="dxa"/>
              <w:right w:w="28" w:type="dxa"/>
            </w:tcMar>
            <w:vAlign w:val="center"/>
          </w:tcPr>
          <w:p w14:paraId="6B6FC395" w14:textId="77777777" w:rsidR="00D53DCB" w:rsidRDefault="00D53DCB" w:rsidP="006254B5">
            <w:pPr>
              <w:spacing w:after="0" w:line="240" w:lineRule="auto"/>
              <w:jc w:val="center"/>
              <w:rPr>
                <w:rFonts w:ascii="Garamond" w:hAnsi="Garamond"/>
              </w:rPr>
            </w:pPr>
          </w:p>
        </w:tc>
      </w:tr>
      <w:tr w:rsidR="00D53DCB" w:rsidRPr="00DA1AA7" w14:paraId="4DCF1C9F" w14:textId="77777777" w:rsidTr="006254B5">
        <w:trPr>
          <w:trHeight w:hRule="exact" w:val="345"/>
        </w:trPr>
        <w:tc>
          <w:tcPr>
            <w:tcW w:w="6815" w:type="dxa"/>
            <w:shd w:val="clear" w:color="auto" w:fill="auto"/>
            <w:vAlign w:val="center"/>
          </w:tcPr>
          <w:p w14:paraId="0C3B9A60" w14:textId="77777777" w:rsidR="00D53DCB" w:rsidRPr="00DA1AA7" w:rsidRDefault="00D53DCB" w:rsidP="006254B5">
            <w:pPr>
              <w:spacing w:after="0"/>
              <w:rPr>
                <w:rFonts w:ascii="Garamond" w:hAnsi="Garamond"/>
                <w:u w:val="single"/>
              </w:rPr>
            </w:pPr>
            <w:r w:rsidRPr="00DA1AA7">
              <w:rPr>
                <w:rFonts w:ascii="Garamond" w:hAnsi="Garamond"/>
                <w:u w:val="single"/>
              </w:rPr>
              <w:t>First dimension</w:t>
            </w:r>
          </w:p>
        </w:tc>
        <w:tc>
          <w:tcPr>
            <w:tcW w:w="633" w:type="dxa"/>
            <w:noWrap/>
            <w:tcMar>
              <w:left w:w="28" w:type="dxa"/>
              <w:right w:w="28" w:type="dxa"/>
            </w:tcMar>
            <w:vAlign w:val="center"/>
          </w:tcPr>
          <w:p w14:paraId="659E1550" w14:textId="77777777" w:rsidR="00D53DCB" w:rsidRPr="00DA1AA7" w:rsidRDefault="00D53DCB" w:rsidP="006254B5">
            <w:pPr>
              <w:spacing w:after="0" w:line="240" w:lineRule="auto"/>
              <w:jc w:val="center"/>
              <w:rPr>
                <w:rFonts w:ascii="Garamond" w:hAnsi="Garamond"/>
              </w:rPr>
            </w:pPr>
          </w:p>
        </w:tc>
        <w:tc>
          <w:tcPr>
            <w:tcW w:w="1109" w:type="dxa"/>
            <w:noWrap/>
            <w:tcMar>
              <w:left w:w="28" w:type="dxa"/>
              <w:right w:w="28" w:type="dxa"/>
            </w:tcMar>
            <w:vAlign w:val="center"/>
          </w:tcPr>
          <w:p w14:paraId="7CA47FFE" w14:textId="77777777" w:rsidR="00D53DCB" w:rsidRPr="00DA1AA7" w:rsidRDefault="00D53DCB" w:rsidP="006254B5">
            <w:pPr>
              <w:jc w:val="center"/>
              <w:rPr>
                <w:rFonts w:ascii="Garamond" w:hAnsi="Garamond"/>
              </w:rPr>
            </w:pPr>
          </w:p>
        </w:tc>
      </w:tr>
      <w:tr w:rsidR="00D53DCB" w:rsidRPr="00DA1AA7" w14:paraId="4F9FD2EB" w14:textId="77777777" w:rsidTr="006254B5">
        <w:trPr>
          <w:trHeight w:val="361"/>
        </w:trPr>
        <w:tc>
          <w:tcPr>
            <w:tcW w:w="6815" w:type="dxa"/>
            <w:shd w:val="clear" w:color="auto" w:fill="auto"/>
            <w:vAlign w:val="center"/>
          </w:tcPr>
          <w:p w14:paraId="1D89E897" w14:textId="77777777" w:rsidR="00D53DCB" w:rsidRPr="00DA1AA7" w:rsidRDefault="00D53DCB" w:rsidP="006254B5">
            <w:pPr>
              <w:spacing w:before="60" w:after="60"/>
              <w:rPr>
                <w:rFonts w:ascii="Garamond" w:hAnsi="Garamond"/>
              </w:rPr>
            </w:pPr>
            <w:r w:rsidRPr="00DA1AA7">
              <w:rPr>
                <w:rFonts w:ascii="Garamond" w:hAnsi="Garamond"/>
              </w:rPr>
              <w:t>Proportion of variance explained</w:t>
            </w:r>
          </w:p>
        </w:tc>
        <w:tc>
          <w:tcPr>
            <w:tcW w:w="1742" w:type="dxa"/>
            <w:gridSpan w:val="2"/>
            <w:noWrap/>
            <w:tcMar>
              <w:left w:w="28" w:type="dxa"/>
              <w:right w:w="28" w:type="dxa"/>
            </w:tcMar>
            <w:vAlign w:val="center"/>
          </w:tcPr>
          <w:p w14:paraId="4EACA0C0" w14:textId="77777777" w:rsidR="00D53DCB" w:rsidRPr="00DA1AA7" w:rsidRDefault="00D53DCB" w:rsidP="006254B5">
            <w:pPr>
              <w:spacing w:after="0" w:line="240" w:lineRule="auto"/>
              <w:jc w:val="center"/>
              <w:rPr>
                <w:rFonts w:ascii="Garamond" w:hAnsi="Garamond"/>
              </w:rPr>
            </w:pPr>
            <w:r>
              <w:rPr>
                <w:rFonts w:ascii="Garamond" w:hAnsi="Garamond"/>
              </w:rPr>
              <w:t>79.9</w:t>
            </w:r>
          </w:p>
        </w:tc>
      </w:tr>
      <w:tr w:rsidR="00D53DCB" w:rsidRPr="00DA1AA7" w14:paraId="0257C5DE" w14:textId="77777777" w:rsidTr="006254B5">
        <w:trPr>
          <w:trHeight w:val="361"/>
        </w:trPr>
        <w:tc>
          <w:tcPr>
            <w:tcW w:w="6815" w:type="dxa"/>
            <w:shd w:val="clear" w:color="auto" w:fill="auto"/>
            <w:vAlign w:val="center"/>
          </w:tcPr>
          <w:p w14:paraId="416B7429" w14:textId="77777777" w:rsidR="00D53DCB" w:rsidRPr="00DA1AA7" w:rsidRDefault="00D53DCB" w:rsidP="006254B5">
            <w:pPr>
              <w:spacing w:before="60" w:after="60"/>
              <w:rPr>
                <w:rFonts w:ascii="Garamond" w:hAnsi="Garamond"/>
              </w:rPr>
            </w:pPr>
          </w:p>
        </w:tc>
        <w:tc>
          <w:tcPr>
            <w:tcW w:w="1742" w:type="dxa"/>
            <w:gridSpan w:val="2"/>
            <w:noWrap/>
            <w:tcMar>
              <w:left w:w="28" w:type="dxa"/>
              <w:right w:w="28" w:type="dxa"/>
            </w:tcMar>
            <w:vAlign w:val="center"/>
          </w:tcPr>
          <w:p w14:paraId="52542D39" w14:textId="77777777" w:rsidR="00D53DCB" w:rsidRPr="00DA1AA7" w:rsidRDefault="00D53DCB" w:rsidP="006254B5">
            <w:pPr>
              <w:spacing w:after="0" w:line="240" w:lineRule="auto"/>
              <w:jc w:val="center"/>
              <w:rPr>
                <w:rFonts w:ascii="Garamond" w:hAnsi="Garamond"/>
              </w:rPr>
            </w:pPr>
          </w:p>
        </w:tc>
      </w:tr>
      <w:tr w:rsidR="00D53DCB" w:rsidRPr="00DA1AA7" w14:paraId="26742CEC" w14:textId="77777777" w:rsidTr="006254B5">
        <w:trPr>
          <w:trHeight w:val="361"/>
        </w:trPr>
        <w:tc>
          <w:tcPr>
            <w:tcW w:w="6815" w:type="dxa"/>
            <w:shd w:val="clear" w:color="auto" w:fill="auto"/>
            <w:vAlign w:val="center"/>
          </w:tcPr>
          <w:p w14:paraId="7C4E872C" w14:textId="77777777" w:rsidR="00D53DCB" w:rsidRPr="00DA1AA7" w:rsidRDefault="00D53DCB" w:rsidP="006254B5">
            <w:pPr>
              <w:spacing w:before="60" w:after="60"/>
              <w:rPr>
                <w:rFonts w:ascii="Garamond" w:hAnsi="Garamond"/>
              </w:rPr>
            </w:pPr>
            <w:r>
              <w:rPr>
                <w:rFonts w:ascii="Garamond" w:hAnsi="Garamond"/>
                <w:lang w:val="en-GB"/>
              </w:rPr>
              <w:t>N of question series used to estimate the overall measure</w:t>
            </w:r>
          </w:p>
        </w:tc>
        <w:tc>
          <w:tcPr>
            <w:tcW w:w="1742" w:type="dxa"/>
            <w:gridSpan w:val="2"/>
            <w:noWrap/>
            <w:tcMar>
              <w:left w:w="28" w:type="dxa"/>
              <w:right w:w="28" w:type="dxa"/>
            </w:tcMar>
            <w:vAlign w:val="center"/>
          </w:tcPr>
          <w:p w14:paraId="6BA4A5A9" w14:textId="77777777" w:rsidR="00D53DCB" w:rsidRPr="00DA1AA7" w:rsidRDefault="00D53DCB" w:rsidP="006254B5">
            <w:pPr>
              <w:spacing w:after="0" w:line="240" w:lineRule="auto"/>
              <w:jc w:val="center"/>
              <w:rPr>
                <w:rFonts w:ascii="Garamond" w:hAnsi="Garamond"/>
              </w:rPr>
            </w:pPr>
            <w:r>
              <w:rPr>
                <w:rFonts w:ascii="Garamond" w:hAnsi="Garamond"/>
              </w:rPr>
              <w:t>19</w:t>
            </w:r>
          </w:p>
        </w:tc>
      </w:tr>
      <w:tr w:rsidR="00D53DCB" w:rsidRPr="00DA1AA7" w14:paraId="7E388467" w14:textId="77777777" w:rsidTr="006254B5">
        <w:trPr>
          <w:trHeight w:val="361"/>
        </w:trPr>
        <w:tc>
          <w:tcPr>
            <w:tcW w:w="6815" w:type="dxa"/>
            <w:shd w:val="clear" w:color="auto" w:fill="auto"/>
            <w:vAlign w:val="center"/>
          </w:tcPr>
          <w:p w14:paraId="51EC1C32" w14:textId="77777777" w:rsidR="00D53DCB" w:rsidRPr="00DA1AA7" w:rsidRDefault="00D53DCB" w:rsidP="006254B5">
            <w:pPr>
              <w:spacing w:before="60" w:after="60"/>
              <w:rPr>
                <w:rFonts w:ascii="Garamond" w:hAnsi="Garamond"/>
              </w:rPr>
            </w:pPr>
            <w:r>
              <w:rPr>
                <w:rFonts w:ascii="Garamond" w:hAnsi="Garamond"/>
                <w:lang w:val="en-GB"/>
              </w:rPr>
              <w:t xml:space="preserve">Total </w:t>
            </w:r>
            <w:r w:rsidRPr="004E7BD2">
              <w:rPr>
                <w:rFonts w:ascii="Garamond" w:hAnsi="Garamond"/>
                <w:lang w:val="en-GB"/>
              </w:rPr>
              <w:t>N of survey items</w:t>
            </w:r>
          </w:p>
        </w:tc>
        <w:tc>
          <w:tcPr>
            <w:tcW w:w="1742" w:type="dxa"/>
            <w:gridSpan w:val="2"/>
            <w:noWrap/>
            <w:tcMar>
              <w:left w:w="28" w:type="dxa"/>
              <w:right w:w="28" w:type="dxa"/>
            </w:tcMar>
            <w:vAlign w:val="center"/>
          </w:tcPr>
          <w:p w14:paraId="6A02886C" w14:textId="77777777" w:rsidR="00D53DCB" w:rsidRPr="00DA1AA7" w:rsidRDefault="00D53DCB" w:rsidP="006254B5">
            <w:pPr>
              <w:spacing w:after="0" w:line="240" w:lineRule="auto"/>
              <w:jc w:val="center"/>
              <w:rPr>
                <w:rFonts w:ascii="Garamond" w:hAnsi="Garamond"/>
              </w:rPr>
            </w:pPr>
            <w:r>
              <w:rPr>
                <w:rFonts w:ascii="Garamond" w:hAnsi="Garamond"/>
              </w:rPr>
              <w:t>2,939</w:t>
            </w:r>
          </w:p>
        </w:tc>
      </w:tr>
      <w:tr w:rsidR="00D53DCB" w:rsidRPr="00DA1AA7" w14:paraId="4F301D49" w14:textId="77777777" w:rsidTr="006254B5">
        <w:trPr>
          <w:trHeight w:val="369"/>
        </w:trPr>
        <w:tc>
          <w:tcPr>
            <w:tcW w:w="6815" w:type="dxa"/>
            <w:shd w:val="clear" w:color="auto" w:fill="auto"/>
            <w:vAlign w:val="center"/>
          </w:tcPr>
          <w:p w14:paraId="593C5635" w14:textId="77777777" w:rsidR="00D53DCB" w:rsidRPr="00DA1AA7" w:rsidRDefault="00D53DCB" w:rsidP="006254B5">
            <w:pPr>
              <w:spacing w:before="60" w:after="60"/>
              <w:rPr>
                <w:rFonts w:ascii="Garamond" w:hAnsi="Garamond"/>
              </w:rPr>
            </w:pPr>
          </w:p>
        </w:tc>
        <w:tc>
          <w:tcPr>
            <w:tcW w:w="1742" w:type="dxa"/>
            <w:gridSpan w:val="2"/>
            <w:noWrap/>
            <w:tcMar>
              <w:left w:w="28" w:type="dxa"/>
              <w:right w:w="28" w:type="dxa"/>
            </w:tcMar>
            <w:vAlign w:val="center"/>
          </w:tcPr>
          <w:p w14:paraId="7AC41394" w14:textId="77777777" w:rsidR="00D53DCB" w:rsidRPr="00DA1AA7" w:rsidDel="00D2222B" w:rsidRDefault="00D53DCB" w:rsidP="006254B5">
            <w:pPr>
              <w:spacing w:after="0" w:line="240" w:lineRule="auto"/>
              <w:jc w:val="center"/>
              <w:rPr>
                <w:rFonts w:ascii="Garamond" w:hAnsi="Garamond"/>
              </w:rPr>
            </w:pPr>
          </w:p>
        </w:tc>
      </w:tr>
      <w:tr w:rsidR="00D53DCB" w:rsidRPr="00DA1AA7" w14:paraId="258AFEBC" w14:textId="77777777" w:rsidTr="006254B5">
        <w:trPr>
          <w:trHeight w:val="361"/>
        </w:trPr>
        <w:tc>
          <w:tcPr>
            <w:tcW w:w="6815" w:type="dxa"/>
            <w:shd w:val="clear" w:color="auto" w:fill="auto"/>
            <w:vAlign w:val="center"/>
          </w:tcPr>
          <w:p w14:paraId="03E05190" w14:textId="77777777" w:rsidR="00D53DCB" w:rsidRPr="00DA1AA7" w:rsidRDefault="00D53DCB" w:rsidP="006254B5">
            <w:pPr>
              <w:spacing w:before="60" w:after="60"/>
              <w:rPr>
                <w:rFonts w:ascii="Garamond" w:hAnsi="Garamond"/>
              </w:rPr>
            </w:pPr>
            <w:r w:rsidRPr="00DA1AA7">
              <w:rPr>
                <w:rFonts w:ascii="Garamond" w:hAnsi="Garamond"/>
              </w:rPr>
              <w:t>Start</w:t>
            </w:r>
          </w:p>
        </w:tc>
        <w:tc>
          <w:tcPr>
            <w:tcW w:w="1742" w:type="dxa"/>
            <w:gridSpan w:val="2"/>
            <w:noWrap/>
            <w:tcMar>
              <w:left w:w="28" w:type="dxa"/>
              <w:right w:w="28" w:type="dxa"/>
            </w:tcMar>
            <w:vAlign w:val="center"/>
          </w:tcPr>
          <w:p w14:paraId="4FA5C532" w14:textId="77777777" w:rsidR="00D53DCB" w:rsidRPr="00DA1AA7" w:rsidDel="00D2222B" w:rsidRDefault="00D53DCB" w:rsidP="006254B5">
            <w:pPr>
              <w:spacing w:after="0" w:line="240" w:lineRule="auto"/>
              <w:jc w:val="center"/>
              <w:rPr>
                <w:rFonts w:ascii="Garamond" w:hAnsi="Garamond"/>
              </w:rPr>
            </w:pPr>
            <w:r>
              <w:rPr>
                <w:rFonts w:ascii="Garamond" w:hAnsi="Garamond"/>
              </w:rPr>
              <w:t>1981</w:t>
            </w:r>
          </w:p>
        </w:tc>
      </w:tr>
      <w:tr w:rsidR="00D53DCB" w:rsidRPr="00DA1AA7" w14:paraId="6C326B6B" w14:textId="77777777" w:rsidTr="006254B5">
        <w:trPr>
          <w:trHeight w:val="361"/>
        </w:trPr>
        <w:tc>
          <w:tcPr>
            <w:tcW w:w="6815" w:type="dxa"/>
            <w:shd w:val="clear" w:color="auto" w:fill="auto"/>
            <w:vAlign w:val="center"/>
          </w:tcPr>
          <w:p w14:paraId="605B3787" w14:textId="77777777" w:rsidR="00D53DCB" w:rsidRPr="00DA1AA7" w:rsidRDefault="00D53DCB" w:rsidP="006254B5">
            <w:pPr>
              <w:spacing w:before="60" w:after="60"/>
              <w:rPr>
                <w:rFonts w:ascii="Garamond" w:hAnsi="Garamond"/>
              </w:rPr>
            </w:pPr>
            <w:r w:rsidRPr="00DA1AA7">
              <w:rPr>
                <w:rFonts w:ascii="Garamond" w:hAnsi="Garamond"/>
              </w:rPr>
              <w:t>End</w:t>
            </w:r>
          </w:p>
        </w:tc>
        <w:tc>
          <w:tcPr>
            <w:tcW w:w="1742" w:type="dxa"/>
            <w:gridSpan w:val="2"/>
            <w:noWrap/>
            <w:tcMar>
              <w:left w:w="28" w:type="dxa"/>
              <w:right w:w="28" w:type="dxa"/>
            </w:tcMar>
            <w:vAlign w:val="center"/>
          </w:tcPr>
          <w:p w14:paraId="266E2FF4" w14:textId="77777777" w:rsidR="00D53DCB" w:rsidRPr="00DA1AA7" w:rsidDel="00D2222B" w:rsidRDefault="00D53DCB" w:rsidP="006254B5">
            <w:pPr>
              <w:spacing w:after="0" w:line="240" w:lineRule="auto"/>
              <w:jc w:val="center"/>
              <w:rPr>
                <w:rFonts w:ascii="Garamond" w:hAnsi="Garamond"/>
              </w:rPr>
            </w:pPr>
            <w:r>
              <w:rPr>
                <w:rFonts w:ascii="Garamond" w:hAnsi="Garamond"/>
              </w:rPr>
              <w:t>2021</w:t>
            </w:r>
          </w:p>
        </w:tc>
      </w:tr>
      <w:tr w:rsidR="00D53DCB" w:rsidRPr="00DA1AA7" w14:paraId="7ABE2601" w14:textId="77777777" w:rsidTr="006254B5">
        <w:trPr>
          <w:trHeight w:hRule="exact" w:val="172"/>
        </w:trPr>
        <w:tc>
          <w:tcPr>
            <w:tcW w:w="6815" w:type="dxa"/>
            <w:tcBorders>
              <w:bottom w:val="double" w:sz="4" w:space="0" w:color="auto"/>
            </w:tcBorders>
            <w:shd w:val="clear" w:color="auto" w:fill="auto"/>
            <w:vAlign w:val="center"/>
          </w:tcPr>
          <w:p w14:paraId="654FE885" w14:textId="77777777" w:rsidR="00D53DCB" w:rsidRPr="00DA1AA7" w:rsidRDefault="00D53DCB" w:rsidP="006254B5">
            <w:pPr>
              <w:rPr>
                <w:rFonts w:ascii="Garamond" w:hAnsi="Garamond"/>
              </w:rPr>
            </w:pPr>
          </w:p>
        </w:tc>
        <w:tc>
          <w:tcPr>
            <w:tcW w:w="1742" w:type="dxa"/>
            <w:gridSpan w:val="2"/>
            <w:tcBorders>
              <w:bottom w:val="double" w:sz="4" w:space="0" w:color="auto"/>
            </w:tcBorders>
            <w:noWrap/>
            <w:tcMar>
              <w:left w:w="28" w:type="dxa"/>
              <w:right w:w="28" w:type="dxa"/>
            </w:tcMar>
            <w:vAlign w:val="center"/>
          </w:tcPr>
          <w:p w14:paraId="459831E0" w14:textId="77777777" w:rsidR="00D53DCB" w:rsidRPr="00DA1AA7" w:rsidRDefault="00D53DCB" w:rsidP="006254B5">
            <w:pPr>
              <w:spacing w:after="0" w:line="240" w:lineRule="auto"/>
              <w:jc w:val="center"/>
              <w:rPr>
                <w:rFonts w:ascii="Garamond" w:hAnsi="Garamond"/>
              </w:rPr>
            </w:pPr>
          </w:p>
        </w:tc>
      </w:tr>
    </w:tbl>
    <w:p w14:paraId="6BC4E713" w14:textId="77777777" w:rsidR="00D53DCB" w:rsidRPr="00062F8A" w:rsidRDefault="00D53DCB" w:rsidP="00D53DCB">
      <w:pPr>
        <w:rPr>
          <w:rFonts w:ascii="Garamond" w:hAnsi="Garamond"/>
          <w:b/>
        </w:rPr>
      </w:pPr>
    </w:p>
    <w:p w14:paraId="7BE1C7B3" w14:textId="77777777" w:rsidR="00D53DCB" w:rsidRDefault="00D53DCB" w:rsidP="00D53DCB">
      <w:pPr>
        <w:rPr>
          <w:rFonts w:ascii="Garamond" w:hAnsi="Garamond"/>
          <w:iCs/>
          <w:lang w:val="en-GB"/>
        </w:rPr>
      </w:pPr>
      <w:r>
        <w:rPr>
          <w:rFonts w:ascii="Garamond" w:hAnsi="Garamond"/>
          <w:iCs/>
          <w:lang w:val="en-GB"/>
        </w:rPr>
        <w:br w:type="page"/>
      </w:r>
    </w:p>
    <w:p w14:paraId="1FB70B5A" w14:textId="77777777" w:rsidR="00D53DCB" w:rsidRDefault="00D53DCB" w:rsidP="00D53DCB">
      <w:pPr>
        <w:rPr>
          <w:rFonts w:ascii="Garamond" w:hAnsi="Garamond"/>
          <w:iCs/>
          <w:lang w:val="en-GB"/>
        </w:rPr>
      </w:pPr>
    </w:p>
    <w:p w14:paraId="4C3B2FC5" w14:textId="77777777" w:rsidR="00D53DCB" w:rsidRPr="004E7BD2" w:rsidRDefault="00D53DCB" w:rsidP="00D53DCB">
      <w:pPr>
        <w:spacing w:after="0"/>
        <w:rPr>
          <w:rFonts w:ascii="Garamond" w:hAnsi="Garamond"/>
          <w:lang w:val="en-GB"/>
        </w:rPr>
      </w:pPr>
      <w:r w:rsidRPr="004E7BD2">
        <w:rPr>
          <w:rFonts w:ascii="Garamond" w:hAnsi="Garamond"/>
          <w:b/>
          <w:lang w:val="en-GB"/>
        </w:rPr>
        <w:t xml:space="preserve">Table </w:t>
      </w:r>
      <w:r>
        <w:rPr>
          <w:rFonts w:ascii="Garamond" w:hAnsi="Garamond"/>
          <w:b/>
          <w:lang w:val="en-GB"/>
        </w:rPr>
        <w:t>A</w:t>
      </w:r>
      <w:r w:rsidRPr="004E7BD2">
        <w:rPr>
          <w:rFonts w:ascii="Garamond" w:hAnsi="Garamond"/>
          <w:b/>
          <w:lang w:val="en-GB"/>
        </w:rPr>
        <w:t>2</w:t>
      </w:r>
      <w:r w:rsidRPr="004E7BD2">
        <w:rPr>
          <w:rFonts w:ascii="Garamond" w:hAnsi="Garamond"/>
          <w:lang w:val="en-GB"/>
        </w:rPr>
        <w:t>: The bivariate correlation between</w:t>
      </w:r>
      <w:r>
        <w:rPr>
          <w:rFonts w:ascii="Garamond" w:hAnsi="Garamond"/>
          <w:lang w:val="en-GB"/>
        </w:rPr>
        <w:t xml:space="preserve"> the first difference of</w:t>
      </w:r>
      <w:r w:rsidRPr="004E7BD2">
        <w:rPr>
          <w:rFonts w:ascii="Garamond" w:hAnsi="Garamond"/>
          <w:lang w:val="en-GB"/>
        </w:rPr>
        <w:t xml:space="preserve"> crime rates and crime perceptions in the</w:t>
      </w:r>
      <w:r>
        <w:rPr>
          <w:rFonts w:ascii="Garamond" w:hAnsi="Garamond"/>
          <w:lang w:val="en-GB"/>
        </w:rPr>
        <w:t xml:space="preserve"> </w:t>
      </w:r>
      <w:r w:rsidRPr="004E7BD2">
        <w:rPr>
          <w:rFonts w:ascii="Garamond" w:hAnsi="Garamond"/>
          <w:lang w:val="en-GB"/>
        </w:rPr>
        <w:t>United States and England and Wales, 1993</w:t>
      </w:r>
      <w:r>
        <w:rPr>
          <w:rFonts w:ascii="Garamond" w:hAnsi="Garamond"/>
          <w:lang w:val="en-GB"/>
        </w:rPr>
        <w:t>-</w:t>
      </w:r>
      <w:r w:rsidRPr="004E7BD2">
        <w:rPr>
          <w:rFonts w:ascii="Garamond" w:hAnsi="Garamond"/>
          <w:lang w:val="en-GB"/>
        </w:rPr>
        <w:t>2019</w:t>
      </w:r>
    </w:p>
    <w:p w14:paraId="15A47BA0" w14:textId="77777777" w:rsidR="00D53DCB" w:rsidRDefault="00D53DCB" w:rsidP="00D53DCB">
      <w:pPr>
        <w:rPr>
          <w:rFonts w:ascii="Garamond" w:hAnsi="Garamond"/>
          <w:lang w:val="en-GB"/>
        </w:rPr>
      </w:pPr>
    </w:p>
    <w:p w14:paraId="6227618B" w14:textId="77777777" w:rsidR="00D53DCB" w:rsidRPr="000B4C87" w:rsidRDefault="00D53DCB" w:rsidP="00D53DCB">
      <w:pPr>
        <w:rPr>
          <w:rFonts w:ascii="Garamond" w:hAnsi="Garamond"/>
          <w:lang w:val="fr-FR"/>
        </w:rPr>
      </w:pPr>
      <w:r w:rsidRPr="004E7BD2">
        <w:rPr>
          <w:rFonts w:ascii="Garamond" w:hAnsi="Garamond"/>
          <w:lang w:val="en-GB"/>
        </w:rPr>
        <w:tab/>
      </w:r>
      <w:r w:rsidRPr="004E7BD2">
        <w:rPr>
          <w:rFonts w:ascii="Garamond" w:hAnsi="Garamond"/>
          <w:lang w:val="en-GB"/>
        </w:rPr>
        <w:tab/>
      </w:r>
      <w:r w:rsidRPr="004E7BD2">
        <w:rPr>
          <w:rFonts w:ascii="Garamond" w:hAnsi="Garamond"/>
          <w:lang w:val="en-GB"/>
        </w:rPr>
        <w:tab/>
        <w:t xml:space="preserve">     </w:t>
      </w:r>
      <w:r w:rsidRPr="004E7BD2">
        <w:rPr>
          <w:rFonts w:ascii="Garamond" w:hAnsi="Garamond"/>
          <w:lang w:val="en-GB"/>
        </w:rPr>
        <w:tab/>
      </w:r>
      <w:r w:rsidRPr="004E7BD2">
        <w:rPr>
          <w:rFonts w:ascii="Garamond" w:hAnsi="Garamond"/>
          <w:lang w:val="en-GB"/>
        </w:rPr>
        <w:tab/>
      </w:r>
      <w:r w:rsidRPr="004E7BD2">
        <w:rPr>
          <w:rFonts w:ascii="Garamond" w:hAnsi="Garamond"/>
          <w:lang w:val="en-GB"/>
        </w:rPr>
        <w:tab/>
        <w:t xml:space="preserve">   </w:t>
      </w:r>
      <w:r w:rsidRPr="000B4C87">
        <w:rPr>
          <w:rFonts w:ascii="Garamond" w:hAnsi="Garamond"/>
          <w:lang w:val="fr-FR"/>
        </w:rPr>
        <w:t>Crime Perceptions</w:t>
      </w:r>
    </w:p>
    <w:p w14:paraId="1BD60916" w14:textId="77777777" w:rsidR="00D53DCB" w:rsidRPr="00CD579E" w:rsidRDefault="00D53DCB" w:rsidP="00D53DCB">
      <w:pPr>
        <w:rPr>
          <w:rFonts w:ascii="Garamond" w:hAnsi="Garamond"/>
          <w:lang w:val="fr-FR"/>
        </w:rPr>
      </w:pP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CD579E">
        <w:rPr>
          <w:rFonts w:ascii="Garamond" w:hAnsi="Garamond"/>
          <w:lang w:val="fr-FR"/>
        </w:rPr>
        <w:t>U.S.</w:t>
      </w:r>
      <w:r w:rsidRPr="00CD579E">
        <w:rPr>
          <w:rFonts w:ascii="Garamond" w:hAnsi="Garamond"/>
          <w:lang w:val="fr-FR"/>
        </w:rPr>
        <w:tab/>
      </w:r>
      <w:proofErr w:type="spellStart"/>
      <w:r w:rsidRPr="00CD579E">
        <w:rPr>
          <w:rFonts w:ascii="Garamond" w:hAnsi="Garamond"/>
          <w:lang w:val="fr-FR"/>
        </w:rPr>
        <w:t>England</w:t>
      </w:r>
      <w:proofErr w:type="spellEnd"/>
      <w:r w:rsidRPr="00CD579E">
        <w:rPr>
          <w:rFonts w:ascii="Garamond" w:hAnsi="Garamond"/>
          <w:lang w:val="fr-FR"/>
        </w:rPr>
        <w:t xml:space="preserve"> &amp; Wales</w:t>
      </w:r>
    </w:p>
    <w:p w14:paraId="7D274091" w14:textId="77777777" w:rsidR="00D53DCB" w:rsidRPr="00CD579E" w:rsidRDefault="00D53DCB" w:rsidP="00D53DCB">
      <w:pPr>
        <w:ind w:firstLine="720"/>
        <w:rPr>
          <w:rFonts w:ascii="Garamond" w:hAnsi="Garamond"/>
          <w:lang w:val="fr-FR"/>
        </w:rPr>
      </w:pPr>
      <w:r w:rsidRPr="00CD579E">
        <w:rPr>
          <w:rFonts w:ascii="Garamond" w:hAnsi="Garamond"/>
          <w:lang w:val="fr-FR"/>
        </w:rPr>
        <w:t>Homicide (Police Reports)</w:t>
      </w:r>
      <w:r w:rsidRPr="00CD579E">
        <w:rPr>
          <w:rFonts w:ascii="Garamond" w:hAnsi="Garamond"/>
          <w:lang w:val="fr-FR"/>
        </w:rPr>
        <w:tab/>
      </w:r>
      <w:r w:rsidRPr="00CD579E">
        <w:rPr>
          <w:rFonts w:ascii="Garamond" w:hAnsi="Garamond"/>
          <w:lang w:val="fr-FR"/>
        </w:rPr>
        <w:tab/>
        <w:t>0.22</w:t>
      </w:r>
      <w:r w:rsidRPr="00CD579E">
        <w:rPr>
          <w:rFonts w:ascii="Garamond" w:hAnsi="Garamond"/>
          <w:lang w:val="fr-FR"/>
        </w:rPr>
        <w:tab/>
      </w:r>
      <w:r w:rsidRPr="00CD579E">
        <w:rPr>
          <w:rFonts w:ascii="Garamond" w:hAnsi="Garamond"/>
          <w:lang w:val="fr-FR"/>
        </w:rPr>
        <w:tab/>
        <w:t>-0.11</w:t>
      </w:r>
    </w:p>
    <w:p w14:paraId="65E507FD" w14:textId="77777777" w:rsidR="00D53DCB" w:rsidRPr="00CD579E" w:rsidRDefault="00D53DCB" w:rsidP="00D53DCB">
      <w:pPr>
        <w:ind w:firstLine="720"/>
        <w:rPr>
          <w:rFonts w:ascii="Garamond" w:hAnsi="Garamond"/>
          <w:lang w:val="fr-FR"/>
        </w:rPr>
      </w:pPr>
      <w:r w:rsidRPr="00CD579E">
        <w:rPr>
          <w:rFonts w:ascii="Garamond" w:hAnsi="Garamond"/>
          <w:lang w:val="fr-FR"/>
        </w:rPr>
        <w:t>Violent Crime (Police Reports)</w:t>
      </w:r>
      <w:r w:rsidRPr="00CD579E">
        <w:rPr>
          <w:rFonts w:ascii="Garamond" w:hAnsi="Garamond"/>
          <w:lang w:val="fr-FR"/>
        </w:rPr>
        <w:tab/>
      </w:r>
      <w:r w:rsidRPr="00CD579E">
        <w:rPr>
          <w:rFonts w:ascii="Garamond" w:hAnsi="Garamond"/>
          <w:lang w:val="fr-FR"/>
        </w:rPr>
        <w:tab/>
        <w:t>0.28</w:t>
      </w:r>
      <w:r w:rsidRPr="00CD579E">
        <w:rPr>
          <w:rFonts w:ascii="Garamond" w:hAnsi="Garamond"/>
          <w:lang w:val="fr-FR"/>
        </w:rPr>
        <w:tab/>
      </w:r>
      <w:r w:rsidRPr="00CD579E">
        <w:rPr>
          <w:rFonts w:ascii="Garamond" w:hAnsi="Garamond"/>
          <w:lang w:val="fr-FR"/>
        </w:rPr>
        <w:tab/>
        <w:t>-0.19</w:t>
      </w:r>
    </w:p>
    <w:p w14:paraId="1E7064EE" w14:textId="77777777" w:rsidR="00D53DCB" w:rsidRPr="00D06EEC" w:rsidRDefault="00D53DCB" w:rsidP="00D53DCB">
      <w:pPr>
        <w:ind w:firstLine="720"/>
        <w:rPr>
          <w:rFonts w:ascii="Garamond" w:hAnsi="Garamond"/>
          <w:lang w:val="fr-FR"/>
        </w:rPr>
      </w:pPr>
      <w:r w:rsidRPr="00D06EEC">
        <w:rPr>
          <w:rFonts w:ascii="Garamond" w:hAnsi="Garamond"/>
          <w:lang w:val="fr-FR"/>
        </w:rPr>
        <w:t xml:space="preserve">Violent Crime (Victimisation) </w:t>
      </w:r>
      <w:r w:rsidRPr="00D06EEC">
        <w:rPr>
          <w:rFonts w:ascii="Garamond" w:hAnsi="Garamond"/>
          <w:lang w:val="fr-FR"/>
        </w:rPr>
        <w:tab/>
      </w:r>
      <w:r w:rsidRPr="00D06EEC">
        <w:rPr>
          <w:rFonts w:ascii="Garamond" w:hAnsi="Garamond"/>
          <w:lang w:val="fr-FR"/>
        </w:rPr>
        <w:tab/>
        <w:t>0.26</w:t>
      </w:r>
      <w:r w:rsidRPr="00D06EEC">
        <w:rPr>
          <w:rFonts w:ascii="Garamond" w:hAnsi="Garamond"/>
          <w:lang w:val="fr-FR"/>
        </w:rPr>
        <w:tab/>
      </w:r>
      <w:r w:rsidRPr="00D06EEC">
        <w:rPr>
          <w:rFonts w:ascii="Garamond" w:hAnsi="Garamond"/>
          <w:lang w:val="fr-FR"/>
        </w:rPr>
        <w:tab/>
        <w:t>0.53*</w:t>
      </w:r>
    </w:p>
    <w:p w14:paraId="58DCC724" w14:textId="77777777" w:rsidR="00D53DCB" w:rsidRPr="00CD579E" w:rsidRDefault="00D53DCB" w:rsidP="00D53DCB">
      <w:pPr>
        <w:ind w:firstLine="720"/>
        <w:rPr>
          <w:rFonts w:ascii="Garamond" w:hAnsi="Garamond"/>
          <w:lang w:val="en-GB"/>
        </w:rPr>
      </w:pPr>
      <w:r w:rsidRPr="00CD579E">
        <w:rPr>
          <w:rFonts w:ascii="Garamond" w:hAnsi="Garamond"/>
          <w:lang w:val="en-GB"/>
        </w:rPr>
        <w:t>Property Crime (Police Reports)</w:t>
      </w:r>
      <w:r w:rsidRPr="00CD579E">
        <w:rPr>
          <w:rFonts w:ascii="Garamond" w:hAnsi="Garamond"/>
          <w:lang w:val="en-GB"/>
        </w:rPr>
        <w:tab/>
      </w:r>
      <w:r w:rsidRPr="00CD579E">
        <w:rPr>
          <w:rFonts w:ascii="Garamond" w:hAnsi="Garamond"/>
          <w:lang w:val="en-GB"/>
        </w:rPr>
        <w:tab/>
        <w:t>0.23</w:t>
      </w:r>
      <w:r w:rsidRPr="00CD579E">
        <w:rPr>
          <w:rFonts w:ascii="Garamond" w:hAnsi="Garamond"/>
          <w:lang w:val="en-GB"/>
        </w:rPr>
        <w:tab/>
      </w:r>
      <w:r w:rsidRPr="00CD579E">
        <w:rPr>
          <w:rFonts w:ascii="Garamond" w:hAnsi="Garamond"/>
          <w:lang w:val="en-GB"/>
        </w:rPr>
        <w:tab/>
        <w:t>0.07</w:t>
      </w:r>
    </w:p>
    <w:p w14:paraId="28D09143" w14:textId="77777777" w:rsidR="00D53DCB" w:rsidRPr="00CD579E" w:rsidRDefault="00D53DCB" w:rsidP="00D53DCB">
      <w:pPr>
        <w:spacing w:after="0"/>
        <w:ind w:firstLine="720"/>
        <w:rPr>
          <w:rFonts w:ascii="Garamond" w:hAnsi="Garamond"/>
          <w:lang w:val="en-GB"/>
        </w:rPr>
      </w:pPr>
      <w:r w:rsidRPr="00CD579E">
        <w:rPr>
          <w:rFonts w:ascii="Garamond" w:hAnsi="Garamond"/>
          <w:lang w:val="en-GB"/>
        </w:rPr>
        <w:t xml:space="preserve">Property Crime (Victimisation) </w:t>
      </w:r>
      <w:r w:rsidRPr="00CD579E">
        <w:rPr>
          <w:rFonts w:ascii="Garamond" w:hAnsi="Garamond"/>
          <w:lang w:val="en-GB"/>
        </w:rPr>
        <w:tab/>
      </w:r>
      <w:r w:rsidRPr="00CD579E">
        <w:rPr>
          <w:rFonts w:ascii="Garamond" w:hAnsi="Garamond"/>
          <w:lang w:val="en-GB"/>
        </w:rPr>
        <w:tab/>
        <w:t>0.16</w:t>
      </w:r>
      <w:r w:rsidRPr="00CD579E">
        <w:rPr>
          <w:rFonts w:ascii="Garamond" w:hAnsi="Garamond"/>
          <w:lang w:val="en-GB"/>
        </w:rPr>
        <w:tab/>
      </w:r>
      <w:r w:rsidRPr="00CD579E">
        <w:rPr>
          <w:rFonts w:ascii="Garamond" w:hAnsi="Garamond"/>
          <w:lang w:val="en-GB"/>
        </w:rPr>
        <w:tab/>
        <w:t>0.44</w:t>
      </w:r>
      <w:r w:rsidRPr="00CD579E">
        <w:rPr>
          <w:rFonts w:ascii="Garamond" w:hAnsi="Garamond"/>
          <w:sz w:val="18"/>
          <w:szCs w:val="18"/>
          <w:vertAlign w:val="superscript"/>
          <w:lang w:val="en-GB"/>
        </w:rPr>
        <w:t>†</w:t>
      </w:r>
    </w:p>
    <w:p w14:paraId="6461815E" w14:textId="77777777" w:rsidR="00D53DCB" w:rsidRPr="004E7BD2" w:rsidRDefault="00D53DCB" w:rsidP="00D53DCB">
      <w:pPr>
        <w:ind w:firstLine="720"/>
        <w:rPr>
          <w:rFonts w:ascii="Garamond" w:hAnsi="Garamond"/>
          <w:u w:val="single"/>
          <w:lang w:val="en-GB"/>
        </w:rPr>
      </w:pPr>
      <w:r w:rsidRPr="00CD579E">
        <w:rPr>
          <w:rFonts w:ascii="Garamond" w:hAnsi="Garamond"/>
          <w:u w:val="single"/>
          <w:lang w:val="en-GB"/>
        </w:rPr>
        <w:tab/>
      </w:r>
      <w:r w:rsidRPr="00CD579E">
        <w:rPr>
          <w:rFonts w:ascii="Garamond" w:hAnsi="Garamond"/>
          <w:u w:val="single"/>
          <w:lang w:val="en-GB"/>
        </w:rPr>
        <w:tab/>
      </w:r>
      <w:r w:rsidRPr="00CD579E">
        <w:rPr>
          <w:rFonts w:ascii="Garamond" w:hAnsi="Garamond"/>
          <w:u w:val="single"/>
          <w:lang w:val="en-GB"/>
        </w:rPr>
        <w:tab/>
      </w:r>
      <w:r w:rsidRPr="00CD579E">
        <w:rPr>
          <w:rFonts w:ascii="Garamond" w:hAnsi="Garamond"/>
          <w:u w:val="single"/>
          <w:lang w:val="en-GB"/>
        </w:rPr>
        <w:tab/>
      </w:r>
      <w:r w:rsidRPr="00CD579E">
        <w:rPr>
          <w:rFonts w:ascii="Garamond" w:hAnsi="Garamond"/>
          <w:u w:val="single"/>
          <w:lang w:val="en-GB"/>
        </w:rPr>
        <w:tab/>
      </w:r>
      <w:r w:rsidRPr="00CD579E">
        <w:rPr>
          <w:rFonts w:ascii="Garamond" w:hAnsi="Garamond"/>
          <w:u w:val="single"/>
          <w:lang w:val="en-GB"/>
        </w:rPr>
        <w:tab/>
      </w:r>
      <w:r w:rsidRPr="00CD579E">
        <w:rPr>
          <w:rFonts w:ascii="Garamond" w:hAnsi="Garamond"/>
          <w:u w:val="single"/>
          <w:lang w:val="en-GB"/>
        </w:rPr>
        <w:tab/>
      </w:r>
      <w:r w:rsidRPr="00CD579E">
        <w:rPr>
          <w:rFonts w:ascii="Garamond" w:hAnsi="Garamond"/>
          <w:u w:val="single"/>
          <w:lang w:val="en-GB"/>
        </w:rPr>
        <w:tab/>
      </w:r>
      <w:r w:rsidRPr="004E7BD2">
        <w:rPr>
          <w:rFonts w:ascii="Garamond" w:hAnsi="Garamond"/>
          <w:u w:val="single"/>
          <w:lang w:val="en-GB"/>
        </w:rPr>
        <w:tab/>
      </w:r>
    </w:p>
    <w:p w14:paraId="0BACDEAD" w14:textId="77777777" w:rsidR="00D53DCB" w:rsidRPr="00ED4292" w:rsidRDefault="00D53DCB" w:rsidP="00D53DCB">
      <w:pPr>
        <w:spacing w:after="0"/>
        <w:ind w:left="720"/>
        <w:rPr>
          <w:rFonts w:ascii="Garamond" w:hAnsi="Garamond"/>
          <w:i/>
          <w:iCs/>
          <w:sz w:val="18"/>
          <w:szCs w:val="18"/>
          <w:lang w:val="en-GB"/>
        </w:rPr>
      </w:pPr>
      <w:r w:rsidRPr="00DE56D8">
        <w:rPr>
          <w:rFonts w:ascii="Garamond" w:hAnsi="Garamond"/>
          <w:sz w:val="18"/>
          <w:szCs w:val="18"/>
          <w:vertAlign w:val="superscript"/>
          <w:lang w:val="en-GB"/>
        </w:rPr>
        <w:t>†</w:t>
      </w:r>
      <w:r>
        <w:rPr>
          <w:rFonts w:ascii="Garamond" w:hAnsi="Garamond"/>
          <w:i/>
          <w:iCs/>
          <w:sz w:val="18"/>
          <w:szCs w:val="18"/>
          <w:lang w:val="en-GB"/>
        </w:rPr>
        <w:t xml:space="preserve">=p&lt;0.1, </w:t>
      </w:r>
      <w:r w:rsidRPr="00ED4292">
        <w:rPr>
          <w:rFonts w:ascii="Garamond" w:hAnsi="Garamond"/>
          <w:i/>
          <w:iCs/>
          <w:sz w:val="18"/>
          <w:szCs w:val="18"/>
          <w:lang w:val="en-GB"/>
        </w:rPr>
        <w:t>*= p&lt;0.05; N=2</w:t>
      </w:r>
      <w:r>
        <w:rPr>
          <w:rFonts w:ascii="Garamond" w:hAnsi="Garamond"/>
          <w:i/>
          <w:iCs/>
          <w:sz w:val="18"/>
          <w:szCs w:val="18"/>
          <w:lang w:val="en-GB"/>
        </w:rPr>
        <w:t>7</w:t>
      </w:r>
      <w:r w:rsidRPr="00ED4292">
        <w:rPr>
          <w:rFonts w:ascii="Garamond" w:hAnsi="Garamond"/>
          <w:i/>
          <w:iCs/>
          <w:sz w:val="18"/>
          <w:szCs w:val="18"/>
          <w:lang w:val="en-GB"/>
        </w:rPr>
        <w:t>, except for victimisation rates in</w:t>
      </w:r>
      <w:r>
        <w:rPr>
          <w:rFonts w:ascii="Garamond" w:hAnsi="Garamond"/>
          <w:i/>
          <w:iCs/>
          <w:sz w:val="18"/>
          <w:szCs w:val="18"/>
          <w:lang w:val="en-GB"/>
        </w:rPr>
        <w:t xml:space="preserve"> the U.S. (26) where the first observation is lost due to differencing and</w:t>
      </w:r>
      <w:r w:rsidRPr="00ED4292">
        <w:rPr>
          <w:rFonts w:ascii="Garamond" w:hAnsi="Garamond"/>
          <w:i/>
          <w:iCs/>
          <w:sz w:val="18"/>
          <w:szCs w:val="18"/>
          <w:lang w:val="en-GB"/>
        </w:rPr>
        <w:t xml:space="preserve"> England and Wales (N=</w:t>
      </w:r>
      <w:r>
        <w:rPr>
          <w:rFonts w:ascii="Garamond" w:hAnsi="Garamond"/>
          <w:i/>
          <w:iCs/>
          <w:sz w:val="18"/>
          <w:szCs w:val="18"/>
          <w:lang w:val="en-GB"/>
        </w:rPr>
        <w:t>18</w:t>
      </w:r>
      <w:r w:rsidRPr="00ED4292">
        <w:rPr>
          <w:rFonts w:ascii="Garamond" w:hAnsi="Garamond"/>
          <w:i/>
          <w:iCs/>
          <w:sz w:val="18"/>
          <w:szCs w:val="18"/>
          <w:lang w:val="en-GB"/>
        </w:rPr>
        <w:t>), due to CSEW surveys</w:t>
      </w:r>
      <w:r>
        <w:rPr>
          <w:rFonts w:ascii="Garamond" w:hAnsi="Garamond"/>
          <w:i/>
          <w:iCs/>
          <w:sz w:val="18"/>
          <w:szCs w:val="18"/>
          <w:lang w:val="en-GB"/>
        </w:rPr>
        <w:t xml:space="preserve"> </w:t>
      </w:r>
      <w:r w:rsidRPr="00ED4292">
        <w:rPr>
          <w:rFonts w:ascii="Garamond" w:hAnsi="Garamond"/>
          <w:i/>
          <w:iCs/>
          <w:sz w:val="18"/>
          <w:szCs w:val="18"/>
          <w:lang w:val="en-GB"/>
        </w:rPr>
        <w:t xml:space="preserve">every other year early in the analysis. </w:t>
      </w:r>
    </w:p>
    <w:p w14:paraId="01E73911" w14:textId="77777777" w:rsidR="00D53DCB" w:rsidRDefault="00D53DCB" w:rsidP="00D53DCB">
      <w:pPr>
        <w:rPr>
          <w:rFonts w:ascii="Garamond" w:hAnsi="Garamond"/>
          <w:b/>
        </w:rPr>
      </w:pPr>
    </w:p>
    <w:p w14:paraId="1E84E6B8" w14:textId="77777777" w:rsidR="00D53DCB" w:rsidRDefault="00D53DCB" w:rsidP="00D53DCB">
      <w:pPr>
        <w:rPr>
          <w:rFonts w:ascii="Garamond" w:hAnsi="Garamond"/>
          <w:b/>
        </w:rPr>
      </w:pPr>
      <w:r>
        <w:rPr>
          <w:rFonts w:ascii="Garamond" w:hAnsi="Garamond"/>
          <w:b/>
        </w:rPr>
        <w:br w:type="page"/>
      </w:r>
    </w:p>
    <w:p w14:paraId="6B93D465" w14:textId="77777777" w:rsidR="00D53DCB" w:rsidRPr="00DA1AA7" w:rsidRDefault="00D53DCB" w:rsidP="00D53DCB">
      <w:pPr>
        <w:spacing w:after="120"/>
        <w:rPr>
          <w:rFonts w:ascii="Garamond" w:hAnsi="Garamond"/>
        </w:rPr>
      </w:pPr>
      <w:r w:rsidRPr="00DA1AA7">
        <w:rPr>
          <w:rFonts w:ascii="Garamond" w:hAnsi="Garamond"/>
          <w:b/>
        </w:rPr>
        <w:lastRenderedPageBreak/>
        <w:t xml:space="preserve">Table </w:t>
      </w:r>
      <w:r>
        <w:rPr>
          <w:rFonts w:ascii="Garamond" w:hAnsi="Garamond"/>
          <w:b/>
        </w:rPr>
        <w:t>A3</w:t>
      </w:r>
      <w:r w:rsidRPr="00DA1AA7">
        <w:rPr>
          <w:rFonts w:ascii="Garamond" w:hAnsi="Garamond"/>
          <w:b/>
        </w:rPr>
        <w:t>(a).</w:t>
      </w:r>
      <w:r w:rsidRPr="00DA1AA7">
        <w:rPr>
          <w:rFonts w:ascii="Garamond" w:hAnsi="Garamond"/>
        </w:rPr>
        <w:t xml:space="preserve"> </w:t>
      </w:r>
      <w:r w:rsidRPr="00DA1AA7">
        <w:rPr>
          <w:rFonts w:ascii="Garamond" w:hAnsi="Garamond" w:cstheme="minorHAnsi"/>
        </w:rPr>
        <w:t xml:space="preserve">Factor Loadings of Selected Question Series and the </w:t>
      </w:r>
      <w:r>
        <w:rPr>
          <w:rFonts w:ascii="Garamond" w:hAnsi="Garamond" w:cstheme="minorHAnsi"/>
        </w:rPr>
        <w:t xml:space="preserve">Overall </w:t>
      </w:r>
      <w:r w:rsidRPr="00DA1AA7">
        <w:rPr>
          <w:rFonts w:ascii="Garamond" w:hAnsi="Garamond" w:cstheme="minorHAnsi"/>
        </w:rPr>
        <w:t>Measure of Punitive Opinion, U</w:t>
      </w:r>
      <w:r>
        <w:rPr>
          <w:rFonts w:ascii="Garamond" w:hAnsi="Garamond" w:cstheme="minorHAnsi"/>
        </w:rPr>
        <w:t>.</w:t>
      </w:r>
      <w:r w:rsidRPr="00DA1AA7">
        <w:rPr>
          <w:rFonts w:ascii="Garamond" w:hAnsi="Garamond" w:cstheme="minorHAnsi"/>
        </w:rPr>
        <w:t>S</w:t>
      </w:r>
      <w:r>
        <w:rPr>
          <w:rFonts w:ascii="Garamond" w:hAnsi="Garamond" w:cstheme="minorHAnsi"/>
        </w:rPr>
        <w:t>.</w:t>
      </w:r>
    </w:p>
    <w:tbl>
      <w:tblPr>
        <w:tblW w:w="8557" w:type="dxa"/>
        <w:tblInd w:w="108" w:type="dxa"/>
        <w:tblLayout w:type="fixed"/>
        <w:tblLook w:val="0000" w:firstRow="0" w:lastRow="0" w:firstColumn="0" w:lastColumn="0" w:noHBand="0" w:noVBand="0"/>
      </w:tblPr>
      <w:tblGrid>
        <w:gridCol w:w="6815"/>
        <w:gridCol w:w="633"/>
        <w:gridCol w:w="1109"/>
      </w:tblGrid>
      <w:tr w:rsidR="00D53DCB" w:rsidRPr="00DA1AA7" w14:paraId="07497D95" w14:textId="77777777" w:rsidTr="006254B5">
        <w:trPr>
          <w:trHeight w:val="690"/>
        </w:trPr>
        <w:tc>
          <w:tcPr>
            <w:tcW w:w="6815" w:type="dxa"/>
            <w:tcBorders>
              <w:top w:val="double" w:sz="4" w:space="0" w:color="auto"/>
            </w:tcBorders>
            <w:shd w:val="clear" w:color="auto" w:fill="auto"/>
          </w:tcPr>
          <w:p w14:paraId="21481656" w14:textId="77777777" w:rsidR="00D53DCB" w:rsidRPr="00DA1AA7" w:rsidRDefault="00D53DCB" w:rsidP="006254B5">
            <w:pPr>
              <w:spacing w:before="60" w:after="60"/>
              <w:rPr>
                <w:rFonts w:ascii="Garamond" w:hAnsi="Garamond"/>
              </w:rPr>
            </w:pPr>
          </w:p>
        </w:tc>
        <w:tc>
          <w:tcPr>
            <w:tcW w:w="1742" w:type="dxa"/>
            <w:gridSpan w:val="2"/>
            <w:tcBorders>
              <w:top w:val="double" w:sz="4" w:space="0" w:color="auto"/>
            </w:tcBorders>
            <w:noWrap/>
            <w:tcMar>
              <w:left w:w="28" w:type="dxa"/>
              <w:right w:w="28" w:type="dxa"/>
            </w:tcMar>
            <w:vAlign w:val="center"/>
          </w:tcPr>
          <w:p w14:paraId="658DAD98" w14:textId="77777777" w:rsidR="00D53DCB" w:rsidRPr="00DA1AA7" w:rsidRDefault="00D53DCB" w:rsidP="006254B5">
            <w:pPr>
              <w:spacing w:before="120" w:after="120" w:line="240" w:lineRule="auto"/>
              <w:jc w:val="center"/>
              <w:rPr>
                <w:rFonts w:ascii="Garamond" w:hAnsi="Garamond"/>
              </w:rPr>
            </w:pPr>
            <w:r w:rsidRPr="00DA1AA7">
              <w:rPr>
                <w:rFonts w:ascii="Garamond" w:hAnsi="Garamond"/>
              </w:rPr>
              <w:t>Punitive Opinion</w:t>
            </w:r>
          </w:p>
        </w:tc>
      </w:tr>
      <w:tr w:rsidR="00D53DCB" w:rsidRPr="00DA1AA7" w14:paraId="0C54884A" w14:textId="77777777" w:rsidTr="006254B5">
        <w:trPr>
          <w:trHeight w:val="361"/>
        </w:trPr>
        <w:tc>
          <w:tcPr>
            <w:tcW w:w="6815" w:type="dxa"/>
            <w:tcBorders>
              <w:bottom w:val="single" w:sz="4" w:space="0" w:color="auto"/>
            </w:tcBorders>
            <w:shd w:val="clear" w:color="auto" w:fill="auto"/>
          </w:tcPr>
          <w:p w14:paraId="29637D0B" w14:textId="77777777" w:rsidR="00D53DCB" w:rsidRPr="00DA1AA7" w:rsidRDefault="00D53DCB" w:rsidP="006254B5">
            <w:pPr>
              <w:spacing w:before="60" w:after="60"/>
              <w:rPr>
                <w:rFonts w:ascii="Garamond" w:hAnsi="Garamond"/>
              </w:rPr>
            </w:pPr>
            <w:r w:rsidRPr="00DA1AA7">
              <w:rPr>
                <w:rFonts w:ascii="Garamond" w:hAnsi="Garamond"/>
                <w:u w:val="single"/>
              </w:rPr>
              <w:t>Survey item (source)</w:t>
            </w:r>
          </w:p>
        </w:tc>
        <w:tc>
          <w:tcPr>
            <w:tcW w:w="633" w:type="dxa"/>
            <w:tcBorders>
              <w:bottom w:val="single" w:sz="4" w:space="0" w:color="auto"/>
            </w:tcBorders>
            <w:noWrap/>
            <w:tcMar>
              <w:left w:w="28" w:type="dxa"/>
              <w:right w:w="28" w:type="dxa"/>
            </w:tcMar>
            <w:vAlign w:val="center"/>
          </w:tcPr>
          <w:p w14:paraId="68C0E683" w14:textId="77777777" w:rsidR="00D53DCB" w:rsidRPr="00DA1AA7" w:rsidRDefault="00D53DCB" w:rsidP="006254B5">
            <w:pPr>
              <w:spacing w:after="0" w:line="240" w:lineRule="auto"/>
              <w:jc w:val="center"/>
              <w:rPr>
                <w:rFonts w:ascii="Garamond" w:hAnsi="Garamond"/>
              </w:rPr>
            </w:pPr>
            <w:r w:rsidRPr="00DA1AA7">
              <w:rPr>
                <w:rFonts w:ascii="Garamond" w:hAnsi="Garamond"/>
              </w:rPr>
              <w:t>Cases</w:t>
            </w:r>
          </w:p>
        </w:tc>
        <w:tc>
          <w:tcPr>
            <w:tcW w:w="1109" w:type="dxa"/>
            <w:tcBorders>
              <w:bottom w:val="single" w:sz="4" w:space="0" w:color="auto"/>
            </w:tcBorders>
            <w:noWrap/>
            <w:tcMar>
              <w:left w:w="28" w:type="dxa"/>
              <w:right w:w="28" w:type="dxa"/>
            </w:tcMar>
            <w:vAlign w:val="center"/>
          </w:tcPr>
          <w:p w14:paraId="4B580F6C" w14:textId="77777777" w:rsidR="00D53DCB" w:rsidRPr="00DA1AA7" w:rsidRDefault="00D53DCB" w:rsidP="006254B5">
            <w:pPr>
              <w:spacing w:after="0" w:line="240" w:lineRule="auto"/>
              <w:jc w:val="center"/>
              <w:rPr>
                <w:rFonts w:ascii="Garamond" w:hAnsi="Garamond"/>
              </w:rPr>
            </w:pPr>
            <w:r>
              <w:rPr>
                <w:rFonts w:ascii="Garamond" w:hAnsi="Garamond"/>
              </w:rPr>
              <w:t>Loading</w:t>
            </w:r>
          </w:p>
        </w:tc>
      </w:tr>
      <w:tr w:rsidR="00D53DCB" w:rsidRPr="00DA1AA7" w14:paraId="3B82605B" w14:textId="77777777" w:rsidTr="006254B5">
        <w:trPr>
          <w:trHeight w:hRule="exact" w:val="114"/>
        </w:trPr>
        <w:tc>
          <w:tcPr>
            <w:tcW w:w="6815" w:type="dxa"/>
            <w:shd w:val="clear" w:color="auto" w:fill="auto"/>
          </w:tcPr>
          <w:p w14:paraId="21FD417F" w14:textId="77777777" w:rsidR="00D53DCB" w:rsidRPr="00874BF0" w:rsidRDefault="00D53DCB" w:rsidP="006254B5">
            <w:pPr>
              <w:spacing w:before="60" w:after="60"/>
              <w:rPr>
                <w:rFonts w:ascii="Garamond" w:hAnsi="Garamond"/>
              </w:rPr>
            </w:pPr>
          </w:p>
        </w:tc>
        <w:tc>
          <w:tcPr>
            <w:tcW w:w="633" w:type="dxa"/>
            <w:noWrap/>
            <w:tcMar>
              <w:left w:w="28" w:type="dxa"/>
              <w:right w:w="28" w:type="dxa"/>
            </w:tcMar>
            <w:vAlign w:val="center"/>
          </w:tcPr>
          <w:p w14:paraId="0BC66AF9" w14:textId="77777777" w:rsidR="00D53DCB" w:rsidRPr="00DA1AA7" w:rsidRDefault="00D53DCB" w:rsidP="006254B5">
            <w:pPr>
              <w:spacing w:after="0" w:line="240" w:lineRule="auto"/>
              <w:jc w:val="center"/>
              <w:rPr>
                <w:rFonts w:ascii="Garamond" w:hAnsi="Garamond"/>
              </w:rPr>
            </w:pPr>
          </w:p>
        </w:tc>
        <w:tc>
          <w:tcPr>
            <w:tcW w:w="1109" w:type="dxa"/>
            <w:noWrap/>
            <w:tcMar>
              <w:left w:w="28" w:type="dxa"/>
              <w:right w:w="28" w:type="dxa"/>
            </w:tcMar>
            <w:vAlign w:val="center"/>
          </w:tcPr>
          <w:p w14:paraId="56029105" w14:textId="77777777" w:rsidR="00D53DCB" w:rsidRPr="00DA1AA7" w:rsidRDefault="00D53DCB" w:rsidP="006254B5">
            <w:pPr>
              <w:jc w:val="center"/>
              <w:rPr>
                <w:rFonts w:ascii="Garamond" w:hAnsi="Garamond"/>
              </w:rPr>
            </w:pPr>
          </w:p>
        </w:tc>
      </w:tr>
      <w:tr w:rsidR="00D53DCB" w:rsidRPr="00DA1AA7" w14:paraId="6A9E257E" w14:textId="77777777" w:rsidTr="006254B5">
        <w:trPr>
          <w:trHeight w:val="361"/>
        </w:trPr>
        <w:tc>
          <w:tcPr>
            <w:tcW w:w="6815" w:type="dxa"/>
            <w:shd w:val="clear" w:color="auto" w:fill="auto"/>
            <w:vAlign w:val="center"/>
          </w:tcPr>
          <w:p w14:paraId="13B76059" w14:textId="77777777" w:rsidR="00D53DCB" w:rsidRPr="00874BF0" w:rsidRDefault="00D53DCB" w:rsidP="006254B5">
            <w:pPr>
              <w:rPr>
                <w:rFonts w:ascii="Garamond" w:hAnsi="Garamond"/>
              </w:rPr>
            </w:pPr>
            <w:r w:rsidRPr="00874BF0">
              <w:rPr>
                <w:rFonts w:ascii="Garamond" w:hAnsi="Garamond" w:cs="Calibri"/>
                <w:color w:val="000000"/>
              </w:rPr>
              <w:t>Listed below are various areas of government spending. Please indicate whether you would like to see more or less government spending in each area. Remember that if you say "much more," it might require a tax increase to pay for it.</w:t>
            </w:r>
            <w:r>
              <w:rPr>
                <w:rFonts w:ascii="Garamond" w:hAnsi="Garamond" w:cs="Calibri"/>
                <w:color w:val="000000"/>
              </w:rPr>
              <w:t xml:space="preserve"> </w:t>
            </w:r>
            <w:r w:rsidRPr="00A23C98">
              <w:rPr>
                <w:rFonts w:ascii="Garamond" w:hAnsi="Garamond" w:cs="Calibri"/>
                <w:color w:val="000000"/>
              </w:rPr>
              <w:t>The police and law enforcement</w:t>
            </w:r>
            <w:r w:rsidRPr="00874BF0">
              <w:rPr>
                <w:rFonts w:ascii="Garamond" w:hAnsi="Garamond" w:cs="Calibri"/>
                <w:color w:val="000000"/>
              </w:rPr>
              <w:t xml:space="preserve"> (GSS)</w:t>
            </w:r>
          </w:p>
        </w:tc>
        <w:tc>
          <w:tcPr>
            <w:tcW w:w="633" w:type="dxa"/>
            <w:noWrap/>
            <w:tcMar>
              <w:left w:w="28" w:type="dxa"/>
              <w:right w:w="28" w:type="dxa"/>
            </w:tcMar>
            <w:vAlign w:val="center"/>
          </w:tcPr>
          <w:p w14:paraId="7CF7EF46" w14:textId="77777777" w:rsidR="00D53DCB" w:rsidRPr="00DA1AA7" w:rsidRDefault="00D53DCB" w:rsidP="006254B5">
            <w:pPr>
              <w:spacing w:after="0" w:line="240" w:lineRule="auto"/>
              <w:jc w:val="center"/>
              <w:rPr>
                <w:rFonts w:ascii="Garamond" w:hAnsi="Garamond"/>
              </w:rPr>
            </w:pPr>
            <w:r>
              <w:rPr>
                <w:rFonts w:ascii="Garamond" w:hAnsi="Garamond"/>
              </w:rPr>
              <w:t>5</w:t>
            </w:r>
          </w:p>
        </w:tc>
        <w:tc>
          <w:tcPr>
            <w:tcW w:w="1109" w:type="dxa"/>
            <w:noWrap/>
            <w:tcMar>
              <w:left w:w="28" w:type="dxa"/>
              <w:right w:w="28" w:type="dxa"/>
            </w:tcMar>
            <w:vAlign w:val="center"/>
          </w:tcPr>
          <w:p w14:paraId="4EA3526E" w14:textId="77777777" w:rsidR="00D53DCB" w:rsidRPr="00DA1AA7" w:rsidRDefault="00D53DCB" w:rsidP="006254B5">
            <w:pPr>
              <w:spacing w:after="0"/>
              <w:jc w:val="center"/>
              <w:rPr>
                <w:rFonts w:ascii="Garamond" w:hAnsi="Garamond"/>
              </w:rPr>
            </w:pPr>
            <w:r>
              <w:rPr>
                <w:rFonts w:ascii="Garamond" w:hAnsi="Garamond"/>
              </w:rPr>
              <w:t>0.99</w:t>
            </w:r>
          </w:p>
        </w:tc>
      </w:tr>
      <w:tr w:rsidR="00D53DCB" w:rsidRPr="00DA1AA7" w14:paraId="5A17B01A" w14:textId="77777777" w:rsidTr="006254B5">
        <w:trPr>
          <w:trHeight w:val="602"/>
        </w:trPr>
        <w:tc>
          <w:tcPr>
            <w:tcW w:w="6815" w:type="dxa"/>
            <w:shd w:val="clear" w:color="auto" w:fill="auto"/>
            <w:vAlign w:val="center"/>
          </w:tcPr>
          <w:p w14:paraId="50114351" w14:textId="77777777" w:rsidR="00D53DCB" w:rsidRPr="00874BF0" w:rsidRDefault="00D53DCB" w:rsidP="006254B5">
            <w:pPr>
              <w:rPr>
                <w:rFonts w:ascii="Garamond" w:hAnsi="Garamond"/>
              </w:rPr>
            </w:pPr>
            <w:r w:rsidRPr="00874BF0">
              <w:rPr>
                <w:rFonts w:ascii="Garamond" w:hAnsi="Garamond" w:cs="Calibri"/>
                <w:color w:val="000000"/>
              </w:rPr>
              <w:t>In dealing with men who are in prison, do you think is more important to punish them for their crimes, or more important to get them started 'on the right road'?</w:t>
            </w:r>
            <w:r>
              <w:rPr>
                <w:rFonts w:ascii="Garamond" w:hAnsi="Garamond" w:cs="Calibri"/>
                <w:color w:val="000000"/>
              </w:rPr>
              <w:t xml:space="preserve"> (Gallup)</w:t>
            </w:r>
          </w:p>
        </w:tc>
        <w:tc>
          <w:tcPr>
            <w:tcW w:w="633" w:type="dxa"/>
            <w:noWrap/>
            <w:tcMar>
              <w:left w:w="28" w:type="dxa"/>
              <w:right w:w="28" w:type="dxa"/>
            </w:tcMar>
            <w:vAlign w:val="center"/>
          </w:tcPr>
          <w:p w14:paraId="41504D86" w14:textId="77777777" w:rsidR="00D53DCB" w:rsidRPr="00DA1AA7" w:rsidRDefault="00D53DCB" w:rsidP="006254B5">
            <w:pPr>
              <w:spacing w:after="0" w:line="240" w:lineRule="auto"/>
              <w:jc w:val="center"/>
              <w:rPr>
                <w:rFonts w:ascii="Garamond" w:hAnsi="Garamond"/>
              </w:rPr>
            </w:pPr>
            <w:r>
              <w:rPr>
                <w:rFonts w:ascii="Garamond" w:hAnsi="Garamond"/>
              </w:rPr>
              <w:t>4</w:t>
            </w:r>
          </w:p>
        </w:tc>
        <w:tc>
          <w:tcPr>
            <w:tcW w:w="1109" w:type="dxa"/>
            <w:noWrap/>
            <w:tcMar>
              <w:left w:w="28" w:type="dxa"/>
              <w:right w:w="28" w:type="dxa"/>
            </w:tcMar>
            <w:vAlign w:val="center"/>
          </w:tcPr>
          <w:p w14:paraId="40BAD204" w14:textId="77777777" w:rsidR="00D53DCB" w:rsidRPr="00DA1AA7" w:rsidRDefault="00D53DCB" w:rsidP="006254B5">
            <w:pPr>
              <w:spacing w:after="0"/>
              <w:jc w:val="center"/>
              <w:rPr>
                <w:rFonts w:ascii="Garamond" w:hAnsi="Garamond"/>
              </w:rPr>
            </w:pPr>
            <w:r>
              <w:rPr>
                <w:rFonts w:ascii="Garamond" w:hAnsi="Garamond"/>
              </w:rPr>
              <w:t>0.98</w:t>
            </w:r>
          </w:p>
        </w:tc>
      </w:tr>
      <w:tr w:rsidR="00D53DCB" w:rsidRPr="00DA1AA7" w14:paraId="032AF4FD" w14:textId="77777777" w:rsidTr="006254B5">
        <w:trPr>
          <w:trHeight w:val="361"/>
        </w:trPr>
        <w:tc>
          <w:tcPr>
            <w:tcW w:w="6815" w:type="dxa"/>
            <w:shd w:val="clear" w:color="auto" w:fill="auto"/>
            <w:vAlign w:val="center"/>
          </w:tcPr>
          <w:p w14:paraId="59CBCEAE" w14:textId="77777777" w:rsidR="00D53DCB" w:rsidRPr="00874BF0" w:rsidRDefault="00D53DCB" w:rsidP="006254B5">
            <w:pPr>
              <w:rPr>
                <w:rFonts w:ascii="Garamond" w:hAnsi="Garamond" w:cs="Calibri"/>
                <w:color w:val="000000"/>
              </w:rPr>
            </w:pPr>
            <w:r w:rsidRPr="007D2A19">
              <w:rPr>
                <w:rFonts w:ascii="Garamond" w:hAnsi="Garamond" w:cs="Calibri"/>
                <w:color w:val="000000"/>
              </w:rPr>
              <w:t>In general, do you think the criminal justice system in this country is too tough, not tough enough or about right in its handling of crime?</w:t>
            </w:r>
            <w:r>
              <w:rPr>
                <w:rFonts w:ascii="Garamond" w:hAnsi="Garamond" w:cs="Calibri"/>
                <w:color w:val="000000"/>
              </w:rPr>
              <w:t xml:space="preserve"> (Gallup)</w:t>
            </w:r>
          </w:p>
        </w:tc>
        <w:tc>
          <w:tcPr>
            <w:tcW w:w="633" w:type="dxa"/>
            <w:noWrap/>
            <w:tcMar>
              <w:left w:w="28" w:type="dxa"/>
              <w:right w:w="28" w:type="dxa"/>
            </w:tcMar>
            <w:vAlign w:val="center"/>
          </w:tcPr>
          <w:p w14:paraId="7AC4BF00" w14:textId="77777777" w:rsidR="00D53DCB" w:rsidRPr="00DA1AA7" w:rsidRDefault="00D53DCB" w:rsidP="006254B5">
            <w:pPr>
              <w:spacing w:after="0" w:line="240" w:lineRule="auto"/>
              <w:jc w:val="center"/>
              <w:rPr>
                <w:rFonts w:ascii="Garamond" w:hAnsi="Garamond"/>
              </w:rPr>
            </w:pPr>
            <w:r>
              <w:rPr>
                <w:rFonts w:ascii="Garamond" w:hAnsi="Garamond"/>
              </w:rPr>
              <w:t>4</w:t>
            </w:r>
          </w:p>
        </w:tc>
        <w:tc>
          <w:tcPr>
            <w:tcW w:w="1109" w:type="dxa"/>
            <w:noWrap/>
            <w:tcMar>
              <w:left w:w="28" w:type="dxa"/>
              <w:right w:w="28" w:type="dxa"/>
            </w:tcMar>
            <w:vAlign w:val="center"/>
          </w:tcPr>
          <w:p w14:paraId="68E06260" w14:textId="77777777" w:rsidR="00D53DCB" w:rsidRPr="00DA1AA7" w:rsidRDefault="00D53DCB" w:rsidP="006254B5">
            <w:pPr>
              <w:spacing w:after="0"/>
              <w:jc w:val="center"/>
              <w:rPr>
                <w:rFonts w:ascii="Garamond" w:hAnsi="Garamond"/>
              </w:rPr>
            </w:pPr>
            <w:r>
              <w:rPr>
                <w:rFonts w:ascii="Garamond" w:hAnsi="Garamond"/>
              </w:rPr>
              <w:t>0.97</w:t>
            </w:r>
          </w:p>
        </w:tc>
      </w:tr>
      <w:tr w:rsidR="00D53DCB" w:rsidRPr="00DA1AA7" w14:paraId="46579479" w14:textId="77777777" w:rsidTr="006254B5">
        <w:trPr>
          <w:trHeight w:val="369"/>
        </w:trPr>
        <w:tc>
          <w:tcPr>
            <w:tcW w:w="6815" w:type="dxa"/>
            <w:shd w:val="clear" w:color="auto" w:fill="auto"/>
            <w:vAlign w:val="center"/>
          </w:tcPr>
          <w:p w14:paraId="220547E8" w14:textId="77777777" w:rsidR="00D53DCB" w:rsidRPr="00874BF0" w:rsidRDefault="00D53DCB" w:rsidP="006254B5">
            <w:pPr>
              <w:rPr>
                <w:rFonts w:ascii="Garamond" w:hAnsi="Garamond" w:cs="Calibri"/>
                <w:color w:val="000000"/>
              </w:rPr>
            </w:pPr>
            <w:r w:rsidRPr="0014543B">
              <w:rPr>
                <w:rFonts w:ascii="Garamond" w:hAnsi="Garamond" w:cs="Calibri"/>
                <w:color w:val="000000"/>
              </w:rPr>
              <w:t>Suppose it could be proved to your satisfaction that the death penalty was not more effective than long prison sentences in keeping other people from committing crimes such as murder, would you be in favor of the death penalty or would you be opposed to it?</w:t>
            </w:r>
            <w:r>
              <w:rPr>
                <w:rFonts w:ascii="Garamond" w:hAnsi="Garamond" w:cs="Calibri"/>
                <w:color w:val="000000"/>
              </w:rPr>
              <w:t xml:space="preserve"> (Harris)</w:t>
            </w:r>
          </w:p>
        </w:tc>
        <w:tc>
          <w:tcPr>
            <w:tcW w:w="633" w:type="dxa"/>
            <w:noWrap/>
            <w:tcMar>
              <w:left w:w="28" w:type="dxa"/>
              <w:right w:w="28" w:type="dxa"/>
            </w:tcMar>
            <w:vAlign w:val="center"/>
          </w:tcPr>
          <w:p w14:paraId="3FA45963" w14:textId="77777777" w:rsidR="00D53DCB" w:rsidRPr="00DA1AA7" w:rsidDel="00D2222B" w:rsidRDefault="00D53DCB" w:rsidP="006254B5">
            <w:pPr>
              <w:spacing w:after="0" w:line="240" w:lineRule="auto"/>
              <w:jc w:val="center"/>
              <w:rPr>
                <w:rFonts w:ascii="Garamond" w:hAnsi="Garamond"/>
              </w:rPr>
            </w:pPr>
            <w:r>
              <w:rPr>
                <w:rFonts w:ascii="Garamond" w:hAnsi="Garamond"/>
              </w:rPr>
              <w:t>3</w:t>
            </w:r>
          </w:p>
        </w:tc>
        <w:tc>
          <w:tcPr>
            <w:tcW w:w="1109" w:type="dxa"/>
            <w:noWrap/>
            <w:tcMar>
              <w:left w:w="28" w:type="dxa"/>
              <w:right w:w="28" w:type="dxa"/>
            </w:tcMar>
            <w:vAlign w:val="center"/>
          </w:tcPr>
          <w:p w14:paraId="1F060E19" w14:textId="77777777" w:rsidR="00D53DCB" w:rsidRPr="00DA1AA7" w:rsidDel="00D2222B" w:rsidRDefault="00D53DCB" w:rsidP="006254B5">
            <w:pPr>
              <w:spacing w:after="0"/>
              <w:jc w:val="center"/>
              <w:rPr>
                <w:rFonts w:ascii="Garamond" w:hAnsi="Garamond"/>
              </w:rPr>
            </w:pPr>
            <w:r>
              <w:rPr>
                <w:rFonts w:ascii="Garamond" w:hAnsi="Garamond"/>
              </w:rPr>
              <w:t>0.97</w:t>
            </w:r>
          </w:p>
        </w:tc>
      </w:tr>
      <w:tr w:rsidR="00D53DCB" w:rsidRPr="00DA1AA7" w14:paraId="2502181E" w14:textId="77777777" w:rsidTr="006254B5">
        <w:trPr>
          <w:trHeight w:val="602"/>
        </w:trPr>
        <w:tc>
          <w:tcPr>
            <w:tcW w:w="6815" w:type="dxa"/>
            <w:shd w:val="clear" w:color="auto" w:fill="auto"/>
            <w:vAlign w:val="center"/>
          </w:tcPr>
          <w:p w14:paraId="28E7B30F" w14:textId="77777777" w:rsidR="00D53DCB" w:rsidRPr="00874BF0" w:rsidRDefault="00D53DCB" w:rsidP="006254B5">
            <w:pPr>
              <w:rPr>
                <w:rFonts w:ascii="Garamond" w:hAnsi="Garamond" w:cs="Calibri"/>
                <w:color w:val="000000"/>
              </w:rPr>
            </w:pPr>
            <w:r w:rsidRPr="00CD2B8A">
              <w:rPr>
                <w:rFonts w:ascii="Garamond" w:hAnsi="Garamond" w:cs="Calibri"/>
                <w:color w:val="000000"/>
              </w:rPr>
              <w:t>Are you in favor of the death penalty for a person convicted of murder?</w:t>
            </w:r>
            <w:r>
              <w:rPr>
                <w:rFonts w:ascii="Garamond" w:hAnsi="Garamond" w:cs="Calibri"/>
                <w:color w:val="000000"/>
              </w:rPr>
              <w:t xml:space="preserve"> (Gallup)</w:t>
            </w:r>
          </w:p>
        </w:tc>
        <w:tc>
          <w:tcPr>
            <w:tcW w:w="633" w:type="dxa"/>
            <w:noWrap/>
            <w:tcMar>
              <w:left w:w="28" w:type="dxa"/>
              <w:right w:w="28" w:type="dxa"/>
            </w:tcMar>
            <w:vAlign w:val="center"/>
          </w:tcPr>
          <w:p w14:paraId="5BCD1CC4" w14:textId="77777777" w:rsidR="00D53DCB" w:rsidRPr="00DA1AA7" w:rsidRDefault="00D53DCB" w:rsidP="006254B5">
            <w:pPr>
              <w:spacing w:after="0" w:line="240" w:lineRule="auto"/>
              <w:jc w:val="center"/>
              <w:rPr>
                <w:rFonts w:ascii="Garamond" w:hAnsi="Garamond"/>
              </w:rPr>
            </w:pPr>
            <w:r>
              <w:rPr>
                <w:rFonts w:ascii="Garamond" w:hAnsi="Garamond"/>
              </w:rPr>
              <w:t>42</w:t>
            </w:r>
          </w:p>
        </w:tc>
        <w:tc>
          <w:tcPr>
            <w:tcW w:w="1109" w:type="dxa"/>
            <w:noWrap/>
            <w:tcMar>
              <w:left w:w="28" w:type="dxa"/>
              <w:right w:w="28" w:type="dxa"/>
            </w:tcMar>
            <w:vAlign w:val="center"/>
          </w:tcPr>
          <w:p w14:paraId="66D56EA2" w14:textId="77777777" w:rsidR="00D53DCB" w:rsidRPr="00DA1AA7" w:rsidRDefault="00D53DCB" w:rsidP="006254B5">
            <w:pPr>
              <w:spacing w:after="0"/>
              <w:jc w:val="center"/>
              <w:rPr>
                <w:rFonts w:ascii="Garamond" w:hAnsi="Garamond"/>
              </w:rPr>
            </w:pPr>
            <w:r>
              <w:rPr>
                <w:rFonts w:ascii="Garamond" w:hAnsi="Garamond"/>
              </w:rPr>
              <w:t>0.97</w:t>
            </w:r>
          </w:p>
        </w:tc>
      </w:tr>
      <w:tr w:rsidR="00D53DCB" w:rsidRPr="00DA1AA7" w14:paraId="72BA0836" w14:textId="77777777" w:rsidTr="006254B5">
        <w:trPr>
          <w:trHeight w:val="361"/>
        </w:trPr>
        <w:tc>
          <w:tcPr>
            <w:tcW w:w="6815" w:type="dxa"/>
            <w:shd w:val="clear" w:color="auto" w:fill="auto"/>
            <w:vAlign w:val="center"/>
          </w:tcPr>
          <w:p w14:paraId="5C63F384" w14:textId="77777777" w:rsidR="00D53DCB" w:rsidRPr="00874BF0" w:rsidDel="00EC1415" w:rsidRDefault="00D53DCB" w:rsidP="006254B5">
            <w:pPr>
              <w:rPr>
                <w:rFonts w:ascii="Garamond" w:hAnsi="Garamond" w:cs="Calibri"/>
                <w:color w:val="000000"/>
              </w:rPr>
            </w:pPr>
            <w:r w:rsidRPr="006F7F26">
              <w:rPr>
                <w:rFonts w:ascii="Garamond" w:hAnsi="Garamond" w:cs="Calibri"/>
                <w:color w:val="000000"/>
              </w:rPr>
              <w:t>There are different opinions about the main purpose of prisons. Which one of the statements on this card comes closest to expressing your point of view on prisons?</w:t>
            </w:r>
            <w:r>
              <w:rPr>
                <w:rFonts w:ascii="Garamond" w:hAnsi="Garamond" w:cs="Calibri"/>
                <w:color w:val="000000"/>
              </w:rPr>
              <w:t xml:space="preserve"> (Roper)</w:t>
            </w:r>
          </w:p>
        </w:tc>
        <w:tc>
          <w:tcPr>
            <w:tcW w:w="633" w:type="dxa"/>
            <w:noWrap/>
            <w:tcMar>
              <w:left w:w="28" w:type="dxa"/>
              <w:right w:w="28" w:type="dxa"/>
            </w:tcMar>
            <w:vAlign w:val="center"/>
          </w:tcPr>
          <w:p w14:paraId="0181E6C6" w14:textId="77777777" w:rsidR="00D53DCB" w:rsidRPr="00DA1AA7" w:rsidRDefault="00D53DCB" w:rsidP="006254B5">
            <w:pPr>
              <w:spacing w:after="0" w:line="240" w:lineRule="auto"/>
              <w:jc w:val="center"/>
              <w:rPr>
                <w:rFonts w:ascii="Garamond" w:hAnsi="Garamond"/>
              </w:rPr>
            </w:pPr>
            <w:r>
              <w:rPr>
                <w:rFonts w:ascii="Garamond" w:hAnsi="Garamond"/>
              </w:rPr>
              <w:t>3</w:t>
            </w:r>
          </w:p>
        </w:tc>
        <w:tc>
          <w:tcPr>
            <w:tcW w:w="1109" w:type="dxa"/>
            <w:noWrap/>
            <w:tcMar>
              <w:left w:w="28" w:type="dxa"/>
              <w:right w:w="28" w:type="dxa"/>
            </w:tcMar>
            <w:vAlign w:val="center"/>
          </w:tcPr>
          <w:p w14:paraId="6F7EE8E8" w14:textId="77777777" w:rsidR="00D53DCB" w:rsidRPr="00DA1AA7" w:rsidRDefault="00D53DCB" w:rsidP="006254B5">
            <w:pPr>
              <w:spacing w:after="0"/>
              <w:jc w:val="center"/>
              <w:rPr>
                <w:rFonts w:ascii="Garamond" w:hAnsi="Garamond"/>
              </w:rPr>
            </w:pPr>
            <w:r>
              <w:rPr>
                <w:rFonts w:ascii="Garamond" w:hAnsi="Garamond"/>
              </w:rPr>
              <w:t>0.96</w:t>
            </w:r>
          </w:p>
        </w:tc>
      </w:tr>
      <w:tr w:rsidR="00D53DCB" w:rsidRPr="00DA1AA7" w14:paraId="031D192C" w14:textId="77777777" w:rsidTr="006254B5">
        <w:trPr>
          <w:trHeight w:val="361"/>
        </w:trPr>
        <w:tc>
          <w:tcPr>
            <w:tcW w:w="6815" w:type="dxa"/>
            <w:shd w:val="clear" w:color="auto" w:fill="auto"/>
            <w:vAlign w:val="center"/>
          </w:tcPr>
          <w:p w14:paraId="65D9F5A1" w14:textId="77777777" w:rsidR="00D53DCB" w:rsidRPr="00874BF0" w:rsidRDefault="00D53DCB" w:rsidP="006254B5">
            <w:pPr>
              <w:rPr>
                <w:rFonts w:ascii="Garamond" w:hAnsi="Garamond" w:cs="Calibri"/>
                <w:color w:val="000000"/>
              </w:rPr>
            </w:pPr>
            <w:r w:rsidRPr="00C1606D">
              <w:rPr>
                <w:rFonts w:ascii="Garamond" w:hAnsi="Garamond" w:cs="Calibri"/>
                <w:color w:val="000000"/>
              </w:rPr>
              <w:t>Which punishment do you prefer for people convicted of murder: the death penalty or life in prison with no chance of parole?</w:t>
            </w:r>
            <w:r>
              <w:rPr>
                <w:rFonts w:ascii="Garamond" w:hAnsi="Garamond" w:cs="Calibri"/>
                <w:color w:val="000000"/>
              </w:rPr>
              <w:t xml:space="preserve"> (ABC News)</w:t>
            </w:r>
          </w:p>
        </w:tc>
        <w:tc>
          <w:tcPr>
            <w:tcW w:w="633" w:type="dxa"/>
            <w:noWrap/>
            <w:tcMar>
              <w:left w:w="28" w:type="dxa"/>
              <w:right w:w="28" w:type="dxa"/>
            </w:tcMar>
            <w:vAlign w:val="center"/>
          </w:tcPr>
          <w:p w14:paraId="75B0FE9F" w14:textId="77777777" w:rsidR="00D53DCB" w:rsidRPr="00DA1AA7" w:rsidRDefault="00D53DCB" w:rsidP="006254B5">
            <w:pPr>
              <w:spacing w:after="0" w:line="240" w:lineRule="auto"/>
              <w:jc w:val="center"/>
              <w:rPr>
                <w:rFonts w:ascii="Garamond" w:hAnsi="Garamond"/>
              </w:rPr>
            </w:pPr>
            <w:r>
              <w:rPr>
                <w:rFonts w:ascii="Garamond" w:hAnsi="Garamond"/>
              </w:rPr>
              <w:t>7</w:t>
            </w:r>
          </w:p>
        </w:tc>
        <w:tc>
          <w:tcPr>
            <w:tcW w:w="1109" w:type="dxa"/>
            <w:noWrap/>
            <w:tcMar>
              <w:left w:w="28" w:type="dxa"/>
              <w:right w:w="28" w:type="dxa"/>
            </w:tcMar>
            <w:vAlign w:val="center"/>
          </w:tcPr>
          <w:p w14:paraId="22251180" w14:textId="77777777" w:rsidR="00D53DCB" w:rsidRPr="00DA1AA7" w:rsidRDefault="00D53DCB" w:rsidP="006254B5">
            <w:pPr>
              <w:spacing w:after="0"/>
              <w:jc w:val="center"/>
              <w:rPr>
                <w:rFonts w:ascii="Garamond" w:hAnsi="Garamond"/>
              </w:rPr>
            </w:pPr>
            <w:r>
              <w:rPr>
                <w:rFonts w:ascii="Garamond" w:hAnsi="Garamond"/>
              </w:rPr>
              <w:t>0.95</w:t>
            </w:r>
          </w:p>
        </w:tc>
      </w:tr>
      <w:tr w:rsidR="00D53DCB" w:rsidRPr="00DA1AA7" w14:paraId="31390148" w14:textId="77777777" w:rsidTr="006254B5">
        <w:trPr>
          <w:trHeight w:val="361"/>
        </w:trPr>
        <w:tc>
          <w:tcPr>
            <w:tcW w:w="6815" w:type="dxa"/>
            <w:shd w:val="clear" w:color="auto" w:fill="auto"/>
            <w:vAlign w:val="center"/>
          </w:tcPr>
          <w:p w14:paraId="0E5B4CE8" w14:textId="77777777" w:rsidR="00D53DCB" w:rsidRPr="00874BF0" w:rsidRDefault="00D53DCB" w:rsidP="006254B5">
            <w:pPr>
              <w:rPr>
                <w:rFonts w:ascii="Garamond" w:hAnsi="Garamond" w:cs="Calibri"/>
                <w:color w:val="000000"/>
              </w:rPr>
            </w:pPr>
            <w:r w:rsidRPr="00005CBD">
              <w:rPr>
                <w:rFonts w:ascii="Garamond" w:hAnsi="Garamond" w:cs="Calibri"/>
                <w:color w:val="000000"/>
              </w:rPr>
              <w:t>Generally, do you feel the courts have been too lenient (too easy) in dealing with criminals, too severe, or do you feel they have been treated fairly?</w:t>
            </w:r>
            <w:r>
              <w:rPr>
                <w:rFonts w:ascii="Garamond" w:hAnsi="Garamond" w:cs="Calibri"/>
                <w:color w:val="000000"/>
              </w:rPr>
              <w:t xml:space="preserve"> (Courts)</w:t>
            </w:r>
          </w:p>
        </w:tc>
        <w:tc>
          <w:tcPr>
            <w:tcW w:w="633" w:type="dxa"/>
            <w:noWrap/>
            <w:tcMar>
              <w:left w:w="28" w:type="dxa"/>
              <w:right w:w="28" w:type="dxa"/>
            </w:tcMar>
            <w:vAlign w:val="center"/>
          </w:tcPr>
          <w:p w14:paraId="5FA2224B" w14:textId="77777777" w:rsidR="00D53DCB" w:rsidRPr="00DA1AA7" w:rsidRDefault="00D53DCB" w:rsidP="006254B5">
            <w:pPr>
              <w:spacing w:after="0" w:line="240" w:lineRule="auto"/>
              <w:jc w:val="center"/>
              <w:rPr>
                <w:rFonts w:ascii="Garamond" w:hAnsi="Garamond"/>
              </w:rPr>
            </w:pPr>
            <w:r>
              <w:rPr>
                <w:rFonts w:ascii="Garamond" w:hAnsi="Garamond"/>
              </w:rPr>
              <w:t>4</w:t>
            </w:r>
          </w:p>
        </w:tc>
        <w:tc>
          <w:tcPr>
            <w:tcW w:w="1109" w:type="dxa"/>
            <w:noWrap/>
            <w:tcMar>
              <w:left w:w="28" w:type="dxa"/>
              <w:right w:w="28" w:type="dxa"/>
            </w:tcMar>
            <w:vAlign w:val="center"/>
          </w:tcPr>
          <w:p w14:paraId="6A0A890F" w14:textId="77777777" w:rsidR="00D53DCB" w:rsidRPr="00DA1AA7" w:rsidRDefault="00D53DCB" w:rsidP="006254B5">
            <w:pPr>
              <w:spacing w:after="0"/>
              <w:jc w:val="center"/>
              <w:rPr>
                <w:rFonts w:ascii="Garamond" w:hAnsi="Garamond"/>
              </w:rPr>
            </w:pPr>
            <w:r>
              <w:rPr>
                <w:rFonts w:ascii="Garamond" w:hAnsi="Garamond"/>
              </w:rPr>
              <w:t>0.95</w:t>
            </w:r>
          </w:p>
        </w:tc>
      </w:tr>
      <w:tr w:rsidR="00D53DCB" w:rsidRPr="00DA1AA7" w14:paraId="26DA7082" w14:textId="77777777" w:rsidTr="006254B5">
        <w:trPr>
          <w:trHeight w:val="361"/>
        </w:trPr>
        <w:tc>
          <w:tcPr>
            <w:tcW w:w="6815" w:type="dxa"/>
            <w:shd w:val="clear" w:color="auto" w:fill="auto"/>
            <w:vAlign w:val="center"/>
          </w:tcPr>
          <w:p w14:paraId="72F2F228" w14:textId="77777777" w:rsidR="00D53DCB" w:rsidRPr="00874BF0" w:rsidRDefault="00D53DCB" w:rsidP="006254B5">
            <w:pPr>
              <w:rPr>
                <w:rFonts w:ascii="Garamond" w:hAnsi="Garamond" w:cs="Calibri"/>
                <w:color w:val="000000"/>
              </w:rPr>
            </w:pPr>
            <w:r w:rsidRPr="00165974">
              <w:rPr>
                <w:rFonts w:ascii="Garamond" w:hAnsi="Garamond" w:cs="Calibri"/>
                <w:color w:val="000000"/>
              </w:rPr>
              <w:t>Do you favor or oppose the death penalty for persons convicted of murder?</w:t>
            </w:r>
            <w:r>
              <w:rPr>
                <w:rFonts w:ascii="Garamond" w:hAnsi="Garamond" w:cs="Calibri"/>
                <w:color w:val="000000"/>
              </w:rPr>
              <w:t xml:space="preserve"> (GSS)</w:t>
            </w:r>
          </w:p>
        </w:tc>
        <w:tc>
          <w:tcPr>
            <w:tcW w:w="633" w:type="dxa"/>
            <w:noWrap/>
            <w:tcMar>
              <w:left w:w="28" w:type="dxa"/>
              <w:right w:w="28" w:type="dxa"/>
            </w:tcMar>
            <w:vAlign w:val="center"/>
          </w:tcPr>
          <w:p w14:paraId="6D40E1EA" w14:textId="77777777" w:rsidR="00D53DCB" w:rsidRPr="00DA1AA7" w:rsidRDefault="00D53DCB" w:rsidP="006254B5">
            <w:pPr>
              <w:spacing w:after="0" w:line="240" w:lineRule="auto"/>
              <w:jc w:val="center"/>
              <w:rPr>
                <w:rFonts w:ascii="Garamond" w:hAnsi="Garamond"/>
              </w:rPr>
            </w:pPr>
            <w:r>
              <w:rPr>
                <w:rFonts w:ascii="Garamond" w:hAnsi="Garamond"/>
              </w:rPr>
              <w:t>30</w:t>
            </w:r>
          </w:p>
        </w:tc>
        <w:tc>
          <w:tcPr>
            <w:tcW w:w="1109" w:type="dxa"/>
            <w:noWrap/>
            <w:tcMar>
              <w:left w:w="28" w:type="dxa"/>
              <w:right w:w="28" w:type="dxa"/>
            </w:tcMar>
            <w:vAlign w:val="center"/>
          </w:tcPr>
          <w:p w14:paraId="6D27B1BC" w14:textId="77777777" w:rsidR="00D53DCB" w:rsidRPr="00DA1AA7" w:rsidRDefault="00D53DCB" w:rsidP="006254B5">
            <w:pPr>
              <w:spacing w:after="0"/>
              <w:jc w:val="center"/>
              <w:rPr>
                <w:rFonts w:ascii="Garamond" w:hAnsi="Garamond"/>
              </w:rPr>
            </w:pPr>
            <w:r>
              <w:rPr>
                <w:rFonts w:ascii="Garamond" w:hAnsi="Garamond"/>
              </w:rPr>
              <w:t>0.95</w:t>
            </w:r>
          </w:p>
        </w:tc>
      </w:tr>
      <w:tr w:rsidR="00D53DCB" w:rsidRPr="00DA1AA7" w14:paraId="177B5C20" w14:textId="77777777" w:rsidTr="006254B5">
        <w:trPr>
          <w:trHeight w:val="602"/>
        </w:trPr>
        <w:tc>
          <w:tcPr>
            <w:tcW w:w="6815" w:type="dxa"/>
            <w:shd w:val="clear" w:color="auto" w:fill="auto"/>
            <w:vAlign w:val="center"/>
          </w:tcPr>
          <w:p w14:paraId="251B04C5" w14:textId="77777777" w:rsidR="00D53DCB" w:rsidRPr="00874BF0" w:rsidRDefault="00D53DCB" w:rsidP="006254B5">
            <w:pPr>
              <w:rPr>
                <w:rFonts w:ascii="Garamond" w:hAnsi="Garamond" w:cs="Calibri"/>
                <w:color w:val="000000"/>
              </w:rPr>
            </w:pPr>
            <w:r w:rsidRPr="00904D2C">
              <w:rPr>
                <w:rFonts w:ascii="Garamond" w:hAnsi="Garamond" w:cs="Calibri"/>
                <w:color w:val="000000"/>
              </w:rPr>
              <w:t>Turning to another subject, the death penalty: are you in favor of the death penalty for persons convicted of murder?</w:t>
            </w:r>
            <w:r>
              <w:rPr>
                <w:rFonts w:ascii="Garamond" w:hAnsi="Garamond" w:cs="Calibri"/>
                <w:color w:val="000000"/>
              </w:rPr>
              <w:t xml:space="preserve"> (ABC News)</w:t>
            </w:r>
          </w:p>
        </w:tc>
        <w:tc>
          <w:tcPr>
            <w:tcW w:w="633" w:type="dxa"/>
            <w:noWrap/>
            <w:tcMar>
              <w:left w:w="28" w:type="dxa"/>
              <w:right w:w="28" w:type="dxa"/>
            </w:tcMar>
            <w:vAlign w:val="center"/>
          </w:tcPr>
          <w:p w14:paraId="1892AF5E" w14:textId="77777777" w:rsidR="00D53DCB" w:rsidRPr="00DA1AA7" w:rsidDel="00D2222B" w:rsidRDefault="00D53DCB" w:rsidP="006254B5">
            <w:pPr>
              <w:spacing w:after="0" w:line="240" w:lineRule="auto"/>
              <w:jc w:val="center"/>
              <w:rPr>
                <w:rFonts w:ascii="Garamond" w:hAnsi="Garamond"/>
              </w:rPr>
            </w:pPr>
            <w:r>
              <w:rPr>
                <w:rFonts w:ascii="Garamond" w:hAnsi="Garamond"/>
              </w:rPr>
              <w:t>12</w:t>
            </w:r>
          </w:p>
        </w:tc>
        <w:tc>
          <w:tcPr>
            <w:tcW w:w="1109" w:type="dxa"/>
            <w:noWrap/>
            <w:tcMar>
              <w:left w:w="28" w:type="dxa"/>
              <w:right w:w="28" w:type="dxa"/>
            </w:tcMar>
            <w:vAlign w:val="center"/>
          </w:tcPr>
          <w:p w14:paraId="4E5E6CA9" w14:textId="77777777" w:rsidR="00D53DCB" w:rsidRPr="00DA1AA7" w:rsidDel="00D2222B" w:rsidRDefault="00D53DCB" w:rsidP="006254B5">
            <w:pPr>
              <w:spacing w:after="0"/>
              <w:jc w:val="center"/>
              <w:rPr>
                <w:rFonts w:ascii="Garamond" w:hAnsi="Garamond"/>
              </w:rPr>
            </w:pPr>
            <w:r>
              <w:rPr>
                <w:rFonts w:ascii="Garamond" w:hAnsi="Garamond"/>
              </w:rPr>
              <w:t>0.92</w:t>
            </w:r>
          </w:p>
        </w:tc>
      </w:tr>
      <w:tr w:rsidR="00D53DCB" w:rsidRPr="00DA1AA7" w14:paraId="50FEE2D9" w14:textId="77777777" w:rsidTr="006254B5">
        <w:trPr>
          <w:trHeight w:val="602"/>
        </w:trPr>
        <w:tc>
          <w:tcPr>
            <w:tcW w:w="6815" w:type="dxa"/>
            <w:shd w:val="clear" w:color="auto" w:fill="auto"/>
            <w:vAlign w:val="center"/>
          </w:tcPr>
          <w:p w14:paraId="7289EB19" w14:textId="77777777" w:rsidR="00D53DCB" w:rsidRPr="00874BF0" w:rsidRDefault="00D53DCB" w:rsidP="006254B5">
            <w:pPr>
              <w:rPr>
                <w:rFonts w:ascii="Garamond" w:hAnsi="Garamond" w:cs="Calibri"/>
                <w:color w:val="000000"/>
              </w:rPr>
            </w:pPr>
            <w:r w:rsidRPr="00F67B9A">
              <w:rPr>
                <w:rFonts w:ascii="Garamond" w:hAnsi="Garamond" w:cs="Calibri"/>
                <w:color w:val="000000"/>
              </w:rPr>
              <w:t>If you could choose between the following two approaches, which do you think is the better penalty for murder--the death penalty or life imprisonment, with absolutely no possibility of parole?</w:t>
            </w:r>
            <w:r>
              <w:rPr>
                <w:rFonts w:ascii="Garamond" w:hAnsi="Garamond" w:cs="Calibri"/>
                <w:color w:val="000000"/>
              </w:rPr>
              <w:t xml:space="preserve"> (Gallup)</w:t>
            </w:r>
          </w:p>
        </w:tc>
        <w:tc>
          <w:tcPr>
            <w:tcW w:w="633" w:type="dxa"/>
            <w:noWrap/>
            <w:tcMar>
              <w:left w:w="28" w:type="dxa"/>
              <w:right w:w="28" w:type="dxa"/>
            </w:tcMar>
            <w:vAlign w:val="center"/>
          </w:tcPr>
          <w:p w14:paraId="300D161E" w14:textId="77777777" w:rsidR="00D53DCB" w:rsidRPr="00DA1AA7" w:rsidDel="00D2222B" w:rsidRDefault="00D53DCB" w:rsidP="006254B5">
            <w:pPr>
              <w:spacing w:after="0" w:line="240" w:lineRule="auto"/>
              <w:jc w:val="center"/>
              <w:rPr>
                <w:rFonts w:ascii="Garamond" w:hAnsi="Garamond"/>
              </w:rPr>
            </w:pPr>
            <w:r>
              <w:rPr>
                <w:rFonts w:ascii="Garamond" w:hAnsi="Garamond"/>
              </w:rPr>
              <w:t>18</w:t>
            </w:r>
          </w:p>
        </w:tc>
        <w:tc>
          <w:tcPr>
            <w:tcW w:w="1109" w:type="dxa"/>
            <w:noWrap/>
            <w:tcMar>
              <w:left w:w="28" w:type="dxa"/>
              <w:right w:w="28" w:type="dxa"/>
            </w:tcMar>
            <w:vAlign w:val="center"/>
          </w:tcPr>
          <w:p w14:paraId="01165671" w14:textId="77777777" w:rsidR="00D53DCB" w:rsidRPr="00DA1AA7" w:rsidDel="00D2222B" w:rsidRDefault="00D53DCB" w:rsidP="006254B5">
            <w:pPr>
              <w:spacing w:after="0"/>
              <w:jc w:val="center"/>
              <w:rPr>
                <w:rFonts w:ascii="Garamond" w:hAnsi="Garamond"/>
              </w:rPr>
            </w:pPr>
            <w:r>
              <w:rPr>
                <w:rFonts w:ascii="Garamond" w:hAnsi="Garamond"/>
              </w:rPr>
              <w:t>0.92</w:t>
            </w:r>
          </w:p>
        </w:tc>
      </w:tr>
      <w:tr w:rsidR="00D53DCB" w:rsidRPr="00DA1AA7" w14:paraId="7EAF4B9F" w14:textId="77777777" w:rsidTr="006254B5">
        <w:trPr>
          <w:trHeight w:val="369"/>
        </w:trPr>
        <w:tc>
          <w:tcPr>
            <w:tcW w:w="6815" w:type="dxa"/>
            <w:shd w:val="clear" w:color="auto" w:fill="auto"/>
            <w:vAlign w:val="center"/>
          </w:tcPr>
          <w:p w14:paraId="5D5188B5" w14:textId="77777777" w:rsidR="00D53DCB" w:rsidRPr="00874BF0" w:rsidRDefault="00D53DCB" w:rsidP="006254B5">
            <w:pPr>
              <w:rPr>
                <w:rFonts w:ascii="Garamond" w:hAnsi="Garamond" w:cs="Calibri"/>
                <w:color w:val="000000"/>
              </w:rPr>
            </w:pPr>
            <w:r w:rsidRPr="00F67B9A">
              <w:rPr>
                <w:rFonts w:ascii="Garamond" w:hAnsi="Garamond" w:cs="Calibri"/>
                <w:color w:val="000000"/>
              </w:rPr>
              <w:t>Do you feel that the death penalty acts as a deterrent to the commitment of murder--that it lowers the murder rate, or not?</w:t>
            </w:r>
            <w:r>
              <w:rPr>
                <w:rFonts w:ascii="Garamond" w:hAnsi="Garamond" w:cs="Calibri"/>
                <w:color w:val="000000"/>
              </w:rPr>
              <w:t xml:space="preserve"> (Gallup)</w:t>
            </w:r>
          </w:p>
        </w:tc>
        <w:tc>
          <w:tcPr>
            <w:tcW w:w="633" w:type="dxa"/>
            <w:noWrap/>
            <w:tcMar>
              <w:left w:w="28" w:type="dxa"/>
              <w:right w:w="28" w:type="dxa"/>
            </w:tcMar>
            <w:vAlign w:val="center"/>
          </w:tcPr>
          <w:p w14:paraId="1BF65FF2" w14:textId="77777777" w:rsidR="00D53DCB" w:rsidRPr="00DA1AA7" w:rsidRDefault="00D53DCB" w:rsidP="006254B5">
            <w:pPr>
              <w:spacing w:after="0" w:line="240" w:lineRule="auto"/>
              <w:jc w:val="center"/>
              <w:rPr>
                <w:rFonts w:ascii="Garamond" w:hAnsi="Garamond"/>
              </w:rPr>
            </w:pPr>
            <w:r>
              <w:rPr>
                <w:rFonts w:ascii="Garamond" w:hAnsi="Garamond"/>
              </w:rPr>
              <w:t>6</w:t>
            </w:r>
          </w:p>
        </w:tc>
        <w:tc>
          <w:tcPr>
            <w:tcW w:w="1109" w:type="dxa"/>
            <w:noWrap/>
            <w:tcMar>
              <w:left w:w="28" w:type="dxa"/>
              <w:right w:w="28" w:type="dxa"/>
            </w:tcMar>
            <w:vAlign w:val="center"/>
          </w:tcPr>
          <w:p w14:paraId="55CB98BC" w14:textId="77777777" w:rsidR="00D53DCB" w:rsidRPr="00DA1AA7" w:rsidRDefault="00D53DCB" w:rsidP="006254B5">
            <w:pPr>
              <w:spacing w:after="0"/>
              <w:jc w:val="center"/>
              <w:rPr>
                <w:rFonts w:ascii="Garamond" w:hAnsi="Garamond"/>
              </w:rPr>
            </w:pPr>
            <w:r>
              <w:rPr>
                <w:rFonts w:ascii="Garamond" w:hAnsi="Garamond"/>
              </w:rPr>
              <w:t>0.90</w:t>
            </w:r>
          </w:p>
        </w:tc>
      </w:tr>
      <w:tr w:rsidR="00D53DCB" w:rsidRPr="00DA1AA7" w14:paraId="32EA6079" w14:textId="77777777" w:rsidTr="006254B5">
        <w:trPr>
          <w:trHeight w:val="361"/>
        </w:trPr>
        <w:tc>
          <w:tcPr>
            <w:tcW w:w="6815" w:type="dxa"/>
            <w:shd w:val="clear" w:color="auto" w:fill="auto"/>
            <w:vAlign w:val="center"/>
          </w:tcPr>
          <w:p w14:paraId="25F4FF1C" w14:textId="77777777" w:rsidR="00D53DCB" w:rsidRPr="00874BF0" w:rsidRDefault="00D53DCB" w:rsidP="006254B5">
            <w:pPr>
              <w:rPr>
                <w:rFonts w:ascii="Garamond" w:hAnsi="Garamond" w:cs="Calibri"/>
                <w:color w:val="000000"/>
              </w:rPr>
            </w:pPr>
            <w:r w:rsidRPr="00807EE6">
              <w:rPr>
                <w:rFonts w:ascii="Garamond" w:hAnsi="Garamond" w:cs="Calibri"/>
                <w:color w:val="000000"/>
              </w:rPr>
              <w:lastRenderedPageBreak/>
              <w:t>In your opinion, is the death penalty imposed -- too often, about the right amount, or not often enough?</w:t>
            </w:r>
            <w:r>
              <w:rPr>
                <w:rFonts w:ascii="Garamond" w:hAnsi="Garamond" w:cs="Calibri"/>
                <w:color w:val="000000"/>
              </w:rPr>
              <w:t xml:space="preserve"> (Gallup)</w:t>
            </w:r>
          </w:p>
        </w:tc>
        <w:tc>
          <w:tcPr>
            <w:tcW w:w="633" w:type="dxa"/>
            <w:noWrap/>
            <w:tcMar>
              <w:left w:w="28" w:type="dxa"/>
              <w:right w:w="28" w:type="dxa"/>
            </w:tcMar>
            <w:vAlign w:val="center"/>
          </w:tcPr>
          <w:p w14:paraId="42EBA1D3" w14:textId="77777777" w:rsidR="00D53DCB" w:rsidRPr="00DA1AA7" w:rsidRDefault="00D53DCB" w:rsidP="006254B5">
            <w:pPr>
              <w:spacing w:after="0" w:line="240" w:lineRule="auto"/>
              <w:jc w:val="center"/>
              <w:rPr>
                <w:rFonts w:ascii="Garamond" w:hAnsi="Garamond"/>
              </w:rPr>
            </w:pPr>
            <w:r>
              <w:rPr>
                <w:rFonts w:ascii="Garamond" w:hAnsi="Garamond"/>
              </w:rPr>
              <w:t>16</w:t>
            </w:r>
          </w:p>
        </w:tc>
        <w:tc>
          <w:tcPr>
            <w:tcW w:w="1109" w:type="dxa"/>
            <w:noWrap/>
            <w:tcMar>
              <w:left w:w="28" w:type="dxa"/>
              <w:right w:w="28" w:type="dxa"/>
            </w:tcMar>
            <w:vAlign w:val="center"/>
          </w:tcPr>
          <w:p w14:paraId="64ABEE85" w14:textId="77777777" w:rsidR="00D53DCB" w:rsidRPr="00DA1AA7" w:rsidRDefault="00D53DCB" w:rsidP="006254B5">
            <w:pPr>
              <w:spacing w:after="0"/>
              <w:jc w:val="center"/>
              <w:rPr>
                <w:rFonts w:ascii="Garamond" w:hAnsi="Garamond"/>
              </w:rPr>
            </w:pPr>
            <w:r>
              <w:rPr>
                <w:rFonts w:ascii="Garamond" w:hAnsi="Garamond"/>
              </w:rPr>
              <w:t>0.90</w:t>
            </w:r>
          </w:p>
        </w:tc>
      </w:tr>
      <w:tr w:rsidR="00D53DCB" w:rsidRPr="00DA1AA7" w14:paraId="6554745A" w14:textId="77777777" w:rsidTr="006254B5">
        <w:trPr>
          <w:trHeight w:val="361"/>
        </w:trPr>
        <w:tc>
          <w:tcPr>
            <w:tcW w:w="6815" w:type="dxa"/>
            <w:shd w:val="clear" w:color="auto" w:fill="auto"/>
            <w:vAlign w:val="center"/>
          </w:tcPr>
          <w:p w14:paraId="6483DAF8" w14:textId="77777777" w:rsidR="00D53DCB" w:rsidRPr="00807EE6" w:rsidRDefault="00D53DCB" w:rsidP="006254B5">
            <w:pPr>
              <w:rPr>
                <w:rFonts w:ascii="Garamond" w:hAnsi="Garamond" w:cs="Calibri"/>
                <w:color w:val="000000"/>
              </w:rPr>
            </w:pPr>
            <w:r w:rsidRPr="00861EFC">
              <w:rPr>
                <w:rFonts w:ascii="Garamond" w:hAnsi="Garamond" w:cs="Calibri"/>
                <w:color w:val="000000"/>
              </w:rPr>
              <w:t xml:space="preserve">Do you favor or oppose the death penalty for individuals convicted of serious crimes such as murder? </w:t>
            </w:r>
            <w:r>
              <w:rPr>
                <w:rFonts w:ascii="Garamond" w:hAnsi="Garamond" w:cs="Calibri"/>
                <w:color w:val="000000"/>
              </w:rPr>
              <w:t>(Time)</w:t>
            </w:r>
          </w:p>
        </w:tc>
        <w:tc>
          <w:tcPr>
            <w:tcW w:w="633" w:type="dxa"/>
            <w:noWrap/>
            <w:tcMar>
              <w:left w:w="28" w:type="dxa"/>
              <w:right w:w="28" w:type="dxa"/>
            </w:tcMar>
            <w:vAlign w:val="center"/>
          </w:tcPr>
          <w:p w14:paraId="31745434" w14:textId="77777777" w:rsidR="00D53DCB" w:rsidRDefault="00D53DCB" w:rsidP="006254B5">
            <w:pPr>
              <w:spacing w:after="0" w:line="240" w:lineRule="auto"/>
              <w:jc w:val="center"/>
              <w:rPr>
                <w:rFonts w:ascii="Garamond" w:hAnsi="Garamond"/>
              </w:rPr>
            </w:pPr>
            <w:r>
              <w:rPr>
                <w:rFonts w:ascii="Garamond" w:hAnsi="Garamond"/>
              </w:rPr>
              <w:t>6</w:t>
            </w:r>
          </w:p>
        </w:tc>
        <w:tc>
          <w:tcPr>
            <w:tcW w:w="1109" w:type="dxa"/>
            <w:noWrap/>
            <w:tcMar>
              <w:left w:w="28" w:type="dxa"/>
              <w:right w:w="28" w:type="dxa"/>
            </w:tcMar>
            <w:vAlign w:val="center"/>
          </w:tcPr>
          <w:p w14:paraId="56CF2F3F" w14:textId="77777777" w:rsidR="00D53DCB" w:rsidRDefault="00D53DCB" w:rsidP="006254B5">
            <w:pPr>
              <w:spacing w:after="0"/>
              <w:jc w:val="center"/>
              <w:rPr>
                <w:rFonts w:ascii="Garamond" w:hAnsi="Garamond"/>
              </w:rPr>
            </w:pPr>
            <w:r>
              <w:rPr>
                <w:rFonts w:ascii="Garamond" w:hAnsi="Garamond"/>
              </w:rPr>
              <w:t>0.90</w:t>
            </w:r>
          </w:p>
        </w:tc>
      </w:tr>
      <w:tr w:rsidR="00D53DCB" w:rsidRPr="00DA1AA7" w14:paraId="21EB9ADC" w14:textId="77777777" w:rsidTr="006254B5">
        <w:trPr>
          <w:trHeight w:val="361"/>
        </w:trPr>
        <w:tc>
          <w:tcPr>
            <w:tcW w:w="6815" w:type="dxa"/>
            <w:shd w:val="clear" w:color="auto" w:fill="auto"/>
            <w:vAlign w:val="center"/>
          </w:tcPr>
          <w:p w14:paraId="7400932F" w14:textId="77777777" w:rsidR="00D53DCB" w:rsidRPr="00807EE6" w:rsidRDefault="00D53DCB" w:rsidP="006254B5">
            <w:pPr>
              <w:rPr>
                <w:rFonts w:ascii="Garamond" w:hAnsi="Garamond" w:cs="Calibri"/>
                <w:color w:val="000000"/>
              </w:rPr>
            </w:pPr>
            <w:r w:rsidRPr="00861EFC">
              <w:rPr>
                <w:rFonts w:ascii="Garamond" w:hAnsi="Garamond" w:cs="Calibri"/>
                <w:color w:val="000000"/>
              </w:rPr>
              <w:t xml:space="preserve">We are faced with many problems in this country, none of which can be solved easily or inexpensively. I'm going to name some of these problems, and for each one I'd like you to tell me whether you think we're spending too much money on it, too little money, or about the right amount. . . . are we spending too much, too little, or about the right amount on </w:t>
            </w:r>
            <w:r>
              <w:rPr>
                <w:rFonts w:ascii="Garamond" w:hAnsi="Garamond" w:cs="Calibri"/>
                <w:color w:val="000000"/>
              </w:rPr>
              <w:t>law enforcement</w:t>
            </w:r>
            <w:r w:rsidRPr="00861EFC">
              <w:rPr>
                <w:rFonts w:ascii="Garamond" w:hAnsi="Garamond" w:cs="Calibri"/>
                <w:color w:val="000000"/>
              </w:rPr>
              <w:t xml:space="preserve">? </w:t>
            </w:r>
            <w:r>
              <w:rPr>
                <w:rFonts w:ascii="Garamond" w:hAnsi="Garamond" w:cs="Calibri"/>
                <w:color w:val="000000"/>
              </w:rPr>
              <w:t>(GSS)</w:t>
            </w:r>
          </w:p>
        </w:tc>
        <w:tc>
          <w:tcPr>
            <w:tcW w:w="633" w:type="dxa"/>
            <w:noWrap/>
            <w:tcMar>
              <w:left w:w="28" w:type="dxa"/>
              <w:right w:w="28" w:type="dxa"/>
            </w:tcMar>
            <w:vAlign w:val="center"/>
          </w:tcPr>
          <w:p w14:paraId="551B60E4" w14:textId="77777777" w:rsidR="00D53DCB" w:rsidRDefault="00D53DCB" w:rsidP="006254B5">
            <w:pPr>
              <w:spacing w:after="0" w:line="240" w:lineRule="auto"/>
              <w:jc w:val="center"/>
              <w:rPr>
                <w:rFonts w:ascii="Garamond" w:hAnsi="Garamond"/>
              </w:rPr>
            </w:pPr>
            <w:r>
              <w:rPr>
                <w:rFonts w:ascii="Garamond" w:hAnsi="Garamond"/>
              </w:rPr>
              <w:t>22</w:t>
            </w:r>
          </w:p>
        </w:tc>
        <w:tc>
          <w:tcPr>
            <w:tcW w:w="1109" w:type="dxa"/>
            <w:noWrap/>
            <w:tcMar>
              <w:left w:w="28" w:type="dxa"/>
              <w:right w:w="28" w:type="dxa"/>
            </w:tcMar>
            <w:vAlign w:val="center"/>
          </w:tcPr>
          <w:p w14:paraId="1660FD8C" w14:textId="77777777" w:rsidR="00D53DCB" w:rsidRDefault="00D53DCB" w:rsidP="006254B5">
            <w:pPr>
              <w:spacing w:after="0"/>
              <w:jc w:val="center"/>
              <w:rPr>
                <w:rFonts w:ascii="Garamond" w:hAnsi="Garamond"/>
              </w:rPr>
            </w:pPr>
            <w:r>
              <w:rPr>
                <w:rFonts w:ascii="Garamond" w:hAnsi="Garamond"/>
              </w:rPr>
              <w:t>0.86</w:t>
            </w:r>
          </w:p>
        </w:tc>
      </w:tr>
      <w:tr w:rsidR="00D53DCB" w:rsidRPr="00DA1AA7" w14:paraId="78D60040" w14:textId="77777777" w:rsidTr="006254B5">
        <w:trPr>
          <w:trHeight w:val="361"/>
        </w:trPr>
        <w:tc>
          <w:tcPr>
            <w:tcW w:w="6815" w:type="dxa"/>
            <w:shd w:val="clear" w:color="auto" w:fill="auto"/>
            <w:vAlign w:val="center"/>
          </w:tcPr>
          <w:p w14:paraId="66A0A9D5" w14:textId="77777777" w:rsidR="00D53DCB" w:rsidRPr="00807EE6" w:rsidRDefault="00D53DCB" w:rsidP="006254B5">
            <w:pPr>
              <w:rPr>
                <w:rFonts w:ascii="Garamond" w:hAnsi="Garamond" w:cs="Calibri"/>
                <w:color w:val="000000"/>
              </w:rPr>
            </w:pPr>
            <w:r>
              <w:rPr>
                <w:rFonts w:ascii="Garamond" w:hAnsi="Garamond" w:cs="Calibri"/>
                <w:color w:val="000000"/>
              </w:rPr>
              <w:t>In general, do you think the courts in this area deal too harshly or not harshly enough with criminals</w:t>
            </w:r>
            <w:r w:rsidRPr="00861EFC">
              <w:rPr>
                <w:rFonts w:ascii="Garamond" w:hAnsi="Garamond" w:cs="Calibri"/>
                <w:color w:val="000000"/>
              </w:rPr>
              <w:t xml:space="preserve">? </w:t>
            </w:r>
            <w:r>
              <w:rPr>
                <w:rFonts w:ascii="Garamond" w:hAnsi="Garamond" w:cs="Calibri"/>
                <w:color w:val="000000"/>
              </w:rPr>
              <w:t>(Gallup)</w:t>
            </w:r>
          </w:p>
        </w:tc>
        <w:tc>
          <w:tcPr>
            <w:tcW w:w="633" w:type="dxa"/>
            <w:noWrap/>
            <w:tcMar>
              <w:left w:w="28" w:type="dxa"/>
              <w:right w:w="28" w:type="dxa"/>
            </w:tcMar>
            <w:vAlign w:val="center"/>
          </w:tcPr>
          <w:p w14:paraId="3CA04E42" w14:textId="77777777" w:rsidR="00D53DCB" w:rsidRDefault="00D53DCB" w:rsidP="006254B5">
            <w:pPr>
              <w:spacing w:after="0" w:line="240" w:lineRule="auto"/>
              <w:jc w:val="center"/>
              <w:rPr>
                <w:rFonts w:ascii="Garamond" w:hAnsi="Garamond"/>
              </w:rPr>
            </w:pPr>
            <w:r>
              <w:rPr>
                <w:rFonts w:ascii="Garamond" w:hAnsi="Garamond"/>
              </w:rPr>
              <w:t>6</w:t>
            </w:r>
          </w:p>
        </w:tc>
        <w:tc>
          <w:tcPr>
            <w:tcW w:w="1109" w:type="dxa"/>
            <w:noWrap/>
            <w:tcMar>
              <w:left w:w="28" w:type="dxa"/>
              <w:right w:w="28" w:type="dxa"/>
            </w:tcMar>
            <w:vAlign w:val="center"/>
          </w:tcPr>
          <w:p w14:paraId="6CE719CF" w14:textId="77777777" w:rsidR="00D53DCB" w:rsidRDefault="00D53DCB" w:rsidP="006254B5">
            <w:pPr>
              <w:spacing w:after="0"/>
              <w:jc w:val="center"/>
              <w:rPr>
                <w:rFonts w:ascii="Garamond" w:hAnsi="Garamond"/>
              </w:rPr>
            </w:pPr>
            <w:r>
              <w:rPr>
                <w:rFonts w:ascii="Garamond" w:hAnsi="Garamond"/>
              </w:rPr>
              <w:t>0.83</w:t>
            </w:r>
          </w:p>
        </w:tc>
      </w:tr>
      <w:tr w:rsidR="00D53DCB" w:rsidRPr="00DA1AA7" w14:paraId="7FB8BC4D" w14:textId="77777777" w:rsidTr="006254B5">
        <w:trPr>
          <w:trHeight w:val="361"/>
        </w:trPr>
        <w:tc>
          <w:tcPr>
            <w:tcW w:w="6815" w:type="dxa"/>
            <w:shd w:val="clear" w:color="auto" w:fill="auto"/>
            <w:vAlign w:val="center"/>
          </w:tcPr>
          <w:p w14:paraId="44D48060" w14:textId="77777777" w:rsidR="00D53DCB" w:rsidRPr="00807EE6" w:rsidRDefault="00D53DCB" w:rsidP="006254B5">
            <w:pPr>
              <w:rPr>
                <w:rFonts w:ascii="Garamond" w:hAnsi="Garamond" w:cs="Calibri"/>
                <w:color w:val="000000"/>
              </w:rPr>
            </w:pPr>
            <w:r w:rsidRPr="00861EFC">
              <w:rPr>
                <w:rFonts w:ascii="Garamond" w:hAnsi="Garamond" w:cs="Calibri"/>
                <w:color w:val="000000"/>
              </w:rPr>
              <w:t xml:space="preserve">In general, do you think the courts in this area deal too harshly or not harshly enough with criminals? </w:t>
            </w:r>
            <w:r>
              <w:rPr>
                <w:rFonts w:ascii="Garamond" w:hAnsi="Garamond" w:cs="Calibri"/>
                <w:color w:val="000000"/>
              </w:rPr>
              <w:t>(GSS)</w:t>
            </w:r>
          </w:p>
        </w:tc>
        <w:tc>
          <w:tcPr>
            <w:tcW w:w="633" w:type="dxa"/>
            <w:noWrap/>
            <w:tcMar>
              <w:left w:w="28" w:type="dxa"/>
              <w:right w:w="28" w:type="dxa"/>
            </w:tcMar>
            <w:vAlign w:val="center"/>
          </w:tcPr>
          <w:p w14:paraId="274DB6B9" w14:textId="77777777" w:rsidR="00D53DCB" w:rsidRDefault="00D53DCB" w:rsidP="006254B5">
            <w:pPr>
              <w:spacing w:after="0" w:line="240" w:lineRule="auto"/>
              <w:jc w:val="center"/>
              <w:rPr>
                <w:rFonts w:ascii="Garamond" w:hAnsi="Garamond"/>
              </w:rPr>
            </w:pPr>
            <w:r>
              <w:rPr>
                <w:rFonts w:ascii="Garamond" w:hAnsi="Garamond"/>
              </w:rPr>
              <w:t>32</w:t>
            </w:r>
          </w:p>
        </w:tc>
        <w:tc>
          <w:tcPr>
            <w:tcW w:w="1109" w:type="dxa"/>
            <w:noWrap/>
            <w:tcMar>
              <w:left w:w="28" w:type="dxa"/>
              <w:right w:w="28" w:type="dxa"/>
            </w:tcMar>
            <w:vAlign w:val="center"/>
          </w:tcPr>
          <w:p w14:paraId="6B67947F" w14:textId="77777777" w:rsidR="00D53DCB" w:rsidRDefault="00D53DCB" w:rsidP="006254B5">
            <w:pPr>
              <w:spacing w:after="0"/>
              <w:jc w:val="center"/>
              <w:rPr>
                <w:rFonts w:ascii="Garamond" w:hAnsi="Garamond"/>
              </w:rPr>
            </w:pPr>
            <w:r>
              <w:rPr>
                <w:rFonts w:ascii="Garamond" w:hAnsi="Garamond"/>
              </w:rPr>
              <w:t>0.82</w:t>
            </w:r>
          </w:p>
        </w:tc>
      </w:tr>
      <w:tr w:rsidR="00D53DCB" w:rsidRPr="00DA1AA7" w14:paraId="05EBB3BA" w14:textId="77777777" w:rsidTr="006254B5">
        <w:trPr>
          <w:trHeight w:val="361"/>
        </w:trPr>
        <w:tc>
          <w:tcPr>
            <w:tcW w:w="6815" w:type="dxa"/>
            <w:shd w:val="clear" w:color="auto" w:fill="auto"/>
            <w:vAlign w:val="center"/>
          </w:tcPr>
          <w:p w14:paraId="6D1CD307" w14:textId="77777777" w:rsidR="00D53DCB" w:rsidRPr="00807EE6" w:rsidRDefault="00D53DCB" w:rsidP="006254B5">
            <w:pPr>
              <w:rPr>
                <w:rFonts w:ascii="Garamond" w:hAnsi="Garamond" w:cs="Calibri"/>
                <w:color w:val="000000"/>
              </w:rPr>
            </w:pPr>
            <w:r w:rsidRPr="00292629">
              <w:rPr>
                <w:rFonts w:ascii="Garamond" w:hAnsi="Garamond" w:cs="Calibri"/>
                <w:color w:val="000000"/>
              </w:rPr>
              <w:t xml:space="preserve">Which of the following approaches to lowering the crime rate in the United States comes closer to your own view--do you think more money and effort should go to attacking the social and economic problems that lead to crime through better education and job training or more money and effort should go to deterring crime by improving law enforcement with more prisons, police, and judges? </w:t>
            </w:r>
            <w:r>
              <w:rPr>
                <w:rFonts w:ascii="Garamond" w:hAnsi="Garamond" w:cs="Calibri"/>
                <w:color w:val="000000"/>
              </w:rPr>
              <w:t>(Gallup)</w:t>
            </w:r>
          </w:p>
        </w:tc>
        <w:tc>
          <w:tcPr>
            <w:tcW w:w="633" w:type="dxa"/>
            <w:noWrap/>
            <w:tcMar>
              <w:left w:w="28" w:type="dxa"/>
              <w:right w:w="28" w:type="dxa"/>
            </w:tcMar>
            <w:vAlign w:val="center"/>
          </w:tcPr>
          <w:p w14:paraId="05D89388" w14:textId="77777777" w:rsidR="00D53DCB" w:rsidRDefault="00D53DCB" w:rsidP="006254B5">
            <w:pPr>
              <w:spacing w:after="0" w:line="240" w:lineRule="auto"/>
              <w:jc w:val="center"/>
              <w:rPr>
                <w:rFonts w:ascii="Garamond" w:hAnsi="Garamond"/>
              </w:rPr>
            </w:pPr>
            <w:r>
              <w:rPr>
                <w:rFonts w:ascii="Garamond" w:hAnsi="Garamond"/>
              </w:rPr>
              <w:t>5</w:t>
            </w:r>
          </w:p>
        </w:tc>
        <w:tc>
          <w:tcPr>
            <w:tcW w:w="1109" w:type="dxa"/>
            <w:noWrap/>
            <w:tcMar>
              <w:left w:w="28" w:type="dxa"/>
              <w:right w:w="28" w:type="dxa"/>
            </w:tcMar>
            <w:vAlign w:val="center"/>
          </w:tcPr>
          <w:p w14:paraId="60A06FBE" w14:textId="77777777" w:rsidR="00D53DCB" w:rsidRDefault="00D53DCB" w:rsidP="006254B5">
            <w:pPr>
              <w:spacing w:after="0"/>
              <w:jc w:val="center"/>
              <w:rPr>
                <w:rFonts w:ascii="Garamond" w:hAnsi="Garamond"/>
              </w:rPr>
            </w:pPr>
            <w:r>
              <w:rPr>
                <w:rFonts w:ascii="Garamond" w:hAnsi="Garamond"/>
              </w:rPr>
              <w:t>0.75</w:t>
            </w:r>
          </w:p>
        </w:tc>
      </w:tr>
      <w:tr w:rsidR="00D53DCB" w:rsidRPr="00DA1AA7" w14:paraId="71CE4663" w14:textId="77777777" w:rsidTr="006254B5">
        <w:trPr>
          <w:trHeight w:val="361"/>
        </w:trPr>
        <w:tc>
          <w:tcPr>
            <w:tcW w:w="6815" w:type="dxa"/>
            <w:shd w:val="clear" w:color="auto" w:fill="auto"/>
            <w:vAlign w:val="center"/>
          </w:tcPr>
          <w:p w14:paraId="3E5AA908" w14:textId="77777777" w:rsidR="00D53DCB" w:rsidRPr="00807EE6" w:rsidRDefault="00D53DCB" w:rsidP="006254B5">
            <w:pPr>
              <w:rPr>
                <w:rFonts w:ascii="Garamond" w:hAnsi="Garamond" w:cs="Calibri"/>
                <w:color w:val="000000"/>
              </w:rPr>
            </w:pPr>
            <w:r w:rsidRPr="00953382">
              <w:rPr>
                <w:rFonts w:ascii="Garamond" w:hAnsi="Garamond" w:cs="Calibri"/>
                <w:color w:val="000000"/>
              </w:rPr>
              <w:t xml:space="preserve">Generally speaking, do you believe the death penalty is applied fairly or unfairly in this country today? </w:t>
            </w:r>
            <w:r>
              <w:rPr>
                <w:rFonts w:ascii="Garamond" w:hAnsi="Garamond" w:cs="Calibri"/>
                <w:color w:val="000000"/>
              </w:rPr>
              <w:t>(Gallup)</w:t>
            </w:r>
          </w:p>
        </w:tc>
        <w:tc>
          <w:tcPr>
            <w:tcW w:w="633" w:type="dxa"/>
            <w:noWrap/>
            <w:tcMar>
              <w:left w:w="28" w:type="dxa"/>
              <w:right w:w="28" w:type="dxa"/>
            </w:tcMar>
            <w:vAlign w:val="center"/>
          </w:tcPr>
          <w:p w14:paraId="3713762B" w14:textId="77777777" w:rsidR="00D53DCB" w:rsidRDefault="00D53DCB" w:rsidP="006254B5">
            <w:pPr>
              <w:spacing w:after="0" w:line="240" w:lineRule="auto"/>
              <w:jc w:val="center"/>
              <w:rPr>
                <w:rFonts w:ascii="Garamond" w:hAnsi="Garamond"/>
              </w:rPr>
            </w:pPr>
            <w:r>
              <w:rPr>
                <w:rFonts w:ascii="Garamond" w:hAnsi="Garamond"/>
              </w:rPr>
              <w:t>17</w:t>
            </w:r>
          </w:p>
        </w:tc>
        <w:tc>
          <w:tcPr>
            <w:tcW w:w="1109" w:type="dxa"/>
            <w:noWrap/>
            <w:tcMar>
              <w:left w:w="28" w:type="dxa"/>
              <w:right w:w="28" w:type="dxa"/>
            </w:tcMar>
            <w:vAlign w:val="center"/>
          </w:tcPr>
          <w:p w14:paraId="00A9166F" w14:textId="77777777" w:rsidR="00D53DCB" w:rsidRDefault="00D53DCB" w:rsidP="006254B5">
            <w:pPr>
              <w:spacing w:after="0"/>
              <w:jc w:val="center"/>
              <w:rPr>
                <w:rFonts w:ascii="Garamond" w:hAnsi="Garamond"/>
              </w:rPr>
            </w:pPr>
            <w:r>
              <w:rPr>
                <w:rFonts w:ascii="Garamond" w:hAnsi="Garamond"/>
              </w:rPr>
              <w:t>0.73</w:t>
            </w:r>
          </w:p>
        </w:tc>
      </w:tr>
      <w:tr w:rsidR="00D53DCB" w:rsidRPr="00DA1AA7" w14:paraId="47C9BA10" w14:textId="77777777" w:rsidTr="006254B5">
        <w:trPr>
          <w:trHeight w:val="361"/>
        </w:trPr>
        <w:tc>
          <w:tcPr>
            <w:tcW w:w="6815" w:type="dxa"/>
            <w:shd w:val="clear" w:color="auto" w:fill="auto"/>
            <w:vAlign w:val="center"/>
          </w:tcPr>
          <w:p w14:paraId="116F284C" w14:textId="77777777" w:rsidR="00D53DCB" w:rsidRPr="00807EE6" w:rsidRDefault="00D53DCB" w:rsidP="006254B5">
            <w:pPr>
              <w:rPr>
                <w:rFonts w:ascii="Garamond" w:hAnsi="Garamond" w:cs="Calibri"/>
                <w:color w:val="000000"/>
              </w:rPr>
            </w:pPr>
            <w:r w:rsidRPr="00953382">
              <w:rPr>
                <w:rFonts w:ascii="Garamond" w:hAnsi="Garamond" w:cs="Calibri"/>
                <w:color w:val="000000"/>
              </w:rPr>
              <w:t xml:space="preserve">Do you believe in capital punishment (death penalty) or are you opposed to it? </w:t>
            </w:r>
            <w:r>
              <w:rPr>
                <w:rFonts w:ascii="Garamond" w:hAnsi="Garamond" w:cs="Calibri"/>
                <w:color w:val="000000"/>
              </w:rPr>
              <w:t>(Harris)</w:t>
            </w:r>
          </w:p>
        </w:tc>
        <w:tc>
          <w:tcPr>
            <w:tcW w:w="633" w:type="dxa"/>
            <w:noWrap/>
            <w:tcMar>
              <w:left w:w="28" w:type="dxa"/>
              <w:right w:w="28" w:type="dxa"/>
            </w:tcMar>
            <w:vAlign w:val="center"/>
          </w:tcPr>
          <w:p w14:paraId="7069B303" w14:textId="77777777" w:rsidR="00D53DCB" w:rsidRDefault="00D53DCB" w:rsidP="006254B5">
            <w:pPr>
              <w:spacing w:after="0" w:line="240" w:lineRule="auto"/>
              <w:jc w:val="center"/>
              <w:rPr>
                <w:rFonts w:ascii="Garamond" w:hAnsi="Garamond"/>
              </w:rPr>
            </w:pPr>
            <w:r>
              <w:rPr>
                <w:rFonts w:ascii="Garamond" w:hAnsi="Garamond"/>
              </w:rPr>
              <w:t>8</w:t>
            </w:r>
          </w:p>
        </w:tc>
        <w:tc>
          <w:tcPr>
            <w:tcW w:w="1109" w:type="dxa"/>
            <w:noWrap/>
            <w:tcMar>
              <w:left w:w="28" w:type="dxa"/>
              <w:right w:w="28" w:type="dxa"/>
            </w:tcMar>
            <w:vAlign w:val="center"/>
          </w:tcPr>
          <w:p w14:paraId="22057E44" w14:textId="77777777" w:rsidR="00D53DCB" w:rsidRDefault="00D53DCB" w:rsidP="006254B5">
            <w:pPr>
              <w:spacing w:after="0"/>
              <w:jc w:val="center"/>
              <w:rPr>
                <w:rFonts w:ascii="Garamond" w:hAnsi="Garamond"/>
              </w:rPr>
            </w:pPr>
            <w:r>
              <w:rPr>
                <w:rFonts w:ascii="Garamond" w:hAnsi="Garamond"/>
              </w:rPr>
              <w:t>0.66</w:t>
            </w:r>
          </w:p>
        </w:tc>
      </w:tr>
      <w:tr w:rsidR="00D53DCB" w:rsidRPr="00DA1AA7" w14:paraId="09631A7C" w14:textId="77777777" w:rsidTr="006254B5">
        <w:trPr>
          <w:trHeight w:val="361"/>
        </w:trPr>
        <w:tc>
          <w:tcPr>
            <w:tcW w:w="6815" w:type="dxa"/>
            <w:shd w:val="clear" w:color="auto" w:fill="auto"/>
            <w:vAlign w:val="center"/>
          </w:tcPr>
          <w:p w14:paraId="20F3DCF8" w14:textId="77777777" w:rsidR="00D53DCB" w:rsidRPr="00807EE6" w:rsidRDefault="00D53DCB" w:rsidP="006254B5">
            <w:pPr>
              <w:rPr>
                <w:rFonts w:ascii="Garamond" w:hAnsi="Garamond" w:cs="Calibri"/>
                <w:color w:val="000000"/>
              </w:rPr>
            </w:pPr>
            <w:r w:rsidRPr="00953382">
              <w:rPr>
                <w:rFonts w:ascii="Garamond" w:hAnsi="Garamond" w:cs="Calibri"/>
                <w:color w:val="000000"/>
              </w:rPr>
              <w:t xml:space="preserve">(Frequently on any controversial issue there is no clear cut side that people take, and also frequently solutions on controversial issues are worked out by compromise. But I'm going to name some different things, and for each one would you tell me whether on balance you would be more in favor of it, or more opposed to it?)...Harsher prison sentences for those convicted of crimes </w:t>
            </w:r>
            <w:r>
              <w:rPr>
                <w:rFonts w:ascii="Garamond" w:hAnsi="Garamond" w:cs="Calibri"/>
                <w:color w:val="000000"/>
              </w:rPr>
              <w:t>(Roper)</w:t>
            </w:r>
          </w:p>
        </w:tc>
        <w:tc>
          <w:tcPr>
            <w:tcW w:w="633" w:type="dxa"/>
            <w:noWrap/>
            <w:tcMar>
              <w:left w:w="28" w:type="dxa"/>
              <w:right w:w="28" w:type="dxa"/>
            </w:tcMar>
            <w:vAlign w:val="center"/>
          </w:tcPr>
          <w:p w14:paraId="4670D1D0" w14:textId="77777777" w:rsidR="00D53DCB" w:rsidRDefault="00D53DCB" w:rsidP="006254B5">
            <w:pPr>
              <w:spacing w:after="0" w:line="240" w:lineRule="auto"/>
              <w:jc w:val="center"/>
              <w:rPr>
                <w:rFonts w:ascii="Garamond" w:hAnsi="Garamond"/>
              </w:rPr>
            </w:pPr>
            <w:r>
              <w:rPr>
                <w:rFonts w:ascii="Garamond" w:hAnsi="Garamond"/>
              </w:rPr>
              <w:t>3</w:t>
            </w:r>
          </w:p>
        </w:tc>
        <w:tc>
          <w:tcPr>
            <w:tcW w:w="1109" w:type="dxa"/>
            <w:noWrap/>
            <w:tcMar>
              <w:left w:w="28" w:type="dxa"/>
              <w:right w:w="28" w:type="dxa"/>
            </w:tcMar>
            <w:vAlign w:val="center"/>
          </w:tcPr>
          <w:p w14:paraId="712DE97B" w14:textId="77777777" w:rsidR="00D53DCB" w:rsidRDefault="00D53DCB" w:rsidP="006254B5">
            <w:pPr>
              <w:spacing w:after="0"/>
              <w:jc w:val="center"/>
              <w:rPr>
                <w:rFonts w:ascii="Garamond" w:hAnsi="Garamond"/>
              </w:rPr>
            </w:pPr>
            <w:r>
              <w:rPr>
                <w:rFonts w:ascii="Garamond" w:hAnsi="Garamond"/>
              </w:rPr>
              <w:t>0.62</w:t>
            </w:r>
          </w:p>
        </w:tc>
      </w:tr>
      <w:tr w:rsidR="00D53DCB" w:rsidRPr="00DA1AA7" w14:paraId="27AE38B3" w14:textId="77777777" w:rsidTr="006254B5">
        <w:trPr>
          <w:trHeight w:val="361"/>
        </w:trPr>
        <w:tc>
          <w:tcPr>
            <w:tcW w:w="6815" w:type="dxa"/>
            <w:shd w:val="clear" w:color="auto" w:fill="auto"/>
            <w:vAlign w:val="center"/>
          </w:tcPr>
          <w:p w14:paraId="39FBB1D5" w14:textId="77777777" w:rsidR="00D53DCB" w:rsidRPr="00807EE6" w:rsidRDefault="00D53DCB" w:rsidP="006254B5">
            <w:pPr>
              <w:rPr>
                <w:rFonts w:ascii="Garamond" w:hAnsi="Garamond" w:cs="Calibri"/>
                <w:color w:val="000000"/>
              </w:rPr>
            </w:pPr>
            <w:r w:rsidRPr="00953382">
              <w:rPr>
                <w:rFonts w:ascii="Garamond" w:hAnsi="Garamond" w:cs="Calibri"/>
                <w:color w:val="000000"/>
              </w:rPr>
              <w:t>If you had a say in making up the federal budget this year, for which</w:t>
            </w:r>
            <w:r>
              <w:rPr>
                <w:rFonts w:ascii="Garamond" w:hAnsi="Garamond" w:cs="Calibri"/>
                <w:color w:val="000000"/>
              </w:rPr>
              <w:t xml:space="preserve"> </w:t>
            </w:r>
            <w:r w:rsidRPr="00953382">
              <w:rPr>
                <w:rFonts w:ascii="Garamond" w:hAnsi="Garamond" w:cs="Calibri"/>
                <w:color w:val="000000"/>
              </w:rPr>
              <w:t>(1986 AND LATER: of the following) programs would you like to see</w:t>
            </w:r>
            <w:r>
              <w:rPr>
                <w:rFonts w:ascii="Garamond" w:hAnsi="Garamond" w:cs="Calibri"/>
                <w:color w:val="000000"/>
              </w:rPr>
              <w:t xml:space="preserve"> </w:t>
            </w:r>
            <w:r w:rsidRPr="00953382">
              <w:rPr>
                <w:rFonts w:ascii="Garamond" w:hAnsi="Garamond" w:cs="Calibri"/>
                <w:color w:val="000000"/>
              </w:rPr>
              <w:t>spending increased and for which would you like to see spending</w:t>
            </w:r>
            <w:r>
              <w:rPr>
                <w:rFonts w:ascii="Garamond" w:hAnsi="Garamond" w:cs="Calibri"/>
                <w:color w:val="000000"/>
              </w:rPr>
              <w:t xml:space="preserve"> </w:t>
            </w:r>
            <w:r w:rsidRPr="00953382">
              <w:rPr>
                <w:rFonts w:ascii="Garamond" w:hAnsi="Garamond" w:cs="Calibri"/>
                <w:color w:val="000000"/>
              </w:rPr>
              <w:t>decreased: Should federal spending on dealing with crime be increased, decreased or kept</w:t>
            </w:r>
            <w:r>
              <w:rPr>
                <w:rFonts w:ascii="Garamond" w:hAnsi="Garamond" w:cs="Calibri"/>
                <w:color w:val="000000"/>
              </w:rPr>
              <w:t xml:space="preserve"> </w:t>
            </w:r>
            <w:r w:rsidRPr="00953382">
              <w:rPr>
                <w:rFonts w:ascii="Garamond" w:hAnsi="Garamond" w:cs="Calibri"/>
                <w:color w:val="000000"/>
              </w:rPr>
              <w:t xml:space="preserve">about the same? </w:t>
            </w:r>
            <w:r>
              <w:rPr>
                <w:rFonts w:ascii="Garamond" w:hAnsi="Garamond" w:cs="Calibri"/>
                <w:color w:val="000000"/>
              </w:rPr>
              <w:t>(ANES)</w:t>
            </w:r>
          </w:p>
        </w:tc>
        <w:tc>
          <w:tcPr>
            <w:tcW w:w="633" w:type="dxa"/>
            <w:noWrap/>
            <w:tcMar>
              <w:left w:w="28" w:type="dxa"/>
              <w:right w:w="28" w:type="dxa"/>
            </w:tcMar>
            <w:vAlign w:val="center"/>
          </w:tcPr>
          <w:p w14:paraId="07E2075B" w14:textId="77777777" w:rsidR="00D53DCB" w:rsidRDefault="00D53DCB" w:rsidP="006254B5">
            <w:pPr>
              <w:spacing w:after="0" w:line="240" w:lineRule="auto"/>
              <w:jc w:val="center"/>
              <w:rPr>
                <w:rFonts w:ascii="Garamond" w:hAnsi="Garamond"/>
              </w:rPr>
            </w:pPr>
            <w:r>
              <w:rPr>
                <w:rFonts w:ascii="Garamond" w:hAnsi="Garamond"/>
              </w:rPr>
              <w:t>10</w:t>
            </w:r>
          </w:p>
        </w:tc>
        <w:tc>
          <w:tcPr>
            <w:tcW w:w="1109" w:type="dxa"/>
            <w:noWrap/>
            <w:tcMar>
              <w:left w:w="28" w:type="dxa"/>
              <w:right w:w="28" w:type="dxa"/>
            </w:tcMar>
            <w:vAlign w:val="center"/>
          </w:tcPr>
          <w:p w14:paraId="0540F2C6" w14:textId="77777777" w:rsidR="00D53DCB" w:rsidRDefault="00D53DCB" w:rsidP="006254B5">
            <w:pPr>
              <w:spacing w:after="0"/>
              <w:jc w:val="center"/>
              <w:rPr>
                <w:rFonts w:ascii="Garamond" w:hAnsi="Garamond"/>
              </w:rPr>
            </w:pPr>
            <w:r>
              <w:rPr>
                <w:rFonts w:ascii="Garamond" w:hAnsi="Garamond"/>
              </w:rPr>
              <w:t>0.57</w:t>
            </w:r>
          </w:p>
        </w:tc>
      </w:tr>
      <w:tr w:rsidR="00D53DCB" w:rsidRPr="00DA1AA7" w14:paraId="000B7952" w14:textId="77777777" w:rsidTr="006254B5">
        <w:trPr>
          <w:trHeight w:val="361"/>
        </w:trPr>
        <w:tc>
          <w:tcPr>
            <w:tcW w:w="6815" w:type="dxa"/>
            <w:shd w:val="clear" w:color="auto" w:fill="auto"/>
            <w:vAlign w:val="center"/>
          </w:tcPr>
          <w:p w14:paraId="61C1E94B" w14:textId="77777777" w:rsidR="00D53DCB" w:rsidRPr="00807EE6" w:rsidRDefault="00D53DCB" w:rsidP="006254B5">
            <w:pPr>
              <w:rPr>
                <w:rFonts w:ascii="Garamond" w:hAnsi="Garamond" w:cs="Calibri"/>
                <w:color w:val="000000"/>
              </w:rPr>
            </w:pPr>
            <w:r w:rsidRPr="00953382">
              <w:rPr>
                <w:rFonts w:ascii="Garamond" w:hAnsi="Garamond" w:cs="Calibri"/>
                <w:color w:val="000000"/>
              </w:rPr>
              <w:t xml:space="preserve">We are faced with many problems in this country, none of which can be solved easily or inexpensively. I'm going to name some of these problems, and for each one I'd like you to tell me whether you think we're spending too much money on it, too little money, or about the right amount. . . are we spending too much, too little, or about the right amount on </w:t>
            </w:r>
            <w:r>
              <w:rPr>
                <w:rFonts w:ascii="Garamond" w:hAnsi="Garamond" w:cs="Calibri"/>
                <w:color w:val="000000"/>
              </w:rPr>
              <w:t>halting the rising crime rate</w:t>
            </w:r>
            <w:r w:rsidRPr="00953382">
              <w:rPr>
                <w:rFonts w:ascii="Garamond" w:hAnsi="Garamond" w:cs="Calibri"/>
                <w:color w:val="000000"/>
              </w:rPr>
              <w:t xml:space="preserve">? </w:t>
            </w:r>
            <w:r>
              <w:rPr>
                <w:rFonts w:ascii="Garamond" w:hAnsi="Garamond" w:cs="Calibri"/>
                <w:color w:val="000000"/>
              </w:rPr>
              <w:t>(GSS)</w:t>
            </w:r>
          </w:p>
        </w:tc>
        <w:tc>
          <w:tcPr>
            <w:tcW w:w="633" w:type="dxa"/>
            <w:noWrap/>
            <w:tcMar>
              <w:left w:w="28" w:type="dxa"/>
              <w:right w:w="28" w:type="dxa"/>
            </w:tcMar>
            <w:vAlign w:val="center"/>
          </w:tcPr>
          <w:p w14:paraId="671FB9E9" w14:textId="77777777" w:rsidR="00D53DCB" w:rsidRDefault="00D53DCB" w:rsidP="006254B5">
            <w:pPr>
              <w:spacing w:after="0" w:line="240" w:lineRule="auto"/>
              <w:jc w:val="center"/>
              <w:rPr>
                <w:rFonts w:ascii="Garamond" w:hAnsi="Garamond"/>
              </w:rPr>
            </w:pPr>
            <w:r>
              <w:rPr>
                <w:rFonts w:ascii="Garamond" w:hAnsi="Garamond"/>
              </w:rPr>
              <w:t>31</w:t>
            </w:r>
          </w:p>
        </w:tc>
        <w:tc>
          <w:tcPr>
            <w:tcW w:w="1109" w:type="dxa"/>
            <w:noWrap/>
            <w:tcMar>
              <w:left w:w="28" w:type="dxa"/>
              <w:right w:w="28" w:type="dxa"/>
            </w:tcMar>
            <w:vAlign w:val="center"/>
          </w:tcPr>
          <w:p w14:paraId="472C0D6A" w14:textId="77777777" w:rsidR="00D53DCB" w:rsidRDefault="00D53DCB" w:rsidP="006254B5">
            <w:pPr>
              <w:spacing w:after="0"/>
              <w:jc w:val="center"/>
              <w:rPr>
                <w:rFonts w:ascii="Garamond" w:hAnsi="Garamond"/>
              </w:rPr>
            </w:pPr>
            <w:r>
              <w:rPr>
                <w:rFonts w:ascii="Garamond" w:hAnsi="Garamond"/>
              </w:rPr>
              <w:t>0.56</w:t>
            </w:r>
          </w:p>
        </w:tc>
      </w:tr>
      <w:tr w:rsidR="00D53DCB" w:rsidRPr="00DA1AA7" w14:paraId="56DDAA74" w14:textId="77777777" w:rsidTr="006254B5">
        <w:trPr>
          <w:trHeight w:val="361"/>
        </w:trPr>
        <w:tc>
          <w:tcPr>
            <w:tcW w:w="6815" w:type="dxa"/>
            <w:shd w:val="clear" w:color="auto" w:fill="auto"/>
            <w:vAlign w:val="center"/>
          </w:tcPr>
          <w:p w14:paraId="533A0226" w14:textId="77777777" w:rsidR="00D53DCB" w:rsidRPr="00807EE6" w:rsidRDefault="00D53DCB" w:rsidP="006254B5">
            <w:pPr>
              <w:rPr>
                <w:rFonts w:ascii="Garamond" w:hAnsi="Garamond" w:cs="Calibri"/>
                <w:color w:val="000000"/>
              </w:rPr>
            </w:pPr>
            <w:r w:rsidRPr="00953382">
              <w:rPr>
                <w:rFonts w:ascii="Garamond" w:hAnsi="Garamond" w:cs="Calibri"/>
                <w:color w:val="000000"/>
              </w:rPr>
              <w:lastRenderedPageBreak/>
              <w:t>(We are faced with many problems in this country, none of which can be solved easily or inexpensively. I'm going to name some of these problems, and for each one I'd like you to tell me whether you think we're spending too much money on it, too little money, or about the right amount</w:t>
            </w:r>
            <w:r>
              <w:rPr>
                <w:rFonts w:ascii="Garamond" w:hAnsi="Garamond" w:cs="Calibri"/>
                <w:color w:val="000000"/>
              </w:rPr>
              <w:t xml:space="preserve"> on halting the rising crime rate?</w:t>
            </w:r>
            <w:r w:rsidRPr="00953382">
              <w:rPr>
                <w:rFonts w:ascii="Garamond" w:hAnsi="Garamond" w:cs="Calibri"/>
                <w:color w:val="000000"/>
              </w:rPr>
              <w:t xml:space="preserve"> </w:t>
            </w:r>
            <w:r>
              <w:rPr>
                <w:rFonts w:ascii="Garamond" w:hAnsi="Garamond" w:cs="Calibri"/>
                <w:color w:val="000000"/>
              </w:rPr>
              <w:t>(Roper)</w:t>
            </w:r>
          </w:p>
        </w:tc>
        <w:tc>
          <w:tcPr>
            <w:tcW w:w="633" w:type="dxa"/>
            <w:noWrap/>
            <w:tcMar>
              <w:left w:w="28" w:type="dxa"/>
              <w:right w:w="28" w:type="dxa"/>
            </w:tcMar>
            <w:vAlign w:val="center"/>
          </w:tcPr>
          <w:p w14:paraId="737150F5" w14:textId="77777777" w:rsidR="00D53DCB" w:rsidRDefault="00D53DCB" w:rsidP="006254B5">
            <w:pPr>
              <w:spacing w:after="0" w:line="240" w:lineRule="auto"/>
              <w:jc w:val="center"/>
              <w:rPr>
                <w:rFonts w:ascii="Garamond" w:hAnsi="Garamond"/>
              </w:rPr>
            </w:pPr>
            <w:r>
              <w:rPr>
                <w:rFonts w:ascii="Garamond" w:hAnsi="Garamond"/>
              </w:rPr>
              <w:t>15</w:t>
            </w:r>
          </w:p>
        </w:tc>
        <w:tc>
          <w:tcPr>
            <w:tcW w:w="1109" w:type="dxa"/>
            <w:noWrap/>
            <w:tcMar>
              <w:left w:w="28" w:type="dxa"/>
              <w:right w:w="28" w:type="dxa"/>
            </w:tcMar>
            <w:vAlign w:val="center"/>
          </w:tcPr>
          <w:p w14:paraId="5D3BB6B8" w14:textId="77777777" w:rsidR="00D53DCB" w:rsidRDefault="00D53DCB" w:rsidP="006254B5">
            <w:pPr>
              <w:spacing w:after="0"/>
              <w:jc w:val="center"/>
              <w:rPr>
                <w:rFonts w:ascii="Garamond" w:hAnsi="Garamond"/>
              </w:rPr>
            </w:pPr>
            <w:r>
              <w:rPr>
                <w:rFonts w:ascii="Garamond" w:hAnsi="Garamond"/>
              </w:rPr>
              <w:t>0.44</w:t>
            </w:r>
          </w:p>
        </w:tc>
      </w:tr>
      <w:tr w:rsidR="00D53DCB" w:rsidRPr="00DA1AA7" w14:paraId="3DC3A506" w14:textId="77777777" w:rsidTr="006254B5">
        <w:trPr>
          <w:trHeight w:val="361"/>
        </w:trPr>
        <w:tc>
          <w:tcPr>
            <w:tcW w:w="6815" w:type="dxa"/>
            <w:shd w:val="clear" w:color="auto" w:fill="auto"/>
            <w:vAlign w:val="center"/>
          </w:tcPr>
          <w:p w14:paraId="10E0F66A" w14:textId="77777777" w:rsidR="00D53DCB" w:rsidRPr="00807EE6" w:rsidRDefault="00D53DCB" w:rsidP="006254B5">
            <w:pPr>
              <w:rPr>
                <w:rFonts w:ascii="Garamond" w:hAnsi="Garamond" w:cs="Calibri"/>
                <w:color w:val="000000"/>
              </w:rPr>
            </w:pPr>
            <w:r w:rsidRPr="00953382">
              <w:rPr>
                <w:rFonts w:ascii="Garamond" w:hAnsi="Garamond" w:cs="Calibri"/>
                <w:color w:val="000000"/>
              </w:rPr>
              <w:t xml:space="preserve">All systems of justice make mistakes, but which do you think is worse? To convict an innocent person or To let a guilty person go free </w:t>
            </w:r>
            <w:r>
              <w:rPr>
                <w:rFonts w:ascii="Garamond" w:hAnsi="Garamond" w:cs="Calibri"/>
                <w:color w:val="000000"/>
              </w:rPr>
              <w:t>(GSS)</w:t>
            </w:r>
          </w:p>
        </w:tc>
        <w:tc>
          <w:tcPr>
            <w:tcW w:w="633" w:type="dxa"/>
            <w:noWrap/>
            <w:tcMar>
              <w:left w:w="28" w:type="dxa"/>
              <w:right w:w="28" w:type="dxa"/>
            </w:tcMar>
            <w:vAlign w:val="center"/>
          </w:tcPr>
          <w:p w14:paraId="215A04EB" w14:textId="77777777" w:rsidR="00D53DCB" w:rsidRDefault="00D53DCB" w:rsidP="006254B5">
            <w:pPr>
              <w:spacing w:after="0" w:line="240" w:lineRule="auto"/>
              <w:jc w:val="center"/>
              <w:rPr>
                <w:rFonts w:ascii="Garamond" w:hAnsi="Garamond"/>
              </w:rPr>
            </w:pPr>
            <w:r>
              <w:rPr>
                <w:rFonts w:ascii="Garamond" w:hAnsi="Garamond"/>
              </w:rPr>
              <w:t>5</w:t>
            </w:r>
          </w:p>
        </w:tc>
        <w:tc>
          <w:tcPr>
            <w:tcW w:w="1109" w:type="dxa"/>
            <w:noWrap/>
            <w:tcMar>
              <w:left w:w="28" w:type="dxa"/>
              <w:right w:w="28" w:type="dxa"/>
            </w:tcMar>
            <w:vAlign w:val="center"/>
          </w:tcPr>
          <w:p w14:paraId="157B7EFE" w14:textId="77777777" w:rsidR="00D53DCB" w:rsidRDefault="00D53DCB" w:rsidP="006254B5">
            <w:pPr>
              <w:spacing w:after="0"/>
              <w:jc w:val="center"/>
              <w:rPr>
                <w:rFonts w:ascii="Garamond" w:hAnsi="Garamond"/>
              </w:rPr>
            </w:pPr>
            <w:r>
              <w:rPr>
                <w:rFonts w:ascii="Garamond" w:hAnsi="Garamond"/>
              </w:rPr>
              <w:t>0.40</w:t>
            </w:r>
          </w:p>
        </w:tc>
      </w:tr>
      <w:tr w:rsidR="00D53DCB" w:rsidRPr="00DA1AA7" w14:paraId="3E163EC3" w14:textId="77777777" w:rsidTr="006254B5">
        <w:trPr>
          <w:trHeight w:val="361"/>
        </w:trPr>
        <w:tc>
          <w:tcPr>
            <w:tcW w:w="6815" w:type="dxa"/>
            <w:shd w:val="clear" w:color="auto" w:fill="auto"/>
            <w:vAlign w:val="center"/>
          </w:tcPr>
          <w:p w14:paraId="159EAD5A" w14:textId="77777777" w:rsidR="00D53DCB" w:rsidRPr="00807EE6" w:rsidRDefault="00D53DCB" w:rsidP="006254B5">
            <w:pPr>
              <w:rPr>
                <w:rFonts w:ascii="Garamond" w:hAnsi="Garamond" w:cs="Calibri"/>
                <w:color w:val="000000"/>
              </w:rPr>
            </w:pPr>
            <w:r w:rsidRPr="00953382">
              <w:rPr>
                <w:rFonts w:ascii="Garamond" w:hAnsi="Garamond" w:cs="Calibri"/>
                <w:color w:val="000000"/>
              </w:rPr>
              <w:t>Some people are primarily concerned with doing everything possible to</w:t>
            </w:r>
            <w:r>
              <w:rPr>
                <w:rFonts w:ascii="Garamond" w:hAnsi="Garamond" w:cs="Calibri"/>
                <w:color w:val="000000"/>
              </w:rPr>
              <w:t xml:space="preserve"> </w:t>
            </w:r>
            <w:r w:rsidRPr="00953382">
              <w:rPr>
                <w:rFonts w:ascii="Garamond" w:hAnsi="Garamond" w:cs="Calibri"/>
                <w:color w:val="000000"/>
              </w:rPr>
              <w:t>protect the legal rights of those accused of committing crimes.</w:t>
            </w:r>
            <w:r>
              <w:rPr>
                <w:rFonts w:ascii="Garamond" w:hAnsi="Garamond" w:cs="Calibri"/>
                <w:color w:val="000000"/>
              </w:rPr>
              <w:t xml:space="preserve"> </w:t>
            </w:r>
            <w:r w:rsidRPr="00953382">
              <w:rPr>
                <w:rFonts w:ascii="Garamond" w:hAnsi="Garamond" w:cs="Calibri"/>
                <w:color w:val="000000"/>
              </w:rPr>
              <w:t>Others feel that it is more important to stop criminal activity even</w:t>
            </w:r>
            <w:r>
              <w:rPr>
                <w:rFonts w:ascii="Garamond" w:hAnsi="Garamond" w:cs="Calibri"/>
                <w:color w:val="000000"/>
              </w:rPr>
              <w:t xml:space="preserve"> </w:t>
            </w:r>
            <w:r w:rsidRPr="00953382">
              <w:rPr>
                <w:rFonts w:ascii="Garamond" w:hAnsi="Garamond" w:cs="Calibri"/>
                <w:color w:val="000000"/>
              </w:rPr>
              <w:t>at the risk of reducing the rights of the accused.</w:t>
            </w:r>
            <w:r>
              <w:rPr>
                <w:rFonts w:ascii="Garamond" w:hAnsi="Garamond" w:cs="Calibri"/>
                <w:color w:val="000000"/>
              </w:rPr>
              <w:t xml:space="preserve"> </w:t>
            </w:r>
            <w:r w:rsidRPr="00953382">
              <w:rPr>
                <w:rFonts w:ascii="Garamond" w:hAnsi="Garamond" w:cs="Calibri"/>
                <w:color w:val="000000"/>
              </w:rPr>
              <w:t>Where would you place yourself on this scale, or haven't you thought</w:t>
            </w:r>
            <w:r>
              <w:rPr>
                <w:rFonts w:ascii="Garamond" w:hAnsi="Garamond" w:cs="Calibri"/>
                <w:color w:val="000000"/>
              </w:rPr>
              <w:t xml:space="preserve"> </w:t>
            </w:r>
            <w:r w:rsidRPr="00953382">
              <w:rPr>
                <w:rFonts w:ascii="Garamond" w:hAnsi="Garamond" w:cs="Calibri"/>
                <w:color w:val="000000"/>
              </w:rPr>
              <w:t xml:space="preserve">much about this? (7-POINT SCALE SHOWN TO R) </w:t>
            </w:r>
            <w:r>
              <w:rPr>
                <w:rFonts w:ascii="Garamond" w:hAnsi="Garamond" w:cs="Calibri"/>
                <w:color w:val="000000"/>
              </w:rPr>
              <w:t>(ANES)</w:t>
            </w:r>
          </w:p>
        </w:tc>
        <w:tc>
          <w:tcPr>
            <w:tcW w:w="633" w:type="dxa"/>
            <w:noWrap/>
            <w:tcMar>
              <w:left w:w="28" w:type="dxa"/>
              <w:right w:w="28" w:type="dxa"/>
            </w:tcMar>
            <w:vAlign w:val="center"/>
          </w:tcPr>
          <w:p w14:paraId="036D04D4" w14:textId="77777777" w:rsidR="00D53DCB" w:rsidRDefault="00D53DCB" w:rsidP="006254B5">
            <w:pPr>
              <w:spacing w:after="0" w:line="240" w:lineRule="auto"/>
              <w:jc w:val="center"/>
              <w:rPr>
                <w:rFonts w:ascii="Garamond" w:hAnsi="Garamond"/>
              </w:rPr>
            </w:pPr>
            <w:r>
              <w:rPr>
                <w:rFonts w:ascii="Garamond" w:hAnsi="Garamond"/>
              </w:rPr>
              <w:t>5</w:t>
            </w:r>
          </w:p>
        </w:tc>
        <w:tc>
          <w:tcPr>
            <w:tcW w:w="1109" w:type="dxa"/>
            <w:noWrap/>
            <w:tcMar>
              <w:left w:w="28" w:type="dxa"/>
              <w:right w:w="28" w:type="dxa"/>
            </w:tcMar>
            <w:vAlign w:val="center"/>
          </w:tcPr>
          <w:p w14:paraId="085EF629" w14:textId="77777777" w:rsidR="00D53DCB" w:rsidRDefault="00D53DCB" w:rsidP="006254B5">
            <w:pPr>
              <w:spacing w:after="0"/>
              <w:jc w:val="center"/>
              <w:rPr>
                <w:rFonts w:ascii="Garamond" w:hAnsi="Garamond"/>
              </w:rPr>
            </w:pPr>
            <w:r>
              <w:rPr>
                <w:rFonts w:ascii="Garamond" w:hAnsi="Garamond"/>
              </w:rPr>
              <w:t>0.20</w:t>
            </w:r>
          </w:p>
        </w:tc>
      </w:tr>
      <w:tr w:rsidR="00D53DCB" w:rsidRPr="00DA1AA7" w14:paraId="0A180475" w14:textId="77777777" w:rsidTr="006254B5">
        <w:trPr>
          <w:trHeight w:val="361"/>
        </w:trPr>
        <w:tc>
          <w:tcPr>
            <w:tcW w:w="6815" w:type="dxa"/>
            <w:shd w:val="clear" w:color="auto" w:fill="auto"/>
            <w:vAlign w:val="center"/>
          </w:tcPr>
          <w:p w14:paraId="76729DB2" w14:textId="77777777" w:rsidR="00D53DCB" w:rsidRPr="00807EE6" w:rsidRDefault="00D53DCB" w:rsidP="006254B5">
            <w:pPr>
              <w:rPr>
                <w:rFonts w:ascii="Garamond" w:hAnsi="Garamond" w:cs="Calibri"/>
                <w:color w:val="000000"/>
              </w:rPr>
            </w:pPr>
            <w:r w:rsidRPr="00953382">
              <w:rPr>
                <w:rFonts w:ascii="Garamond" w:hAnsi="Garamond" w:cs="Calibri"/>
                <w:color w:val="000000"/>
              </w:rPr>
              <w:t>There is much discussion about the best way to deal with the problem</w:t>
            </w:r>
            <w:r>
              <w:rPr>
                <w:rFonts w:ascii="Garamond" w:hAnsi="Garamond" w:cs="Calibri"/>
                <w:color w:val="000000"/>
              </w:rPr>
              <w:t xml:space="preserve"> </w:t>
            </w:r>
            <w:r w:rsidRPr="00953382">
              <w:rPr>
                <w:rFonts w:ascii="Garamond" w:hAnsi="Garamond" w:cs="Calibri"/>
                <w:color w:val="000000"/>
              </w:rPr>
              <w:t>of urban unrest and rioting. Some say it is more important to use all</w:t>
            </w:r>
            <w:r>
              <w:rPr>
                <w:rFonts w:ascii="Garamond" w:hAnsi="Garamond" w:cs="Calibri"/>
                <w:color w:val="000000"/>
              </w:rPr>
              <w:t xml:space="preserve"> </w:t>
            </w:r>
            <w:r w:rsidRPr="00953382">
              <w:rPr>
                <w:rFonts w:ascii="Garamond" w:hAnsi="Garamond" w:cs="Calibri"/>
                <w:color w:val="000000"/>
              </w:rPr>
              <w:t>available force to maintain law and order -- no matter what results.</w:t>
            </w:r>
            <w:r>
              <w:rPr>
                <w:rFonts w:ascii="Garamond" w:hAnsi="Garamond" w:cs="Calibri"/>
                <w:color w:val="000000"/>
              </w:rPr>
              <w:t xml:space="preserve"> </w:t>
            </w:r>
            <w:r w:rsidRPr="00953382">
              <w:rPr>
                <w:rFonts w:ascii="Garamond" w:hAnsi="Garamond" w:cs="Calibri"/>
                <w:color w:val="000000"/>
              </w:rPr>
              <w:t>Others say it is more important to correct the problems of poverty and</w:t>
            </w:r>
            <w:r>
              <w:rPr>
                <w:rFonts w:ascii="Garamond" w:hAnsi="Garamond" w:cs="Calibri"/>
                <w:color w:val="000000"/>
              </w:rPr>
              <w:t xml:space="preserve"> </w:t>
            </w:r>
            <w:r w:rsidRPr="00953382">
              <w:rPr>
                <w:rFonts w:ascii="Garamond" w:hAnsi="Garamond" w:cs="Calibri"/>
                <w:color w:val="000000"/>
              </w:rPr>
              <w:t>unemployment that give rise to the disturbances.</w:t>
            </w:r>
            <w:r>
              <w:rPr>
                <w:rFonts w:ascii="Garamond" w:hAnsi="Garamond" w:cs="Calibri"/>
                <w:color w:val="000000"/>
              </w:rPr>
              <w:t xml:space="preserve"> </w:t>
            </w:r>
            <w:r w:rsidRPr="00953382">
              <w:rPr>
                <w:rFonts w:ascii="Garamond" w:hAnsi="Garamond" w:cs="Calibri"/>
                <w:color w:val="000000"/>
              </w:rPr>
              <w:t>Where would you place yourself on this scale, or haven't you thought</w:t>
            </w:r>
            <w:r>
              <w:rPr>
                <w:rFonts w:ascii="Garamond" w:hAnsi="Garamond" w:cs="Calibri"/>
                <w:color w:val="000000"/>
              </w:rPr>
              <w:t xml:space="preserve"> </w:t>
            </w:r>
            <w:r w:rsidRPr="00953382">
              <w:rPr>
                <w:rFonts w:ascii="Garamond" w:hAnsi="Garamond" w:cs="Calibri"/>
                <w:color w:val="000000"/>
              </w:rPr>
              <w:t xml:space="preserve">much about this? (7-POINT SCALE SHOWN TO R) </w:t>
            </w:r>
            <w:r>
              <w:rPr>
                <w:rFonts w:ascii="Garamond" w:hAnsi="Garamond" w:cs="Calibri"/>
                <w:color w:val="000000"/>
              </w:rPr>
              <w:t>(ANES)</w:t>
            </w:r>
          </w:p>
        </w:tc>
        <w:tc>
          <w:tcPr>
            <w:tcW w:w="633" w:type="dxa"/>
            <w:noWrap/>
            <w:tcMar>
              <w:left w:w="28" w:type="dxa"/>
              <w:right w:w="28" w:type="dxa"/>
            </w:tcMar>
            <w:vAlign w:val="center"/>
          </w:tcPr>
          <w:p w14:paraId="2618B438" w14:textId="77777777" w:rsidR="00D53DCB" w:rsidRDefault="00D53DCB" w:rsidP="006254B5">
            <w:pPr>
              <w:spacing w:after="0" w:line="240" w:lineRule="auto"/>
              <w:jc w:val="center"/>
              <w:rPr>
                <w:rFonts w:ascii="Garamond" w:hAnsi="Garamond"/>
              </w:rPr>
            </w:pPr>
            <w:r>
              <w:rPr>
                <w:rFonts w:ascii="Garamond" w:hAnsi="Garamond"/>
              </w:rPr>
              <w:t>6</w:t>
            </w:r>
          </w:p>
        </w:tc>
        <w:tc>
          <w:tcPr>
            <w:tcW w:w="1109" w:type="dxa"/>
            <w:noWrap/>
            <w:tcMar>
              <w:left w:w="28" w:type="dxa"/>
              <w:right w:w="28" w:type="dxa"/>
            </w:tcMar>
            <w:vAlign w:val="center"/>
          </w:tcPr>
          <w:p w14:paraId="1CC69A3E" w14:textId="77777777" w:rsidR="00D53DCB" w:rsidRDefault="00D53DCB" w:rsidP="006254B5">
            <w:pPr>
              <w:spacing w:after="0"/>
              <w:jc w:val="center"/>
              <w:rPr>
                <w:rFonts w:ascii="Garamond" w:hAnsi="Garamond"/>
              </w:rPr>
            </w:pPr>
            <w:r>
              <w:rPr>
                <w:rFonts w:ascii="Garamond" w:hAnsi="Garamond"/>
              </w:rPr>
              <w:t>-0.55</w:t>
            </w:r>
          </w:p>
        </w:tc>
      </w:tr>
      <w:tr w:rsidR="00D53DCB" w:rsidRPr="00DA1AA7" w14:paraId="10F4EA70" w14:textId="77777777" w:rsidTr="006254B5">
        <w:trPr>
          <w:trHeight w:hRule="exact" w:val="114"/>
        </w:trPr>
        <w:tc>
          <w:tcPr>
            <w:tcW w:w="6815" w:type="dxa"/>
            <w:shd w:val="clear" w:color="auto" w:fill="auto"/>
            <w:vAlign w:val="center"/>
          </w:tcPr>
          <w:p w14:paraId="566FBE5D" w14:textId="77777777" w:rsidR="00D53DCB" w:rsidRPr="00DA1AA7" w:rsidRDefault="00D53DCB" w:rsidP="006254B5">
            <w:pPr>
              <w:spacing w:before="60" w:after="60"/>
              <w:rPr>
                <w:rFonts w:ascii="Garamond" w:hAnsi="Garamond"/>
              </w:rPr>
            </w:pPr>
          </w:p>
        </w:tc>
        <w:tc>
          <w:tcPr>
            <w:tcW w:w="633" w:type="dxa"/>
            <w:noWrap/>
            <w:tcMar>
              <w:left w:w="28" w:type="dxa"/>
              <w:right w:w="28" w:type="dxa"/>
            </w:tcMar>
            <w:vAlign w:val="center"/>
          </w:tcPr>
          <w:p w14:paraId="17E6E907" w14:textId="77777777" w:rsidR="00D53DCB" w:rsidRPr="00DA1AA7" w:rsidRDefault="00D53DCB" w:rsidP="006254B5">
            <w:pPr>
              <w:spacing w:after="0" w:line="240" w:lineRule="auto"/>
              <w:jc w:val="center"/>
              <w:rPr>
                <w:rFonts w:ascii="Garamond" w:hAnsi="Garamond"/>
              </w:rPr>
            </w:pPr>
          </w:p>
        </w:tc>
        <w:tc>
          <w:tcPr>
            <w:tcW w:w="1109" w:type="dxa"/>
            <w:noWrap/>
            <w:tcMar>
              <w:left w:w="28" w:type="dxa"/>
              <w:right w:w="28" w:type="dxa"/>
            </w:tcMar>
            <w:vAlign w:val="center"/>
          </w:tcPr>
          <w:p w14:paraId="108672F5" w14:textId="77777777" w:rsidR="00D53DCB" w:rsidRPr="00DA1AA7" w:rsidRDefault="00D53DCB" w:rsidP="006254B5">
            <w:pPr>
              <w:jc w:val="center"/>
              <w:rPr>
                <w:rFonts w:ascii="Garamond" w:hAnsi="Garamond"/>
              </w:rPr>
            </w:pPr>
          </w:p>
        </w:tc>
      </w:tr>
      <w:tr w:rsidR="00D53DCB" w:rsidRPr="00DA1AA7" w14:paraId="64A9C33B" w14:textId="77777777" w:rsidTr="006254B5">
        <w:trPr>
          <w:trHeight w:hRule="exact" w:val="345"/>
        </w:trPr>
        <w:tc>
          <w:tcPr>
            <w:tcW w:w="6815" w:type="dxa"/>
            <w:shd w:val="clear" w:color="auto" w:fill="auto"/>
            <w:vAlign w:val="center"/>
          </w:tcPr>
          <w:p w14:paraId="1ED27E77" w14:textId="77777777" w:rsidR="00D53DCB" w:rsidRPr="00DA1AA7" w:rsidRDefault="00D53DCB" w:rsidP="006254B5">
            <w:pPr>
              <w:spacing w:after="0"/>
              <w:rPr>
                <w:rFonts w:ascii="Garamond" w:hAnsi="Garamond"/>
                <w:u w:val="single"/>
              </w:rPr>
            </w:pPr>
            <w:r w:rsidRPr="00DA1AA7">
              <w:rPr>
                <w:rFonts w:ascii="Garamond" w:hAnsi="Garamond"/>
                <w:u w:val="single"/>
              </w:rPr>
              <w:t>First dimension</w:t>
            </w:r>
          </w:p>
        </w:tc>
        <w:tc>
          <w:tcPr>
            <w:tcW w:w="633" w:type="dxa"/>
            <w:noWrap/>
            <w:tcMar>
              <w:left w:w="28" w:type="dxa"/>
              <w:right w:w="28" w:type="dxa"/>
            </w:tcMar>
            <w:vAlign w:val="center"/>
          </w:tcPr>
          <w:p w14:paraId="0C4A626A" w14:textId="77777777" w:rsidR="00D53DCB" w:rsidRPr="00DA1AA7" w:rsidRDefault="00D53DCB" w:rsidP="006254B5">
            <w:pPr>
              <w:spacing w:after="0" w:line="240" w:lineRule="auto"/>
              <w:jc w:val="center"/>
              <w:rPr>
                <w:rFonts w:ascii="Garamond" w:hAnsi="Garamond"/>
              </w:rPr>
            </w:pPr>
          </w:p>
        </w:tc>
        <w:tc>
          <w:tcPr>
            <w:tcW w:w="1109" w:type="dxa"/>
            <w:noWrap/>
            <w:tcMar>
              <w:left w:w="28" w:type="dxa"/>
              <w:right w:w="28" w:type="dxa"/>
            </w:tcMar>
            <w:vAlign w:val="center"/>
          </w:tcPr>
          <w:p w14:paraId="1CAE456A" w14:textId="77777777" w:rsidR="00D53DCB" w:rsidRPr="00DA1AA7" w:rsidRDefault="00D53DCB" w:rsidP="006254B5">
            <w:pPr>
              <w:jc w:val="center"/>
              <w:rPr>
                <w:rFonts w:ascii="Garamond" w:hAnsi="Garamond"/>
              </w:rPr>
            </w:pPr>
          </w:p>
        </w:tc>
      </w:tr>
      <w:tr w:rsidR="00D53DCB" w:rsidRPr="00DA1AA7" w14:paraId="25087AF8" w14:textId="77777777" w:rsidTr="006254B5">
        <w:trPr>
          <w:trHeight w:val="361"/>
        </w:trPr>
        <w:tc>
          <w:tcPr>
            <w:tcW w:w="6815" w:type="dxa"/>
            <w:shd w:val="clear" w:color="auto" w:fill="auto"/>
            <w:vAlign w:val="center"/>
          </w:tcPr>
          <w:p w14:paraId="5FB39276" w14:textId="77777777" w:rsidR="00D53DCB" w:rsidRPr="00DA1AA7" w:rsidRDefault="00D53DCB" w:rsidP="006254B5">
            <w:pPr>
              <w:spacing w:before="60" w:after="60"/>
              <w:rPr>
                <w:rFonts w:ascii="Garamond" w:hAnsi="Garamond"/>
              </w:rPr>
            </w:pPr>
            <w:r w:rsidRPr="00DA1AA7">
              <w:rPr>
                <w:rFonts w:ascii="Garamond" w:hAnsi="Garamond"/>
              </w:rPr>
              <w:t>Proportion of variance explained</w:t>
            </w:r>
          </w:p>
        </w:tc>
        <w:tc>
          <w:tcPr>
            <w:tcW w:w="1742" w:type="dxa"/>
            <w:gridSpan w:val="2"/>
            <w:noWrap/>
            <w:tcMar>
              <w:left w:w="28" w:type="dxa"/>
              <w:right w:w="28" w:type="dxa"/>
            </w:tcMar>
            <w:vAlign w:val="center"/>
          </w:tcPr>
          <w:p w14:paraId="0706A584" w14:textId="77777777" w:rsidR="00D53DCB" w:rsidRPr="00DA1AA7" w:rsidRDefault="00D53DCB" w:rsidP="006254B5">
            <w:pPr>
              <w:spacing w:after="0" w:line="240" w:lineRule="auto"/>
              <w:jc w:val="center"/>
              <w:rPr>
                <w:rFonts w:ascii="Garamond" w:hAnsi="Garamond"/>
              </w:rPr>
            </w:pPr>
            <w:r w:rsidRPr="00DA1AA7">
              <w:rPr>
                <w:rFonts w:ascii="Garamond" w:hAnsi="Garamond"/>
              </w:rPr>
              <w:t>6</w:t>
            </w:r>
            <w:r>
              <w:rPr>
                <w:rFonts w:ascii="Garamond" w:hAnsi="Garamond"/>
              </w:rPr>
              <w:t>7</w:t>
            </w:r>
            <w:r w:rsidRPr="00DA1AA7">
              <w:rPr>
                <w:rFonts w:ascii="Garamond" w:hAnsi="Garamond"/>
              </w:rPr>
              <w:t>.</w:t>
            </w:r>
            <w:r>
              <w:rPr>
                <w:rFonts w:ascii="Garamond" w:hAnsi="Garamond"/>
              </w:rPr>
              <w:t>4</w:t>
            </w:r>
          </w:p>
        </w:tc>
      </w:tr>
      <w:tr w:rsidR="00D53DCB" w:rsidRPr="00DA1AA7" w14:paraId="2A8C1116" w14:textId="77777777" w:rsidTr="006254B5">
        <w:trPr>
          <w:trHeight w:val="361"/>
        </w:trPr>
        <w:tc>
          <w:tcPr>
            <w:tcW w:w="6815" w:type="dxa"/>
            <w:shd w:val="clear" w:color="auto" w:fill="auto"/>
            <w:vAlign w:val="center"/>
          </w:tcPr>
          <w:p w14:paraId="5162308B" w14:textId="77777777" w:rsidR="00D53DCB" w:rsidRPr="00DA1AA7" w:rsidRDefault="00D53DCB" w:rsidP="006254B5">
            <w:pPr>
              <w:spacing w:before="60" w:after="60"/>
              <w:rPr>
                <w:rFonts w:ascii="Garamond" w:hAnsi="Garamond"/>
              </w:rPr>
            </w:pPr>
            <w:r>
              <w:rPr>
                <w:rFonts w:ascii="Garamond" w:hAnsi="Garamond"/>
                <w:lang w:val="en-GB"/>
              </w:rPr>
              <w:t>N of question series used to estimate the overall measure</w:t>
            </w:r>
          </w:p>
        </w:tc>
        <w:tc>
          <w:tcPr>
            <w:tcW w:w="1742" w:type="dxa"/>
            <w:gridSpan w:val="2"/>
            <w:noWrap/>
            <w:tcMar>
              <w:left w:w="28" w:type="dxa"/>
              <w:right w:w="28" w:type="dxa"/>
            </w:tcMar>
            <w:vAlign w:val="center"/>
          </w:tcPr>
          <w:p w14:paraId="3EED2408" w14:textId="77777777" w:rsidR="00D53DCB" w:rsidRPr="00DA1AA7" w:rsidRDefault="00D53DCB" w:rsidP="006254B5">
            <w:pPr>
              <w:spacing w:after="0" w:line="240" w:lineRule="auto"/>
              <w:jc w:val="center"/>
              <w:rPr>
                <w:rFonts w:ascii="Garamond" w:hAnsi="Garamond"/>
              </w:rPr>
            </w:pPr>
            <w:r w:rsidRPr="00DA1AA7">
              <w:rPr>
                <w:rFonts w:ascii="Garamond" w:hAnsi="Garamond"/>
              </w:rPr>
              <w:t>2</w:t>
            </w:r>
            <w:r>
              <w:rPr>
                <w:rFonts w:ascii="Garamond" w:hAnsi="Garamond"/>
              </w:rPr>
              <w:t>7</w:t>
            </w:r>
          </w:p>
        </w:tc>
      </w:tr>
      <w:tr w:rsidR="00D53DCB" w:rsidRPr="00DA1AA7" w14:paraId="649E9CF3" w14:textId="77777777" w:rsidTr="006254B5">
        <w:trPr>
          <w:trHeight w:val="361"/>
        </w:trPr>
        <w:tc>
          <w:tcPr>
            <w:tcW w:w="6815" w:type="dxa"/>
            <w:shd w:val="clear" w:color="auto" w:fill="auto"/>
            <w:vAlign w:val="center"/>
          </w:tcPr>
          <w:p w14:paraId="5A784C16" w14:textId="77777777" w:rsidR="00D53DCB" w:rsidRPr="00DA1AA7" w:rsidRDefault="00D53DCB" w:rsidP="006254B5">
            <w:pPr>
              <w:spacing w:before="60" w:after="60"/>
              <w:rPr>
                <w:rFonts w:ascii="Garamond" w:hAnsi="Garamond"/>
              </w:rPr>
            </w:pPr>
            <w:r>
              <w:rPr>
                <w:rFonts w:ascii="Garamond" w:hAnsi="Garamond"/>
                <w:lang w:val="en-GB"/>
              </w:rPr>
              <w:t xml:space="preserve">Total </w:t>
            </w:r>
            <w:r w:rsidRPr="004E7BD2">
              <w:rPr>
                <w:rFonts w:ascii="Garamond" w:hAnsi="Garamond"/>
                <w:lang w:val="en-GB"/>
              </w:rPr>
              <w:t>N of survey items</w:t>
            </w:r>
          </w:p>
        </w:tc>
        <w:tc>
          <w:tcPr>
            <w:tcW w:w="1742" w:type="dxa"/>
            <w:gridSpan w:val="2"/>
            <w:noWrap/>
            <w:tcMar>
              <w:left w:w="28" w:type="dxa"/>
              <w:right w:w="28" w:type="dxa"/>
            </w:tcMar>
            <w:vAlign w:val="center"/>
          </w:tcPr>
          <w:p w14:paraId="540BD2B0" w14:textId="77777777" w:rsidR="00D53DCB" w:rsidRPr="00DA1AA7" w:rsidRDefault="00D53DCB" w:rsidP="006254B5">
            <w:pPr>
              <w:spacing w:after="0" w:line="240" w:lineRule="auto"/>
              <w:jc w:val="center"/>
              <w:rPr>
                <w:rFonts w:ascii="Garamond" w:hAnsi="Garamond"/>
              </w:rPr>
            </w:pPr>
            <w:r>
              <w:rPr>
                <w:rFonts w:ascii="Garamond" w:hAnsi="Garamond"/>
              </w:rPr>
              <w:t>380</w:t>
            </w:r>
          </w:p>
        </w:tc>
      </w:tr>
      <w:tr w:rsidR="00D53DCB" w:rsidRPr="00DA1AA7" w14:paraId="69678A9D" w14:textId="77777777" w:rsidTr="006254B5">
        <w:trPr>
          <w:trHeight w:val="369"/>
        </w:trPr>
        <w:tc>
          <w:tcPr>
            <w:tcW w:w="6815" w:type="dxa"/>
            <w:shd w:val="clear" w:color="auto" w:fill="auto"/>
            <w:vAlign w:val="center"/>
          </w:tcPr>
          <w:p w14:paraId="33F80F83" w14:textId="77777777" w:rsidR="00D53DCB" w:rsidRPr="00DA1AA7" w:rsidRDefault="00D53DCB" w:rsidP="006254B5">
            <w:pPr>
              <w:spacing w:before="60" w:after="60"/>
              <w:rPr>
                <w:rFonts w:ascii="Garamond" w:hAnsi="Garamond"/>
              </w:rPr>
            </w:pPr>
          </w:p>
        </w:tc>
        <w:tc>
          <w:tcPr>
            <w:tcW w:w="1742" w:type="dxa"/>
            <w:gridSpan w:val="2"/>
            <w:noWrap/>
            <w:tcMar>
              <w:left w:w="28" w:type="dxa"/>
              <w:right w:w="28" w:type="dxa"/>
            </w:tcMar>
            <w:vAlign w:val="center"/>
          </w:tcPr>
          <w:p w14:paraId="4E77EA62" w14:textId="77777777" w:rsidR="00D53DCB" w:rsidRPr="00DA1AA7" w:rsidDel="00D2222B" w:rsidRDefault="00D53DCB" w:rsidP="006254B5">
            <w:pPr>
              <w:spacing w:after="0" w:line="240" w:lineRule="auto"/>
              <w:jc w:val="center"/>
              <w:rPr>
                <w:rFonts w:ascii="Garamond" w:hAnsi="Garamond"/>
              </w:rPr>
            </w:pPr>
          </w:p>
        </w:tc>
      </w:tr>
      <w:tr w:rsidR="00D53DCB" w:rsidRPr="00DA1AA7" w14:paraId="5FFECA93" w14:textId="77777777" w:rsidTr="006254B5">
        <w:trPr>
          <w:trHeight w:val="361"/>
        </w:trPr>
        <w:tc>
          <w:tcPr>
            <w:tcW w:w="6815" w:type="dxa"/>
            <w:shd w:val="clear" w:color="auto" w:fill="auto"/>
            <w:vAlign w:val="center"/>
          </w:tcPr>
          <w:p w14:paraId="443DA125" w14:textId="77777777" w:rsidR="00D53DCB" w:rsidRPr="00DA1AA7" w:rsidRDefault="00D53DCB" w:rsidP="006254B5">
            <w:pPr>
              <w:spacing w:before="60" w:after="60"/>
              <w:rPr>
                <w:rFonts w:ascii="Garamond" w:hAnsi="Garamond"/>
              </w:rPr>
            </w:pPr>
            <w:r w:rsidRPr="00DA1AA7">
              <w:rPr>
                <w:rFonts w:ascii="Garamond" w:hAnsi="Garamond"/>
              </w:rPr>
              <w:t>Start</w:t>
            </w:r>
          </w:p>
        </w:tc>
        <w:tc>
          <w:tcPr>
            <w:tcW w:w="1742" w:type="dxa"/>
            <w:gridSpan w:val="2"/>
            <w:noWrap/>
            <w:tcMar>
              <w:left w:w="28" w:type="dxa"/>
              <w:right w:w="28" w:type="dxa"/>
            </w:tcMar>
            <w:vAlign w:val="center"/>
          </w:tcPr>
          <w:p w14:paraId="0B5BE8CD" w14:textId="77777777" w:rsidR="00D53DCB" w:rsidRPr="00DA1AA7" w:rsidDel="00D2222B" w:rsidRDefault="00D53DCB" w:rsidP="006254B5">
            <w:pPr>
              <w:spacing w:after="0" w:line="240" w:lineRule="auto"/>
              <w:jc w:val="center"/>
              <w:rPr>
                <w:rFonts w:ascii="Garamond" w:hAnsi="Garamond"/>
              </w:rPr>
            </w:pPr>
            <w:r>
              <w:rPr>
                <w:rFonts w:ascii="Garamond" w:hAnsi="Garamond"/>
              </w:rPr>
              <w:t>1953</w:t>
            </w:r>
          </w:p>
        </w:tc>
      </w:tr>
      <w:tr w:rsidR="00D53DCB" w:rsidRPr="00DA1AA7" w14:paraId="4C0C3495" w14:textId="77777777" w:rsidTr="006254B5">
        <w:trPr>
          <w:trHeight w:val="361"/>
        </w:trPr>
        <w:tc>
          <w:tcPr>
            <w:tcW w:w="6815" w:type="dxa"/>
            <w:shd w:val="clear" w:color="auto" w:fill="auto"/>
            <w:vAlign w:val="center"/>
          </w:tcPr>
          <w:p w14:paraId="4CAE5BE4" w14:textId="77777777" w:rsidR="00D53DCB" w:rsidRPr="00DA1AA7" w:rsidRDefault="00D53DCB" w:rsidP="006254B5">
            <w:pPr>
              <w:spacing w:before="60" w:after="60"/>
              <w:rPr>
                <w:rFonts w:ascii="Garamond" w:hAnsi="Garamond"/>
              </w:rPr>
            </w:pPr>
            <w:r w:rsidRPr="00DA1AA7">
              <w:rPr>
                <w:rFonts w:ascii="Garamond" w:hAnsi="Garamond"/>
              </w:rPr>
              <w:t>End</w:t>
            </w:r>
          </w:p>
        </w:tc>
        <w:tc>
          <w:tcPr>
            <w:tcW w:w="1742" w:type="dxa"/>
            <w:gridSpan w:val="2"/>
            <w:noWrap/>
            <w:tcMar>
              <w:left w:w="28" w:type="dxa"/>
              <w:right w:w="28" w:type="dxa"/>
            </w:tcMar>
            <w:vAlign w:val="center"/>
          </w:tcPr>
          <w:p w14:paraId="580828A5" w14:textId="77777777" w:rsidR="00D53DCB" w:rsidRPr="00DA1AA7" w:rsidDel="00D2222B" w:rsidRDefault="00D53DCB" w:rsidP="006254B5">
            <w:pPr>
              <w:spacing w:after="0" w:line="240" w:lineRule="auto"/>
              <w:jc w:val="center"/>
              <w:rPr>
                <w:rFonts w:ascii="Garamond" w:hAnsi="Garamond"/>
              </w:rPr>
            </w:pPr>
            <w:r>
              <w:rPr>
                <w:rFonts w:ascii="Garamond" w:hAnsi="Garamond"/>
              </w:rPr>
              <w:t>2020</w:t>
            </w:r>
          </w:p>
        </w:tc>
      </w:tr>
      <w:tr w:rsidR="00D53DCB" w:rsidRPr="00DA1AA7" w14:paraId="51A1B99F" w14:textId="77777777" w:rsidTr="006254B5">
        <w:trPr>
          <w:trHeight w:hRule="exact" w:val="172"/>
        </w:trPr>
        <w:tc>
          <w:tcPr>
            <w:tcW w:w="6815" w:type="dxa"/>
            <w:tcBorders>
              <w:bottom w:val="double" w:sz="4" w:space="0" w:color="auto"/>
            </w:tcBorders>
            <w:shd w:val="clear" w:color="auto" w:fill="auto"/>
            <w:vAlign w:val="center"/>
          </w:tcPr>
          <w:p w14:paraId="0B4A0E86" w14:textId="77777777" w:rsidR="00D53DCB" w:rsidRPr="00DA1AA7" w:rsidRDefault="00D53DCB" w:rsidP="006254B5">
            <w:pPr>
              <w:rPr>
                <w:rFonts w:ascii="Garamond" w:hAnsi="Garamond"/>
              </w:rPr>
            </w:pPr>
          </w:p>
        </w:tc>
        <w:tc>
          <w:tcPr>
            <w:tcW w:w="1742" w:type="dxa"/>
            <w:gridSpan w:val="2"/>
            <w:tcBorders>
              <w:bottom w:val="double" w:sz="4" w:space="0" w:color="auto"/>
            </w:tcBorders>
            <w:noWrap/>
            <w:tcMar>
              <w:left w:w="28" w:type="dxa"/>
              <w:right w:w="28" w:type="dxa"/>
            </w:tcMar>
            <w:vAlign w:val="center"/>
          </w:tcPr>
          <w:p w14:paraId="331BEEB7" w14:textId="77777777" w:rsidR="00D53DCB" w:rsidRPr="00DA1AA7" w:rsidRDefault="00D53DCB" w:rsidP="006254B5">
            <w:pPr>
              <w:spacing w:after="0" w:line="240" w:lineRule="auto"/>
              <w:jc w:val="center"/>
              <w:rPr>
                <w:rFonts w:ascii="Garamond" w:hAnsi="Garamond"/>
              </w:rPr>
            </w:pPr>
          </w:p>
        </w:tc>
      </w:tr>
    </w:tbl>
    <w:p w14:paraId="445AEC1E" w14:textId="77777777" w:rsidR="00D53DCB" w:rsidRDefault="00D53DCB" w:rsidP="00D53DCB">
      <w:pPr>
        <w:rPr>
          <w:rFonts w:ascii="Garamond" w:hAnsi="Garamond"/>
        </w:rPr>
      </w:pPr>
    </w:p>
    <w:p w14:paraId="6F210F31" w14:textId="77777777" w:rsidR="00D53DCB" w:rsidRDefault="00D53DCB" w:rsidP="00D53DCB">
      <w:pPr>
        <w:rPr>
          <w:rFonts w:ascii="Garamond" w:hAnsi="Garamond"/>
        </w:rPr>
      </w:pPr>
    </w:p>
    <w:p w14:paraId="6250B1E6" w14:textId="77777777" w:rsidR="00D53DCB" w:rsidRPr="00DA1AA7" w:rsidRDefault="00D53DCB" w:rsidP="00D53DCB">
      <w:pPr>
        <w:rPr>
          <w:rFonts w:ascii="Garamond" w:hAnsi="Garamond"/>
        </w:rPr>
      </w:pPr>
    </w:p>
    <w:p w14:paraId="4CC5C25C" w14:textId="77777777" w:rsidR="00D53DCB" w:rsidRDefault="00D53DCB" w:rsidP="00D53DCB">
      <w:pPr>
        <w:jc w:val="both"/>
        <w:rPr>
          <w:rFonts w:ascii="Garamond" w:hAnsi="Garamond"/>
        </w:rPr>
      </w:pPr>
    </w:p>
    <w:p w14:paraId="59BE1C49" w14:textId="77777777" w:rsidR="00D53DCB" w:rsidRDefault="00D53DCB" w:rsidP="00D53DCB">
      <w:pPr>
        <w:rPr>
          <w:rFonts w:ascii="Garamond" w:hAnsi="Garamond"/>
          <w:b/>
        </w:rPr>
      </w:pPr>
      <w:r>
        <w:rPr>
          <w:rFonts w:ascii="Garamond" w:hAnsi="Garamond"/>
          <w:b/>
        </w:rPr>
        <w:br w:type="page"/>
      </w:r>
    </w:p>
    <w:p w14:paraId="6D5006B1" w14:textId="77777777" w:rsidR="00D53DCB" w:rsidRPr="00DA1AA7" w:rsidRDefault="00D53DCB" w:rsidP="00D53DCB">
      <w:pPr>
        <w:spacing w:after="120"/>
        <w:rPr>
          <w:rFonts w:ascii="Garamond" w:hAnsi="Garamond"/>
        </w:rPr>
      </w:pPr>
      <w:r w:rsidRPr="00DA1AA7">
        <w:rPr>
          <w:rFonts w:ascii="Garamond" w:hAnsi="Garamond"/>
          <w:b/>
        </w:rPr>
        <w:lastRenderedPageBreak/>
        <w:t>Table</w:t>
      </w:r>
      <w:r>
        <w:rPr>
          <w:rFonts w:ascii="Garamond" w:hAnsi="Garamond"/>
          <w:b/>
        </w:rPr>
        <w:t xml:space="preserve"> A3</w:t>
      </w:r>
      <w:r w:rsidRPr="00DA1AA7">
        <w:rPr>
          <w:rFonts w:ascii="Garamond" w:hAnsi="Garamond"/>
          <w:b/>
        </w:rPr>
        <w:t>(b).</w:t>
      </w:r>
      <w:r w:rsidRPr="00DA1AA7">
        <w:rPr>
          <w:rFonts w:ascii="Garamond" w:hAnsi="Garamond"/>
        </w:rPr>
        <w:t xml:space="preserve"> </w:t>
      </w:r>
      <w:r w:rsidRPr="00DA1AA7">
        <w:rPr>
          <w:rFonts w:ascii="Garamond" w:hAnsi="Garamond" w:cstheme="minorHAnsi"/>
        </w:rPr>
        <w:t>Factor Loadings of Selected Question Series and the</w:t>
      </w:r>
      <w:r>
        <w:rPr>
          <w:rFonts w:ascii="Garamond" w:hAnsi="Garamond" w:cstheme="minorHAnsi"/>
        </w:rPr>
        <w:t xml:space="preserve"> Overall</w:t>
      </w:r>
      <w:r w:rsidRPr="00DA1AA7">
        <w:rPr>
          <w:rFonts w:ascii="Garamond" w:hAnsi="Garamond" w:cstheme="minorHAnsi"/>
        </w:rPr>
        <w:t xml:space="preserve"> Measure of Punitive Opinion, </w:t>
      </w:r>
      <w:r>
        <w:rPr>
          <w:rFonts w:ascii="Garamond" w:hAnsi="Garamond" w:cstheme="minorHAnsi"/>
        </w:rPr>
        <w:t>Britain</w:t>
      </w:r>
    </w:p>
    <w:tbl>
      <w:tblPr>
        <w:tblW w:w="8557" w:type="dxa"/>
        <w:tblInd w:w="108" w:type="dxa"/>
        <w:tblLayout w:type="fixed"/>
        <w:tblLook w:val="0000" w:firstRow="0" w:lastRow="0" w:firstColumn="0" w:lastColumn="0" w:noHBand="0" w:noVBand="0"/>
      </w:tblPr>
      <w:tblGrid>
        <w:gridCol w:w="6815"/>
        <w:gridCol w:w="633"/>
        <w:gridCol w:w="1109"/>
      </w:tblGrid>
      <w:tr w:rsidR="00D53DCB" w:rsidRPr="00DA1AA7" w14:paraId="1E05379A" w14:textId="77777777" w:rsidTr="006254B5">
        <w:trPr>
          <w:trHeight w:val="690"/>
        </w:trPr>
        <w:tc>
          <w:tcPr>
            <w:tcW w:w="6815" w:type="dxa"/>
            <w:tcBorders>
              <w:top w:val="double" w:sz="4" w:space="0" w:color="auto"/>
            </w:tcBorders>
            <w:shd w:val="clear" w:color="auto" w:fill="auto"/>
          </w:tcPr>
          <w:p w14:paraId="321D9CE7" w14:textId="77777777" w:rsidR="00D53DCB" w:rsidRPr="00DA1AA7" w:rsidRDefault="00D53DCB" w:rsidP="006254B5">
            <w:pPr>
              <w:spacing w:before="60" w:after="60"/>
              <w:rPr>
                <w:rFonts w:ascii="Garamond" w:hAnsi="Garamond"/>
              </w:rPr>
            </w:pPr>
          </w:p>
        </w:tc>
        <w:tc>
          <w:tcPr>
            <w:tcW w:w="1742" w:type="dxa"/>
            <w:gridSpan w:val="2"/>
            <w:tcBorders>
              <w:top w:val="double" w:sz="4" w:space="0" w:color="auto"/>
            </w:tcBorders>
            <w:noWrap/>
            <w:tcMar>
              <w:left w:w="28" w:type="dxa"/>
              <w:right w:w="28" w:type="dxa"/>
            </w:tcMar>
            <w:vAlign w:val="center"/>
          </w:tcPr>
          <w:p w14:paraId="35191346" w14:textId="77777777" w:rsidR="00D53DCB" w:rsidRPr="00DA1AA7" w:rsidRDefault="00D53DCB" w:rsidP="006254B5">
            <w:pPr>
              <w:spacing w:before="120" w:after="120" w:line="240" w:lineRule="auto"/>
              <w:jc w:val="center"/>
              <w:rPr>
                <w:rFonts w:ascii="Garamond" w:hAnsi="Garamond"/>
              </w:rPr>
            </w:pPr>
            <w:r w:rsidRPr="00DA1AA7">
              <w:rPr>
                <w:rFonts w:ascii="Garamond" w:hAnsi="Garamond"/>
              </w:rPr>
              <w:t>Punitive Opinion</w:t>
            </w:r>
          </w:p>
        </w:tc>
      </w:tr>
      <w:tr w:rsidR="00D53DCB" w:rsidRPr="00DA1AA7" w14:paraId="53DF0830" w14:textId="77777777" w:rsidTr="006254B5">
        <w:trPr>
          <w:trHeight w:val="361"/>
        </w:trPr>
        <w:tc>
          <w:tcPr>
            <w:tcW w:w="6815" w:type="dxa"/>
            <w:tcBorders>
              <w:bottom w:val="single" w:sz="4" w:space="0" w:color="auto"/>
            </w:tcBorders>
            <w:shd w:val="clear" w:color="auto" w:fill="auto"/>
          </w:tcPr>
          <w:p w14:paraId="4932DA3F" w14:textId="77777777" w:rsidR="00D53DCB" w:rsidRPr="00DA1AA7" w:rsidRDefault="00D53DCB" w:rsidP="006254B5">
            <w:pPr>
              <w:spacing w:before="60" w:after="60"/>
              <w:rPr>
                <w:rFonts w:ascii="Garamond" w:hAnsi="Garamond"/>
              </w:rPr>
            </w:pPr>
            <w:r w:rsidRPr="00DA1AA7">
              <w:rPr>
                <w:rFonts w:ascii="Garamond" w:hAnsi="Garamond"/>
                <w:u w:val="single"/>
              </w:rPr>
              <w:t>Survey item (source)</w:t>
            </w:r>
          </w:p>
        </w:tc>
        <w:tc>
          <w:tcPr>
            <w:tcW w:w="633" w:type="dxa"/>
            <w:tcBorders>
              <w:bottom w:val="single" w:sz="4" w:space="0" w:color="auto"/>
            </w:tcBorders>
            <w:noWrap/>
            <w:tcMar>
              <w:left w:w="28" w:type="dxa"/>
              <w:right w:w="28" w:type="dxa"/>
            </w:tcMar>
            <w:vAlign w:val="center"/>
          </w:tcPr>
          <w:p w14:paraId="3EEB91C8" w14:textId="77777777" w:rsidR="00D53DCB" w:rsidRPr="00DA1AA7" w:rsidRDefault="00D53DCB" w:rsidP="006254B5">
            <w:pPr>
              <w:spacing w:after="0" w:line="240" w:lineRule="auto"/>
              <w:jc w:val="center"/>
              <w:rPr>
                <w:rFonts w:ascii="Garamond" w:hAnsi="Garamond"/>
              </w:rPr>
            </w:pPr>
            <w:r w:rsidRPr="00DA1AA7">
              <w:rPr>
                <w:rFonts w:ascii="Garamond" w:hAnsi="Garamond"/>
              </w:rPr>
              <w:t>Cases</w:t>
            </w:r>
          </w:p>
        </w:tc>
        <w:tc>
          <w:tcPr>
            <w:tcW w:w="1109" w:type="dxa"/>
            <w:tcBorders>
              <w:bottom w:val="single" w:sz="4" w:space="0" w:color="auto"/>
            </w:tcBorders>
            <w:noWrap/>
            <w:tcMar>
              <w:left w:w="28" w:type="dxa"/>
              <w:right w:w="28" w:type="dxa"/>
            </w:tcMar>
            <w:vAlign w:val="center"/>
          </w:tcPr>
          <w:p w14:paraId="6E4478E6" w14:textId="77777777" w:rsidR="00D53DCB" w:rsidRPr="00DA1AA7" w:rsidRDefault="00D53DCB" w:rsidP="006254B5">
            <w:pPr>
              <w:spacing w:after="0" w:line="240" w:lineRule="auto"/>
              <w:jc w:val="center"/>
              <w:rPr>
                <w:rFonts w:ascii="Garamond" w:hAnsi="Garamond"/>
              </w:rPr>
            </w:pPr>
            <w:r>
              <w:rPr>
                <w:rFonts w:ascii="Garamond" w:hAnsi="Garamond"/>
              </w:rPr>
              <w:t>Loading</w:t>
            </w:r>
          </w:p>
        </w:tc>
      </w:tr>
      <w:tr w:rsidR="00D53DCB" w:rsidRPr="00DA1AA7" w14:paraId="4B2AE238" w14:textId="77777777" w:rsidTr="006254B5">
        <w:trPr>
          <w:trHeight w:hRule="exact" w:val="114"/>
        </w:trPr>
        <w:tc>
          <w:tcPr>
            <w:tcW w:w="6815" w:type="dxa"/>
            <w:shd w:val="clear" w:color="auto" w:fill="auto"/>
          </w:tcPr>
          <w:p w14:paraId="2E4A045D" w14:textId="77777777" w:rsidR="00D53DCB" w:rsidRPr="00DA1AA7" w:rsidRDefault="00D53DCB" w:rsidP="006254B5">
            <w:pPr>
              <w:spacing w:before="60" w:after="60"/>
              <w:rPr>
                <w:rFonts w:ascii="Garamond" w:hAnsi="Garamond"/>
              </w:rPr>
            </w:pPr>
          </w:p>
        </w:tc>
        <w:tc>
          <w:tcPr>
            <w:tcW w:w="633" w:type="dxa"/>
            <w:noWrap/>
            <w:tcMar>
              <w:left w:w="28" w:type="dxa"/>
              <w:right w:w="28" w:type="dxa"/>
            </w:tcMar>
            <w:vAlign w:val="center"/>
          </w:tcPr>
          <w:p w14:paraId="68961EFA" w14:textId="77777777" w:rsidR="00D53DCB" w:rsidRPr="00DA1AA7" w:rsidRDefault="00D53DCB" w:rsidP="006254B5">
            <w:pPr>
              <w:spacing w:after="0" w:line="240" w:lineRule="auto"/>
              <w:jc w:val="center"/>
              <w:rPr>
                <w:rFonts w:ascii="Garamond" w:hAnsi="Garamond"/>
              </w:rPr>
            </w:pPr>
          </w:p>
        </w:tc>
        <w:tc>
          <w:tcPr>
            <w:tcW w:w="1109" w:type="dxa"/>
            <w:noWrap/>
            <w:tcMar>
              <w:left w:w="28" w:type="dxa"/>
              <w:right w:w="28" w:type="dxa"/>
            </w:tcMar>
            <w:vAlign w:val="center"/>
          </w:tcPr>
          <w:p w14:paraId="622F49B0" w14:textId="77777777" w:rsidR="00D53DCB" w:rsidRPr="00DA1AA7" w:rsidRDefault="00D53DCB" w:rsidP="006254B5">
            <w:pPr>
              <w:jc w:val="center"/>
              <w:rPr>
                <w:rFonts w:ascii="Garamond" w:hAnsi="Garamond"/>
              </w:rPr>
            </w:pPr>
          </w:p>
        </w:tc>
      </w:tr>
      <w:tr w:rsidR="00D53DCB" w:rsidRPr="00DA1AA7" w14:paraId="548A0DB2" w14:textId="77777777" w:rsidTr="006254B5">
        <w:trPr>
          <w:trHeight w:val="361"/>
        </w:trPr>
        <w:tc>
          <w:tcPr>
            <w:tcW w:w="6815" w:type="dxa"/>
            <w:shd w:val="clear" w:color="auto" w:fill="auto"/>
            <w:vAlign w:val="center"/>
          </w:tcPr>
          <w:p w14:paraId="47354CCB" w14:textId="77777777" w:rsidR="00D53DCB" w:rsidRPr="0083106A" w:rsidRDefault="00D53DCB" w:rsidP="006254B5">
            <w:pPr>
              <w:spacing w:before="60" w:after="60"/>
              <w:rPr>
                <w:rFonts w:ascii="Garamond" w:hAnsi="Garamond"/>
                <w:iCs/>
              </w:rPr>
            </w:pPr>
            <w:r w:rsidRPr="0083106A">
              <w:rPr>
                <w:rFonts w:ascii="Garamond" w:hAnsi="Garamond"/>
                <w:iCs/>
              </w:rPr>
              <w:t>People who break the law should be given stiffer sentences (BES Internet Panel)</w:t>
            </w:r>
          </w:p>
        </w:tc>
        <w:tc>
          <w:tcPr>
            <w:tcW w:w="633" w:type="dxa"/>
            <w:noWrap/>
            <w:tcMar>
              <w:left w:w="28" w:type="dxa"/>
              <w:right w:w="28" w:type="dxa"/>
            </w:tcMar>
            <w:vAlign w:val="center"/>
          </w:tcPr>
          <w:p w14:paraId="62CFE867" w14:textId="77777777" w:rsidR="00D53DCB" w:rsidRPr="0083106A" w:rsidRDefault="00D53DCB" w:rsidP="006254B5">
            <w:pPr>
              <w:spacing w:after="0" w:line="240" w:lineRule="auto"/>
              <w:jc w:val="center"/>
              <w:rPr>
                <w:rFonts w:ascii="Garamond" w:hAnsi="Garamond"/>
              </w:rPr>
            </w:pPr>
            <w:r w:rsidRPr="0083106A">
              <w:rPr>
                <w:rFonts w:ascii="Garamond" w:hAnsi="Garamond"/>
              </w:rPr>
              <w:t>4</w:t>
            </w:r>
          </w:p>
        </w:tc>
        <w:tc>
          <w:tcPr>
            <w:tcW w:w="1109" w:type="dxa"/>
            <w:noWrap/>
            <w:tcMar>
              <w:left w:w="28" w:type="dxa"/>
              <w:right w:w="28" w:type="dxa"/>
            </w:tcMar>
            <w:vAlign w:val="center"/>
          </w:tcPr>
          <w:p w14:paraId="5D139D65" w14:textId="77777777" w:rsidR="00D53DCB" w:rsidRPr="0083106A" w:rsidRDefault="00D53DCB" w:rsidP="006254B5">
            <w:pPr>
              <w:spacing w:after="0"/>
              <w:jc w:val="center"/>
              <w:rPr>
                <w:rFonts w:ascii="Garamond" w:hAnsi="Garamond"/>
              </w:rPr>
            </w:pPr>
            <w:r w:rsidRPr="0083106A">
              <w:rPr>
                <w:rFonts w:ascii="Garamond" w:hAnsi="Garamond"/>
              </w:rPr>
              <w:t>1.00</w:t>
            </w:r>
          </w:p>
        </w:tc>
      </w:tr>
      <w:tr w:rsidR="00D53DCB" w:rsidRPr="00DA1AA7" w14:paraId="34B83DF3" w14:textId="77777777" w:rsidTr="006254B5">
        <w:trPr>
          <w:trHeight w:val="602"/>
        </w:trPr>
        <w:tc>
          <w:tcPr>
            <w:tcW w:w="6815" w:type="dxa"/>
            <w:shd w:val="clear" w:color="auto" w:fill="auto"/>
            <w:vAlign w:val="center"/>
          </w:tcPr>
          <w:p w14:paraId="4F3C55FB" w14:textId="77777777" w:rsidR="00D53DCB" w:rsidRPr="0083106A" w:rsidRDefault="00D53DCB" w:rsidP="006254B5">
            <w:pPr>
              <w:spacing w:before="60" w:after="60"/>
              <w:rPr>
                <w:rFonts w:ascii="Garamond" w:hAnsi="Garamond"/>
                <w:iCs/>
              </w:rPr>
            </w:pPr>
            <w:r w:rsidRPr="0083106A">
              <w:rPr>
                <w:rFonts w:ascii="Garamond" w:hAnsi="Garamond"/>
                <w:iCs/>
              </w:rPr>
              <w:t>Sentences that the courts hand down to people who have been convicted of crimes are not harsh enough (YouGov)</w:t>
            </w:r>
          </w:p>
        </w:tc>
        <w:tc>
          <w:tcPr>
            <w:tcW w:w="633" w:type="dxa"/>
            <w:noWrap/>
            <w:tcMar>
              <w:left w:w="28" w:type="dxa"/>
              <w:right w:w="28" w:type="dxa"/>
            </w:tcMar>
            <w:vAlign w:val="center"/>
          </w:tcPr>
          <w:p w14:paraId="58BB62BC" w14:textId="77777777" w:rsidR="00D53DCB" w:rsidRPr="0083106A" w:rsidRDefault="00D53DCB" w:rsidP="006254B5">
            <w:pPr>
              <w:spacing w:after="0" w:line="240" w:lineRule="auto"/>
              <w:jc w:val="center"/>
              <w:rPr>
                <w:rFonts w:ascii="Garamond" w:hAnsi="Garamond"/>
              </w:rPr>
            </w:pPr>
            <w:r w:rsidRPr="0083106A">
              <w:rPr>
                <w:rFonts w:ascii="Garamond" w:hAnsi="Garamond"/>
              </w:rPr>
              <w:t>4</w:t>
            </w:r>
          </w:p>
        </w:tc>
        <w:tc>
          <w:tcPr>
            <w:tcW w:w="1109" w:type="dxa"/>
            <w:noWrap/>
            <w:tcMar>
              <w:left w:w="28" w:type="dxa"/>
              <w:right w:w="28" w:type="dxa"/>
            </w:tcMar>
            <w:vAlign w:val="center"/>
          </w:tcPr>
          <w:p w14:paraId="27C7BD5C" w14:textId="77777777" w:rsidR="00D53DCB" w:rsidRPr="0083106A" w:rsidRDefault="00D53DCB" w:rsidP="006254B5">
            <w:pPr>
              <w:spacing w:after="0"/>
              <w:jc w:val="center"/>
              <w:rPr>
                <w:rFonts w:ascii="Garamond" w:hAnsi="Garamond"/>
              </w:rPr>
            </w:pPr>
            <w:r w:rsidRPr="0083106A">
              <w:rPr>
                <w:rFonts w:ascii="Garamond" w:hAnsi="Garamond"/>
              </w:rPr>
              <w:t>1.00</w:t>
            </w:r>
          </w:p>
        </w:tc>
      </w:tr>
      <w:tr w:rsidR="00D53DCB" w:rsidRPr="0083106A" w14:paraId="5158D6EB" w14:textId="77777777" w:rsidTr="006254B5">
        <w:trPr>
          <w:trHeight w:val="361"/>
        </w:trPr>
        <w:tc>
          <w:tcPr>
            <w:tcW w:w="6815" w:type="dxa"/>
            <w:shd w:val="clear" w:color="auto" w:fill="auto"/>
            <w:vAlign w:val="center"/>
          </w:tcPr>
          <w:p w14:paraId="1B2D70B7" w14:textId="77777777" w:rsidR="00D53DCB" w:rsidRPr="001F7259" w:rsidRDefault="00D53DCB" w:rsidP="006254B5">
            <w:pPr>
              <w:spacing w:before="60" w:after="60"/>
              <w:rPr>
                <w:rFonts w:ascii="Garamond" w:hAnsi="Garamond"/>
                <w:iCs/>
              </w:rPr>
            </w:pPr>
            <w:r>
              <w:rPr>
                <w:rFonts w:ascii="Garamond" w:hAnsi="Garamond" w:cs="Courier New"/>
              </w:rPr>
              <w:t>Bad idea that non-violent prison sentences should be shorter</w:t>
            </w:r>
            <w:r w:rsidRPr="0083106A">
              <w:rPr>
                <w:rFonts w:ascii="Garamond" w:hAnsi="Garamond"/>
                <w:iCs/>
              </w:rPr>
              <w:t xml:space="preserve"> (CSEW)</w:t>
            </w:r>
          </w:p>
        </w:tc>
        <w:tc>
          <w:tcPr>
            <w:tcW w:w="633" w:type="dxa"/>
            <w:noWrap/>
            <w:tcMar>
              <w:left w:w="28" w:type="dxa"/>
              <w:right w:w="28" w:type="dxa"/>
            </w:tcMar>
            <w:vAlign w:val="center"/>
          </w:tcPr>
          <w:p w14:paraId="3949E35D" w14:textId="77777777" w:rsidR="00D53DCB" w:rsidRPr="0083106A" w:rsidRDefault="00D53DCB" w:rsidP="006254B5">
            <w:pPr>
              <w:spacing w:after="0" w:line="240" w:lineRule="auto"/>
              <w:jc w:val="center"/>
              <w:rPr>
                <w:rFonts w:ascii="Garamond" w:hAnsi="Garamond"/>
              </w:rPr>
            </w:pPr>
            <w:r>
              <w:rPr>
                <w:rFonts w:ascii="Garamond" w:hAnsi="Garamond"/>
              </w:rPr>
              <w:t>2</w:t>
            </w:r>
          </w:p>
        </w:tc>
        <w:tc>
          <w:tcPr>
            <w:tcW w:w="1109" w:type="dxa"/>
            <w:noWrap/>
            <w:tcMar>
              <w:left w:w="28" w:type="dxa"/>
              <w:right w:w="28" w:type="dxa"/>
            </w:tcMar>
            <w:vAlign w:val="center"/>
          </w:tcPr>
          <w:p w14:paraId="62A43A2E" w14:textId="77777777" w:rsidR="00D53DCB" w:rsidRPr="0083106A" w:rsidRDefault="00D53DCB" w:rsidP="006254B5">
            <w:pPr>
              <w:spacing w:after="0"/>
              <w:jc w:val="center"/>
              <w:rPr>
                <w:rFonts w:ascii="Garamond" w:hAnsi="Garamond"/>
              </w:rPr>
            </w:pPr>
            <w:r>
              <w:rPr>
                <w:rFonts w:ascii="Garamond" w:hAnsi="Garamond"/>
              </w:rPr>
              <w:t>1.00</w:t>
            </w:r>
          </w:p>
        </w:tc>
      </w:tr>
      <w:tr w:rsidR="00D53DCB" w:rsidRPr="0083106A" w14:paraId="0946CF2E" w14:textId="77777777" w:rsidTr="006254B5">
        <w:trPr>
          <w:trHeight w:val="361"/>
        </w:trPr>
        <w:tc>
          <w:tcPr>
            <w:tcW w:w="6815" w:type="dxa"/>
            <w:shd w:val="clear" w:color="auto" w:fill="auto"/>
            <w:vAlign w:val="center"/>
          </w:tcPr>
          <w:p w14:paraId="5839D7E7" w14:textId="77777777" w:rsidR="00D53DCB" w:rsidRPr="001F7259" w:rsidRDefault="00D53DCB" w:rsidP="006254B5">
            <w:pPr>
              <w:spacing w:before="60" w:after="60"/>
              <w:rPr>
                <w:rFonts w:ascii="Garamond" w:hAnsi="Garamond"/>
                <w:iCs/>
              </w:rPr>
            </w:pPr>
            <w:r w:rsidRPr="00377819">
              <w:rPr>
                <w:rFonts w:ascii="Garamond" w:hAnsi="Garamond" w:cs="Courier New"/>
              </w:rPr>
              <w:t xml:space="preserve">Bad idea that non-violent offenders should get community service </w:t>
            </w:r>
            <w:r w:rsidRPr="0083106A">
              <w:rPr>
                <w:rFonts w:ascii="Garamond" w:hAnsi="Garamond"/>
                <w:iCs/>
              </w:rPr>
              <w:t>(CSEW)</w:t>
            </w:r>
          </w:p>
        </w:tc>
        <w:tc>
          <w:tcPr>
            <w:tcW w:w="633" w:type="dxa"/>
            <w:noWrap/>
            <w:tcMar>
              <w:left w:w="28" w:type="dxa"/>
              <w:right w:w="28" w:type="dxa"/>
            </w:tcMar>
            <w:vAlign w:val="center"/>
          </w:tcPr>
          <w:p w14:paraId="3E1C8D4A" w14:textId="77777777" w:rsidR="00D53DCB" w:rsidRPr="0083106A" w:rsidRDefault="00D53DCB" w:rsidP="006254B5">
            <w:pPr>
              <w:spacing w:after="0" w:line="240" w:lineRule="auto"/>
              <w:jc w:val="center"/>
              <w:rPr>
                <w:rFonts w:ascii="Garamond" w:hAnsi="Garamond"/>
              </w:rPr>
            </w:pPr>
            <w:r>
              <w:rPr>
                <w:rFonts w:ascii="Garamond" w:hAnsi="Garamond"/>
              </w:rPr>
              <w:t>2</w:t>
            </w:r>
          </w:p>
        </w:tc>
        <w:tc>
          <w:tcPr>
            <w:tcW w:w="1109" w:type="dxa"/>
            <w:noWrap/>
            <w:tcMar>
              <w:left w:w="28" w:type="dxa"/>
              <w:right w:w="28" w:type="dxa"/>
            </w:tcMar>
            <w:vAlign w:val="center"/>
          </w:tcPr>
          <w:p w14:paraId="68651796" w14:textId="77777777" w:rsidR="00D53DCB" w:rsidRPr="0083106A" w:rsidRDefault="00D53DCB" w:rsidP="006254B5">
            <w:pPr>
              <w:spacing w:after="0"/>
              <w:jc w:val="center"/>
              <w:rPr>
                <w:rFonts w:ascii="Garamond" w:hAnsi="Garamond"/>
              </w:rPr>
            </w:pPr>
            <w:r>
              <w:rPr>
                <w:rFonts w:ascii="Garamond" w:hAnsi="Garamond"/>
              </w:rPr>
              <w:t>1.00</w:t>
            </w:r>
          </w:p>
        </w:tc>
      </w:tr>
      <w:tr w:rsidR="00D53DCB" w:rsidRPr="0083106A" w14:paraId="31BFF1A8" w14:textId="77777777" w:rsidTr="006254B5">
        <w:trPr>
          <w:trHeight w:val="361"/>
        </w:trPr>
        <w:tc>
          <w:tcPr>
            <w:tcW w:w="6815" w:type="dxa"/>
            <w:shd w:val="clear" w:color="auto" w:fill="auto"/>
            <w:vAlign w:val="center"/>
          </w:tcPr>
          <w:p w14:paraId="7C86CA95" w14:textId="77777777" w:rsidR="00D53DCB" w:rsidRPr="001F7259" w:rsidRDefault="00D53DCB" w:rsidP="006254B5">
            <w:pPr>
              <w:spacing w:before="60" w:after="60"/>
              <w:rPr>
                <w:rFonts w:ascii="Garamond" w:hAnsi="Garamond"/>
                <w:iCs/>
              </w:rPr>
            </w:pPr>
            <w:r w:rsidRPr="00377819">
              <w:rPr>
                <w:rFonts w:ascii="Garamond" w:hAnsi="Garamond" w:cs="Courier New"/>
              </w:rPr>
              <w:t>Bad idea that non-violent offenders should pay fines instead</w:t>
            </w:r>
            <w:r w:rsidRPr="0083106A">
              <w:rPr>
                <w:rFonts w:ascii="Garamond" w:hAnsi="Garamond"/>
                <w:iCs/>
              </w:rPr>
              <w:t xml:space="preserve"> (CSEW)</w:t>
            </w:r>
          </w:p>
        </w:tc>
        <w:tc>
          <w:tcPr>
            <w:tcW w:w="633" w:type="dxa"/>
            <w:noWrap/>
            <w:tcMar>
              <w:left w:w="28" w:type="dxa"/>
              <w:right w:w="28" w:type="dxa"/>
            </w:tcMar>
            <w:vAlign w:val="center"/>
          </w:tcPr>
          <w:p w14:paraId="5A16C325" w14:textId="77777777" w:rsidR="00D53DCB" w:rsidRPr="0083106A" w:rsidRDefault="00D53DCB" w:rsidP="006254B5">
            <w:pPr>
              <w:spacing w:after="0" w:line="240" w:lineRule="auto"/>
              <w:jc w:val="center"/>
              <w:rPr>
                <w:rFonts w:ascii="Garamond" w:hAnsi="Garamond"/>
              </w:rPr>
            </w:pPr>
            <w:r>
              <w:rPr>
                <w:rFonts w:ascii="Garamond" w:hAnsi="Garamond"/>
              </w:rPr>
              <w:t>2</w:t>
            </w:r>
          </w:p>
        </w:tc>
        <w:tc>
          <w:tcPr>
            <w:tcW w:w="1109" w:type="dxa"/>
            <w:noWrap/>
            <w:tcMar>
              <w:left w:w="28" w:type="dxa"/>
              <w:right w:w="28" w:type="dxa"/>
            </w:tcMar>
            <w:vAlign w:val="center"/>
          </w:tcPr>
          <w:p w14:paraId="36493696" w14:textId="77777777" w:rsidR="00D53DCB" w:rsidRPr="0083106A" w:rsidRDefault="00D53DCB" w:rsidP="006254B5">
            <w:pPr>
              <w:spacing w:after="0"/>
              <w:jc w:val="center"/>
              <w:rPr>
                <w:rFonts w:ascii="Garamond" w:hAnsi="Garamond"/>
              </w:rPr>
            </w:pPr>
            <w:r>
              <w:rPr>
                <w:rFonts w:ascii="Garamond" w:hAnsi="Garamond"/>
              </w:rPr>
              <w:t>1.00</w:t>
            </w:r>
          </w:p>
        </w:tc>
      </w:tr>
      <w:tr w:rsidR="00D53DCB" w:rsidRPr="0083106A" w14:paraId="2A01C6C6" w14:textId="77777777" w:rsidTr="006254B5">
        <w:trPr>
          <w:trHeight w:val="361"/>
        </w:trPr>
        <w:tc>
          <w:tcPr>
            <w:tcW w:w="6815" w:type="dxa"/>
            <w:shd w:val="clear" w:color="auto" w:fill="auto"/>
            <w:vAlign w:val="center"/>
          </w:tcPr>
          <w:p w14:paraId="2BA699B7" w14:textId="77777777" w:rsidR="00D53DCB" w:rsidRPr="001F7259" w:rsidRDefault="00D53DCB" w:rsidP="006254B5">
            <w:pPr>
              <w:spacing w:before="60" w:after="60"/>
              <w:rPr>
                <w:rFonts w:ascii="Garamond" w:hAnsi="Garamond"/>
                <w:iCs/>
              </w:rPr>
            </w:pPr>
            <w:r>
              <w:rPr>
                <w:rFonts w:ascii="Garamond" w:hAnsi="Garamond" w:cs="Courier New"/>
              </w:rPr>
              <w:t>T</w:t>
            </w:r>
            <w:r w:rsidRPr="00377819">
              <w:rPr>
                <w:rFonts w:ascii="Garamond" w:hAnsi="Garamond" w:cs="Courier New"/>
              </w:rPr>
              <w:t>he police should be armed more often</w:t>
            </w:r>
            <w:r>
              <w:rPr>
                <w:rFonts w:ascii="Garamond" w:hAnsi="Garamond" w:cs="Courier New"/>
              </w:rPr>
              <w:t xml:space="preserve"> (MORI)</w:t>
            </w:r>
          </w:p>
        </w:tc>
        <w:tc>
          <w:tcPr>
            <w:tcW w:w="633" w:type="dxa"/>
            <w:noWrap/>
            <w:tcMar>
              <w:left w:w="28" w:type="dxa"/>
              <w:right w:w="28" w:type="dxa"/>
            </w:tcMar>
            <w:vAlign w:val="center"/>
          </w:tcPr>
          <w:p w14:paraId="3163D999" w14:textId="77777777" w:rsidR="00D53DCB" w:rsidRPr="0083106A" w:rsidRDefault="00D53DCB" w:rsidP="006254B5">
            <w:pPr>
              <w:spacing w:after="0" w:line="240" w:lineRule="auto"/>
              <w:jc w:val="center"/>
              <w:rPr>
                <w:rFonts w:ascii="Garamond" w:hAnsi="Garamond"/>
              </w:rPr>
            </w:pPr>
            <w:r>
              <w:rPr>
                <w:rFonts w:ascii="Garamond" w:hAnsi="Garamond"/>
              </w:rPr>
              <w:t>2</w:t>
            </w:r>
          </w:p>
        </w:tc>
        <w:tc>
          <w:tcPr>
            <w:tcW w:w="1109" w:type="dxa"/>
            <w:noWrap/>
            <w:tcMar>
              <w:left w:w="28" w:type="dxa"/>
              <w:right w:w="28" w:type="dxa"/>
            </w:tcMar>
            <w:vAlign w:val="center"/>
          </w:tcPr>
          <w:p w14:paraId="5E9F8D6F" w14:textId="77777777" w:rsidR="00D53DCB" w:rsidRPr="0083106A" w:rsidRDefault="00D53DCB" w:rsidP="006254B5">
            <w:pPr>
              <w:spacing w:after="0"/>
              <w:jc w:val="center"/>
              <w:rPr>
                <w:rFonts w:ascii="Garamond" w:hAnsi="Garamond"/>
              </w:rPr>
            </w:pPr>
            <w:r>
              <w:rPr>
                <w:rFonts w:ascii="Garamond" w:hAnsi="Garamond"/>
              </w:rPr>
              <w:t>1.00</w:t>
            </w:r>
          </w:p>
        </w:tc>
      </w:tr>
      <w:tr w:rsidR="00D53DCB" w:rsidRPr="0083106A" w14:paraId="5B82CFB3" w14:textId="77777777" w:rsidTr="006254B5">
        <w:trPr>
          <w:trHeight w:val="361"/>
        </w:trPr>
        <w:tc>
          <w:tcPr>
            <w:tcW w:w="6815" w:type="dxa"/>
            <w:shd w:val="clear" w:color="auto" w:fill="auto"/>
            <w:vAlign w:val="center"/>
          </w:tcPr>
          <w:p w14:paraId="21335F8A" w14:textId="77777777" w:rsidR="00D53DCB" w:rsidRPr="001F7259" w:rsidRDefault="00D53DCB" w:rsidP="006254B5">
            <w:pPr>
              <w:spacing w:before="60" w:after="60"/>
              <w:rPr>
                <w:rFonts w:ascii="Garamond" w:hAnsi="Garamond"/>
                <w:iCs/>
              </w:rPr>
            </w:pPr>
            <w:r w:rsidRPr="00603D08">
              <w:rPr>
                <w:rFonts w:ascii="Garamond" w:hAnsi="Garamond" w:cs="Courier New"/>
              </w:rPr>
              <w:t>Convicted criminals need to be rehabilitated rather than punished</w:t>
            </w:r>
            <w:r>
              <w:rPr>
                <w:rFonts w:ascii="Garamond" w:hAnsi="Garamond" w:cs="Courier New"/>
              </w:rPr>
              <w:t xml:space="preserve"> (BES)</w:t>
            </w:r>
          </w:p>
        </w:tc>
        <w:tc>
          <w:tcPr>
            <w:tcW w:w="633" w:type="dxa"/>
            <w:noWrap/>
            <w:tcMar>
              <w:left w:w="28" w:type="dxa"/>
              <w:right w:w="28" w:type="dxa"/>
            </w:tcMar>
            <w:vAlign w:val="center"/>
          </w:tcPr>
          <w:p w14:paraId="4AE50128" w14:textId="77777777" w:rsidR="00D53DCB" w:rsidRPr="0083106A" w:rsidRDefault="00D53DCB" w:rsidP="006254B5">
            <w:pPr>
              <w:spacing w:after="0" w:line="240" w:lineRule="auto"/>
              <w:jc w:val="center"/>
              <w:rPr>
                <w:rFonts w:ascii="Garamond" w:hAnsi="Garamond"/>
              </w:rPr>
            </w:pPr>
            <w:r>
              <w:rPr>
                <w:rFonts w:ascii="Garamond" w:hAnsi="Garamond"/>
              </w:rPr>
              <w:t>2</w:t>
            </w:r>
          </w:p>
        </w:tc>
        <w:tc>
          <w:tcPr>
            <w:tcW w:w="1109" w:type="dxa"/>
            <w:noWrap/>
            <w:tcMar>
              <w:left w:w="28" w:type="dxa"/>
              <w:right w:w="28" w:type="dxa"/>
            </w:tcMar>
            <w:vAlign w:val="center"/>
          </w:tcPr>
          <w:p w14:paraId="4E6A3512" w14:textId="77777777" w:rsidR="00D53DCB" w:rsidRPr="0083106A" w:rsidRDefault="00D53DCB" w:rsidP="006254B5">
            <w:pPr>
              <w:spacing w:after="0"/>
              <w:jc w:val="center"/>
              <w:rPr>
                <w:rFonts w:ascii="Garamond" w:hAnsi="Garamond"/>
              </w:rPr>
            </w:pPr>
            <w:r>
              <w:rPr>
                <w:rFonts w:ascii="Garamond" w:hAnsi="Garamond"/>
              </w:rPr>
              <w:t>1.00</w:t>
            </w:r>
          </w:p>
        </w:tc>
      </w:tr>
      <w:tr w:rsidR="00D53DCB" w:rsidRPr="0083106A" w14:paraId="38DA1654" w14:textId="77777777" w:rsidTr="006254B5">
        <w:trPr>
          <w:trHeight w:val="361"/>
        </w:trPr>
        <w:tc>
          <w:tcPr>
            <w:tcW w:w="6815" w:type="dxa"/>
            <w:shd w:val="clear" w:color="auto" w:fill="auto"/>
            <w:vAlign w:val="center"/>
          </w:tcPr>
          <w:p w14:paraId="4466EFE7" w14:textId="77777777" w:rsidR="00D53DCB" w:rsidRPr="001F7259" w:rsidRDefault="00D53DCB" w:rsidP="006254B5">
            <w:pPr>
              <w:spacing w:before="60" w:after="60"/>
              <w:rPr>
                <w:rFonts w:ascii="Garamond" w:hAnsi="Garamond"/>
                <w:iCs/>
              </w:rPr>
            </w:pPr>
            <w:r>
              <w:rPr>
                <w:rFonts w:ascii="Garamond" w:hAnsi="Garamond" w:cs="Courier New"/>
              </w:rPr>
              <w:t>T</w:t>
            </w:r>
            <w:r w:rsidRPr="00603D08">
              <w:rPr>
                <w:rFonts w:ascii="Garamond" w:hAnsi="Garamond" w:cs="Courier New"/>
              </w:rPr>
              <w:t>hink that reducing crime is more important than protecting the rights of people accused of committing crimes</w:t>
            </w:r>
            <w:r>
              <w:rPr>
                <w:rFonts w:ascii="Garamond" w:hAnsi="Garamond" w:cs="Courier New"/>
              </w:rPr>
              <w:t xml:space="preserve"> (BES)</w:t>
            </w:r>
          </w:p>
        </w:tc>
        <w:tc>
          <w:tcPr>
            <w:tcW w:w="633" w:type="dxa"/>
            <w:noWrap/>
            <w:tcMar>
              <w:left w:w="28" w:type="dxa"/>
              <w:right w:w="28" w:type="dxa"/>
            </w:tcMar>
            <w:vAlign w:val="center"/>
          </w:tcPr>
          <w:p w14:paraId="3C0E3DA5" w14:textId="77777777" w:rsidR="00D53DCB" w:rsidRPr="0083106A" w:rsidRDefault="00D53DCB" w:rsidP="006254B5">
            <w:pPr>
              <w:spacing w:after="0" w:line="240" w:lineRule="auto"/>
              <w:jc w:val="center"/>
              <w:rPr>
                <w:rFonts w:ascii="Garamond" w:hAnsi="Garamond"/>
              </w:rPr>
            </w:pPr>
            <w:r>
              <w:rPr>
                <w:rFonts w:ascii="Garamond" w:hAnsi="Garamond"/>
              </w:rPr>
              <w:t>2</w:t>
            </w:r>
          </w:p>
        </w:tc>
        <w:tc>
          <w:tcPr>
            <w:tcW w:w="1109" w:type="dxa"/>
            <w:noWrap/>
            <w:tcMar>
              <w:left w:w="28" w:type="dxa"/>
              <w:right w:w="28" w:type="dxa"/>
            </w:tcMar>
            <w:vAlign w:val="center"/>
          </w:tcPr>
          <w:p w14:paraId="095FBCC9" w14:textId="77777777" w:rsidR="00D53DCB" w:rsidRPr="0083106A" w:rsidRDefault="00D53DCB" w:rsidP="006254B5">
            <w:pPr>
              <w:spacing w:after="0"/>
              <w:jc w:val="center"/>
              <w:rPr>
                <w:rFonts w:ascii="Garamond" w:hAnsi="Garamond"/>
              </w:rPr>
            </w:pPr>
            <w:r>
              <w:rPr>
                <w:rFonts w:ascii="Garamond" w:hAnsi="Garamond"/>
              </w:rPr>
              <w:t>1.00</w:t>
            </w:r>
          </w:p>
        </w:tc>
      </w:tr>
      <w:tr w:rsidR="00D53DCB" w:rsidRPr="0083106A" w14:paraId="71909A28" w14:textId="77777777" w:rsidTr="006254B5">
        <w:trPr>
          <w:trHeight w:val="361"/>
        </w:trPr>
        <w:tc>
          <w:tcPr>
            <w:tcW w:w="6815" w:type="dxa"/>
            <w:shd w:val="clear" w:color="auto" w:fill="auto"/>
            <w:vAlign w:val="center"/>
          </w:tcPr>
          <w:p w14:paraId="21976DE8" w14:textId="77777777" w:rsidR="00D53DCB" w:rsidRPr="001F7259" w:rsidRDefault="00D53DCB" w:rsidP="006254B5">
            <w:pPr>
              <w:spacing w:before="60" w:after="60"/>
              <w:rPr>
                <w:rFonts w:ascii="Garamond" w:hAnsi="Garamond"/>
                <w:iCs/>
              </w:rPr>
            </w:pPr>
            <w:r w:rsidRPr="00603D08">
              <w:rPr>
                <w:rFonts w:ascii="Garamond" w:hAnsi="Garamond" w:cs="Courier New"/>
              </w:rPr>
              <w:t>Violent criminals deserve to be deprived of some of their human rights</w:t>
            </w:r>
            <w:r>
              <w:rPr>
                <w:rFonts w:ascii="Garamond" w:hAnsi="Garamond" w:cs="Courier New"/>
              </w:rPr>
              <w:t xml:space="preserve"> (BES)</w:t>
            </w:r>
          </w:p>
        </w:tc>
        <w:tc>
          <w:tcPr>
            <w:tcW w:w="633" w:type="dxa"/>
            <w:noWrap/>
            <w:tcMar>
              <w:left w:w="28" w:type="dxa"/>
              <w:right w:w="28" w:type="dxa"/>
            </w:tcMar>
            <w:vAlign w:val="center"/>
          </w:tcPr>
          <w:p w14:paraId="49602B82" w14:textId="77777777" w:rsidR="00D53DCB" w:rsidRPr="0083106A" w:rsidRDefault="00D53DCB" w:rsidP="006254B5">
            <w:pPr>
              <w:spacing w:after="0" w:line="240" w:lineRule="auto"/>
              <w:jc w:val="center"/>
              <w:rPr>
                <w:rFonts w:ascii="Garamond" w:hAnsi="Garamond"/>
              </w:rPr>
            </w:pPr>
            <w:r>
              <w:rPr>
                <w:rFonts w:ascii="Garamond" w:hAnsi="Garamond"/>
              </w:rPr>
              <w:t>2</w:t>
            </w:r>
          </w:p>
        </w:tc>
        <w:tc>
          <w:tcPr>
            <w:tcW w:w="1109" w:type="dxa"/>
            <w:noWrap/>
            <w:tcMar>
              <w:left w:w="28" w:type="dxa"/>
              <w:right w:w="28" w:type="dxa"/>
            </w:tcMar>
            <w:vAlign w:val="center"/>
          </w:tcPr>
          <w:p w14:paraId="0971E5FC" w14:textId="77777777" w:rsidR="00D53DCB" w:rsidRPr="0083106A" w:rsidRDefault="00D53DCB" w:rsidP="006254B5">
            <w:pPr>
              <w:spacing w:after="0"/>
              <w:jc w:val="center"/>
              <w:rPr>
                <w:rFonts w:ascii="Garamond" w:hAnsi="Garamond"/>
              </w:rPr>
            </w:pPr>
            <w:r>
              <w:rPr>
                <w:rFonts w:ascii="Garamond" w:hAnsi="Garamond"/>
              </w:rPr>
              <w:t>1.00</w:t>
            </w:r>
          </w:p>
        </w:tc>
      </w:tr>
      <w:tr w:rsidR="00D53DCB" w:rsidRPr="0083106A" w14:paraId="42D2AC39" w14:textId="77777777" w:rsidTr="006254B5">
        <w:trPr>
          <w:trHeight w:val="361"/>
        </w:trPr>
        <w:tc>
          <w:tcPr>
            <w:tcW w:w="6815" w:type="dxa"/>
            <w:shd w:val="clear" w:color="auto" w:fill="auto"/>
            <w:vAlign w:val="center"/>
          </w:tcPr>
          <w:p w14:paraId="5376F7C7" w14:textId="77777777" w:rsidR="00D53DCB" w:rsidRPr="001F7259" w:rsidRDefault="00D53DCB" w:rsidP="006254B5">
            <w:pPr>
              <w:spacing w:before="60" w:after="60"/>
              <w:rPr>
                <w:rFonts w:ascii="Garamond" w:hAnsi="Garamond"/>
                <w:iCs/>
              </w:rPr>
            </w:pPr>
            <w:r w:rsidRPr="00FF4967">
              <w:rPr>
                <w:rFonts w:ascii="Garamond" w:hAnsi="Garamond" w:cs="Courier New"/>
              </w:rPr>
              <w:t>Sending more people to prison</w:t>
            </w:r>
            <w:r>
              <w:rPr>
                <w:rFonts w:ascii="Garamond" w:hAnsi="Garamond" w:cs="Courier New"/>
              </w:rPr>
              <w:t xml:space="preserve"> an effective </w:t>
            </w:r>
            <w:r w:rsidRPr="00FF4967">
              <w:rPr>
                <w:rFonts w:ascii="Garamond" w:hAnsi="Garamond" w:cs="Courier New"/>
              </w:rPr>
              <w:t>way of helping to prevent crime in Britain</w:t>
            </w:r>
            <w:r>
              <w:rPr>
                <w:rFonts w:ascii="Garamond" w:hAnsi="Garamond" w:cs="Courier New"/>
              </w:rPr>
              <w:t xml:space="preserve"> (BSA)</w:t>
            </w:r>
          </w:p>
        </w:tc>
        <w:tc>
          <w:tcPr>
            <w:tcW w:w="633" w:type="dxa"/>
            <w:noWrap/>
            <w:tcMar>
              <w:left w:w="28" w:type="dxa"/>
              <w:right w:w="28" w:type="dxa"/>
            </w:tcMar>
            <w:vAlign w:val="center"/>
          </w:tcPr>
          <w:p w14:paraId="160C61E4" w14:textId="77777777" w:rsidR="00D53DCB" w:rsidRPr="0083106A" w:rsidRDefault="00D53DCB" w:rsidP="006254B5">
            <w:pPr>
              <w:spacing w:after="0" w:line="240" w:lineRule="auto"/>
              <w:jc w:val="center"/>
              <w:rPr>
                <w:rFonts w:ascii="Garamond" w:hAnsi="Garamond"/>
              </w:rPr>
            </w:pPr>
            <w:r>
              <w:rPr>
                <w:rFonts w:ascii="Garamond" w:hAnsi="Garamond"/>
              </w:rPr>
              <w:t>2</w:t>
            </w:r>
          </w:p>
        </w:tc>
        <w:tc>
          <w:tcPr>
            <w:tcW w:w="1109" w:type="dxa"/>
            <w:noWrap/>
            <w:tcMar>
              <w:left w:w="28" w:type="dxa"/>
              <w:right w:w="28" w:type="dxa"/>
            </w:tcMar>
            <w:vAlign w:val="center"/>
          </w:tcPr>
          <w:p w14:paraId="74141E13" w14:textId="77777777" w:rsidR="00D53DCB" w:rsidRPr="0083106A" w:rsidRDefault="00D53DCB" w:rsidP="006254B5">
            <w:pPr>
              <w:spacing w:after="0"/>
              <w:jc w:val="center"/>
              <w:rPr>
                <w:rFonts w:ascii="Garamond" w:hAnsi="Garamond"/>
              </w:rPr>
            </w:pPr>
            <w:r>
              <w:rPr>
                <w:rFonts w:ascii="Garamond" w:hAnsi="Garamond"/>
              </w:rPr>
              <w:t>1.00</w:t>
            </w:r>
          </w:p>
        </w:tc>
      </w:tr>
      <w:tr w:rsidR="00D53DCB" w14:paraId="6F1E8007" w14:textId="77777777" w:rsidTr="006254B5">
        <w:trPr>
          <w:trHeight w:val="361"/>
        </w:trPr>
        <w:tc>
          <w:tcPr>
            <w:tcW w:w="6815" w:type="dxa"/>
            <w:shd w:val="clear" w:color="auto" w:fill="auto"/>
            <w:vAlign w:val="center"/>
          </w:tcPr>
          <w:p w14:paraId="2725E126" w14:textId="77777777" w:rsidR="00D53DCB" w:rsidRPr="001F7259" w:rsidRDefault="00D53DCB" w:rsidP="006254B5">
            <w:pPr>
              <w:spacing w:before="60" w:after="60"/>
              <w:rPr>
                <w:rFonts w:ascii="Garamond" w:hAnsi="Garamond" w:cs="Courier New"/>
              </w:rPr>
            </w:pPr>
            <w:r w:rsidRPr="00377819">
              <w:rPr>
                <w:rFonts w:ascii="Garamond" w:hAnsi="Garamond" w:cs="Courier New"/>
              </w:rPr>
              <w:t>Bad idea that prison rates should be reduced</w:t>
            </w:r>
            <w:r w:rsidRPr="0083106A">
              <w:rPr>
                <w:rFonts w:ascii="Garamond" w:hAnsi="Garamond"/>
                <w:iCs/>
              </w:rPr>
              <w:t xml:space="preserve"> (CSEW)</w:t>
            </w:r>
          </w:p>
        </w:tc>
        <w:tc>
          <w:tcPr>
            <w:tcW w:w="633" w:type="dxa"/>
            <w:noWrap/>
            <w:tcMar>
              <w:left w:w="28" w:type="dxa"/>
              <w:right w:w="28" w:type="dxa"/>
            </w:tcMar>
            <w:vAlign w:val="center"/>
          </w:tcPr>
          <w:p w14:paraId="733B2B7E" w14:textId="77777777" w:rsidR="00D53DCB" w:rsidRDefault="00D53DCB" w:rsidP="006254B5">
            <w:pPr>
              <w:spacing w:after="0" w:line="240" w:lineRule="auto"/>
              <w:jc w:val="center"/>
              <w:rPr>
                <w:rFonts w:ascii="Garamond" w:hAnsi="Garamond"/>
              </w:rPr>
            </w:pPr>
            <w:r>
              <w:rPr>
                <w:rFonts w:ascii="Garamond" w:hAnsi="Garamond"/>
              </w:rPr>
              <w:t>2</w:t>
            </w:r>
          </w:p>
        </w:tc>
        <w:tc>
          <w:tcPr>
            <w:tcW w:w="1109" w:type="dxa"/>
            <w:noWrap/>
            <w:tcMar>
              <w:left w:w="28" w:type="dxa"/>
              <w:right w:w="28" w:type="dxa"/>
            </w:tcMar>
            <w:vAlign w:val="center"/>
          </w:tcPr>
          <w:p w14:paraId="400085EC" w14:textId="77777777" w:rsidR="00D53DCB" w:rsidRDefault="00D53DCB" w:rsidP="006254B5">
            <w:pPr>
              <w:spacing w:after="0"/>
              <w:jc w:val="center"/>
              <w:rPr>
                <w:rFonts w:ascii="Garamond" w:hAnsi="Garamond"/>
              </w:rPr>
            </w:pPr>
            <w:r>
              <w:rPr>
                <w:rFonts w:ascii="Garamond" w:hAnsi="Garamond"/>
              </w:rPr>
              <w:t>-1.00</w:t>
            </w:r>
          </w:p>
        </w:tc>
      </w:tr>
      <w:tr w:rsidR="00D53DCB" w:rsidRPr="00DA1AA7" w14:paraId="51751A08" w14:textId="77777777" w:rsidTr="006254B5">
        <w:trPr>
          <w:trHeight w:val="361"/>
        </w:trPr>
        <w:tc>
          <w:tcPr>
            <w:tcW w:w="6815" w:type="dxa"/>
            <w:shd w:val="clear" w:color="auto" w:fill="auto"/>
            <w:vAlign w:val="center"/>
          </w:tcPr>
          <w:p w14:paraId="00228FD2" w14:textId="77777777" w:rsidR="00D53DCB" w:rsidRPr="0083106A" w:rsidRDefault="00D53DCB" w:rsidP="006254B5">
            <w:pPr>
              <w:spacing w:before="60" w:after="60"/>
              <w:rPr>
                <w:rFonts w:ascii="Garamond" w:hAnsi="Garamond"/>
                <w:iCs/>
              </w:rPr>
            </w:pPr>
            <w:r w:rsidRPr="0083106A">
              <w:rPr>
                <w:rFonts w:ascii="Garamond" w:hAnsi="Garamond"/>
                <w:iCs/>
              </w:rPr>
              <w:t>Poverty and poor housing a very important cause of crime and violence (Gallup)</w:t>
            </w:r>
          </w:p>
        </w:tc>
        <w:tc>
          <w:tcPr>
            <w:tcW w:w="633" w:type="dxa"/>
            <w:noWrap/>
            <w:tcMar>
              <w:left w:w="28" w:type="dxa"/>
              <w:right w:w="28" w:type="dxa"/>
            </w:tcMar>
            <w:vAlign w:val="center"/>
          </w:tcPr>
          <w:p w14:paraId="48F427C2" w14:textId="77777777" w:rsidR="00D53DCB" w:rsidRPr="0083106A" w:rsidRDefault="00D53DCB" w:rsidP="006254B5">
            <w:pPr>
              <w:spacing w:after="0" w:line="240" w:lineRule="auto"/>
              <w:jc w:val="center"/>
              <w:rPr>
                <w:rFonts w:ascii="Garamond" w:hAnsi="Garamond"/>
              </w:rPr>
            </w:pPr>
            <w:r w:rsidRPr="0083106A">
              <w:rPr>
                <w:rFonts w:ascii="Garamond" w:hAnsi="Garamond"/>
              </w:rPr>
              <w:t>4</w:t>
            </w:r>
          </w:p>
        </w:tc>
        <w:tc>
          <w:tcPr>
            <w:tcW w:w="1109" w:type="dxa"/>
            <w:noWrap/>
            <w:tcMar>
              <w:left w:w="28" w:type="dxa"/>
              <w:right w:w="28" w:type="dxa"/>
            </w:tcMar>
            <w:vAlign w:val="center"/>
          </w:tcPr>
          <w:p w14:paraId="59A6075B" w14:textId="77777777" w:rsidR="00D53DCB" w:rsidRPr="0083106A" w:rsidRDefault="00D53DCB" w:rsidP="006254B5">
            <w:pPr>
              <w:spacing w:after="0"/>
              <w:jc w:val="center"/>
              <w:rPr>
                <w:rFonts w:ascii="Garamond" w:hAnsi="Garamond"/>
              </w:rPr>
            </w:pPr>
            <w:r w:rsidRPr="0083106A">
              <w:rPr>
                <w:rFonts w:ascii="Garamond" w:hAnsi="Garamond"/>
              </w:rPr>
              <w:t>-0.99</w:t>
            </w:r>
          </w:p>
        </w:tc>
      </w:tr>
      <w:tr w:rsidR="00D53DCB" w:rsidRPr="00DA1AA7" w14:paraId="7AD8E2C4" w14:textId="77777777" w:rsidTr="006254B5">
        <w:trPr>
          <w:trHeight w:val="369"/>
        </w:trPr>
        <w:tc>
          <w:tcPr>
            <w:tcW w:w="6815" w:type="dxa"/>
            <w:shd w:val="clear" w:color="auto" w:fill="auto"/>
            <w:vAlign w:val="center"/>
          </w:tcPr>
          <w:p w14:paraId="147474EF" w14:textId="77777777" w:rsidR="00D53DCB" w:rsidRPr="0083106A" w:rsidRDefault="00D53DCB" w:rsidP="006254B5">
            <w:pPr>
              <w:spacing w:before="60" w:after="60"/>
              <w:rPr>
                <w:rFonts w:ascii="Garamond" w:hAnsi="Garamond"/>
                <w:iCs/>
              </w:rPr>
            </w:pPr>
            <w:r w:rsidRPr="0083106A">
              <w:rPr>
                <w:rFonts w:ascii="Garamond" w:hAnsi="Garamond"/>
                <w:iCs/>
              </w:rPr>
              <w:t>People who break the law should be given stiffer sentences (BSA)</w:t>
            </w:r>
          </w:p>
        </w:tc>
        <w:tc>
          <w:tcPr>
            <w:tcW w:w="633" w:type="dxa"/>
            <w:noWrap/>
            <w:tcMar>
              <w:left w:w="28" w:type="dxa"/>
              <w:right w:w="28" w:type="dxa"/>
            </w:tcMar>
            <w:vAlign w:val="center"/>
          </w:tcPr>
          <w:p w14:paraId="52B6A800" w14:textId="77777777" w:rsidR="00D53DCB" w:rsidRPr="00DA1AA7" w:rsidDel="00D2222B" w:rsidRDefault="00D53DCB" w:rsidP="006254B5">
            <w:pPr>
              <w:spacing w:after="0" w:line="240" w:lineRule="auto"/>
              <w:jc w:val="center"/>
              <w:rPr>
                <w:rFonts w:ascii="Garamond" w:hAnsi="Garamond"/>
              </w:rPr>
            </w:pPr>
            <w:r w:rsidRPr="00DA1AA7">
              <w:rPr>
                <w:rFonts w:ascii="Garamond" w:hAnsi="Garamond"/>
              </w:rPr>
              <w:t>29</w:t>
            </w:r>
          </w:p>
        </w:tc>
        <w:tc>
          <w:tcPr>
            <w:tcW w:w="1109" w:type="dxa"/>
            <w:noWrap/>
            <w:tcMar>
              <w:left w:w="28" w:type="dxa"/>
              <w:right w:w="28" w:type="dxa"/>
            </w:tcMar>
            <w:vAlign w:val="center"/>
          </w:tcPr>
          <w:p w14:paraId="4457E429" w14:textId="77777777" w:rsidR="00D53DCB" w:rsidRPr="00DA1AA7" w:rsidDel="00D2222B" w:rsidRDefault="00D53DCB" w:rsidP="006254B5">
            <w:pPr>
              <w:spacing w:after="0"/>
              <w:jc w:val="center"/>
              <w:rPr>
                <w:rFonts w:ascii="Garamond" w:hAnsi="Garamond"/>
              </w:rPr>
            </w:pPr>
            <w:r w:rsidRPr="00DA1AA7">
              <w:rPr>
                <w:rFonts w:ascii="Garamond" w:hAnsi="Garamond"/>
              </w:rPr>
              <w:t>0.94</w:t>
            </w:r>
          </w:p>
        </w:tc>
      </w:tr>
      <w:tr w:rsidR="00D53DCB" w:rsidRPr="00DA1AA7" w14:paraId="0818E719" w14:textId="77777777" w:rsidTr="006254B5">
        <w:trPr>
          <w:trHeight w:val="602"/>
        </w:trPr>
        <w:tc>
          <w:tcPr>
            <w:tcW w:w="6815" w:type="dxa"/>
            <w:shd w:val="clear" w:color="auto" w:fill="auto"/>
            <w:vAlign w:val="center"/>
          </w:tcPr>
          <w:p w14:paraId="6D806C4A" w14:textId="77777777" w:rsidR="00D53DCB" w:rsidRPr="0083106A" w:rsidRDefault="00D53DCB" w:rsidP="006254B5">
            <w:pPr>
              <w:spacing w:before="60" w:after="60"/>
              <w:rPr>
                <w:rFonts w:ascii="Garamond" w:hAnsi="Garamond"/>
                <w:iCs/>
              </w:rPr>
            </w:pPr>
            <w:r w:rsidRPr="0083106A">
              <w:rPr>
                <w:rFonts w:ascii="Garamond" w:hAnsi="Garamond"/>
                <w:iCs/>
              </w:rPr>
              <w:t>General breakdown in respect for authority, law and order is a very important cause of crime and violence (Gallup)</w:t>
            </w:r>
          </w:p>
        </w:tc>
        <w:tc>
          <w:tcPr>
            <w:tcW w:w="633" w:type="dxa"/>
            <w:noWrap/>
            <w:tcMar>
              <w:left w:w="28" w:type="dxa"/>
              <w:right w:w="28" w:type="dxa"/>
            </w:tcMar>
            <w:vAlign w:val="center"/>
          </w:tcPr>
          <w:p w14:paraId="72C75315" w14:textId="77777777" w:rsidR="00D53DCB" w:rsidRPr="0083106A" w:rsidRDefault="00D53DCB" w:rsidP="006254B5">
            <w:pPr>
              <w:spacing w:after="0" w:line="240" w:lineRule="auto"/>
              <w:jc w:val="center"/>
              <w:rPr>
                <w:rFonts w:ascii="Garamond" w:hAnsi="Garamond"/>
              </w:rPr>
            </w:pPr>
            <w:r w:rsidRPr="0083106A">
              <w:rPr>
                <w:rFonts w:ascii="Garamond" w:hAnsi="Garamond"/>
              </w:rPr>
              <w:t>4</w:t>
            </w:r>
          </w:p>
        </w:tc>
        <w:tc>
          <w:tcPr>
            <w:tcW w:w="1109" w:type="dxa"/>
            <w:noWrap/>
            <w:tcMar>
              <w:left w:w="28" w:type="dxa"/>
              <w:right w:w="28" w:type="dxa"/>
            </w:tcMar>
            <w:vAlign w:val="center"/>
          </w:tcPr>
          <w:p w14:paraId="63CB44BD" w14:textId="77777777" w:rsidR="00D53DCB" w:rsidRPr="0083106A" w:rsidRDefault="00D53DCB" w:rsidP="006254B5">
            <w:pPr>
              <w:spacing w:after="0"/>
              <w:jc w:val="center"/>
              <w:rPr>
                <w:rFonts w:ascii="Garamond" w:hAnsi="Garamond"/>
              </w:rPr>
            </w:pPr>
            <w:r w:rsidRPr="0083106A">
              <w:rPr>
                <w:rFonts w:ascii="Garamond" w:hAnsi="Garamond"/>
              </w:rPr>
              <w:t>0.94</w:t>
            </w:r>
          </w:p>
        </w:tc>
      </w:tr>
      <w:tr w:rsidR="00D53DCB" w:rsidRPr="00DA1AA7" w14:paraId="56411FAB" w14:textId="77777777" w:rsidTr="006254B5">
        <w:trPr>
          <w:trHeight w:val="361"/>
        </w:trPr>
        <w:tc>
          <w:tcPr>
            <w:tcW w:w="6815" w:type="dxa"/>
            <w:shd w:val="clear" w:color="auto" w:fill="auto"/>
            <w:vAlign w:val="center"/>
          </w:tcPr>
          <w:p w14:paraId="3E6654CB" w14:textId="77777777" w:rsidR="00D53DCB" w:rsidRPr="0083106A" w:rsidDel="00EC1415" w:rsidRDefault="00D53DCB" w:rsidP="006254B5">
            <w:pPr>
              <w:spacing w:before="60" w:after="60"/>
              <w:rPr>
                <w:rFonts w:ascii="Garamond" w:hAnsi="Garamond"/>
                <w:iCs/>
              </w:rPr>
            </w:pPr>
            <w:r w:rsidRPr="0083106A">
              <w:rPr>
                <w:rFonts w:ascii="Garamond" w:hAnsi="Garamond"/>
                <w:iCs/>
              </w:rPr>
              <w:t>Are young offenders dealt with too leniently? (CSEW)</w:t>
            </w:r>
          </w:p>
        </w:tc>
        <w:tc>
          <w:tcPr>
            <w:tcW w:w="633" w:type="dxa"/>
            <w:noWrap/>
            <w:tcMar>
              <w:left w:w="28" w:type="dxa"/>
              <w:right w:w="28" w:type="dxa"/>
            </w:tcMar>
            <w:vAlign w:val="center"/>
          </w:tcPr>
          <w:p w14:paraId="76CFB7C0" w14:textId="77777777" w:rsidR="00D53DCB" w:rsidRPr="0083106A" w:rsidRDefault="00D53DCB" w:rsidP="006254B5">
            <w:pPr>
              <w:spacing w:after="0" w:line="240" w:lineRule="auto"/>
              <w:jc w:val="center"/>
              <w:rPr>
                <w:rFonts w:ascii="Garamond" w:hAnsi="Garamond"/>
              </w:rPr>
            </w:pPr>
            <w:r w:rsidRPr="0083106A">
              <w:rPr>
                <w:rFonts w:ascii="Garamond" w:hAnsi="Garamond"/>
              </w:rPr>
              <w:t>19</w:t>
            </w:r>
          </w:p>
        </w:tc>
        <w:tc>
          <w:tcPr>
            <w:tcW w:w="1109" w:type="dxa"/>
            <w:noWrap/>
            <w:tcMar>
              <w:left w:w="28" w:type="dxa"/>
              <w:right w:w="28" w:type="dxa"/>
            </w:tcMar>
            <w:vAlign w:val="center"/>
          </w:tcPr>
          <w:p w14:paraId="19C92FF2" w14:textId="77777777" w:rsidR="00D53DCB" w:rsidRPr="0083106A" w:rsidRDefault="00D53DCB" w:rsidP="006254B5">
            <w:pPr>
              <w:spacing w:after="0"/>
              <w:jc w:val="center"/>
              <w:rPr>
                <w:rFonts w:ascii="Garamond" w:hAnsi="Garamond"/>
              </w:rPr>
            </w:pPr>
            <w:r w:rsidRPr="0083106A">
              <w:rPr>
                <w:rFonts w:ascii="Garamond" w:hAnsi="Garamond"/>
              </w:rPr>
              <w:t>0.94</w:t>
            </w:r>
          </w:p>
        </w:tc>
      </w:tr>
      <w:tr w:rsidR="00D53DCB" w:rsidRPr="00DA1AA7" w14:paraId="6F8AF321" w14:textId="77777777" w:rsidTr="006254B5">
        <w:trPr>
          <w:trHeight w:val="361"/>
        </w:trPr>
        <w:tc>
          <w:tcPr>
            <w:tcW w:w="6815" w:type="dxa"/>
            <w:shd w:val="clear" w:color="auto" w:fill="auto"/>
            <w:vAlign w:val="center"/>
          </w:tcPr>
          <w:p w14:paraId="1B68CB46" w14:textId="77777777" w:rsidR="00D53DCB" w:rsidRPr="0083106A" w:rsidRDefault="00D53DCB" w:rsidP="006254B5">
            <w:pPr>
              <w:spacing w:before="60" w:after="60"/>
              <w:rPr>
                <w:rFonts w:ascii="Garamond" w:hAnsi="Garamond"/>
                <w:iCs/>
              </w:rPr>
            </w:pPr>
            <w:r w:rsidRPr="0083106A">
              <w:rPr>
                <w:rFonts w:ascii="Garamond" w:hAnsi="Garamond"/>
                <w:iCs/>
              </w:rPr>
              <w:t>Are sentences too tough, about right or too lenient? (CSEW)</w:t>
            </w:r>
          </w:p>
        </w:tc>
        <w:tc>
          <w:tcPr>
            <w:tcW w:w="633" w:type="dxa"/>
            <w:noWrap/>
            <w:tcMar>
              <w:left w:w="28" w:type="dxa"/>
              <w:right w:w="28" w:type="dxa"/>
            </w:tcMar>
            <w:vAlign w:val="center"/>
          </w:tcPr>
          <w:p w14:paraId="1E4B0257" w14:textId="77777777" w:rsidR="00D53DCB" w:rsidRPr="00DA1AA7" w:rsidRDefault="00D53DCB" w:rsidP="006254B5">
            <w:pPr>
              <w:spacing w:after="0" w:line="240" w:lineRule="auto"/>
              <w:jc w:val="center"/>
              <w:rPr>
                <w:rFonts w:ascii="Garamond" w:hAnsi="Garamond"/>
              </w:rPr>
            </w:pPr>
            <w:r w:rsidRPr="00DA1AA7">
              <w:rPr>
                <w:rFonts w:ascii="Garamond" w:hAnsi="Garamond"/>
              </w:rPr>
              <w:t>21</w:t>
            </w:r>
          </w:p>
        </w:tc>
        <w:tc>
          <w:tcPr>
            <w:tcW w:w="1109" w:type="dxa"/>
            <w:noWrap/>
            <w:tcMar>
              <w:left w:w="28" w:type="dxa"/>
              <w:right w:w="28" w:type="dxa"/>
            </w:tcMar>
            <w:vAlign w:val="center"/>
          </w:tcPr>
          <w:p w14:paraId="3EA58924" w14:textId="77777777" w:rsidR="00D53DCB" w:rsidRPr="00DA1AA7" w:rsidRDefault="00D53DCB" w:rsidP="006254B5">
            <w:pPr>
              <w:spacing w:after="0"/>
              <w:jc w:val="center"/>
              <w:rPr>
                <w:rFonts w:ascii="Garamond" w:hAnsi="Garamond"/>
              </w:rPr>
            </w:pPr>
            <w:r w:rsidRPr="00DA1AA7">
              <w:rPr>
                <w:rFonts w:ascii="Garamond" w:hAnsi="Garamond"/>
              </w:rPr>
              <w:t>0.92</w:t>
            </w:r>
          </w:p>
        </w:tc>
      </w:tr>
      <w:tr w:rsidR="00D53DCB" w:rsidRPr="00DA1AA7" w14:paraId="2A166FAE" w14:textId="77777777" w:rsidTr="006254B5">
        <w:trPr>
          <w:trHeight w:val="361"/>
        </w:trPr>
        <w:tc>
          <w:tcPr>
            <w:tcW w:w="6815" w:type="dxa"/>
            <w:shd w:val="clear" w:color="auto" w:fill="auto"/>
            <w:vAlign w:val="center"/>
          </w:tcPr>
          <w:p w14:paraId="409E3D03" w14:textId="77777777" w:rsidR="00D53DCB" w:rsidRPr="0083106A" w:rsidRDefault="00D53DCB" w:rsidP="006254B5">
            <w:pPr>
              <w:spacing w:before="60" w:after="60"/>
              <w:rPr>
                <w:rFonts w:ascii="Garamond" w:hAnsi="Garamond"/>
                <w:iCs/>
              </w:rPr>
            </w:pPr>
            <w:r w:rsidRPr="0083106A">
              <w:rPr>
                <w:rFonts w:ascii="Garamond" w:hAnsi="Garamond"/>
                <w:iCs/>
              </w:rPr>
              <w:t>People should obey the law without exception (BSA)</w:t>
            </w:r>
          </w:p>
        </w:tc>
        <w:tc>
          <w:tcPr>
            <w:tcW w:w="633" w:type="dxa"/>
            <w:noWrap/>
            <w:tcMar>
              <w:left w:w="28" w:type="dxa"/>
              <w:right w:w="28" w:type="dxa"/>
            </w:tcMar>
            <w:vAlign w:val="center"/>
          </w:tcPr>
          <w:p w14:paraId="11977808" w14:textId="77777777" w:rsidR="00D53DCB" w:rsidRPr="0083106A" w:rsidRDefault="00D53DCB" w:rsidP="006254B5">
            <w:pPr>
              <w:spacing w:after="0" w:line="240" w:lineRule="auto"/>
              <w:jc w:val="center"/>
              <w:rPr>
                <w:rFonts w:ascii="Garamond" w:hAnsi="Garamond"/>
              </w:rPr>
            </w:pPr>
            <w:r w:rsidRPr="0083106A">
              <w:rPr>
                <w:rFonts w:ascii="Garamond" w:hAnsi="Garamond"/>
              </w:rPr>
              <w:t>8</w:t>
            </w:r>
          </w:p>
        </w:tc>
        <w:tc>
          <w:tcPr>
            <w:tcW w:w="1109" w:type="dxa"/>
            <w:noWrap/>
            <w:tcMar>
              <w:left w:w="28" w:type="dxa"/>
              <w:right w:w="28" w:type="dxa"/>
            </w:tcMar>
            <w:vAlign w:val="center"/>
          </w:tcPr>
          <w:p w14:paraId="7AE47982" w14:textId="77777777" w:rsidR="00D53DCB" w:rsidRPr="0083106A" w:rsidRDefault="00D53DCB" w:rsidP="006254B5">
            <w:pPr>
              <w:spacing w:after="0"/>
              <w:jc w:val="center"/>
              <w:rPr>
                <w:rFonts w:ascii="Garamond" w:hAnsi="Garamond"/>
              </w:rPr>
            </w:pPr>
            <w:r w:rsidRPr="0083106A">
              <w:rPr>
                <w:rFonts w:ascii="Garamond" w:hAnsi="Garamond"/>
              </w:rPr>
              <w:t>-0.88</w:t>
            </w:r>
          </w:p>
        </w:tc>
      </w:tr>
      <w:tr w:rsidR="00D53DCB" w:rsidRPr="00DA1AA7" w14:paraId="59A64104" w14:textId="77777777" w:rsidTr="006254B5">
        <w:trPr>
          <w:trHeight w:val="361"/>
        </w:trPr>
        <w:tc>
          <w:tcPr>
            <w:tcW w:w="6815" w:type="dxa"/>
            <w:shd w:val="clear" w:color="auto" w:fill="auto"/>
            <w:vAlign w:val="center"/>
          </w:tcPr>
          <w:p w14:paraId="39C73F00" w14:textId="77777777" w:rsidR="00D53DCB" w:rsidRPr="0083106A" w:rsidRDefault="00D53DCB" w:rsidP="006254B5">
            <w:pPr>
              <w:spacing w:before="60" w:after="60"/>
              <w:rPr>
                <w:rFonts w:ascii="Garamond" w:hAnsi="Garamond"/>
                <w:iCs/>
              </w:rPr>
            </w:pPr>
            <w:r w:rsidRPr="0083106A">
              <w:rPr>
                <w:rFonts w:ascii="Garamond" w:hAnsi="Garamond"/>
                <w:iCs/>
              </w:rPr>
              <w:t>People who break the law should be given stiffer sentences (BES Panel Study)</w:t>
            </w:r>
          </w:p>
        </w:tc>
        <w:tc>
          <w:tcPr>
            <w:tcW w:w="633" w:type="dxa"/>
            <w:noWrap/>
            <w:tcMar>
              <w:left w:w="28" w:type="dxa"/>
              <w:right w:w="28" w:type="dxa"/>
            </w:tcMar>
            <w:vAlign w:val="center"/>
          </w:tcPr>
          <w:p w14:paraId="2BC8C635" w14:textId="77777777" w:rsidR="00D53DCB" w:rsidRPr="00DA1AA7" w:rsidRDefault="00D53DCB" w:rsidP="006254B5">
            <w:pPr>
              <w:spacing w:after="0" w:line="240" w:lineRule="auto"/>
              <w:jc w:val="center"/>
              <w:rPr>
                <w:rFonts w:ascii="Garamond" w:hAnsi="Garamond"/>
              </w:rPr>
            </w:pPr>
            <w:r w:rsidRPr="001F6F59">
              <w:rPr>
                <w:rFonts w:ascii="Garamond" w:hAnsi="Garamond"/>
              </w:rPr>
              <w:t>4</w:t>
            </w:r>
          </w:p>
        </w:tc>
        <w:tc>
          <w:tcPr>
            <w:tcW w:w="1109" w:type="dxa"/>
            <w:noWrap/>
            <w:tcMar>
              <w:left w:w="28" w:type="dxa"/>
              <w:right w:w="28" w:type="dxa"/>
            </w:tcMar>
            <w:vAlign w:val="center"/>
          </w:tcPr>
          <w:p w14:paraId="5068A59C" w14:textId="77777777" w:rsidR="00D53DCB" w:rsidRPr="00DA1AA7" w:rsidRDefault="00D53DCB" w:rsidP="006254B5">
            <w:pPr>
              <w:spacing w:after="0"/>
              <w:jc w:val="center"/>
              <w:rPr>
                <w:rFonts w:ascii="Garamond" w:hAnsi="Garamond"/>
              </w:rPr>
            </w:pPr>
            <w:r w:rsidRPr="001F6F59">
              <w:rPr>
                <w:rFonts w:ascii="Garamond" w:hAnsi="Garamond"/>
              </w:rPr>
              <w:t>0.87</w:t>
            </w:r>
          </w:p>
        </w:tc>
      </w:tr>
      <w:tr w:rsidR="00D53DCB" w:rsidRPr="00DA1AA7" w14:paraId="14B0FC8D" w14:textId="77777777" w:rsidTr="006254B5">
        <w:trPr>
          <w:trHeight w:val="602"/>
        </w:trPr>
        <w:tc>
          <w:tcPr>
            <w:tcW w:w="6815" w:type="dxa"/>
            <w:shd w:val="clear" w:color="auto" w:fill="auto"/>
            <w:vAlign w:val="center"/>
          </w:tcPr>
          <w:p w14:paraId="5A190D25" w14:textId="77777777" w:rsidR="00D53DCB" w:rsidRPr="0083106A" w:rsidRDefault="00D53DCB" w:rsidP="006254B5">
            <w:pPr>
              <w:spacing w:before="60" w:after="60"/>
              <w:rPr>
                <w:rFonts w:ascii="Garamond" w:hAnsi="Garamond"/>
                <w:iCs/>
              </w:rPr>
            </w:pPr>
            <w:r w:rsidRPr="0083106A">
              <w:rPr>
                <w:rFonts w:ascii="Garamond" w:hAnsi="Garamond"/>
                <w:iCs/>
              </w:rPr>
              <w:t>Laws too lenient and not letting the police do their job is a very important cause of crime and violence (Gallup)</w:t>
            </w:r>
          </w:p>
        </w:tc>
        <w:tc>
          <w:tcPr>
            <w:tcW w:w="633" w:type="dxa"/>
            <w:noWrap/>
            <w:tcMar>
              <w:left w:w="28" w:type="dxa"/>
              <w:right w:w="28" w:type="dxa"/>
            </w:tcMar>
            <w:vAlign w:val="center"/>
          </w:tcPr>
          <w:p w14:paraId="0E1A245A" w14:textId="77777777" w:rsidR="00D53DCB" w:rsidRPr="00DA1AA7" w:rsidDel="00D2222B" w:rsidRDefault="00D53DCB" w:rsidP="006254B5">
            <w:pPr>
              <w:spacing w:after="0" w:line="240" w:lineRule="auto"/>
              <w:jc w:val="center"/>
              <w:rPr>
                <w:rFonts w:ascii="Garamond" w:hAnsi="Garamond"/>
              </w:rPr>
            </w:pPr>
            <w:r w:rsidRPr="00DA1AA7">
              <w:rPr>
                <w:rFonts w:ascii="Garamond" w:hAnsi="Garamond"/>
              </w:rPr>
              <w:t>4</w:t>
            </w:r>
          </w:p>
        </w:tc>
        <w:tc>
          <w:tcPr>
            <w:tcW w:w="1109" w:type="dxa"/>
            <w:noWrap/>
            <w:tcMar>
              <w:left w:w="28" w:type="dxa"/>
              <w:right w:w="28" w:type="dxa"/>
            </w:tcMar>
            <w:vAlign w:val="center"/>
          </w:tcPr>
          <w:p w14:paraId="1BF1575B" w14:textId="77777777" w:rsidR="00D53DCB" w:rsidRPr="00DA1AA7" w:rsidDel="00D2222B" w:rsidRDefault="00D53DCB" w:rsidP="006254B5">
            <w:pPr>
              <w:spacing w:after="0"/>
              <w:jc w:val="center"/>
              <w:rPr>
                <w:rFonts w:ascii="Garamond" w:hAnsi="Garamond"/>
              </w:rPr>
            </w:pPr>
            <w:r w:rsidRPr="00DA1AA7">
              <w:rPr>
                <w:rFonts w:ascii="Garamond" w:hAnsi="Garamond"/>
              </w:rPr>
              <w:t>0.83</w:t>
            </w:r>
          </w:p>
        </w:tc>
      </w:tr>
      <w:tr w:rsidR="00D53DCB" w:rsidRPr="00DA1AA7" w14:paraId="51F349DD" w14:textId="77777777" w:rsidTr="006254B5">
        <w:trPr>
          <w:trHeight w:val="602"/>
        </w:trPr>
        <w:tc>
          <w:tcPr>
            <w:tcW w:w="6815" w:type="dxa"/>
            <w:shd w:val="clear" w:color="auto" w:fill="auto"/>
            <w:vAlign w:val="center"/>
          </w:tcPr>
          <w:p w14:paraId="64D5736E" w14:textId="77777777" w:rsidR="00D53DCB" w:rsidRPr="0083106A" w:rsidRDefault="00D53DCB" w:rsidP="006254B5">
            <w:pPr>
              <w:spacing w:before="60" w:after="60"/>
              <w:rPr>
                <w:rFonts w:ascii="Garamond" w:hAnsi="Garamond"/>
                <w:iCs/>
              </w:rPr>
            </w:pPr>
            <w:r w:rsidRPr="0083106A">
              <w:rPr>
                <w:rFonts w:ascii="Garamond" w:hAnsi="Garamond"/>
                <w:iCs/>
              </w:rPr>
              <w:t>The police should be allowed to question suspects for up to a week without letting them see a solicitor (BSA)</w:t>
            </w:r>
          </w:p>
        </w:tc>
        <w:tc>
          <w:tcPr>
            <w:tcW w:w="633" w:type="dxa"/>
            <w:noWrap/>
            <w:tcMar>
              <w:left w:w="28" w:type="dxa"/>
              <w:right w:w="28" w:type="dxa"/>
            </w:tcMar>
            <w:vAlign w:val="center"/>
          </w:tcPr>
          <w:p w14:paraId="6BBA245E" w14:textId="77777777" w:rsidR="00D53DCB" w:rsidRPr="00DA1AA7" w:rsidDel="00D2222B" w:rsidRDefault="00D53DCB" w:rsidP="006254B5">
            <w:pPr>
              <w:spacing w:after="0" w:line="240" w:lineRule="auto"/>
              <w:jc w:val="center"/>
              <w:rPr>
                <w:rFonts w:ascii="Garamond" w:hAnsi="Garamond"/>
              </w:rPr>
            </w:pPr>
            <w:r w:rsidRPr="00DA1AA7">
              <w:rPr>
                <w:rFonts w:ascii="Garamond" w:hAnsi="Garamond"/>
              </w:rPr>
              <w:t>5</w:t>
            </w:r>
          </w:p>
        </w:tc>
        <w:tc>
          <w:tcPr>
            <w:tcW w:w="1109" w:type="dxa"/>
            <w:noWrap/>
            <w:tcMar>
              <w:left w:w="28" w:type="dxa"/>
              <w:right w:w="28" w:type="dxa"/>
            </w:tcMar>
            <w:vAlign w:val="center"/>
          </w:tcPr>
          <w:p w14:paraId="5F120915" w14:textId="77777777" w:rsidR="00D53DCB" w:rsidRPr="00DA1AA7" w:rsidDel="00D2222B" w:rsidRDefault="00D53DCB" w:rsidP="006254B5">
            <w:pPr>
              <w:spacing w:after="0"/>
              <w:jc w:val="center"/>
              <w:rPr>
                <w:rFonts w:ascii="Garamond" w:hAnsi="Garamond"/>
              </w:rPr>
            </w:pPr>
            <w:r w:rsidRPr="00DA1AA7">
              <w:rPr>
                <w:rFonts w:ascii="Garamond" w:hAnsi="Garamond"/>
              </w:rPr>
              <w:t>0.68</w:t>
            </w:r>
          </w:p>
        </w:tc>
      </w:tr>
      <w:tr w:rsidR="00D53DCB" w:rsidRPr="00DA1AA7" w14:paraId="50BAEF1B" w14:textId="77777777" w:rsidTr="006254B5">
        <w:trPr>
          <w:trHeight w:val="369"/>
        </w:trPr>
        <w:tc>
          <w:tcPr>
            <w:tcW w:w="6815" w:type="dxa"/>
            <w:shd w:val="clear" w:color="auto" w:fill="auto"/>
            <w:vAlign w:val="center"/>
          </w:tcPr>
          <w:p w14:paraId="7D6577F3" w14:textId="77777777" w:rsidR="00D53DCB" w:rsidRPr="0083106A" w:rsidRDefault="00D53DCB" w:rsidP="006254B5">
            <w:pPr>
              <w:spacing w:before="60" w:after="60"/>
              <w:rPr>
                <w:rFonts w:ascii="Garamond" w:hAnsi="Garamond"/>
                <w:iCs/>
              </w:rPr>
            </w:pPr>
            <w:r w:rsidRPr="0083106A">
              <w:rPr>
                <w:rFonts w:ascii="Garamond" w:hAnsi="Garamond"/>
                <w:iCs/>
              </w:rPr>
              <w:t>Worse to let a guilty person go free than to convict an innocent person (BSA)</w:t>
            </w:r>
          </w:p>
        </w:tc>
        <w:tc>
          <w:tcPr>
            <w:tcW w:w="633" w:type="dxa"/>
            <w:noWrap/>
            <w:tcMar>
              <w:left w:w="28" w:type="dxa"/>
              <w:right w:w="28" w:type="dxa"/>
            </w:tcMar>
            <w:vAlign w:val="center"/>
          </w:tcPr>
          <w:p w14:paraId="38B7AF39" w14:textId="77777777" w:rsidR="00D53DCB" w:rsidRPr="00DA1AA7" w:rsidRDefault="00D53DCB" w:rsidP="006254B5">
            <w:pPr>
              <w:spacing w:after="0" w:line="240" w:lineRule="auto"/>
              <w:jc w:val="center"/>
              <w:rPr>
                <w:rFonts w:ascii="Garamond" w:hAnsi="Garamond"/>
              </w:rPr>
            </w:pPr>
            <w:r w:rsidRPr="00DA1AA7">
              <w:rPr>
                <w:rFonts w:ascii="Garamond" w:hAnsi="Garamond"/>
              </w:rPr>
              <w:t>6</w:t>
            </w:r>
          </w:p>
        </w:tc>
        <w:tc>
          <w:tcPr>
            <w:tcW w:w="1109" w:type="dxa"/>
            <w:noWrap/>
            <w:tcMar>
              <w:left w:w="28" w:type="dxa"/>
              <w:right w:w="28" w:type="dxa"/>
            </w:tcMar>
            <w:vAlign w:val="center"/>
          </w:tcPr>
          <w:p w14:paraId="79C9E09D" w14:textId="77777777" w:rsidR="00D53DCB" w:rsidRPr="00DA1AA7" w:rsidRDefault="00D53DCB" w:rsidP="006254B5">
            <w:pPr>
              <w:spacing w:after="0"/>
              <w:jc w:val="center"/>
              <w:rPr>
                <w:rFonts w:ascii="Garamond" w:hAnsi="Garamond"/>
              </w:rPr>
            </w:pPr>
            <w:r w:rsidRPr="00DA1AA7">
              <w:rPr>
                <w:rFonts w:ascii="Garamond" w:hAnsi="Garamond"/>
              </w:rPr>
              <w:t>0.66</w:t>
            </w:r>
          </w:p>
        </w:tc>
      </w:tr>
      <w:tr w:rsidR="00D53DCB" w:rsidRPr="00DA1AA7" w14:paraId="320CF83F" w14:textId="77777777" w:rsidTr="006254B5">
        <w:trPr>
          <w:trHeight w:val="361"/>
        </w:trPr>
        <w:tc>
          <w:tcPr>
            <w:tcW w:w="6815" w:type="dxa"/>
            <w:shd w:val="clear" w:color="auto" w:fill="auto"/>
            <w:vAlign w:val="center"/>
          </w:tcPr>
          <w:p w14:paraId="2E73B341" w14:textId="77777777" w:rsidR="00D53DCB" w:rsidRPr="0083106A" w:rsidRDefault="00D53DCB" w:rsidP="006254B5">
            <w:pPr>
              <w:spacing w:before="60" w:after="60"/>
              <w:rPr>
                <w:rFonts w:ascii="Garamond" w:hAnsi="Garamond"/>
                <w:iCs/>
              </w:rPr>
            </w:pPr>
            <w:r w:rsidRPr="0083106A">
              <w:rPr>
                <w:rFonts w:ascii="Garamond" w:hAnsi="Garamond"/>
                <w:iCs/>
              </w:rPr>
              <w:lastRenderedPageBreak/>
              <w:t>Every adult in Britain should have to carry an identity card (BSA)</w:t>
            </w:r>
          </w:p>
        </w:tc>
        <w:tc>
          <w:tcPr>
            <w:tcW w:w="633" w:type="dxa"/>
            <w:noWrap/>
            <w:tcMar>
              <w:left w:w="28" w:type="dxa"/>
              <w:right w:w="28" w:type="dxa"/>
            </w:tcMar>
            <w:vAlign w:val="center"/>
          </w:tcPr>
          <w:p w14:paraId="27B0934A" w14:textId="77777777" w:rsidR="00D53DCB" w:rsidRPr="00DA1AA7" w:rsidRDefault="00D53DCB" w:rsidP="006254B5">
            <w:pPr>
              <w:spacing w:after="0" w:line="240" w:lineRule="auto"/>
              <w:jc w:val="center"/>
              <w:rPr>
                <w:rFonts w:ascii="Garamond" w:hAnsi="Garamond"/>
              </w:rPr>
            </w:pPr>
            <w:r w:rsidRPr="0083106A">
              <w:rPr>
                <w:rFonts w:ascii="Garamond" w:hAnsi="Garamond"/>
              </w:rPr>
              <w:t>8</w:t>
            </w:r>
          </w:p>
        </w:tc>
        <w:tc>
          <w:tcPr>
            <w:tcW w:w="1109" w:type="dxa"/>
            <w:noWrap/>
            <w:tcMar>
              <w:left w:w="28" w:type="dxa"/>
              <w:right w:w="28" w:type="dxa"/>
            </w:tcMar>
            <w:vAlign w:val="center"/>
          </w:tcPr>
          <w:p w14:paraId="3C0F4D15" w14:textId="77777777" w:rsidR="00D53DCB" w:rsidRPr="00DA1AA7" w:rsidRDefault="00D53DCB" w:rsidP="006254B5">
            <w:pPr>
              <w:spacing w:after="0"/>
              <w:jc w:val="center"/>
              <w:rPr>
                <w:rFonts w:ascii="Garamond" w:hAnsi="Garamond"/>
              </w:rPr>
            </w:pPr>
            <w:r w:rsidRPr="0083106A">
              <w:rPr>
                <w:rFonts w:ascii="Garamond" w:hAnsi="Garamond"/>
              </w:rPr>
              <w:t>0.55</w:t>
            </w:r>
          </w:p>
        </w:tc>
      </w:tr>
      <w:tr w:rsidR="00D53DCB" w:rsidRPr="00DA1AA7" w14:paraId="2C00EA90" w14:textId="77777777" w:rsidTr="006254B5">
        <w:trPr>
          <w:trHeight w:val="361"/>
        </w:trPr>
        <w:tc>
          <w:tcPr>
            <w:tcW w:w="6815" w:type="dxa"/>
            <w:shd w:val="clear" w:color="auto" w:fill="auto"/>
            <w:vAlign w:val="center"/>
          </w:tcPr>
          <w:p w14:paraId="369C45A8" w14:textId="77777777" w:rsidR="00D53DCB" w:rsidRPr="001F7259" w:rsidRDefault="00D53DCB" w:rsidP="006254B5">
            <w:pPr>
              <w:spacing w:before="60" w:after="60"/>
              <w:rPr>
                <w:rFonts w:ascii="Garamond" w:hAnsi="Garamond"/>
                <w:iCs/>
              </w:rPr>
            </w:pPr>
            <w:r w:rsidRPr="00FF4967">
              <w:rPr>
                <w:rFonts w:ascii="Garamond" w:hAnsi="Garamond" w:cs="Courier New"/>
              </w:rPr>
              <w:t>The police should be allowed to question suspects for up to a week without letting them see a solicitor</w:t>
            </w:r>
            <w:r>
              <w:rPr>
                <w:rFonts w:ascii="Garamond" w:hAnsi="Garamond" w:cs="Courier New"/>
              </w:rPr>
              <w:t xml:space="preserve"> (BSA)</w:t>
            </w:r>
            <w:r w:rsidRPr="001F7259">
              <w:rPr>
                <w:rFonts w:ascii="Garamond" w:hAnsi="Garamond" w:cs="Courier New"/>
              </w:rPr>
              <w:t xml:space="preserve">   </w:t>
            </w:r>
          </w:p>
        </w:tc>
        <w:tc>
          <w:tcPr>
            <w:tcW w:w="633" w:type="dxa"/>
            <w:noWrap/>
            <w:tcMar>
              <w:left w:w="28" w:type="dxa"/>
              <w:right w:w="28" w:type="dxa"/>
            </w:tcMar>
            <w:vAlign w:val="center"/>
          </w:tcPr>
          <w:p w14:paraId="2428FD6C" w14:textId="77777777" w:rsidR="00D53DCB" w:rsidRPr="0083106A" w:rsidRDefault="00D53DCB" w:rsidP="006254B5">
            <w:pPr>
              <w:spacing w:after="0" w:line="240" w:lineRule="auto"/>
              <w:jc w:val="center"/>
              <w:rPr>
                <w:rFonts w:ascii="Garamond" w:hAnsi="Garamond"/>
              </w:rPr>
            </w:pPr>
            <w:r>
              <w:rPr>
                <w:rFonts w:ascii="Garamond" w:hAnsi="Garamond"/>
              </w:rPr>
              <w:t>5</w:t>
            </w:r>
          </w:p>
        </w:tc>
        <w:tc>
          <w:tcPr>
            <w:tcW w:w="1109" w:type="dxa"/>
            <w:noWrap/>
            <w:tcMar>
              <w:left w:w="28" w:type="dxa"/>
              <w:right w:w="28" w:type="dxa"/>
            </w:tcMar>
            <w:vAlign w:val="center"/>
          </w:tcPr>
          <w:p w14:paraId="538EE556" w14:textId="77777777" w:rsidR="00D53DCB" w:rsidRPr="0083106A" w:rsidRDefault="00D53DCB" w:rsidP="006254B5">
            <w:pPr>
              <w:spacing w:after="0"/>
              <w:jc w:val="center"/>
              <w:rPr>
                <w:rFonts w:ascii="Garamond" w:hAnsi="Garamond"/>
              </w:rPr>
            </w:pPr>
            <w:r>
              <w:rPr>
                <w:rFonts w:ascii="Garamond" w:hAnsi="Garamond"/>
              </w:rPr>
              <w:t>0.68</w:t>
            </w:r>
          </w:p>
        </w:tc>
      </w:tr>
      <w:tr w:rsidR="00D53DCB" w:rsidRPr="00DA1AA7" w14:paraId="7A79967F" w14:textId="77777777" w:rsidTr="006254B5">
        <w:trPr>
          <w:trHeight w:val="361"/>
        </w:trPr>
        <w:tc>
          <w:tcPr>
            <w:tcW w:w="6815" w:type="dxa"/>
            <w:shd w:val="clear" w:color="auto" w:fill="auto"/>
            <w:vAlign w:val="center"/>
          </w:tcPr>
          <w:p w14:paraId="3A335361" w14:textId="77777777" w:rsidR="00D53DCB" w:rsidRPr="001F7259" w:rsidRDefault="00D53DCB" w:rsidP="006254B5">
            <w:pPr>
              <w:spacing w:before="60" w:after="60"/>
              <w:rPr>
                <w:rFonts w:ascii="Garamond" w:hAnsi="Garamond"/>
                <w:iCs/>
              </w:rPr>
            </w:pPr>
            <w:r>
              <w:rPr>
                <w:rFonts w:ascii="Garamond" w:hAnsi="Garamond" w:cs="Courier New"/>
              </w:rPr>
              <w:t xml:space="preserve">Worse </w:t>
            </w:r>
            <w:r w:rsidRPr="00603D08">
              <w:rPr>
                <w:rFonts w:ascii="Garamond" w:hAnsi="Garamond" w:cs="Courier New"/>
              </w:rPr>
              <w:t>to let a guilty person go free</w:t>
            </w:r>
            <w:r>
              <w:rPr>
                <w:rFonts w:ascii="Garamond" w:hAnsi="Garamond" w:cs="Courier New"/>
              </w:rPr>
              <w:t xml:space="preserve"> (BSA)</w:t>
            </w:r>
          </w:p>
        </w:tc>
        <w:tc>
          <w:tcPr>
            <w:tcW w:w="633" w:type="dxa"/>
            <w:noWrap/>
            <w:tcMar>
              <w:left w:w="28" w:type="dxa"/>
              <w:right w:w="28" w:type="dxa"/>
            </w:tcMar>
            <w:vAlign w:val="center"/>
          </w:tcPr>
          <w:p w14:paraId="5E128B80" w14:textId="77777777" w:rsidR="00D53DCB" w:rsidRPr="0083106A" w:rsidRDefault="00D53DCB" w:rsidP="006254B5">
            <w:pPr>
              <w:spacing w:after="0" w:line="240" w:lineRule="auto"/>
              <w:jc w:val="center"/>
              <w:rPr>
                <w:rFonts w:ascii="Garamond" w:hAnsi="Garamond"/>
              </w:rPr>
            </w:pPr>
            <w:r>
              <w:rPr>
                <w:rFonts w:ascii="Garamond" w:hAnsi="Garamond"/>
              </w:rPr>
              <w:t>6</w:t>
            </w:r>
          </w:p>
        </w:tc>
        <w:tc>
          <w:tcPr>
            <w:tcW w:w="1109" w:type="dxa"/>
            <w:noWrap/>
            <w:tcMar>
              <w:left w:w="28" w:type="dxa"/>
              <w:right w:w="28" w:type="dxa"/>
            </w:tcMar>
            <w:vAlign w:val="center"/>
          </w:tcPr>
          <w:p w14:paraId="087E907C" w14:textId="77777777" w:rsidR="00D53DCB" w:rsidRPr="0083106A" w:rsidRDefault="00D53DCB" w:rsidP="006254B5">
            <w:pPr>
              <w:spacing w:after="0"/>
              <w:jc w:val="center"/>
              <w:rPr>
                <w:rFonts w:ascii="Garamond" w:hAnsi="Garamond"/>
              </w:rPr>
            </w:pPr>
            <w:r>
              <w:rPr>
                <w:rFonts w:ascii="Garamond" w:hAnsi="Garamond"/>
              </w:rPr>
              <w:t>0.66</w:t>
            </w:r>
          </w:p>
        </w:tc>
      </w:tr>
      <w:tr w:rsidR="00D53DCB" w14:paraId="29077107" w14:textId="77777777" w:rsidTr="006254B5">
        <w:trPr>
          <w:trHeight w:val="361"/>
        </w:trPr>
        <w:tc>
          <w:tcPr>
            <w:tcW w:w="6815" w:type="dxa"/>
            <w:shd w:val="clear" w:color="auto" w:fill="auto"/>
            <w:vAlign w:val="center"/>
          </w:tcPr>
          <w:p w14:paraId="258F81D8" w14:textId="77777777" w:rsidR="00D53DCB" w:rsidRPr="001F7259" w:rsidRDefault="00D53DCB" w:rsidP="006254B5">
            <w:pPr>
              <w:spacing w:before="60" w:after="60"/>
              <w:rPr>
                <w:rFonts w:ascii="Garamond" w:hAnsi="Garamond" w:cs="Courier New"/>
              </w:rPr>
            </w:pPr>
            <w:r>
              <w:rPr>
                <w:rFonts w:ascii="Garamond" w:hAnsi="Garamond" w:cs="Courier New"/>
              </w:rPr>
              <w:t xml:space="preserve">Level of unemployment is </w:t>
            </w:r>
            <w:r w:rsidRPr="00603D08">
              <w:rPr>
                <w:rFonts w:ascii="Garamond" w:hAnsi="Garamond" w:cs="Courier New"/>
              </w:rPr>
              <w:t>a</w:t>
            </w:r>
            <w:r>
              <w:rPr>
                <w:rFonts w:ascii="Garamond" w:hAnsi="Garamond" w:cs="Courier New"/>
              </w:rPr>
              <w:t>n</w:t>
            </w:r>
            <w:r w:rsidRPr="00603D08">
              <w:rPr>
                <w:rFonts w:ascii="Garamond" w:hAnsi="Garamond" w:cs="Courier New"/>
              </w:rPr>
              <w:t xml:space="preserve"> important cause of crime and violence</w:t>
            </w:r>
            <w:r>
              <w:rPr>
                <w:rFonts w:ascii="Garamond" w:hAnsi="Garamond" w:cs="Courier New"/>
              </w:rPr>
              <w:t xml:space="preserve"> (Gallup)</w:t>
            </w:r>
          </w:p>
        </w:tc>
        <w:tc>
          <w:tcPr>
            <w:tcW w:w="633" w:type="dxa"/>
            <w:noWrap/>
            <w:tcMar>
              <w:left w:w="28" w:type="dxa"/>
              <w:right w:w="28" w:type="dxa"/>
            </w:tcMar>
            <w:vAlign w:val="center"/>
          </w:tcPr>
          <w:p w14:paraId="0D75111D" w14:textId="77777777" w:rsidR="00D53DCB" w:rsidRDefault="00D53DCB" w:rsidP="006254B5">
            <w:pPr>
              <w:spacing w:after="0" w:line="240" w:lineRule="auto"/>
              <w:jc w:val="center"/>
              <w:rPr>
                <w:rFonts w:ascii="Garamond" w:hAnsi="Garamond"/>
              </w:rPr>
            </w:pPr>
            <w:r>
              <w:rPr>
                <w:rFonts w:ascii="Garamond" w:hAnsi="Garamond"/>
              </w:rPr>
              <w:t>4</w:t>
            </w:r>
          </w:p>
        </w:tc>
        <w:tc>
          <w:tcPr>
            <w:tcW w:w="1109" w:type="dxa"/>
            <w:noWrap/>
            <w:tcMar>
              <w:left w:w="28" w:type="dxa"/>
              <w:right w:w="28" w:type="dxa"/>
            </w:tcMar>
            <w:vAlign w:val="center"/>
          </w:tcPr>
          <w:p w14:paraId="5F1E509D" w14:textId="77777777" w:rsidR="00D53DCB" w:rsidRDefault="00D53DCB" w:rsidP="006254B5">
            <w:pPr>
              <w:spacing w:after="0"/>
              <w:jc w:val="center"/>
              <w:rPr>
                <w:rFonts w:ascii="Garamond" w:hAnsi="Garamond"/>
              </w:rPr>
            </w:pPr>
            <w:r>
              <w:rPr>
                <w:rFonts w:ascii="Garamond" w:hAnsi="Garamond"/>
              </w:rPr>
              <w:t>-0.29</w:t>
            </w:r>
          </w:p>
        </w:tc>
      </w:tr>
      <w:tr w:rsidR="00D53DCB" w:rsidRPr="00DA1AA7" w14:paraId="37134476" w14:textId="77777777" w:rsidTr="006254B5">
        <w:trPr>
          <w:trHeight w:val="361"/>
        </w:trPr>
        <w:tc>
          <w:tcPr>
            <w:tcW w:w="6815" w:type="dxa"/>
            <w:shd w:val="clear" w:color="auto" w:fill="auto"/>
            <w:vAlign w:val="center"/>
          </w:tcPr>
          <w:p w14:paraId="1D87D2CA" w14:textId="77777777" w:rsidR="00D53DCB" w:rsidRPr="001F7259" w:rsidRDefault="00D53DCB" w:rsidP="006254B5">
            <w:pPr>
              <w:spacing w:before="60" w:after="60"/>
              <w:rPr>
                <w:rFonts w:ascii="Garamond" w:hAnsi="Garamond"/>
                <w:iCs/>
              </w:rPr>
            </w:pPr>
            <w:r w:rsidRPr="00377819">
              <w:rPr>
                <w:rFonts w:ascii="Garamond" w:hAnsi="Garamond" w:cs="Courier New"/>
              </w:rPr>
              <w:t>Even wrong laws should be obeyed</w:t>
            </w:r>
            <w:r w:rsidRPr="0083106A">
              <w:rPr>
                <w:rFonts w:ascii="Garamond" w:hAnsi="Garamond"/>
                <w:iCs/>
              </w:rPr>
              <w:t xml:space="preserve"> (</w:t>
            </w:r>
            <w:r>
              <w:rPr>
                <w:rFonts w:ascii="Garamond" w:hAnsi="Garamond"/>
                <w:iCs/>
              </w:rPr>
              <w:t>BSA</w:t>
            </w:r>
            <w:r w:rsidRPr="0083106A">
              <w:rPr>
                <w:rFonts w:ascii="Garamond" w:hAnsi="Garamond"/>
                <w:iCs/>
              </w:rPr>
              <w:t>)</w:t>
            </w:r>
          </w:p>
        </w:tc>
        <w:tc>
          <w:tcPr>
            <w:tcW w:w="633" w:type="dxa"/>
            <w:noWrap/>
            <w:tcMar>
              <w:left w:w="28" w:type="dxa"/>
              <w:right w:w="28" w:type="dxa"/>
            </w:tcMar>
            <w:vAlign w:val="center"/>
          </w:tcPr>
          <w:p w14:paraId="7EAE6087" w14:textId="77777777" w:rsidR="00D53DCB" w:rsidRPr="0083106A" w:rsidRDefault="00D53DCB" w:rsidP="006254B5">
            <w:pPr>
              <w:spacing w:after="0" w:line="240" w:lineRule="auto"/>
              <w:jc w:val="center"/>
              <w:rPr>
                <w:rFonts w:ascii="Garamond" w:hAnsi="Garamond"/>
              </w:rPr>
            </w:pPr>
            <w:r>
              <w:rPr>
                <w:rFonts w:ascii="Garamond" w:hAnsi="Garamond"/>
              </w:rPr>
              <w:t>27</w:t>
            </w:r>
          </w:p>
        </w:tc>
        <w:tc>
          <w:tcPr>
            <w:tcW w:w="1109" w:type="dxa"/>
            <w:noWrap/>
            <w:tcMar>
              <w:left w:w="28" w:type="dxa"/>
              <w:right w:w="28" w:type="dxa"/>
            </w:tcMar>
            <w:vAlign w:val="center"/>
          </w:tcPr>
          <w:p w14:paraId="02BA1062" w14:textId="77777777" w:rsidR="00D53DCB" w:rsidRPr="0083106A" w:rsidRDefault="00D53DCB" w:rsidP="006254B5">
            <w:pPr>
              <w:spacing w:after="0"/>
              <w:jc w:val="center"/>
              <w:rPr>
                <w:rFonts w:ascii="Garamond" w:hAnsi="Garamond"/>
              </w:rPr>
            </w:pPr>
            <w:r>
              <w:rPr>
                <w:rFonts w:ascii="Garamond" w:hAnsi="Garamond"/>
              </w:rPr>
              <w:t>0.13</w:t>
            </w:r>
          </w:p>
        </w:tc>
      </w:tr>
      <w:tr w:rsidR="00D53DCB" w:rsidRPr="00DA1AA7" w14:paraId="5D423811" w14:textId="77777777" w:rsidTr="006254B5">
        <w:trPr>
          <w:trHeight w:val="361"/>
        </w:trPr>
        <w:tc>
          <w:tcPr>
            <w:tcW w:w="6815" w:type="dxa"/>
            <w:shd w:val="clear" w:color="auto" w:fill="auto"/>
            <w:vAlign w:val="center"/>
          </w:tcPr>
          <w:p w14:paraId="793639EF" w14:textId="77777777" w:rsidR="00D53DCB" w:rsidRPr="001F7259" w:rsidRDefault="00D53DCB" w:rsidP="006254B5">
            <w:pPr>
              <w:spacing w:before="60" w:after="60"/>
              <w:rPr>
                <w:rFonts w:ascii="Garamond" w:hAnsi="Garamond"/>
                <w:iCs/>
              </w:rPr>
            </w:pPr>
            <w:r>
              <w:rPr>
                <w:rFonts w:ascii="Garamond" w:hAnsi="Garamond" w:cs="Courier New"/>
              </w:rPr>
              <w:t xml:space="preserve">Disapprove of </w:t>
            </w:r>
            <w:r w:rsidRPr="00603D08">
              <w:rPr>
                <w:rFonts w:ascii="Garamond" w:hAnsi="Garamond" w:cs="Courier New"/>
              </w:rPr>
              <w:t>moves to go easier on people who break the law</w:t>
            </w:r>
            <w:r>
              <w:rPr>
                <w:rFonts w:ascii="Garamond" w:hAnsi="Garamond" w:cs="Courier New"/>
              </w:rPr>
              <w:t xml:space="preserve"> (Gallup)</w:t>
            </w:r>
          </w:p>
        </w:tc>
        <w:tc>
          <w:tcPr>
            <w:tcW w:w="633" w:type="dxa"/>
            <w:noWrap/>
            <w:tcMar>
              <w:left w:w="28" w:type="dxa"/>
              <w:right w:w="28" w:type="dxa"/>
            </w:tcMar>
            <w:vAlign w:val="center"/>
          </w:tcPr>
          <w:p w14:paraId="30597937" w14:textId="77777777" w:rsidR="00D53DCB" w:rsidRPr="0083106A" w:rsidRDefault="00D53DCB" w:rsidP="006254B5">
            <w:pPr>
              <w:spacing w:after="0" w:line="240" w:lineRule="auto"/>
              <w:jc w:val="center"/>
              <w:rPr>
                <w:rFonts w:ascii="Garamond" w:hAnsi="Garamond"/>
              </w:rPr>
            </w:pPr>
            <w:r>
              <w:rPr>
                <w:rFonts w:ascii="Garamond" w:hAnsi="Garamond"/>
              </w:rPr>
              <w:t>3</w:t>
            </w:r>
          </w:p>
        </w:tc>
        <w:tc>
          <w:tcPr>
            <w:tcW w:w="1109" w:type="dxa"/>
            <w:noWrap/>
            <w:tcMar>
              <w:left w:w="28" w:type="dxa"/>
              <w:right w:w="28" w:type="dxa"/>
            </w:tcMar>
            <w:vAlign w:val="center"/>
          </w:tcPr>
          <w:p w14:paraId="738C0254" w14:textId="77777777" w:rsidR="00D53DCB" w:rsidRPr="0083106A" w:rsidRDefault="00D53DCB" w:rsidP="006254B5">
            <w:pPr>
              <w:spacing w:after="0"/>
              <w:jc w:val="center"/>
              <w:rPr>
                <w:rFonts w:ascii="Garamond" w:hAnsi="Garamond"/>
              </w:rPr>
            </w:pPr>
            <w:r>
              <w:rPr>
                <w:rFonts w:ascii="Garamond" w:hAnsi="Garamond"/>
              </w:rPr>
              <w:t>0.12</w:t>
            </w:r>
          </w:p>
        </w:tc>
      </w:tr>
      <w:tr w:rsidR="00D53DCB" w:rsidRPr="00DA1AA7" w14:paraId="26D614ED" w14:textId="77777777" w:rsidTr="006254B5">
        <w:trPr>
          <w:trHeight w:hRule="exact" w:val="114"/>
        </w:trPr>
        <w:tc>
          <w:tcPr>
            <w:tcW w:w="6815" w:type="dxa"/>
            <w:shd w:val="clear" w:color="auto" w:fill="auto"/>
            <w:vAlign w:val="center"/>
          </w:tcPr>
          <w:p w14:paraId="506DBF37" w14:textId="77777777" w:rsidR="00D53DCB" w:rsidRPr="00DA1AA7" w:rsidRDefault="00D53DCB" w:rsidP="006254B5">
            <w:pPr>
              <w:spacing w:before="60" w:after="60"/>
              <w:rPr>
                <w:rFonts w:ascii="Garamond" w:hAnsi="Garamond"/>
              </w:rPr>
            </w:pPr>
          </w:p>
        </w:tc>
        <w:tc>
          <w:tcPr>
            <w:tcW w:w="633" w:type="dxa"/>
            <w:noWrap/>
            <w:tcMar>
              <w:left w:w="28" w:type="dxa"/>
              <w:right w:w="28" w:type="dxa"/>
            </w:tcMar>
            <w:vAlign w:val="center"/>
          </w:tcPr>
          <w:p w14:paraId="1D4D6F0F" w14:textId="77777777" w:rsidR="00D53DCB" w:rsidRPr="00DA1AA7" w:rsidRDefault="00D53DCB" w:rsidP="006254B5">
            <w:pPr>
              <w:spacing w:after="0" w:line="240" w:lineRule="auto"/>
              <w:jc w:val="center"/>
              <w:rPr>
                <w:rFonts w:ascii="Garamond" w:hAnsi="Garamond"/>
              </w:rPr>
            </w:pPr>
          </w:p>
        </w:tc>
        <w:tc>
          <w:tcPr>
            <w:tcW w:w="1109" w:type="dxa"/>
            <w:noWrap/>
            <w:tcMar>
              <w:left w:w="28" w:type="dxa"/>
              <w:right w:w="28" w:type="dxa"/>
            </w:tcMar>
            <w:vAlign w:val="center"/>
          </w:tcPr>
          <w:p w14:paraId="3EAA5044" w14:textId="77777777" w:rsidR="00D53DCB" w:rsidRPr="00DA1AA7" w:rsidRDefault="00D53DCB" w:rsidP="006254B5">
            <w:pPr>
              <w:jc w:val="center"/>
              <w:rPr>
                <w:rFonts w:ascii="Garamond" w:hAnsi="Garamond"/>
              </w:rPr>
            </w:pPr>
          </w:p>
        </w:tc>
      </w:tr>
      <w:tr w:rsidR="00D53DCB" w:rsidRPr="00DA1AA7" w14:paraId="27948E3F" w14:textId="77777777" w:rsidTr="006254B5">
        <w:trPr>
          <w:trHeight w:hRule="exact" w:val="345"/>
        </w:trPr>
        <w:tc>
          <w:tcPr>
            <w:tcW w:w="6815" w:type="dxa"/>
            <w:shd w:val="clear" w:color="auto" w:fill="auto"/>
            <w:vAlign w:val="center"/>
          </w:tcPr>
          <w:p w14:paraId="7DED81DD" w14:textId="77777777" w:rsidR="00D53DCB" w:rsidRPr="00DA1AA7" w:rsidRDefault="00D53DCB" w:rsidP="006254B5">
            <w:pPr>
              <w:spacing w:after="0"/>
              <w:rPr>
                <w:rFonts w:ascii="Garamond" w:hAnsi="Garamond"/>
                <w:u w:val="single"/>
              </w:rPr>
            </w:pPr>
            <w:r w:rsidRPr="00DA1AA7">
              <w:rPr>
                <w:rFonts w:ascii="Garamond" w:hAnsi="Garamond"/>
                <w:u w:val="single"/>
              </w:rPr>
              <w:t>First dimension</w:t>
            </w:r>
          </w:p>
        </w:tc>
        <w:tc>
          <w:tcPr>
            <w:tcW w:w="633" w:type="dxa"/>
            <w:noWrap/>
            <w:tcMar>
              <w:left w:w="28" w:type="dxa"/>
              <w:right w:w="28" w:type="dxa"/>
            </w:tcMar>
            <w:vAlign w:val="center"/>
          </w:tcPr>
          <w:p w14:paraId="1B9BFD37" w14:textId="77777777" w:rsidR="00D53DCB" w:rsidRPr="00DA1AA7" w:rsidRDefault="00D53DCB" w:rsidP="006254B5">
            <w:pPr>
              <w:spacing w:after="0" w:line="240" w:lineRule="auto"/>
              <w:jc w:val="center"/>
              <w:rPr>
                <w:rFonts w:ascii="Garamond" w:hAnsi="Garamond"/>
              </w:rPr>
            </w:pPr>
          </w:p>
        </w:tc>
        <w:tc>
          <w:tcPr>
            <w:tcW w:w="1109" w:type="dxa"/>
            <w:noWrap/>
            <w:tcMar>
              <w:left w:w="28" w:type="dxa"/>
              <w:right w:w="28" w:type="dxa"/>
            </w:tcMar>
            <w:vAlign w:val="center"/>
          </w:tcPr>
          <w:p w14:paraId="4A4DD942" w14:textId="77777777" w:rsidR="00D53DCB" w:rsidRPr="00DA1AA7" w:rsidRDefault="00D53DCB" w:rsidP="006254B5">
            <w:pPr>
              <w:jc w:val="center"/>
              <w:rPr>
                <w:rFonts w:ascii="Garamond" w:hAnsi="Garamond"/>
              </w:rPr>
            </w:pPr>
          </w:p>
        </w:tc>
      </w:tr>
      <w:tr w:rsidR="00D53DCB" w:rsidRPr="00DA1AA7" w14:paraId="33DB4551" w14:textId="77777777" w:rsidTr="006254B5">
        <w:trPr>
          <w:trHeight w:val="361"/>
        </w:trPr>
        <w:tc>
          <w:tcPr>
            <w:tcW w:w="6815" w:type="dxa"/>
            <w:shd w:val="clear" w:color="auto" w:fill="auto"/>
            <w:vAlign w:val="center"/>
          </w:tcPr>
          <w:p w14:paraId="0921D57D" w14:textId="77777777" w:rsidR="00D53DCB" w:rsidRPr="00DA1AA7" w:rsidRDefault="00D53DCB" w:rsidP="006254B5">
            <w:pPr>
              <w:spacing w:before="60" w:after="60"/>
              <w:rPr>
                <w:rFonts w:ascii="Garamond" w:hAnsi="Garamond"/>
              </w:rPr>
            </w:pPr>
            <w:r w:rsidRPr="00DA1AA7">
              <w:rPr>
                <w:rFonts w:ascii="Garamond" w:hAnsi="Garamond"/>
              </w:rPr>
              <w:t>Proportion of variance explained</w:t>
            </w:r>
          </w:p>
        </w:tc>
        <w:tc>
          <w:tcPr>
            <w:tcW w:w="1742" w:type="dxa"/>
            <w:gridSpan w:val="2"/>
            <w:noWrap/>
            <w:tcMar>
              <w:left w:w="28" w:type="dxa"/>
              <w:right w:w="28" w:type="dxa"/>
            </w:tcMar>
            <w:vAlign w:val="center"/>
          </w:tcPr>
          <w:p w14:paraId="7207E4A3" w14:textId="77777777" w:rsidR="00D53DCB" w:rsidRPr="00DA1AA7" w:rsidRDefault="00D53DCB" w:rsidP="006254B5">
            <w:pPr>
              <w:spacing w:after="0" w:line="240" w:lineRule="auto"/>
              <w:jc w:val="center"/>
              <w:rPr>
                <w:rFonts w:ascii="Garamond" w:hAnsi="Garamond"/>
              </w:rPr>
            </w:pPr>
            <w:r w:rsidRPr="00DA1AA7">
              <w:rPr>
                <w:rFonts w:ascii="Garamond" w:hAnsi="Garamond"/>
              </w:rPr>
              <w:t>66.0</w:t>
            </w:r>
          </w:p>
        </w:tc>
      </w:tr>
      <w:tr w:rsidR="00D53DCB" w:rsidRPr="00DA1AA7" w14:paraId="2D88CF47" w14:textId="77777777" w:rsidTr="006254B5">
        <w:trPr>
          <w:trHeight w:val="361"/>
        </w:trPr>
        <w:tc>
          <w:tcPr>
            <w:tcW w:w="6815" w:type="dxa"/>
            <w:shd w:val="clear" w:color="auto" w:fill="auto"/>
            <w:vAlign w:val="center"/>
          </w:tcPr>
          <w:p w14:paraId="7DFEF0E4" w14:textId="77777777" w:rsidR="00D53DCB" w:rsidRPr="00DA1AA7" w:rsidRDefault="00D53DCB" w:rsidP="006254B5">
            <w:pPr>
              <w:spacing w:before="60" w:after="60"/>
              <w:rPr>
                <w:rFonts w:ascii="Garamond" w:hAnsi="Garamond"/>
              </w:rPr>
            </w:pPr>
            <w:r>
              <w:rPr>
                <w:rFonts w:ascii="Garamond" w:hAnsi="Garamond"/>
                <w:lang w:val="en-GB"/>
              </w:rPr>
              <w:t>N of question series used to estimate the overall measure</w:t>
            </w:r>
          </w:p>
        </w:tc>
        <w:tc>
          <w:tcPr>
            <w:tcW w:w="1742" w:type="dxa"/>
            <w:gridSpan w:val="2"/>
            <w:noWrap/>
            <w:tcMar>
              <w:left w:w="28" w:type="dxa"/>
              <w:right w:w="28" w:type="dxa"/>
            </w:tcMar>
            <w:vAlign w:val="center"/>
          </w:tcPr>
          <w:p w14:paraId="386C4B12" w14:textId="77777777" w:rsidR="00D53DCB" w:rsidRPr="00DA1AA7" w:rsidRDefault="00D53DCB" w:rsidP="006254B5">
            <w:pPr>
              <w:spacing w:after="0" w:line="240" w:lineRule="auto"/>
              <w:jc w:val="center"/>
              <w:rPr>
                <w:rFonts w:ascii="Garamond" w:hAnsi="Garamond"/>
              </w:rPr>
            </w:pPr>
            <w:r w:rsidRPr="00DA1AA7">
              <w:rPr>
                <w:rFonts w:ascii="Garamond" w:hAnsi="Garamond"/>
              </w:rPr>
              <w:t>25</w:t>
            </w:r>
          </w:p>
        </w:tc>
      </w:tr>
      <w:tr w:rsidR="00D53DCB" w:rsidRPr="00DA1AA7" w14:paraId="7130471C" w14:textId="77777777" w:rsidTr="006254B5">
        <w:trPr>
          <w:trHeight w:val="361"/>
        </w:trPr>
        <w:tc>
          <w:tcPr>
            <w:tcW w:w="6815" w:type="dxa"/>
            <w:shd w:val="clear" w:color="auto" w:fill="auto"/>
            <w:vAlign w:val="center"/>
          </w:tcPr>
          <w:p w14:paraId="7484932F" w14:textId="77777777" w:rsidR="00D53DCB" w:rsidRPr="00DA1AA7" w:rsidRDefault="00D53DCB" w:rsidP="006254B5">
            <w:pPr>
              <w:spacing w:before="60" w:after="60"/>
              <w:rPr>
                <w:rFonts w:ascii="Garamond" w:hAnsi="Garamond"/>
              </w:rPr>
            </w:pPr>
            <w:r>
              <w:rPr>
                <w:rFonts w:ascii="Garamond" w:hAnsi="Garamond"/>
                <w:lang w:val="en-GB"/>
              </w:rPr>
              <w:t xml:space="preserve">Total </w:t>
            </w:r>
            <w:r w:rsidRPr="004E7BD2">
              <w:rPr>
                <w:rFonts w:ascii="Garamond" w:hAnsi="Garamond"/>
                <w:lang w:val="en-GB"/>
              </w:rPr>
              <w:t>N of survey items</w:t>
            </w:r>
          </w:p>
        </w:tc>
        <w:tc>
          <w:tcPr>
            <w:tcW w:w="1742" w:type="dxa"/>
            <w:gridSpan w:val="2"/>
            <w:noWrap/>
            <w:tcMar>
              <w:left w:w="28" w:type="dxa"/>
              <w:right w:w="28" w:type="dxa"/>
            </w:tcMar>
            <w:vAlign w:val="center"/>
          </w:tcPr>
          <w:p w14:paraId="1D0F5B5A" w14:textId="77777777" w:rsidR="00D53DCB" w:rsidRPr="00DA1AA7" w:rsidRDefault="00D53DCB" w:rsidP="006254B5">
            <w:pPr>
              <w:spacing w:after="0" w:line="240" w:lineRule="auto"/>
              <w:jc w:val="center"/>
              <w:rPr>
                <w:rFonts w:ascii="Garamond" w:hAnsi="Garamond"/>
              </w:rPr>
            </w:pPr>
            <w:r w:rsidRPr="00DA1AA7">
              <w:rPr>
                <w:rFonts w:ascii="Garamond" w:hAnsi="Garamond"/>
              </w:rPr>
              <w:t>548</w:t>
            </w:r>
          </w:p>
        </w:tc>
      </w:tr>
      <w:tr w:rsidR="00D53DCB" w:rsidRPr="00DA1AA7" w14:paraId="3C560CF4" w14:textId="77777777" w:rsidTr="006254B5">
        <w:trPr>
          <w:trHeight w:val="369"/>
        </w:trPr>
        <w:tc>
          <w:tcPr>
            <w:tcW w:w="6815" w:type="dxa"/>
            <w:shd w:val="clear" w:color="auto" w:fill="auto"/>
            <w:vAlign w:val="center"/>
          </w:tcPr>
          <w:p w14:paraId="6424FEF2" w14:textId="77777777" w:rsidR="00D53DCB" w:rsidRPr="00DA1AA7" w:rsidRDefault="00D53DCB" w:rsidP="006254B5">
            <w:pPr>
              <w:spacing w:before="60" w:after="60"/>
              <w:rPr>
                <w:rFonts w:ascii="Garamond" w:hAnsi="Garamond"/>
              </w:rPr>
            </w:pPr>
          </w:p>
        </w:tc>
        <w:tc>
          <w:tcPr>
            <w:tcW w:w="1742" w:type="dxa"/>
            <w:gridSpan w:val="2"/>
            <w:noWrap/>
            <w:tcMar>
              <w:left w:w="28" w:type="dxa"/>
              <w:right w:w="28" w:type="dxa"/>
            </w:tcMar>
            <w:vAlign w:val="center"/>
          </w:tcPr>
          <w:p w14:paraId="7A557AD4" w14:textId="77777777" w:rsidR="00D53DCB" w:rsidRPr="00DA1AA7" w:rsidDel="00D2222B" w:rsidRDefault="00D53DCB" w:rsidP="006254B5">
            <w:pPr>
              <w:spacing w:after="0" w:line="240" w:lineRule="auto"/>
              <w:jc w:val="center"/>
              <w:rPr>
                <w:rFonts w:ascii="Garamond" w:hAnsi="Garamond"/>
              </w:rPr>
            </w:pPr>
          </w:p>
        </w:tc>
      </w:tr>
      <w:tr w:rsidR="00D53DCB" w:rsidRPr="00DA1AA7" w14:paraId="21DD57B3" w14:textId="77777777" w:rsidTr="006254B5">
        <w:trPr>
          <w:trHeight w:val="361"/>
        </w:trPr>
        <w:tc>
          <w:tcPr>
            <w:tcW w:w="6815" w:type="dxa"/>
            <w:shd w:val="clear" w:color="auto" w:fill="auto"/>
            <w:vAlign w:val="center"/>
          </w:tcPr>
          <w:p w14:paraId="4C3BC2E2" w14:textId="77777777" w:rsidR="00D53DCB" w:rsidRPr="00DA1AA7" w:rsidRDefault="00D53DCB" w:rsidP="006254B5">
            <w:pPr>
              <w:spacing w:before="60" w:after="60"/>
              <w:rPr>
                <w:rFonts w:ascii="Garamond" w:hAnsi="Garamond"/>
              </w:rPr>
            </w:pPr>
            <w:r w:rsidRPr="00DA1AA7">
              <w:rPr>
                <w:rFonts w:ascii="Garamond" w:hAnsi="Garamond"/>
              </w:rPr>
              <w:t>Start</w:t>
            </w:r>
          </w:p>
        </w:tc>
        <w:tc>
          <w:tcPr>
            <w:tcW w:w="1742" w:type="dxa"/>
            <w:gridSpan w:val="2"/>
            <w:noWrap/>
            <w:tcMar>
              <w:left w:w="28" w:type="dxa"/>
              <w:right w:w="28" w:type="dxa"/>
            </w:tcMar>
            <w:vAlign w:val="center"/>
          </w:tcPr>
          <w:p w14:paraId="2BB03491" w14:textId="77777777" w:rsidR="00D53DCB" w:rsidRPr="00DA1AA7" w:rsidDel="00D2222B" w:rsidRDefault="00D53DCB" w:rsidP="006254B5">
            <w:pPr>
              <w:spacing w:after="0" w:line="240" w:lineRule="auto"/>
              <w:jc w:val="center"/>
              <w:rPr>
                <w:rFonts w:ascii="Garamond" w:hAnsi="Garamond"/>
              </w:rPr>
            </w:pPr>
            <w:r w:rsidRPr="00DA1AA7">
              <w:rPr>
                <w:rFonts w:ascii="Garamond" w:hAnsi="Garamond"/>
              </w:rPr>
              <w:t>1981</w:t>
            </w:r>
          </w:p>
        </w:tc>
      </w:tr>
      <w:tr w:rsidR="00D53DCB" w:rsidRPr="00DA1AA7" w14:paraId="65E27D5D" w14:textId="77777777" w:rsidTr="006254B5">
        <w:trPr>
          <w:trHeight w:val="361"/>
        </w:trPr>
        <w:tc>
          <w:tcPr>
            <w:tcW w:w="6815" w:type="dxa"/>
            <w:shd w:val="clear" w:color="auto" w:fill="auto"/>
            <w:vAlign w:val="center"/>
          </w:tcPr>
          <w:p w14:paraId="437A2A45" w14:textId="77777777" w:rsidR="00D53DCB" w:rsidRPr="00DA1AA7" w:rsidRDefault="00D53DCB" w:rsidP="006254B5">
            <w:pPr>
              <w:spacing w:before="60" w:after="60"/>
              <w:rPr>
                <w:rFonts w:ascii="Garamond" w:hAnsi="Garamond"/>
              </w:rPr>
            </w:pPr>
            <w:r w:rsidRPr="00DA1AA7">
              <w:rPr>
                <w:rFonts w:ascii="Garamond" w:hAnsi="Garamond"/>
              </w:rPr>
              <w:t>End</w:t>
            </w:r>
          </w:p>
        </w:tc>
        <w:tc>
          <w:tcPr>
            <w:tcW w:w="1742" w:type="dxa"/>
            <w:gridSpan w:val="2"/>
            <w:noWrap/>
            <w:tcMar>
              <w:left w:w="28" w:type="dxa"/>
              <w:right w:w="28" w:type="dxa"/>
            </w:tcMar>
            <w:vAlign w:val="center"/>
          </w:tcPr>
          <w:p w14:paraId="40B47467" w14:textId="77777777" w:rsidR="00D53DCB" w:rsidRPr="00DA1AA7" w:rsidDel="00D2222B" w:rsidRDefault="00D53DCB" w:rsidP="006254B5">
            <w:pPr>
              <w:spacing w:after="0" w:line="240" w:lineRule="auto"/>
              <w:jc w:val="center"/>
              <w:rPr>
                <w:rFonts w:ascii="Garamond" w:hAnsi="Garamond"/>
              </w:rPr>
            </w:pPr>
            <w:r w:rsidRPr="00DA1AA7">
              <w:rPr>
                <w:rFonts w:ascii="Garamond" w:hAnsi="Garamond"/>
              </w:rPr>
              <w:t>2021</w:t>
            </w:r>
          </w:p>
        </w:tc>
      </w:tr>
      <w:tr w:rsidR="00D53DCB" w:rsidRPr="00DA1AA7" w14:paraId="2372497C" w14:textId="77777777" w:rsidTr="006254B5">
        <w:trPr>
          <w:trHeight w:hRule="exact" w:val="172"/>
        </w:trPr>
        <w:tc>
          <w:tcPr>
            <w:tcW w:w="6815" w:type="dxa"/>
            <w:tcBorders>
              <w:bottom w:val="double" w:sz="4" w:space="0" w:color="auto"/>
            </w:tcBorders>
            <w:shd w:val="clear" w:color="auto" w:fill="auto"/>
            <w:vAlign w:val="center"/>
          </w:tcPr>
          <w:p w14:paraId="3CF052D8" w14:textId="77777777" w:rsidR="00D53DCB" w:rsidRPr="00DA1AA7" w:rsidRDefault="00D53DCB" w:rsidP="006254B5">
            <w:pPr>
              <w:rPr>
                <w:rFonts w:ascii="Garamond" w:hAnsi="Garamond"/>
              </w:rPr>
            </w:pPr>
          </w:p>
        </w:tc>
        <w:tc>
          <w:tcPr>
            <w:tcW w:w="1742" w:type="dxa"/>
            <w:gridSpan w:val="2"/>
            <w:tcBorders>
              <w:bottom w:val="double" w:sz="4" w:space="0" w:color="auto"/>
            </w:tcBorders>
            <w:noWrap/>
            <w:tcMar>
              <w:left w:w="28" w:type="dxa"/>
              <w:right w:w="28" w:type="dxa"/>
            </w:tcMar>
            <w:vAlign w:val="center"/>
          </w:tcPr>
          <w:p w14:paraId="6AA6FE2F" w14:textId="77777777" w:rsidR="00D53DCB" w:rsidRPr="00DA1AA7" w:rsidRDefault="00D53DCB" w:rsidP="006254B5">
            <w:pPr>
              <w:spacing w:after="0" w:line="240" w:lineRule="auto"/>
              <w:jc w:val="center"/>
              <w:rPr>
                <w:rFonts w:ascii="Garamond" w:hAnsi="Garamond"/>
              </w:rPr>
            </w:pPr>
          </w:p>
        </w:tc>
      </w:tr>
    </w:tbl>
    <w:p w14:paraId="7279EFE9" w14:textId="77777777" w:rsidR="00D53DCB" w:rsidRDefault="00D53DCB" w:rsidP="00D53DCB">
      <w:pPr>
        <w:rPr>
          <w:rFonts w:ascii="Garamond" w:hAnsi="Garamond"/>
          <w:b/>
          <w:lang w:val="en-GB"/>
        </w:rPr>
      </w:pPr>
      <w:r>
        <w:rPr>
          <w:rFonts w:ascii="Garamond" w:hAnsi="Garamond"/>
          <w:b/>
          <w:lang w:val="en-GB"/>
        </w:rPr>
        <w:br w:type="page"/>
      </w:r>
    </w:p>
    <w:p w14:paraId="4AF5C3FE" w14:textId="77777777" w:rsidR="00D53DCB" w:rsidRDefault="00D53DCB" w:rsidP="00D53DCB">
      <w:pPr>
        <w:spacing w:after="0"/>
        <w:rPr>
          <w:rFonts w:ascii="Garamond" w:hAnsi="Garamond"/>
          <w:lang w:val="en-GB"/>
        </w:rPr>
      </w:pPr>
      <w:r w:rsidRPr="004E7BD2">
        <w:rPr>
          <w:rFonts w:ascii="Garamond" w:hAnsi="Garamond"/>
          <w:b/>
          <w:lang w:val="en-GB"/>
        </w:rPr>
        <w:lastRenderedPageBreak/>
        <w:t xml:space="preserve">Table </w:t>
      </w:r>
      <w:r>
        <w:rPr>
          <w:rFonts w:ascii="Garamond" w:hAnsi="Garamond"/>
          <w:b/>
          <w:lang w:val="en-GB"/>
        </w:rPr>
        <w:t>A</w:t>
      </w:r>
      <w:r w:rsidRPr="004E7BD2">
        <w:rPr>
          <w:rFonts w:ascii="Garamond" w:hAnsi="Garamond"/>
          <w:b/>
          <w:lang w:val="en-GB"/>
        </w:rPr>
        <w:t>4</w:t>
      </w:r>
      <w:r w:rsidRPr="004E7BD2">
        <w:rPr>
          <w:rFonts w:ascii="Garamond" w:hAnsi="Garamond"/>
          <w:lang w:val="en-GB"/>
        </w:rPr>
        <w:t xml:space="preserve">: The bivariate correlation between </w:t>
      </w:r>
      <w:r>
        <w:rPr>
          <w:rFonts w:ascii="Garamond" w:hAnsi="Garamond"/>
          <w:lang w:val="en-GB"/>
        </w:rPr>
        <w:t xml:space="preserve">the first difference of </w:t>
      </w:r>
      <w:r w:rsidRPr="004E7BD2">
        <w:rPr>
          <w:rFonts w:ascii="Garamond" w:hAnsi="Garamond"/>
          <w:lang w:val="en-GB"/>
        </w:rPr>
        <w:t>crime rates and punitive attitudes in the United States and England and Wales, 1993</w:t>
      </w:r>
      <w:r>
        <w:rPr>
          <w:rFonts w:ascii="Garamond" w:hAnsi="Garamond"/>
          <w:lang w:val="en-GB"/>
        </w:rPr>
        <w:t>-</w:t>
      </w:r>
      <w:r w:rsidRPr="004E7BD2">
        <w:rPr>
          <w:rFonts w:ascii="Garamond" w:hAnsi="Garamond"/>
          <w:lang w:val="en-GB"/>
        </w:rPr>
        <w:t>2019</w:t>
      </w:r>
    </w:p>
    <w:p w14:paraId="516CB4F9" w14:textId="77777777" w:rsidR="00D53DCB" w:rsidRPr="004E7BD2" w:rsidRDefault="00D53DCB" w:rsidP="00D53DCB">
      <w:pPr>
        <w:spacing w:after="0"/>
        <w:ind w:left="720"/>
        <w:rPr>
          <w:rFonts w:ascii="Garamond" w:hAnsi="Garamond"/>
          <w:lang w:val="en-GB"/>
        </w:rPr>
      </w:pPr>
    </w:p>
    <w:p w14:paraId="52679C28" w14:textId="77777777" w:rsidR="00D53DCB" w:rsidRPr="000B4C87" w:rsidRDefault="00D53DCB" w:rsidP="00D53DCB">
      <w:pPr>
        <w:rPr>
          <w:rFonts w:ascii="Garamond" w:hAnsi="Garamond"/>
          <w:lang w:val="fr-FR"/>
        </w:rPr>
      </w:pPr>
      <w:r w:rsidRPr="004E7BD2">
        <w:rPr>
          <w:rFonts w:ascii="Garamond" w:hAnsi="Garamond"/>
          <w:lang w:val="en-GB"/>
        </w:rPr>
        <w:tab/>
      </w:r>
      <w:r w:rsidRPr="004E7BD2">
        <w:rPr>
          <w:rFonts w:ascii="Garamond" w:hAnsi="Garamond"/>
          <w:lang w:val="en-GB"/>
        </w:rPr>
        <w:tab/>
      </w:r>
      <w:r w:rsidRPr="004E7BD2">
        <w:rPr>
          <w:rFonts w:ascii="Garamond" w:hAnsi="Garamond"/>
          <w:lang w:val="en-GB"/>
        </w:rPr>
        <w:tab/>
        <w:t xml:space="preserve">     </w:t>
      </w:r>
      <w:r w:rsidRPr="004E7BD2">
        <w:rPr>
          <w:rFonts w:ascii="Garamond" w:hAnsi="Garamond"/>
          <w:lang w:val="en-GB"/>
        </w:rPr>
        <w:tab/>
      </w:r>
      <w:r w:rsidRPr="004E7BD2">
        <w:rPr>
          <w:rFonts w:ascii="Garamond" w:hAnsi="Garamond"/>
          <w:lang w:val="en-GB"/>
        </w:rPr>
        <w:tab/>
      </w:r>
      <w:r w:rsidRPr="004E7BD2">
        <w:rPr>
          <w:rFonts w:ascii="Garamond" w:hAnsi="Garamond"/>
          <w:lang w:val="en-GB"/>
        </w:rPr>
        <w:tab/>
        <w:t xml:space="preserve">   </w:t>
      </w:r>
      <w:r w:rsidRPr="000B4C87">
        <w:rPr>
          <w:rFonts w:ascii="Garamond" w:hAnsi="Garamond"/>
          <w:lang w:val="fr-FR"/>
        </w:rPr>
        <w:t>Punitive Attitudes</w:t>
      </w:r>
    </w:p>
    <w:p w14:paraId="6BDE935B" w14:textId="77777777" w:rsidR="00D53DCB" w:rsidRPr="000B4C87" w:rsidRDefault="00D53DCB" w:rsidP="00D53DCB">
      <w:pPr>
        <w:rPr>
          <w:rFonts w:ascii="Garamond" w:hAnsi="Garamond"/>
          <w:lang w:val="fr-FR"/>
        </w:rPr>
      </w:pP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r>
      <w:r w:rsidRPr="000B4C87">
        <w:rPr>
          <w:rFonts w:ascii="Garamond" w:hAnsi="Garamond"/>
          <w:lang w:val="fr-FR"/>
        </w:rPr>
        <w:tab/>
        <w:t>U.S.</w:t>
      </w:r>
      <w:r w:rsidRPr="000B4C87">
        <w:rPr>
          <w:rFonts w:ascii="Garamond" w:hAnsi="Garamond"/>
          <w:lang w:val="fr-FR"/>
        </w:rPr>
        <w:tab/>
      </w:r>
      <w:proofErr w:type="spellStart"/>
      <w:r>
        <w:rPr>
          <w:rFonts w:ascii="Garamond" w:hAnsi="Garamond"/>
          <w:lang w:val="fr-FR"/>
        </w:rPr>
        <w:t>England</w:t>
      </w:r>
      <w:proofErr w:type="spellEnd"/>
      <w:r w:rsidRPr="000B4C87">
        <w:rPr>
          <w:rFonts w:ascii="Garamond" w:hAnsi="Garamond"/>
          <w:lang w:val="fr-FR"/>
        </w:rPr>
        <w:t xml:space="preserve"> &amp; Wales</w:t>
      </w:r>
    </w:p>
    <w:p w14:paraId="54C7E851" w14:textId="77777777" w:rsidR="00D53DCB" w:rsidRPr="007F7B97" w:rsidRDefault="00D53DCB" w:rsidP="00D53DCB">
      <w:pPr>
        <w:ind w:firstLine="720"/>
        <w:rPr>
          <w:rFonts w:ascii="Garamond" w:hAnsi="Garamond"/>
          <w:lang w:val="fr-FR"/>
        </w:rPr>
      </w:pPr>
      <w:r w:rsidRPr="007F7B97">
        <w:rPr>
          <w:rFonts w:ascii="Garamond" w:hAnsi="Garamond"/>
          <w:lang w:val="fr-FR"/>
        </w:rPr>
        <w:t>Homicide (Police Reports)</w:t>
      </w:r>
      <w:r w:rsidRPr="007F7B97">
        <w:rPr>
          <w:rFonts w:ascii="Garamond" w:hAnsi="Garamond"/>
          <w:lang w:val="fr-FR"/>
        </w:rPr>
        <w:tab/>
      </w:r>
      <w:r w:rsidRPr="007F7B97">
        <w:rPr>
          <w:rFonts w:ascii="Garamond" w:hAnsi="Garamond"/>
          <w:lang w:val="fr-FR"/>
        </w:rPr>
        <w:tab/>
        <w:t>0.03</w:t>
      </w:r>
      <w:r w:rsidRPr="007F7B97">
        <w:rPr>
          <w:rFonts w:ascii="Garamond" w:hAnsi="Garamond"/>
          <w:lang w:val="fr-FR"/>
        </w:rPr>
        <w:tab/>
      </w:r>
      <w:r w:rsidRPr="007F7B97">
        <w:rPr>
          <w:rFonts w:ascii="Garamond" w:hAnsi="Garamond"/>
          <w:lang w:val="fr-FR"/>
        </w:rPr>
        <w:tab/>
        <w:t>-0.11</w:t>
      </w:r>
    </w:p>
    <w:p w14:paraId="142858C0" w14:textId="77777777" w:rsidR="00D53DCB" w:rsidRPr="007F7B97" w:rsidRDefault="00D53DCB" w:rsidP="00D53DCB">
      <w:pPr>
        <w:ind w:firstLine="720"/>
        <w:rPr>
          <w:rFonts w:ascii="Garamond" w:hAnsi="Garamond"/>
          <w:lang w:val="fr-FR"/>
        </w:rPr>
      </w:pPr>
      <w:r w:rsidRPr="007F7B97">
        <w:rPr>
          <w:rFonts w:ascii="Garamond" w:hAnsi="Garamond"/>
          <w:lang w:val="fr-FR"/>
        </w:rPr>
        <w:t>Violent Crime (Police Reports)</w:t>
      </w:r>
      <w:r w:rsidRPr="007F7B97">
        <w:rPr>
          <w:rFonts w:ascii="Garamond" w:hAnsi="Garamond"/>
          <w:lang w:val="fr-FR"/>
        </w:rPr>
        <w:tab/>
      </w:r>
      <w:r w:rsidRPr="007F7B97">
        <w:rPr>
          <w:rFonts w:ascii="Garamond" w:hAnsi="Garamond"/>
          <w:lang w:val="fr-FR"/>
        </w:rPr>
        <w:tab/>
        <w:t>0.14</w:t>
      </w:r>
      <w:r w:rsidRPr="007F7B97">
        <w:rPr>
          <w:rFonts w:ascii="Garamond" w:hAnsi="Garamond"/>
          <w:lang w:val="fr-FR"/>
        </w:rPr>
        <w:tab/>
      </w:r>
      <w:r w:rsidRPr="007F7B97">
        <w:rPr>
          <w:rFonts w:ascii="Garamond" w:hAnsi="Garamond"/>
          <w:lang w:val="fr-FR"/>
        </w:rPr>
        <w:tab/>
        <w:t>-0.13</w:t>
      </w:r>
    </w:p>
    <w:p w14:paraId="6AE171BF" w14:textId="77777777" w:rsidR="00D53DCB" w:rsidRPr="007F7B97" w:rsidRDefault="00D53DCB" w:rsidP="00D53DCB">
      <w:pPr>
        <w:ind w:firstLine="720"/>
        <w:rPr>
          <w:rFonts w:ascii="Garamond" w:hAnsi="Garamond"/>
          <w:lang w:val="fr-FR"/>
        </w:rPr>
      </w:pPr>
      <w:r w:rsidRPr="007F7B97">
        <w:rPr>
          <w:rFonts w:ascii="Garamond" w:hAnsi="Garamond"/>
          <w:lang w:val="fr-FR"/>
        </w:rPr>
        <w:t xml:space="preserve">Violent Crime (Victimisation) </w:t>
      </w:r>
      <w:r w:rsidRPr="007F7B97">
        <w:rPr>
          <w:rFonts w:ascii="Garamond" w:hAnsi="Garamond"/>
          <w:lang w:val="fr-FR"/>
        </w:rPr>
        <w:tab/>
      </w:r>
      <w:r w:rsidRPr="007F7B97">
        <w:rPr>
          <w:rFonts w:ascii="Garamond" w:hAnsi="Garamond"/>
          <w:lang w:val="fr-FR"/>
        </w:rPr>
        <w:tab/>
        <w:t>0.21</w:t>
      </w:r>
      <w:r w:rsidRPr="007F7B97">
        <w:rPr>
          <w:rFonts w:ascii="Garamond" w:hAnsi="Garamond"/>
          <w:lang w:val="fr-FR"/>
        </w:rPr>
        <w:tab/>
      </w:r>
      <w:r w:rsidRPr="007F7B97">
        <w:rPr>
          <w:rFonts w:ascii="Garamond" w:hAnsi="Garamond"/>
          <w:lang w:val="fr-FR"/>
        </w:rPr>
        <w:tab/>
        <w:t>-0.09</w:t>
      </w:r>
    </w:p>
    <w:p w14:paraId="65D5AED6" w14:textId="77777777" w:rsidR="00D53DCB" w:rsidRPr="007F7B97" w:rsidRDefault="00D53DCB" w:rsidP="00D53DCB">
      <w:pPr>
        <w:ind w:firstLine="720"/>
        <w:rPr>
          <w:rFonts w:ascii="Garamond" w:hAnsi="Garamond"/>
          <w:lang w:val="en-GB"/>
        </w:rPr>
      </w:pPr>
      <w:r w:rsidRPr="007F7B97">
        <w:rPr>
          <w:rFonts w:ascii="Garamond" w:hAnsi="Garamond"/>
          <w:lang w:val="en-GB"/>
        </w:rPr>
        <w:t>Property Crime (Police Reports)</w:t>
      </w:r>
      <w:r w:rsidRPr="007F7B97">
        <w:rPr>
          <w:rFonts w:ascii="Garamond" w:hAnsi="Garamond"/>
          <w:lang w:val="en-GB"/>
        </w:rPr>
        <w:tab/>
      </w:r>
      <w:r w:rsidRPr="007F7B97">
        <w:rPr>
          <w:rFonts w:ascii="Garamond" w:hAnsi="Garamond"/>
          <w:lang w:val="en-GB"/>
        </w:rPr>
        <w:tab/>
        <w:t>0.15</w:t>
      </w:r>
      <w:r w:rsidRPr="007F7B97">
        <w:rPr>
          <w:rFonts w:ascii="Garamond" w:hAnsi="Garamond"/>
          <w:lang w:val="en-GB"/>
        </w:rPr>
        <w:tab/>
      </w:r>
      <w:r w:rsidRPr="007F7B97">
        <w:rPr>
          <w:rFonts w:ascii="Garamond" w:hAnsi="Garamond"/>
          <w:lang w:val="en-GB"/>
        </w:rPr>
        <w:tab/>
        <w:t>-0.21</w:t>
      </w:r>
    </w:p>
    <w:p w14:paraId="51A12AB9" w14:textId="77777777" w:rsidR="00D53DCB" w:rsidRPr="004E7BD2" w:rsidRDefault="00D53DCB" w:rsidP="00D53DCB">
      <w:pPr>
        <w:spacing w:after="0"/>
        <w:ind w:firstLine="720"/>
        <w:rPr>
          <w:rFonts w:ascii="Garamond" w:hAnsi="Garamond"/>
          <w:lang w:val="en-GB"/>
        </w:rPr>
      </w:pPr>
      <w:r w:rsidRPr="007F7B97">
        <w:rPr>
          <w:rFonts w:ascii="Garamond" w:hAnsi="Garamond"/>
          <w:lang w:val="en-GB"/>
        </w:rPr>
        <w:t xml:space="preserve">Property Crime (Victimisation) </w:t>
      </w:r>
      <w:r w:rsidRPr="007F7B97">
        <w:rPr>
          <w:rFonts w:ascii="Garamond" w:hAnsi="Garamond"/>
          <w:lang w:val="en-GB"/>
        </w:rPr>
        <w:tab/>
      </w:r>
      <w:r w:rsidRPr="007F7B97">
        <w:rPr>
          <w:rFonts w:ascii="Garamond" w:hAnsi="Garamond"/>
          <w:lang w:val="en-GB"/>
        </w:rPr>
        <w:tab/>
        <w:t>0.06</w:t>
      </w:r>
      <w:r w:rsidRPr="007F7B97">
        <w:rPr>
          <w:rFonts w:ascii="Garamond" w:hAnsi="Garamond"/>
          <w:lang w:val="en-GB"/>
        </w:rPr>
        <w:tab/>
      </w:r>
      <w:r w:rsidRPr="007F7B97">
        <w:rPr>
          <w:rFonts w:ascii="Garamond" w:hAnsi="Garamond"/>
          <w:lang w:val="en-GB"/>
        </w:rPr>
        <w:tab/>
        <w:t>0.24</w:t>
      </w:r>
    </w:p>
    <w:p w14:paraId="2EF0D306" w14:textId="77777777" w:rsidR="00D53DCB" w:rsidRPr="004E7BD2" w:rsidRDefault="00D53DCB" w:rsidP="00D53DCB">
      <w:pPr>
        <w:ind w:firstLine="720"/>
        <w:rPr>
          <w:rFonts w:ascii="Garamond" w:hAnsi="Garamond"/>
          <w:u w:val="single"/>
          <w:lang w:val="en-GB"/>
        </w:rPr>
      </w:pP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r w:rsidRPr="004E7BD2">
        <w:rPr>
          <w:rFonts w:ascii="Garamond" w:hAnsi="Garamond"/>
          <w:u w:val="single"/>
          <w:lang w:val="en-GB"/>
        </w:rPr>
        <w:tab/>
      </w:r>
    </w:p>
    <w:p w14:paraId="67DC6285" w14:textId="77777777" w:rsidR="00D53DCB" w:rsidRDefault="00D53DCB" w:rsidP="00D53DCB">
      <w:pPr>
        <w:spacing w:after="0"/>
        <w:ind w:left="720"/>
        <w:rPr>
          <w:rFonts w:ascii="Garamond" w:hAnsi="Garamond"/>
          <w:i/>
          <w:iCs/>
          <w:sz w:val="18"/>
          <w:szCs w:val="18"/>
          <w:lang w:val="en-GB"/>
        </w:rPr>
      </w:pPr>
      <w:r w:rsidRPr="00ED4292">
        <w:rPr>
          <w:rFonts w:ascii="Garamond" w:hAnsi="Garamond"/>
          <w:i/>
          <w:iCs/>
          <w:sz w:val="18"/>
          <w:szCs w:val="18"/>
          <w:lang w:val="en-GB"/>
        </w:rPr>
        <w:t xml:space="preserve">*= p&lt;0.05; N=27, except for victimisation rates in England and Wales (N=23), due to surveys every other </w:t>
      </w:r>
    </w:p>
    <w:p w14:paraId="0CBC8440" w14:textId="77777777" w:rsidR="00D53DCB" w:rsidRPr="00ED4292" w:rsidRDefault="00D53DCB" w:rsidP="00D53DCB">
      <w:pPr>
        <w:spacing w:after="0"/>
        <w:ind w:left="720"/>
        <w:rPr>
          <w:rFonts w:ascii="Garamond" w:hAnsi="Garamond"/>
          <w:i/>
          <w:iCs/>
          <w:sz w:val="18"/>
          <w:szCs w:val="18"/>
          <w:lang w:val="en-GB"/>
        </w:rPr>
      </w:pPr>
      <w:r w:rsidRPr="00ED4292">
        <w:rPr>
          <w:rFonts w:ascii="Garamond" w:hAnsi="Garamond"/>
          <w:i/>
          <w:iCs/>
          <w:sz w:val="18"/>
          <w:szCs w:val="18"/>
          <w:lang w:val="en-GB"/>
        </w:rPr>
        <w:t xml:space="preserve">year early in the analysis. </w:t>
      </w:r>
    </w:p>
    <w:p w14:paraId="65DE17E9" w14:textId="77777777" w:rsidR="00A8257E" w:rsidRPr="00202743" w:rsidRDefault="00A8257E" w:rsidP="003C48BD">
      <w:pPr>
        <w:ind w:left="284" w:hanging="284"/>
        <w:rPr>
          <w:rFonts w:ascii="Garamond" w:eastAsiaTheme="minorEastAsia" w:hAnsi="Garamond"/>
          <w:lang w:val="en-GB"/>
        </w:rPr>
      </w:pPr>
    </w:p>
    <w:sectPr w:rsidR="00A8257E" w:rsidRPr="00202743">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9D12" w14:textId="77777777" w:rsidR="004A4055" w:rsidRDefault="004A4055" w:rsidP="008961CB">
      <w:pPr>
        <w:spacing w:after="0" w:line="240" w:lineRule="auto"/>
      </w:pPr>
      <w:r>
        <w:separator/>
      </w:r>
    </w:p>
  </w:endnote>
  <w:endnote w:type="continuationSeparator" w:id="0">
    <w:p w14:paraId="265E441E" w14:textId="77777777" w:rsidR="004A4055" w:rsidRDefault="004A4055" w:rsidP="00896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707682"/>
      <w:docPartObj>
        <w:docPartGallery w:val="Page Numbers (Bottom of Page)"/>
        <w:docPartUnique/>
      </w:docPartObj>
    </w:sdtPr>
    <w:sdtEndPr>
      <w:rPr>
        <w:rFonts w:ascii="Garamond" w:hAnsi="Garamond"/>
        <w:noProof/>
      </w:rPr>
    </w:sdtEndPr>
    <w:sdtContent>
      <w:p w14:paraId="3D3F9FA4" w14:textId="34969D6D" w:rsidR="00C975BD" w:rsidRDefault="00C975BD">
        <w:pPr>
          <w:pStyle w:val="Footer"/>
          <w:jc w:val="center"/>
        </w:pPr>
        <w:r w:rsidRPr="0039663E">
          <w:rPr>
            <w:rFonts w:ascii="Garamond" w:hAnsi="Garamond"/>
          </w:rPr>
          <w:fldChar w:fldCharType="begin"/>
        </w:r>
        <w:r w:rsidRPr="0039663E">
          <w:rPr>
            <w:rFonts w:ascii="Garamond" w:hAnsi="Garamond"/>
          </w:rPr>
          <w:instrText xml:space="preserve"> PAGE   \* MERGEFORMAT </w:instrText>
        </w:r>
        <w:r w:rsidRPr="0039663E">
          <w:rPr>
            <w:rFonts w:ascii="Garamond" w:hAnsi="Garamond"/>
          </w:rPr>
          <w:fldChar w:fldCharType="separate"/>
        </w:r>
        <w:r w:rsidRPr="0039663E">
          <w:rPr>
            <w:rFonts w:ascii="Garamond" w:hAnsi="Garamond"/>
            <w:noProof/>
          </w:rPr>
          <w:t>2</w:t>
        </w:r>
        <w:r w:rsidRPr="0039663E">
          <w:rPr>
            <w:rFonts w:ascii="Garamond" w:hAnsi="Garamond"/>
            <w:noProof/>
          </w:rPr>
          <w:fldChar w:fldCharType="end"/>
        </w:r>
      </w:p>
    </w:sdtContent>
  </w:sdt>
  <w:p w14:paraId="2D62899F" w14:textId="77777777" w:rsidR="00C975BD" w:rsidRDefault="00C97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8E86" w14:textId="77777777" w:rsidR="004A4055" w:rsidRDefault="004A4055" w:rsidP="008961CB">
      <w:pPr>
        <w:spacing w:after="0" w:line="240" w:lineRule="auto"/>
      </w:pPr>
      <w:r>
        <w:separator/>
      </w:r>
    </w:p>
  </w:footnote>
  <w:footnote w:type="continuationSeparator" w:id="0">
    <w:p w14:paraId="3C021DBF" w14:textId="77777777" w:rsidR="004A4055" w:rsidRDefault="004A4055" w:rsidP="008961CB">
      <w:pPr>
        <w:spacing w:after="0" w:line="240" w:lineRule="auto"/>
      </w:pPr>
      <w:r>
        <w:continuationSeparator/>
      </w:r>
    </w:p>
  </w:footnote>
  <w:footnote w:id="1">
    <w:p w14:paraId="58156CA1" w14:textId="0BFFC6CD" w:rsidR="00C975BD" w:rsidRPr="00F9041A" w:rsidRDefault="00C975BD" w:rsidP="004E7BD2">
      <w:pPr>
        <w:pStyle w:val="FootnoteText"/>
        <w:spacing w:after="120"/>
        <w:rPr>
          <w:rFonts w:ascii="Garamond" w:hAnsi="Garamond"/>
          <w:sz w:val="18"/>
          <w:szCs w:val="18"/>
        </w:rPr>
      </w:pPr>
      <w:r w:rsidRPr="00F9041A">
        <w:rPr>
          <w:rStyle w:val="FootnoteReference"/>
          <w:rFonts w:ascii="Garamond" w:hAnsi="Garamond"/>
          <w:sz w:val="18"/>
          <w:szCs w:val="18"/>
        </w:rPr>
        <w:footnoteRef/>
      </w:r>
      <w:r w:rsidRPr="00F9041A">
        <w:rPr>
          <w:rFonts w:ascii="Garamond" w:hAnsi="Garamond"/>
          <w:sz w:val="18"/>
          <w:szCs w:val="18"/>
        </w:rPr>
        <w:t xml:space="preserve"> See Enns 2016, pp. 20-23 for why this may be the case.</w:t>
      </w:r>
    </w:p>
  </w:footnote>
  <w:footnote w:id="2">
    <w:p w14:paraId="31811558" w14:textId="3DA1BCD6" w:rsidR="00C975BD" w:rsidRPr="00F9041A" w:rsidRDefault="00C975BD" w:rsidP="004E7BD2">
      <w:pPr>
        <w:pStyle w:val="FootnoteText"/>
        <w:spacing w:after="120"/>
        <w:rPr>
          <w:rFonts w:ascii="Garamond" w:hAnsi="Garamond"/>
          <w:sz w:val="18"/>
          <w:szCs w:val="18"/>
        </w:rPr>
      </w:pPr>
      <w:r w:rsidRPr="00F9041A">
        <w:rPr>
          <w:rStyle w:val="FootnoteReference"/>
          <w:rFonts w:ascii="Garamond" w:hAnsi="Garamond"/>
          <w:sz w:val="18"/>
          <w:szCs w:val="18"/>
        </w:rPr>
        <w:footnoteRef/>
      </w:r>
      <w:r w:rsidRPr="00F9041A">
        <w:rPr>
          <w:rFonts w:ascii="Garamond" w:hAnsi="Garamond"/>
          <w:sz w:val="18"/>
          <w:szCs w:val="18"/>
        </w:rPr>
        <w:t xml:space="preserve"> The legal system of England and Wales is separate to that of Scotland, as is the reporting of recorded crime statistics. Likewise, Scotland ceased to be included in the British Crime Survey (now the Crime Survey for England and Wales) in 1988. For this reason, we consider England and Wales rather than Great Britain as the focus of analysis.</w:t>
      </w:r>
    </w:p>
  </w:footnote>
  <w:footnote w:id="3">
    <w:p w14:paraId="08EBEF4F" w14:textId="131AC336" w:rsidR="00C975BD" w:rsidRPr="00F9041A" w:rsidRDefault="00C975BD" w:rsidP="004E7BD2">
      <w:pPr>
        <w:pStyle w:val="FootnoteText"/>
        <w:spacing w:after="120"/>
        <w:rPr>
          <w:rFonts w:ascii="Garamond" w:hAnsi="Garamond"/>
          <w:sz w:val="18"/>
          <w:szCs w:val="18"/>
        </w:rPr>
      </w:pPr>
      <w:r w:rsidRPr="00F9041A">
        <w:rPr>
          <w:rStyle w:val="FootnoteReference"/>
          <w:rFonts w:ascii="Garamond" w:hAnsi="Garamond"/>
          <w:sz w:val="18"/>
          <w:szCs w:val="18"/>
        </w:rPr>
        <w:footnoteRef/>
      </w:r>
      <w:r w:rsidRPr="00F9041A">
        <w:rPr>
          <w:rFonts w:ascii="Garamond" w:hAnsi="Garamond"/>
          <w:sz w:val="18"/>
          <w:szCs w:val="18"/>
        </w:rPr>
        <w:t xml:space="preserve"> Important studies have considered criminal justice policies across these countries in a comparative framework (e.g., Garland 2001; </w:t>
      </w:r>
      <w:bookmarkStart w:id="1" w:name="_Hlk92464844"/>
      <w:r w:rsidRPr="00F9041A">
        <w:rPr>
          <w:rFonts w:ascii="Garamond" w:hAnsi="Garamond"/>
          <w:sz w:val="18"/>
          <w:szCs w:val="18"/>
        </w:rPr>
        <w:t>Howard</w:t>
      </w:r>
      <w:r>
        <w:rPr>
          <w:rFonts w:ascii="Garamond" w:hAnsi="Garamond"/>
          <w:sz w:val="18"/>
          <w:szCs w:val="18"/>
        </w:rPr>
        <w:t xml:space="preserve">, Newman, and </w:t>
      </w:r>
      <w:proofErr w:type="spellStart"/>
      <w:r>
        <w:rPr>
          <w:rFonts w:ascii="Garamond" w:hAnsi="Garamond"/>
          <w:sz w:val="18"/>
          <w:szCs w:val="18"/>
        </w:rPr>
        <w:t>Freilich</w:t>
      </w:r>
      <w:proofErr w:type="spellEnd"/>
      <w:r w:rsidRPr="00F9041A">
        <w:rPr>
          <w:rFonts w:ascii="Garamond" w:hAnsi="Garamond"/>
          <w:sz w:val="18"/>
          <w:szCs w:val="18"/>
        </w:rPr>
        <w:t xml:space="preserve"> 2017</w:t>
      </w:r>
      <w:bookmarkEnd w:id="1"/>
      <w:r w:rsidRPr="00F9041A">
        <w:rPr>
          <w:rFonts w:ascii="Garamond" w:hAnsi="Garamond"/>
          <w:sz w:val="18"/>
          <w:szCs w:val="18"/>
        </w:rPr>
        <w:t>; Miller 2016), but they have not examined crime rates and punitive attitudes together, and if crime rates have been considered, the focus has primarily been on violent crime (Miller 2016).</w:t>
      </w:r>
    </w:p>
  </w:footnote>
  <w:footnote w:id="4">
    <w:p w14:paraId="21A41805" w14:textId="24803FDD" w:rsidR="00C975BD" w:rsidRPr="00F9041A" w:rsidRDefault="00C975BD" w:rsidP="004E7BD2">
      <w:pPr>
        <w:pStyle w:val="FootnoteText"/>
        <w:spacing w:after="120"/>
        <w:rPr>
          <w:rFonts w:ascii="Garamond" w:hAnsi="Garamond"/>
          <w:sz w:val="18"/>
          <w:szCs w:val="18"/>
        </w:rPr>
      </w:pPr>
      <w:r w:rsidRPr="00F9041A">
        <w:rPr>
          <w:rStyle w:val="FootnoteReference"/>
          <w:rFonts w:ascii="Garamond" w:hAnsi="Garamond"/>
          <w:sz w:val="18"/>
          <w:szCs w:val="18"/>
        </w:rPr>
        <w:footnoteRef/>
      </w:r>
      <w:r w:rsidRPr="00F9041A">
        <w:rPr>
          <w:rFonts w:ascii="Garamond" w:hAnsi="Garamond"/>
          <w:sz w:val="18"/>
          <w:szCs w:val="18"/>
        </w:rPr>
        <w:t xml:space="preserve"> There was also a change in Home Office counting rules in April 1998, which had the effect of increasing the number of crimes recorded by the police. Separate counts were produced for the 1998/9 year enabling us here to adjust the recorded crime series a multiplier calculated from the data available from the transition year, based on which we deflate the number of crimes recorded from 1999 onwards. The trend shown therefore understates the degree to which recorded crime increased.</w:t>
      </w:r>
    </w:p>
  </w:footnote>
  <w:footnote w:id="5">
    <w:p w14:paraId="09D680A5" w14:textId="36A015F5" w:rsidR="00C975BD" w:rsidRPr="00610AD6" w:rsidRDefault="00C975BD" w:rsidP="00984C44">
      <w:pPr>
        <w:pStyle w:val="CommentText"/>
        <w:spacing w:after="0"/>
        <w:rPr>
          <w:rFonts w:ascii="Garamond" w:hAnsi="Garamond"/>
        </w:rPr>
      </w:pPr>
      <w:r w:rsidRPr="00610AD6">
        <w:rPr>
          <w:rStyle w:val="FootnoteReference"/>
          <w:rFonts w:ascii="Garamond" w:hAnsi="Garamond"/>
        </w:rPr>
        <w:footnoteRef/>
      </w:r>
      <w:r w:rsidRPr="00610AD6">
        <w:rPr>
          <w:rFonts w:ascii="Garamond" w:hAnsi="Garamond"/>
        </w:rPr>
        <w:t xml:space="preserve"> The variables are normalized to range between values of 0 and 1</w:t>
      </w:r>
      <w:r>
        <w:rPr>
          <w:rFonts w:ascii="Garamond" w:hAnsi="Garamond"/>
        </w:rPr>
        <w:t xml:space="preserve"> by</w:t>
      </w:r>
      <w:r w:rsidRPr="00610AD6">
        <w:rPr>
          <w:rFonts w:ascii="Garamond" w:hAnsi="Garamond"/>
        </w:rPr>
        <w:t xml:space="preserve"> subtracting the minimum value from the raw value and dividing by the </w:t>
      </w:r>
      <w:r>
        <w:rPr>
          <w:rFonts w:ascii="Garamond" w:hAnsi="Garamond"/>
        </w:rPr>
        <w:t>range of values</w:t>
      </w:r>
      <w:r w:rsidRPr="00610AD6">
        <w:rPr>
          <w:rFonts w:ascii="Garamond" w:hAnsi="Garamond"/>
        </w:rPr>
        <w:t>.</w:t>
      </w:r>
    </w:p>
    <w:p w14:paraId="1C2B72DA" w14:textId="0DEB4D54" w:rsidR="00C975BD" w:rsidRDefault="004A4055" w:rsidP="00B71A68">
      <w:pPr>
        <w:pStyle w:val="CommentText"/>
      </w:pPr>
      <m:oMathPara>
        <m:oMath>
          <m:sSub>
            <m:sSubPr>
              <m:ctrlPr>
                <w:rPr>
                  <w:rFonts w:ascii="Cambria Math" w:hAnsi="Cambria Math"/>
                  <w:i/>
                </w:rPr>
              </m:ctrlPr>
            </m:sSubPr>
            <m:e>
              <m:r>
                <w:rPr>
                  <w:rFonts w:ascii="Cambria Math" w:hAnsi="Cambria Math"/>
                </w:rPr>
                <m:t>z</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-min</m:t>
              </m:r>
              <m:d>
                <m:dPr>
                  <m:ctrlPr>
                    <w:rPr>
                      <w:rFonts w:ascii="Cambria Math" w:hAnsi="Cambria Math"/>
                      <w:i/>
                    </w:rPr>
                  </m:ctrlPr>
                </m:dPr>
                <m:e>
                  <m:r>
                    <w:rPr>
                      <w:rFonts w:ascii="Cambria Math" w:hAnsi="Cambria Math"/>
                    </w:rPr>
                    <m:t>x</m:t>
                  </m:r>
                </m:e>
              </m:d>
            </m:num>
            <m:den>
              <m:r>
                <w:rPr>
                  <w:rFonts w:ascii="Cambria Math" w:hAnsi="Cambria Math"/>
                </w:rPr>
                <m:t>max</m:t>
              </m:r>
              <m:d>
                <m:dPr>
                  <m:ctrlPr>
                    <w:rPr>
                      <w:rFonts w:ascii="Cambria Math" w:hAnsi="Cambria Math"/>
                      <w:i/>
                    </w:rPr>
                  </m:ctrlPr>
                </m:dPr>
                <m:e>
                  <m:r>
                    <w:rPr>
                      <w:rFonts w:ascii="Cambria Math" w:hAnsi="Cambria Math"/>
                    </w:rPr>
                    <m:t>x</m:t>
                  </m:r>
                </m:e>
              </m:d>
              <m:r>
                <w:rPr>
                  <w:rFonts w:ascii="Cambria Math" w:hAnsi="Cambria Math"/>
                </w:rPr>
                <m:t>-min</m:t>
              </m:r>
              <m:d>
                <m:dPr>
                  <m:ctrlPr>
                    <w:rPr>
                      <w:rFonts w:ascii="Cambria Math" w:hAnsi="Cambria Math"/>
                      <w:i/>
                    </w:rPr>
                  </m:ctrlPr>
                </m:dPr>
                <m:e>
                  <m:r>
                    <w:rPr>
                      <w:rFonts w:ascii="Cambria Math" w:hAnsi="Cambria Math"/>
                    </w:rPr>
                    <m:t>x</m:t>
                  </m:r>
                </m:e>
              </m:d>
            </m:den>
          </m:f>
        </m:oMath>
      </m:oMathPara>
    </w:p>
  </w:footnote>
  <w:footnote w:id="6">
    <w:p w14:paraId="53354E35" w14:textId="0EFA87EC" w:rsidR="00C975BD" w:rsidRPr="00F9041A" w:rsidRDefault="00C975BD" w:rsidP="004E7BD2">
      <w:pPr>
        <w:pStyle w:val="FootnoteText"/>
        <w:spacing w:after="120"/>
        <w:rPr>
          <w:rFonts w:ascii="Garamond" w:hAnsi="Garamond" w:cs="Times New Roman"/>
          <w:sz w:val="18"/>
          <w:szCs w:val="18"/>
        </w:rPr>
      </w:pPr>
      <w:r w:rsidRPr="00F9041A">
        <w:rPr>
          <w:rStyle w:val="FootnoteReference"/>
          <w:rFonts w:ascii="Garamond" w:hAnsi="Garamond" w:cs="Times New Roman"/>
          <w:sz w:val="18"/>
          <w:szCs w:val="18"/>
        </w:rPr>
        <w:footnoteRef/>
      </w:r>
      <w:r w:rsidRPr="00F9041A">
        <w:rPr>
          <w:rFonts w:ascii="Garamond" w:hAnsi="Garamond" w:cs="Times New Roman"/>
          <w:sz w:val="18"/>
          <w:szCs w:val="18"/>
        </w:rPr>
        <w:t xml:space="preserve"> The survey asks people whether they were a victim of crime in the last 12 months and in light of this we report each wave of the CSEW against the previous calendar year.</w:t>
      </w:r>
    </w:p>
  </w:footnote>
  <w:footnote w:id="7">
    <w:p w14:paraId="5988611F" w14:textId="2ECB27EF" w:rsidR="00C975BD" w:rsidRPr="00F9041A" w:rsidRDefault="00C975BD" w:rsidP="004E7BD2">
      <w:pPr>
        <w:pStyle w:val="FootnoteText"/>
        <w:spacing w:after="120"/>
        <w:rPr>
          <w:rFonts w:ascii="Garamond" w:hAnsi="Garamond"/>
          <w:sz w:val="18"/>
          <w:szCs w:val="18"/>
        </w:rPr>
      </w:pPr>
      <w:r w:rsidRPr="00F9041A">
        <w:rPr>
          <w:rStyle w:val="FootnoteReference"/>
          <w:rFonts w:ascii="Garamond" w:hAnsi="Garamond"/>
          <w:sz w:val="18"/>
          <w:szCs w:val="18"/>
        </w:rPr>
        <w:footnoteRef/>
      </w:r>
      <w:r w:rsidRPr="00F9041A">
        <w:rPr>
          <w:rFonts w:ascii="Garamond" w:hAnsi="Garamond"/>
          <w:sz w:val="18"/>
          <w:szCs w:val="18"/>
        </w:rPr>
        <w:t xml:space="preserve"> NCVS data is taken from the Bureau of Justice Statistic’s NCVS Victimization Analysis Tool (2021a).</w:t>
      </w:r>
    </w:p>
  </w:footnote>
  <w:footnote w:id="8">
    <w:p w14:paraId="06300C19" w14:textId="512519C9" w:rsidR="00C975BD" w:rsidRPr="00F9041A" w:rsidRDefault="00C975BD" w:rsidP="004E7BD2">
      <w:pPr>
        <w:pStyle w:val="FootnoteText"/>
        <w:spacing w:after="120"/>
        <w:rPr>
          <w:rFonts w:ascii="Garamond" w:hAnsi="Garamond"/>
          <w:sz w:val="18"/>
          <w:szCs w:val="18"/>
        </w:rPr>
      </w:pPr>
      <w:r w:rsidRPr="00F9041A">
        <w:rPr>
          <w:rStyle w:val="FootnoteReference"/>
          <w:rFonts w:ascii="Garamond" w:hAnsi="Garamond"/>
          <w:sz w:val="18"/>
          <w:szCs w:val="18"/>
        </w:rPr>
        <w:footnoteRef/>
      </w:r>
      <w:r w:rsidRPr="00F9041A">
        <w:rPr>
          <w:rFonts w:ascii="Garamond" w:hAnsi="Garamond"/>
          <w:sz w:val="18"/>
          <w:szCs w:val="18"/>
        </w:rPr>
        <w:t xml:space="preserve"> To aid comparison across crime data, we followed previous research and adjusted the NCVS property crime rates (which are based on households) to reflect the rate per individuals as recorded in the UCR (</w:t>
      </w:r>
      <w:proofErr w:type="spellStart"/>
      <w:r w:rsidRPr="00F9041A">
        <w:rPr>
          <w:rFonts w:ascii="Garamond" w:hAnsi="Garamond"/>
          <w:sz w:val="18"/>
          <w:szCs w:val="18"/>
        </w:rPr>
        <w:t>Biderman</w:t>
      </w:r>
      <w:proofErr w:type="spellEnd"/>
      <w:r w:rsidRPr="00F9041A">
        <w:rPr>
          <w:rFonts w:ascii="Garamond" w:hAnsi="Garamond"/>
          <w:sz w:val="18"/>
          <w:szCs w:val="18"/>
        </w:rPr>
        <w:t xml:space="preserve"> et al. 1991; Blumstein et al. 1991; McDowall and Loftin 1992; 2007). Additionally, because UCR counts arson, murder, and manslaughter but the NCVS does not, we removed these measures from our UCR rates.</w:t>
      </w:r>
    </w:p>
  </w:footnote>
  <w:footnote w:id="9">
    <w:p w14:paraId="683F1FC1" w14:textId="02415A52" w:rsidR="00C975BD" w:rsidRPr="00F9041A" w:rsidRDefault="00C975BD" w:rsidP="004E7BD2">
      <w:pPr>
        <w:pStyle w:val="FootnoteText"/>
        <w:spacing w:after="120"/>
        <w:rPr>
          <w:rFonts w:ascii="Garamond" w:hAnsi="Garamond"/>
          <w:sz w:val="18"/>
          <w:szCs w:val="18"/>
        </w:rPr>
      </w:pPr>
      <w:r w:rsidRPr="00F9041A">
        <w:rPr>
          <w:rStyle w:val="FootnoteReference"/>
          <w:rFonts w:ascii="Garamond" w:hAnsi="Garamond"/>
          <w:sz w:val="18"/>
          <w:szCs w:val="18"/>
        </w:rPr>
        <w:footnoteRef/>
      </w:r>
      <w:r w:rsidRPr="00F9041A">
        <w:rPr>
          <w:rFonts w:ascii="Garamond" w:hAnsi="Garamond"/>
          <w:sz w:val="18"/>
          <w:szCs w:val="18"/>
        </w:rPr>
        <w:t xml:space="preserve"> Historical survey data from pollsters such as Gallup and Ipsos (and also more recent data from YouGov) measured public opinion in Great Britain, rather than England and Wales, as do those survey items obtained from Bartle et al.’s (2011) database of public policy preferences. It is not possible to disaggregate this data and so our measure of public punitiveness corresponds to Britain as a whole. Note that the combined population of England and Wales makes up over 90 per cent of the total population of Britain, meaning that changes in our measure of punitive attitudes are unlikely to be driven by Scottish respondents. </w:t>
      </w:r>
    </w:p>
  </w:footnote>
  <w:footnote w:id="10">
    <w:p w14:paraId="403DC970" w14:textId="0FDE5FD4" w:rsidR="00C975BD" w:rsidRPr="00DD468C" w:rsidRDefault="00C975BD">
      <w:pPr>
        <w:pStyle w:val="FootnoteText"/>
        <w:rPr>
          <w:rFonts w:ascii="Times New Roman" w:hAnsi="Times New Roman" w:cs="Times New Roman"/>
        </w:rPr>
      </w:pPr>
      <w:r w:rsidRPr="00DD468C">
        <w:rPr>
          <w:rStyle w:val="FootnoteReference"/>
          <w:rFonts w:ascii="Garamond" w:hAnsi="Garamond" w:cs="Times New Roman"/>
        </w:rPr>
        <w:footnoteRef/>
      </w:r>
      <w:r w:rsidRPr="00DD468C">
        <w:rPr>
          <w:rFonts w:ascii="Garamond" w:hAnsi="Garamond" w:cs="Times New Roman"/>
        </w:rPr>
        <w:t xml:space="preserve"> One possibility is that the uptick in concern with crime reflects broader safety concerns related to the September 11 attacks on the U.S.</w:t>
      </w:r>
      <w:r>
        <w:rPr>
          <w:rFonts w:ascii="Times New Roman" w:hAnsi="Times New Roman" w:cs="Times New Roman"/>
        </w:rPr>
        <w:t xml:space="preserve">  </w:t>
      </w:r>
    </w:p>
  </w:footnote>
  <w:footnote w:id="11">
    <w:p w14:paraId="0AEAA8B1" w14:textId="78CC7277" w:rsidR="00C975BD" w:rsidRPr="0006168A" w:rsidRDefault="00C975BD">
      <w:pPr>
        <w:pStyle w:val="FootnoteText"/>
        <w:rPr>
          <w:rFonts w:ascii="Garamond" w:hAnsi="Garamond" w:cs="Times New Roman"/>
        </w:rPr>
      </w:pPr>
      <w:r w:rsidRPr="0006168A">
        <w:rPr>
          <w:rStyle w:val="FootnoteReference"/>
          <w:rFonts w:ascii="Garamond" w:hAnsi="Garamond" w:cs="Times New Roman"/>
        </w:rPr>
        <w:footnoteRef/>
      </w:r>
      <w:r w:rsidRPr="0006168A">
        <w:rPr>
          <w:rFonts w:ascii="Garamond" w:hAnsi="Garamond" w:cs="Times New Roman"/>
        </w:rPr>
        <w:t xml:space="preserve"> While our primary goal is to evaluate whether the overtime patterns in the figures are related, in</w:t>
      </w:r>
      <w:r>
        <w:rPr>
          <w:rFonts w:ascii="Garamond" w:hAnsi="Garamond" w:cs="Times New Roman"/>
        </w:rPr>
        <w:t xml:space="preserve"> the Online</w:t>
      </w:r>
      <w:r w:rsidRPr="0006168A">
        <w:rPr>
          <w:rFonts w:ascii="Garamond" w:hAnsi="Garamond" w:cs="Times New Roman"/>
        </w:rPr>
        <w:t xml:space="preserve"> Appendix</w:t>
      </w:r>
      <w:r>
        <w:rPr>
          <w:rFonts w:ascii="Garamond" w:hAnsi="Garamond" w:cs="Times New Roman"/>
        </w:rPr>
        <w:t xml:space="preserve"> (Table A2)</w:t>
      </w:r>
      <w:r w:rsidRPr="0006168A">
        <w:rPr>
          <w:rFonts w:ascii="Garamond" w:hAnsi="Garamond" w:cs="Times New Roman"/>
        </w:rPr>
        <w:t xml:space="preserve"> we also </w:t>
      </w:r>
      <w:r>
        <w:rPr>
          <w:rFonts w:ascii="Garamond" w:hAnsi="Garamond" w:cs="Times New Roman"/>
        </w:rPr>
        <w:t>report bivariate correlations for</w:t>
      </w:r>
      <w:r w:rsidRPr="0006168A">
        <w:rPr>
          <w:rFonts w:ascii="Garamond" w:hAnsi="Garamond" w:cs="Times New Roman"/>
        </w:rPr>
        <w:t xml:space="preserve"> first differences. </w:t>
      </w:r>
      <w:r w:rsidR="00851172">
        <w:rPr>
          <w:rFonts w:ascii="Garamond" w:hAnsi="Garamond" w:cs="Times New Roman"/>
        </w:rPr>
        <w:t>Not surprisingly, t</w:t>
      </w:r>
      <w:r w:rsidRPr="0006168A">
        <w:rPr>
          <w:rFonts w:ascii="Garamond" w:hAnsi="Garamond" w:cs="Times New Roman"/>
        </w:rPr>
        <w:t xml:space="preserve">hese analyses </w:t>
      </w:r>
      <w:r w:rsidR="00851172">
        <w:rPr>
          <w:rFonts w:ascii="Garamond" w:hAnsi="Garamond" w:cs="Times New Roman"/>
        </w:rPr>
        <w:t xml:space="preserve">reveal a more varied pattern of results, but most associations parallel the findings above and </w:t>
      </w:r>
      <w:r>
        <w:rPr>
          <w:rFonts w:ascii="Garamond" w:hAnsi="Garamond" w:cs="Times New Roman"/>
        </w:rPr>
        <w:t>in England and Wales the correlation remains significant for victimization rates for violent crime and property crime (the latter only at the 90 per cent confidence level)</w:t>
      </w:r>
      <w:r w:rsidRPr="0006168A">
        <w:rPr>
          <w:rFonts w:ascii="Garamond" w:hAnsi="Garamond" w:cs="Times New Roman"/>
        </w:rPr>
        <w:t>.</w:t>
      </w:r>
    </w:p>
  </w:footnote>
  <w:footnote w:id="12">
    <w:p w14:paraId="5741328E" w14:textId="1C8A1DB5" w:rsidR="00C975BD" w:rsidRPr="00294A5D" w:rsidRDefault="00C975BD">
      <w:pPr>
        <w:pStyle w:val="FootnoteText"/>
      </w:pPr>
      <w:r w:rsidRPr="00294A5D">
        <w:rPr>
          <w:rStyle w:val="FootnoteReference"/>
          <w:rFonts w:ascii="Garamond" w:hAnsi="Garamond" w:cs="Times New Roman"/>
        </w:rPr>
        <w:footnoteRef/>
      </w:r>
      <w:r w:rsidRPr="00294A5D">
        <w:rPr>
          <w:rFonts w:ascii="Garamond" w:hAnsi="Garamond" w:cs="Times New Roman"/>
        </w:rPr>
        <w:t xml:space="preserve"> Although this analysis is designed to capture over-time trends, in the </w:t>
      </w:r>
      <w:r>
        <w:rPr>
          <w:rFonts w:ascii="Garamond" w:hAnsi="Garamond" w:cs="Times New Roman"/>
        </w:rPr>
        <w:t xml:space="preserve">Online </w:t>
      </w:r>
      <w:r w:rsidRPr="00294A5D">
        <w:rPr>
          <w:rFonts w:ascii="Garamond" w:hAnsi="Garamond" w:cs="Times New Roman"/>
        </w:rPr>
        <w:t xml:space="preserve">Appendix we report </w:t>
      </w:r>
      <w:r>
        <w:rPr>
          <w:rFonts w:ascii="Garamond" w:hAnsi="Garamond" w:cs="Times New Roman"/>
        </w:rPr>
        <w:t>bivariate correlations of the</w:t>
      </w:r>
      <w:r w:rsidRPr="00294A5D">
        <w:rPr>
          <w:rFonts w:ascii="Garamond" w:hAnsi="Garamond" w:cs="Times New Roman"/>
        </w:rPr>
        <w:t xml:space="preserve"> first</w:t>
      </w:r>
      <w:r>
        <w:rPr>
          <w:rFonts w:ascii="Garamond" w:hAnsi="Garamond" w:cs="Times New Roman"/>
        </w:rPr>
        <w:t xml:space="preserve"> </w:t>
      </w:r>
      <w:r w:rsidRPr="00294A5D">
        <w:rPr>
          <w:rFonts w:ascii="Garamond" w:hAnsi="Garamond" w:cs="Times New Roman"/>
        </w:rPr>
        <w:t>difference</w:t>
      </w:r>
      <w:r>
        <w:rPr>
          <w:rFonts w:ascii="Garamond" w:hAnsi="Garamond" w:cs="Times New Roman"/>
        </w:rPr>
        <w:t>s</w:t>
      </w:r>
      <w:r w:rsidRPr="00294A5D">
        <w:rPr>
          <w:rFonts w:ascii="Garamond" w:hAnsi="Garamond" w:cs="Times New Roman"/>
        </w:rPr>
        <w:t xml:space="preserve"> model, which</w:t>
      </w:r>
      <w:r>
        <w:rPr>
          <w:rFonts w:ascii="Garamond" w:hAnsi="Garamond" w:cs="Times New Roman"/>
        </w:rPr>
        <w:t>, not surprisingly given the short time series</w:t>
      </w:r>
      <w:r w:rsidR="00851172">
        <w:rPr>
          <w:rFonts w:ascii="Garamond" w:hAnsi="Garamond" w:cs="Times New Roman"/>
        </w:rPr>
        <w:t xml:space="preserve"> and trends in the series</w:t>
      </w:r>
      <w:r>
        <w:rPr>
          <w:rFonts w:ascii="Garamond" w:hAnsi="Garamond" w:cs="Times New Roman"/>
        </w:rPr>
        <w:t>, does not reveal</w:t>
      </w:r>
      <w:r w:rsidRPr="00294A5D">
        <w:rPr>
          <w:rFonts w:ascii="Garamond" w:hAnsi="Garamond" w:cs="Times New Roman"/>
        </w:rPr>
        <w:t xml:space="preserve"> </w:t>
      </w:r>
      <w:r w:rsidR="00851172">
        <w:rPr>
          <w:rFonts w:ascii="Garamond" w:hAnsi="Garamond" w:cs="Times New Roman"/>
        </w:rPr>
        <w:t xml:space="preserve">statistically significant relationships between </w:t>
      </w:r>
      <w:r>
        <w:rPr>
          <w:rFonts w:ascii="Garamond" w:hAnsi="Garamond" w:cs="Times New Roman"/>
        </w:rPr>
        <w:t xml:space="preserve">changes in punitive attitudes </w:t>
      </w:r>
      <w:r w:rsidR="00851172">
        <w:rPr>
          <w:rFonts w:ascii="Garamond" w:hAnsi="Garamond" w:cs="Times New Roman"/>
        </w:rPr>
        <w:t xml:space="preserve">and </w:t>
      </w:r>
      <w:r>
        <w:rPr>
          <w:rFonts w:ascii="Garamond" w:hAnsi="Garamond" w:cs="Times New Roman"/>
        </w:rPr>
        <w:t>change in crime rates</w:t>
      </w:r>
      <w:r w:rsidR="00851172">
        <w:rPr>
          <w:rFonts w:ascii="Garamond" w:hAnsi="Garamond" w:cs="Times New Roman"/>
        </w:rPr>
        <w:t xml:space="preserve"> during this period.</w:t>
      </w:r>
    </w:p>
  </w:footnote>
  <w:footnote w:id="13">
    <w:p w14:paraId="372A4F5C" w14:textId="77777777" w:rsidR="00D53DCB" w:rsidRDefault="00D53DCB" w:rsidP="00D53D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0F"/>
    <w:multiLevelType w:val="multilevel"/>
    <w:tmpl w:val="21EA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9220C"/>
    <w:multiLevelType w:val="hybridMultilevel"/>
    <w:tmpl w:val="52B67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5F1481"/>
    <w:multiLevelType w:val="multilevel"/>
    <w:tmpl w:val="8E10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0676E"/>
    <w:multiLevelType w:val="multilevel"/>
    <w:tmpl w:val="7946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F7"/>
    <w:rsid w:val="000007DA"/>
    <w:rsid w:val="000010A9"/>
    <w:rsid w:val="000028B9"/>
    <w:rsid w:val="00005CBD"/>
    <w:rsid w:val="0001138E"/>
    <w:rsid w:val="000138E9"/>
    <w:rsid w:val="00015DE6"/>
    <w:rsid w:val="00015E62"/>
    <w:rsid w:val="00016DB8"/>
    <w:rsid w:val="0001764E"/>
    <w:rsid w:val="000220C1"/>
    <w:rsid w:val="000238F5"/>
    <w:rsid w:val="000302B5"/>
    <w:rsid w:val="00035F51"/>
    <w:rsid w:val="00041D62"/>
    <w:rsid w:val="00045085"/>
    <w:rsid w:val="000468E3"/>
    <w:rsid w:val="000469AB"/>
    <w:rsid w:val="00051D4C"/>
    <w:rsid w:val="00060599"/>
    <w:rsid w:val="0006168A"/>
    <w:rsid w:val="00061B2E"/>
    <w:rsid w:val="00063054"/>
    <w:rsid w:val="000653F0"/>
    <w:rsid w:val="00072D30"/>
    <w:rsid w:val="00076352"/>
    <w:rsid w:val="00080478"/>
    <w:rsid w:val="00082374"/>
    <w:rsid w:val="00086CE5"/>
    <w:rsid w:val="00092A51"/>
    <w:rsid w:val="000964DA"/>
    <w:rsid w:val="000A16CE"/>
    <w:rsid w:val="000A6B86"/>
    <w:rsid w:val="000B0526"/>
    <w:rsid w:val="000B47C0"/>
    <w:rsid w:val="000B4C87"/>
    <w:rsid w:val="000B6D12"/>
    <w:rsid w:val="000C01E7"/>
    <w:rsid w:val="000C0F28"/>
    <w:rsid w:val="000C1A4E"/>
    <w:rsid w:val="000C1AF8"/>
    <w:rsid w:val="000C2BB3"/>
    <w:rsid w:val="000D2CE6"/>
    <w:rsid w:val="000D4E34"/>
    <w:rsid w:val="000E3893"/>
    <w:rsid w:val="000E5E29"/>
    <w:rsid w:val="000F08E4"/>
    <w:rsid w:val="000F477A"/>
    <w:rsid w:val="000F5142"/>
    <w:rsid w:val="000F5AE5"/>
    <w:rsid w:val="00102E20"/>
    <w:rsid w:val="00107600"/>
    <w:rsid w:val="0011187C"/>
    <w:rsid w:val="001126BA"/>
    <w:rsid w:val="00112ED3"/>
    <w:rsid w:val="00115AC1"/>
    <w:rsid w:val="001165DA"/>
    <w:rsid w:val="0012270E"/>
    <w:rsid w:val="0012282B"/>
    <w:rsid w:val="001259BA"/>
    <w:rsid w:val="00142E5A"/>
    <w:rsid w:val="00144054"/>
    <w:rsid w:val="0014543B"/>
    <w:rsid w:val="00146AB3"/>
    <w:rsid w:val="0015256A"/>
    <w:rsid w:val="001619F9"/>
    <w:rsid w:val="00161CD4"/>
    <w:rsid w:val="00165974"/>
    <w:rsid w:val="00165D57"/>
    <w:rsid w:val="00166856"/>
    <w:rsid w:val="001751F4"/>
    <w:rsid w:val="00175A44"/>
    <w:rsid w:val="00175EA7"/>
    <w:rsid w:val="0017780B"/>
    <w:rsid w:val="00183EB7"/>
    <w:rsid w:val="00185F35"/>
    <w:rsid w:val="00186D7C"/>
    <w:rsid w:val="00195A79"/>
    <w:rsid w:val="001961B7"/>
    <w:rsid w:val="001A03CC"/>
    <w:rsid w:val="001A06A4"/>
    <w:rsid w:val="001A12D9"/>
    <w:rsid w:val="001A7F11"/>
    <w:rsid w:val="001B39A2"/>
    <w:rsid w:val="001B492E"/>
    <w:rsid w:val="001B595B"/>
    <w:rsid w:val="001B5DC5"/>
    <w:rsid w:val="001C081B"/>
    <w:rsid w:val="001C1808"/>
    <w:rsid w:val="001D0C98"/>
    <w:rsid w:val="001D2F33"/>
    <w:rsid w:val="001D30F7"/>
    <w:rsid w:val="001D63F3"/>
    <w:rsid w:val="001E093C"/>
    <w:rsid w:val="001E47F3"/>
    <w:rsid w:val="001E4D69"/>
    <w:rsid w:val="001E6319"/>
    <w:rsid w:val="001F0808"/>
    <w:rsid w:val="001F3C36"/>
    <w:rsid w:val="001F6F59"/>
    <w:rsid w:val="001F7455"/>
    <w:rsid w:val="00202743"/>
    <w:rsid w:val="00202DAF"/>
    <w:rsid w:val="0020383E"/>
    <w:rsid w:val="00206641"/>
    <w:rsid w:val="0021363A"/>
    <w:rsid w:val="002226D3"/>
    <w:rsid w:val="00223CDE"/>
    <w:rsid w:val="002300CD"/>
    <w:rsid w:val="00231B21"/>
    <w:rsid w:val="002348EC"/>
    <w:rsid w:val="002355F4"/>
    <w:rsid w:val="0023653C"/>
    <w:rsid w:val="00241136"/>
    <w:rsid w:val="002418E2"/>
    <w:rsid w:val="0024711C"/>
    <w:rsid w:val="0025629B"/>
    <w:rsid w:val="00256EE9"/>
    <w:rsid w:val="0026680F"/>
    <w:rsid w:val="00266ECE"/>
    <w:rsid w:val="00270119"/>
    <w:rsid w:val="002717B9"/>
    <w:rsid w:val="00271FBE"/>
    <w:rsid w:val="00274ABC"/>
    <w:rsid w:val="002803F2"/>
    <w:rsid w:val="00283F89"/>
    <w:rsid w:val="0028538A"/>
    <w:rsid w:val="0028684F"/>
    <w:rsid w:val="00291243"/>
    <w:rsid w:val="00291462"/>
    <w:rsid w:val="00292629"/>
    <w:rsid w:val="00294A5D"/>
    <w:rsid w:val="00297622"/>
    <w:rsid w:val="002A32F9"/>
    <w:rsid w:val="002A363C"/>
    <w:rsid w:val="002A485D"/>
    <w:rsid w:val="002A7BD2"/>
    <w:rsid w:val="002B2BBB"/>
    <w:rsid w:val="002B38FD"/>
    <w:rsid w:val="002C3006"/>
    <w:rsid w:val="002D425F"/>
    <w:rsid w:val="002E030D"/>
    <w:rsid w:val="002E05ED"/>
    <w:rsid w:val="002F0BDF"/>
    <w:rsid w:val="002F3DBA"/>
    <w:rsid w:val="002F4DC0"/>
    <w:rsid w:val="002F628A"/>
    <w:rsid w:val="00302DBC"/>
    <w:rsid w:val="003065CB"/>
    <w:rsid w:val="0031339C"/>
    <w:rsid w:val="003173B7"/>
    <w:rsid w:val="00320F53"/>
    <w:rsid w:val="00320F9F"/>
    <w:rsid w:val="00322A89"/>
    <w:rsid w:val="00323196"/>
    <w:rsid w:val="00331205"/>
    <w:rsid w:val="00332EE8"/>
    <w:rsid w:val="00332F3F"/>
    <w:rsid w:val="0033499D"/>
    <w:rsid w:val="003374A4"/>
    <w:rsid w:val="00337644"/>
    <w:rsid w:val="00337E13"/>
    <w:rsid w:val="003412AC"/>
    <w:rsid w:val="00341A1D"/>
    <w:rsid w:val="00343E0A"/>
    <w:rsid w:val="003511ED"/>
    <w:rsid w:val="00355D79"/>
    <w:rsid w:val="0035639D"/>
    <w:rsid w:val="00360A7F"/>
    <w:rsid w:val="00364940"/>
    <w:rsid w:val="00367136"/>
    <w:rsid w:val="00373BCA"/>
    <w:rsid w:val="0037607E"/>
    <w:rsid w:val="00376EA8"/>
    <w:rsid w:val="003834A4"/>
    <w:rsid w:val="0038622E"/>
    <w:rsid w:val="00392D13"/>
    <w:rsid w:val="0039409A"/>
    <w:rsid w:val="0039663E"/>
    <w:rsid w:val="003A1DDC"/>
    <w:rsid w:val="003A3346"/>
    <w:rsid w:val="003A6992"/>
    <w:rsid w:val="003B1EC2"/>
    <w:rsid w:val="003B2C4F"/>
    <w:rsid w:val="003B371B"/>
    <w:rsid w:val="003C1E87"/>
    <w:rsid w:val="003C3216"/>
    <w:rsid w:val="003C48BD"/>
    <w:rsid w:val="003C4DF4"/>
    <w:rsid w:val="003C595E"/>
    <w:rsid w:val="003D1CB2"/>
    <w:rsid w:val="003E5F40"/>
    <w:rsid w:val="003F279D"/>
    <w:rsid w:val="00401A4F"/>
    <w:rsid w:val="00401BF7"/>
    <w:rsid w:val="00403BFC"/>
    <w:rsid w:val="00404AEF"/>
    <w:rsid w:val="0041286C"/>
    <w:rsid w:val="0041385F"/>
    <w:rsid w:val="00417E29"/>
    <w:rsid w:val="00424F6F"/>
    <w:rsid w:val="00425F12"/>
    <w:rsid w:val="00431F08"/>
    <w:rsid w:val="0043760E"/>
    <w:rsid w:val="00440D67"/>
    <w:rsid w:val="00442307"/>
    <w:rsid w:val="004439AC"/>
    <w:rsid w:val="004442BF"/>
    <w:rsid w:val="0044707A"/>
    <w:rsid w:val="004507C7"/>
    <w:rsid w:val="004536A7"/>
    <w:rsid w:val="00453E9F"/>
    <w:rsid w:val="00454535"/>
    <w:rsid w:val="004557B6"/>
    <w:rsid w:val="004574D0"/>
    <w:rsid w:val="00460192"/>
    <w:rsid w:val="0046125D"/>
    <w:rsid w:val="00461A23"/>
    <w:rsid w:val="00462A28"/>
    <w:rsid w:val="00462D11"/>
    <w:rsid w:val="00462E85"/>
    <w:rsid w:val="00463094"/>
    <w:rsid w:val="0046471C"/>
    <w:rsid w:val="00464BD5"/>
    <w:rsid w:val="00464CBC"/>
    <w:rsid w:val="00465232"/>
    <w:rsid w:val="00475E57"/>
    <w:rsid w:val="004845F0"/>
    <w:rsid w:val="0048587E"/>
    <w:rsid w:val="004875FC"/>
    <w:rsid w:val="00490B8C"/>
    <w:rsid w:val="00491068"/>
    <w:rsid w:val="00494834"/>
    <w:rsid w:val="00496ED6"/>
    <w:rsid w:val="00497E20"/>
    <w:rsid w:val="004A29D2"/>
    <w:rsid w:val="004A4055"/>
    <w:rsid w:val="004A7049"/>
    <w:rsid w:val="004A75F8"/>
    <w:rsid w:val="004B4DF1"/>
    <w:rsid w:val="004C18AA"/>
    <w:rsid w:val="004D3215"/>
    <w:rsid w:val="004E39B9"/>
    <w:rsid w:val="004E47E0"/>
    <w:rsid w:val="004E7BD2"/>
    <w:rsid w:val="004F3DC8"/>
    <w:rsid w:val="00506FF1"/>
    <w:rsid w:val="00511FC3"/>
    <w:rsid w:val="00517DAA"/>
    <w:rsid w:val="00520C58"/>
    <w:rsid w:val="00525523"/>
    <w:rsid w:val="00527FC7"/>
    <w:rsid w:val="00545406"/>
    <w:rsid w:val="0055129E"/>
    <w:rsid w:val="00552E4B"/>
    <w:rsid w:val="00555E38"/>
    <w:rsid w:val="005610D0"/>
    <w:rsid w:val="005625F5"/>
    <w:rsid w:val="00566CBA"/>
    <w:rsid w:val="00567873"/>
    <w:rsid w:val="005738CC"/>
    <w:rsid w:val="00573D9A"/>
    <w:rsid w:val="00574101"/>
    <w:rsid w:val="00575813"/>
    <w:rsid w:val="00576EA6"/>
    <w:rsid w:val="00581A14"/>
    <w:rsid w:val="00582CB1"/>
    <w:rsid w:val="00583371"/>
    <w:rsid w:val="0058453D"/>
    <w:rsid w:val="005870DC"/>
    <w:rsid w:val="00591E13"/>
    <w:rsid w:val="00592EBC"/>
    <w:rsid w:val="00596658"/>
    <w:rsid w:val="005974C8"/>
    <w:rsid w:val="005A133B"/>
    <w:rsid w:val="005A1D50"/>
    <w:rsid w:val="005A5E68"/>
    <w:rsid w:val="005A7BB6"/>
    <w:rsid w:val="005B6135"/>
    <w:rsid w:val="005B6DB8"/>
    <w:rsid w:val="005C4A2F"/>
    <w:rsid w:val="005D58CA"/>
    <w:rsid w:val="005E3C3D"/>
    <w:rsid w:val="00610AD6"/>
    <w:rsid w:val="006224E1"/>
    <w:rsid w:val="00622792"/>
    <w:rsid w:val="00626FDB"/>
    <w:rsid w:val="00627BE4"/>
    <w:rsid w:val="00633CE8"/>
    <w:rsid w:val="00636233"/>
    <w:rsid w:val="006378B3"/>
    <w:rsid w:val="00643BBD"/>
    <w:rsid w:val="006473CA"/>
    <w:rsid w:val="006477E7"/>
    <w:rsid w:val="0065113A"/>
    <w:rsid w:val="00653B2F"/>
    <w:rsid w:val="00653D00"/>
    <w:rsid w:val="00654568"/>
    <w:rsid w:val="006572D1"/>
    <w:rsid w:val="006619B7"/>
    <w:rsid w:val="00670162"/>
    <w:rsid w:val="00671290"/>
    <w:rsid w:val="00672EE4"/>
    <w:rsid w:val="00672FA7"/>
    <w:rsid w:val="00676FA1"/>
    <w:rsid w:val="0068091D"/>
    <w:rsid w:val="0068241D"/>
    <w:rsid w:val="00682C8F"/>
    <w:rsid w:val="00686DDE"/>
    <w:rsid w:val="00687917"/>
    <w:rsid w:val="00690DBB"/>
    <w:rsid w:val="00696944"/>
    <w:rsid w:val="00696E33"/>
    <w:rsid w:val="00696FC5"/>
    <w:rsid w:val="006A3041"/>
    <w:rsid w:val="006A639D"/>
    <w:rsid w:val="006A780C"/>
    <w:rsid w:val="006B08DD"/>
    <w:rsid w:val="006B1B58"/>
    <w:rsid w:val="006B348F"/>
    <w:rsid w:val="006B42B7"/>
    <w:rsid w:val="006B5FE6"/>
    <w:rsid w:val="006C0C1F"/>
    <w:rsid w:val="006C0E29"/>
    <w:rsid w:val="006C1D19"/>
    <w:rsid w:val="006C5125"/>
    <w:rsid w:val="006D02A9"/>
    <w:rsid w:val="006D08BD"/>
    <w:rsid w:val="006D0C78"/>
    <w:rsid w:val="006D13DC"/>
    <w:rsid w:val="006D3FBC"/>
    <w:rsid w:val="006D4C93"/>
    <w:rsid w:val="006D6965"/>
    <w:rsid w:val="006E35A9"/>
    <w:rsid w:val="006E3BFC"/>
    <w:rsid w:val="006E6A95"/>
    <w:rsid w:val="006E7E6F"/>
    <w:rsid w:val="006F31FD"/>
    <w:rsid w:val="006F7247"/>
    <w:rsid w:val="006F7F26"/>
    <w:rsid w:val="007014D8"/>
    <w:rsid w:val="0070220B"/>
    <w:rsid w:val="0070302B"/>
    <w:rsid w:val="00705C74"/>
    <w:rsid w:val="00714E9F"/>
    <w:rsid w:val="00717777"/>
    <w:rsid w:val="00722025"/>
    <w:rsid w:val="00726D8D"/>
    <w:rsid w:val="00730B0B"/>
    <w:rsid w:val="0073145B"/>
    <w:rsid w:val="00733056"/>
    <w:rsid w:val="00735963"/>
    <w:rsid w:val="0074328D"/>
    <w:rsid w:val="0075054A"/>
    <w:rsid w:val="00750C14"/>
    <w:rsid w:val="0075154D"/>
    <w:rsid w:val="007567E9"/>
    <w:rsid w:val="00760E06"/>
    <w:rsid w:val="00762EE7"/>
    <w:rsid w:val="00766408"/>
    <w:rsid w:val="00772AB9"/>
    <w:rsid w:val="00774535"/>
    <w:rsid w:val="007863CC"/>
    <w:rsid w:val="00786AA2"/>
    <w:rsid w:val="00787BDE"/>
    <w:rsid w:val="00790A59"/>
    <w:rsid w:val="00797D9F"/>
    <w:rsid w:val="007A46F3"/>
    <w:rsid w:val="007B0552"/>
    <w:rsid w:val="007B3D17"/>
    <w:rsid w:val="007B77E4"/>
    <w:rsid w:val="007D2A19"/>
    <w:rsid w:val="007D6E6D"/>
    <w:rsid w:val="007D7AFE"/>
    <w:rsid w:val="007E0EC2"/>
    <w:rsid w:val="007E78BD"/>
    <w:rsid w:val="007F3B31"/>
    <w:rsid w:val="007F4F4C"/>
    <w:rsid w:val="007F6338"/>
    <w:rsid w:val="007F6885"/>
    <w:rsid w:val="007F7B13"/>
    <w:rsid w:val="00802833"/>
    <w:rsid w:val="00802EE1"/>
    <w:rsid w:val="00803540"/>
    <w:rsid w:val="008057DA"/>
    <w:rsid w:val="00806C0F"/>
    <w:rsid w:val="00807EE6"/>
    <w:rsid w:val="00811B11"/>
    <w:rsid w:val="00813B33"/>
    <w:rsid w:val="00815166"/>
    <w:rsid w:val="00821D0D"/>
    <w:rsid w:val="00822AA7"/>
    <w:rsid w:val="008244E6"/>
    <w:rsid w:val="00824D1E"/>
    <w:rsid w:val="008267AC"/>
    <w:rsid w:val="00827AC1"/>
    <w:rsid w:val="0083106A"/>
    <w:rsid w:val="00834D82"/>
    <w:rsid w:val="0084019E"/>
    <w:rsid w:val="00840BA6"/>
    <w:rsid w:val="0084478D"/>
    <w:rsid w:val="00845795"/>
    <w:rsid w:val="0084647C"/>
    <w:rsid w:val="00846A40"/>
    <w:rsid w:val="008502D4"/>
    <w:rsid w:val="00850F25"/>
    <w:rsid w:val="00851172"/>
    <w:rsid w:val="008513AB"/>
    <w:rsid w:val="008528BB"/>
    <w:rsid w:val="00853A05"/>
    <w:rsid w:val="008550B2"/>
    <w:rsid w:val="0085770B"/>
    <w:rsid w:val="00857D03"/>
    <w:rsid w:val="00861810"/>
    <w:rsid w:val="00861EFC"/>
    <w:rsid w:val="0087433E"/>
    <w:rsid w:val="00874AF4"/>
    <w:rsid w:val="00874BF0"/>
    <w:rsid w:val="008754F5"/>
    <w:rsid w:val="00875E83"/>
    <w:rsid w:val="00877E65"/>
    <w:rsid w:val="008870DB"/>
    <w:rsid w:val="00891BCD"/>
    <w:rsid w:val="00894845"/>
    <w:rsid w:val="008961CB"/>
    <w:rsid w:val="008A18EE"/>
    <w:rsid w:val="008A2CE1"/>
    <w:rsid w:val="008A3221"/>
    <w:rsid w:val="008A490B"/>
    <w:rsid w:val="008B112C"/>
    <w:rsid w:val="008C2432"/>
    <w:rsid w:val="008D0E5A"/>
    <w:rsid w:val="008D5E87"/>
    <w:rsid w:val="008E0B60"/>
    <w:rsid w:val="008F00CA"/>
    <w:rsid w:val="008F1073"/>
    <w:rsid w:val="008F1C86"/>
    <w:rsid w:val="00904D2C"/>
    <w:rsid w:val="00905C20"/>
    <w:rsid w:val="00914BA2"/>
    <w:rsid w:val="00915A0B"/>
    <w:rsid w:val="0091707F"/>
    <w:rsid w:val="009177C6"/>
    <w:rsid w:val="00920740"/>
    <w:rsid w:val="00927976"/>
    <w:rsid w:val="0093267C"/>
    <w:rsid w:val="0094222B"/>
    <w:rsid w:val="0094500A"/>
    <w:rsid w:val="009458EC"/>
    <w:rsid w:val="00947201"/>
    <w:rsid w:val="00953059"/>
    <w:rsid w:val="00953382"/>
    <w:rsid w:val="00954560"/>
    <w:rsid w:val="009605A0"/>
    <w:rsid w:val="009622FB"/>
    <w:rsid w:val="00972620"/>
    <w:rsid w:val="009729F6"/>
    <w:rsid w:val="00973AD6"/>
    <w:rsid w:val="00973D0A"/>
    <w:rsid w:val="00980766"/>
    <w:rsid w:val="00980B71"/>
    <w:rsid w:val="00983423"/>
    <w:rsid w:val="00984C44"/>
    <w:rsid w:val="00990F07"/>
    <w:rsid w:val="00991D65"/>
    <w:rsid w:val="00993019"/>
    <w:rsid w:val="00995296"/>
    <w:rsid w:val="00996E84"/>
    <w:rsid w:val="009A20CD"/>
    <w:rsid w:val="009A37A6"/>
    <w:rsid w:val="009A3AB7"/>
    <w:rsid w:val="009A58F0"/>
    <w:rsid w:val="009A7DAD"/>
    <w:rsid w:val="009B23C8"/>
    <w:rsid w:val="009B7211"/>
    <w:rsid w:val="009C00BC"/>
    <w:rsid w:val="009C0558"/>
    <w:rsid w:val="009C2C2B"/>
    <w:rsid w:val="009C3F60"/>
    <w:rsid w:val="009D32EB"/>
    <w:rsid w:val="009D7E6F"/>
    <w:rsid w:val="009E240B"/>
    <w:rsid w:val="009E6A3B"/>
    <w:rsid w:val="009F489F"/>
    <w:rsid w:val="009F6022"/>
    <w:rsid w:val="009F6D1D"/>
    <w:rsid w:val="00A03A30"/>
    <w:rsid w:val="00A102C4"/>
    <w:rsid w:val="00A12723"/>
    <w:rsid w:val="00A12966"/>
    <w:rsid w:val="00A13AB1"/>
    <w:rsid w:val="00A17A99"/>
    <w:rsid w:val="00A2314D"/>
    <w:rsid w:val="00A23C98"/>
    <w:rsid w:val="00A26496"/>
    <w:rsid w:val="00A33FCF"/>
    <w:rsid w:val="00A34524"/>
    <w:rsid w:val="00A34FBC"/>
    <w:rsid w:val="00A354B2"/>
    <w:rsid w:val="00A35C5E"/>
    <w:rsid w:val="00A37866"/>
    <w:rsid w:val="00A41E32"/>
    <w:rsid w:val="00A473B2"/>
    <w:rsid w:val="00A50ADF"/>
    <w:rsid w:val="00A515FD"/>
    <w:rsid w:val="00A64762"/>
    <w:rsid w:val="00A66977"/>
    <w:rsid w:val="00A76E72"/>
    <w:rsid w:val="00A801E6"/>
    <w:rsid w:val="00A80599"/>
    <w:rsid w:val="00A8257E"/>
    <w:rsid w:val="00A83ED9"/>
    <w:rsid w:val="00A91B52"/>
    <w:rsid w:val="00A955B0"/>
    <w:rsid w:val="00A95F4E"/>
    <w:rsid w:val="00AA4C77"/>
    <w:rsid w:val="00AA62F5"/>
    <w:rsid w:val="00AB0F7D"/>
    <w:rsid w:val="00AB38F2"/>
    <w:rsid w:val="00AC34BA"/>
    <w:rsid w:val="00AE4350"/>
    <w:rsid w:val="00AE7426"/>
    <w:rsid w:val="00AF48E6"/>
    <w:rsid w:val="00AF4F04"/>
    <w:rsid w:val="00AF5526"/>
    <w:rsid w:val="00AF651A"/>
    <w:rsid w:val="00B03059"/>
    <w:rsid w:val="00B14411"/>
    <w:rsid w:val="00B21876"/>
    <w:rsid w:val="00B325F7"/>
    <w:rsid w:val="00B36779"/>
    <w:rsid w:val="00B464DA"/>
    <w:rsid w:val="00B537B4"/>
    <w:rsid w:val="00B53F53"/>
    <w:rsid w:val="00B61550"/>
    <w:rsid w:val="00B71A68"/>
    <w:rsid w:val="00B759DE"/>
    <w:rsid w:val="00B77D05"/>
    <w:rsid w:val="00B806E7"/>
    <w:rsid w:val="00B87C54"/>
    <w:rsid w:val="00B92892"/>
    <w:rsid w:val="00B94883"/>
    <w:rsid w:val="00BA6809"/>
    <w:rsid w:val="00BB135E"/>
    <w:rsid w:val="00BB36DB"/>
    <w:rsid w:val="00BB62B3"/>
    <w:rsid w:val="00BB6749"/>
    <w:rsid w:val="00BC02D7"/>
    <w:rsid w:val="00BC1573"/>
    <w:rsid w:val="00BC59FC"/>
    <w:rsid w:val="00BC6E3B"/>
    <w:rsid w:val="00BD2B1E"/>
    <w:rsid w:val="00BD2BAD"/>
    <w:rsid w:val="00BE7099"/>
    <w:rsid w:val="00BF01E1"/>
    <w:rsid w:val="00BF0349"/>
    <w:rsid w:val="00BF1F0B"/>
    <w:rsid w:val="00BF628F"/>
    <w:rsid w:val="00C025C5"/>
    <w:rsid w:val="00C038D8"/>
    <w:rsid w:val="00C1606D"/>
    <w:rsid w:val="00C16963"/>
    <w:rsid w:val="00C2130D"/>
    <w:rsid w:val="00C31F3D"/>
    <w:rsid w:val="00C32425"/>
    <w:rsid w:val="00C3569B"/>
    <w:rsid w:val="00C37A92"/>
    <w:rsid w:val="00C40F71"/>
    <w:rsid w:val="00C41B0C"/>
    <w:rsid w:val="00C4753D"/>
    <w:rsid w:val="00C55571"/>
    <w:rsid w:val="00C56969"/>
    <w:rsid w:val="00C57BEF"/>
    <w:rsid w:val="00C65FFC"/>
    <w:rsid w:val="00C7269F"/>
    <w:rsid w:val="00C75303"/>
    <w:rsid w:val="00C757BB"/>
    <w:rsid w:val="00C77EF7"/>
    <w:rsid w:val="00C9177E"/>
    <w:rsid w:val="00C975BD"/>
    <w:rsid w:val="00CA5B9D"/>
    <w:rsid w:val="00CB1155"/>
    <w:rsid w:val="00CB2EF2"/>
    <w:rsid w:val="00CB3C32"/>
    <w:rsid w:val="00CB431C"/>
    <w:rsid w:val="00CC0395"/>
    <w:rsid w:val="00CC2B67"/>
    <w:rsid w:val="00CD0672"/>
    <w:rsid w:val="00CD2B8A"/>
    <w:rsid w:val="00CD3B59"/>
    <w:rsid w:val="00CD3B9D"/>
    <w:rsid w:val="00CD7303"/>
    <w:rsid w:val="00CD7537"/>
    <w:rsid w:val="00CD7AF6"/>
    <w:rsid w:val="00CE3EDB"/>
    <w:rsid w:val="00CE61BA"/>
    <w:rsid w:val="00D00157"/>
    <w:rsid w:val="00D002E8"/>
    <w:rsid w:val="00D01573"/>
    <w:rsid w:val="00D04727"/>
    <w:rsid w:val="00D11200"/>
    <w:rsid w:val="00D11401"/>
    <w:rsid w:val="00D1602E"/>
    <w:rsid w:val="00D17CDD"/>
    <w:rsid w:val="00D2222B"/>
    <w:rsid w:val="00D271BD"/>
    <w:rsid w:val="00D32BE1"/>
    <w:rsid w:val="00D34222"/>
    <w:rsid w:val="00D3461E"/>
    <w:rsid w:val="00D3668F"/>
    <w:rsid w:val="00D405E9"/>
    <w:rsid w:val="00D53BAF"/>
    <w:rsid w:val="00D53DCB"/>
    <w:rsid w:val="00D54551"/>
    <w:rsid w:val="00D66D98"/>
    <w:rsid w:val="00D71635"/>
    <w:rsid w:val="00D71AC0"/>
    <w:rsid w:val="00D7706C"/>
    <w:rsid w:val="00D77DB3"/>
    <w:rsid w:val="00D803D3"/>
    <w:rsid w:val="00D81691"/>
    <w:rsid w:val="00D8240E"/>
    <w:rsid w:val="00D83ACB"/>
    <w:rsid w:val="00D8588B"/>
    <w:rsid w:val="00D85C80"/>
    <w:rsid w:val="00D87EBD"/>
    <w:rsid w:val="00D9020B"/>
    <w:rsid w:val="00D945DC"/>
    <w:rsid w:val="00D95078"/>
    <w:rsid w:val="00D9641D"/>
    <w:rsid w:val="00D9668C"/>
    <w:rsid w:val="00D96F00"/>
    <w:rsid w:val="00DA1AA7"/>
    <w:rsid w:val="00DB1C65"/>
    <w:rsid w:val="00DB5B45"/>
    <w:rsid w:val="00DC10BE"/>
    <w:rsid w:val="00DC4501"/>
    <w:rsid w:val="00DD07D3"/>
    <w:rsid w:val="00DD2626"/>
    <w:rsid w:val="00DD33DB"/>
    <w:rsid w:val="00DD468C"/>
    <w:rsid w:val="00DE04A7"/>
    <w:rsid w:val="00DE1EE2"/>
    <w:rsid w:val="00DF681A"/>
    <w:rsid w:val="00E00127"/>
    <w:rsid w:val="00E018E2"/>
    <w:rsid w:val="00E03D8A"/>
    <w:rsid w:val="00E03F04"/>
    <w:rsid w:val="00E06B0D"/>
    <w:rsid w:val="00E14FE7"/>
    <w:rsid w:val="00E16C8A"/>
    <w:rsid w:val="00E22243"/>
    <w:rsid w:val="00E227A5"/>
    <w:rsid w:val="00E23206"/>
    <w:rsid w:val="00E23EDF"/>
    <w:rsid w:val="00E30BAF"/>
    <w:rsid w:val="00E31A07"/>
    <w:rsid w:val="00E32C87"/>
    <w:rsid w:val="00E46F52"/>
    <w:rsid w:val="00E52825"/>
    <w:rsid w:val="00E60DC5"/>
    <w:rsid w:val="00E60DE9"/>
    <w:rsid w:val="00E63789"/>
    <w:rsid w:val="00E744A9"/>
    <w:rsid w:val="00E768EA"/>
    <w:rsid w:val="00E82297"/>
    <w:rsid w:val="00E838D6"/>
    <w:rsid w:val="00E9013C"/>
    <w:rsid w:val="00E919A7"/>
    <w:rsid w:val="00E9297E"/>
    <w:rsid w:val="00E96854"/>
    <w:rsid w:val="00E976CC"/>
    <w:rsid w:val="00EA4D84"/>
    <w:rsid w:val="00EB3D19"/>
    <w:rsid w:val="00EB4AF4"/>
    <w:rsid w:val="00EC1415"/>
    <w:rsid w:val="00ED1A02"/>
    <w:rsid w:val="00ED4292"/>
    <w:rsid w:val="00EE16B7"/>
    <w:rsid w:val="00EE5F3A"/>
    <w:rsid w:val="00EF0EAE"/>
    <w:rsid w:val="00EF687F"/>
    <w:rsid w:val="00F0676E"/>
    <w:rsid w:val="00F076F8"/>
    <w:rsid w:val="00F1726E"/>
    <w:rsid w:val="00F222C2"/>
    <w:rsid w:val="00F2523E"/>
    <w:rsid w:val="00F26113"/>
    <w:rsid w:val="00F30BC8"/>
    <w:rsid w:val="00F41B1F"/>
    <w:rsid w:val="00F43EB1"/>
    <w:rsid w:val="00F44024"/>
    <w:rsid w:val="00F46565"/>
    <w:rsid w:val="00F53E1B"/>
    <w:rsid w:val="00F54A0F"/>
    <w:rsid w:val="00F54CE8"/>
    <w:rsid w:val="00F56B1E"/>
    <w:rsid w:val="00F57C3F"/>
    <w:rsid w:val="00F60459"/>
    <w:rsid w:val="00F63502"/>
    <w:rsid w:val="00F66F92"/>
    <w:rsid w:val="00F67B9A"/>
    <w:rsid w:val="00F71C25"/>
    <w:rsid w:val="00F71F3D"/>
    <w:rsid w:val="00F72803"/>
    <w:rsid w:val="00F72ABA"/>
    <w:rsid w:val="00F756D8"/>
    <w:rsid w:val="00F76A8A"/>
    <w:rsid w:val="00F829A9"/>
    <w:rsid w:val="00F85938"/>
    <w:rsid w:val="00F8613F"/>
    <w:rsid w:val="00F9041A"/>
    <w:rsid w:val="00F9173C"/>
    <w:rsid w:val="00F922D2"/>
    <w:rsid w:val="00F93E27"/>
    <w:rsid w:val="00F94056"/>
    <w:rsid w:val="00F97F10"/>
    <w:rsid w:val="00FA02AB"/>
    <w:rsid w:val="00FA3AD8"/>
    <w:rsid w:val="00FB665A"/>
    <w:rsid w:val="00FC03CF"/>
    <w:rsid w:val="00FC0BB7"/>
    <w:rsid w:val="00FC2F50"/>
    <w:rsid w:val="00FC73DF"/>
    <w:rsid w:val="00FD607F"/>
    <w:rsid w:val="00FE05B9"/>
    <w:rsid w:val="00FF4EEC"/>
    <w:rsid w:val="1BAFCB32"/>
    <w:rsid w:val="3A1BA8C2"/>
    <w:rsid w:val="4A205E5E"/>
    <w:rsid w:val="6A48693F"/>
    <w:rsid w:val="7563E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7CA5"/>
  <w15:chartTrackingRefBased/>
  <w15:docId w15:val="{A9D82288-066F-4DDE-A607-CE50493B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BF7"/>
    <w:rPr>
      <w:color w:val="0563C1" w:themeColor="hyperlink"/>
      <w:u w:val="single"/>
    </w:rPr>
  </w:style>
  <w:style w:type="character" w:styleId="UnresolvedMention">
    <w:name w:val="Unresolved Mention"/>
    <w:basedOn w:val="DefaultParagraphFont"/>
    <w:uiPriority w:val="99"/>
    <w:semiHidden/>
    <w:unhideWhenUsed/>
    <w:rsid w:val="00401BF7"/>
    <w:rPr>
      <w:color w:val="605E5C"/>
      <w:shd w:val="clear" w:color="auto" w:fill="E1DFDD"/>
    </w:rPr>
  </w:style>
  <w:style w:type="character" w:styleId="CommentReference">
    <w:name w:val="annotation reference"/>
    <w:basedOn w:val="DefaultParagraphFont"/>
    <w:uiPriority w:val="99"/>
    <w:semiHidden/>
    <w:unhideWhenUsed/>
    <w:rsid w:val="001F7455"/>
    <w:rPr>
      <w:sz w:val="16"/>
      <w:szCs w:val="16"/>
    </w:rPr>
  </w:style>
  <w:style w:type="paragraph" w:styleId="CommentText">
    <w:name w:val="annotation text"/>
    <w:basedOn w:val="Normal"/>
    <w:link w:val="CommentTextChar"/>
    <w:uiPriority w:val="99"/>
    <w:unhideWhenUsed/>
    <w:rsid w:val="001F7455"/>
    <w:pPr>
      <w:spacing w:line="240" w:lineRule="auto"/>
    </w:pPr>
    <w:rPr>
      <w:sz w:val="20"/>
      <w:szCs w:val="20"/>
    </w:rPr>
  </w:style>
  <w:style w:type="character" w:customStyle="1" w:styleId="CommentTextChar">
    <w:name w:val="Comment Text Char"/>
    <w:basedOn w:val="DefaultParagraphFont"/>
    <w:link w:val="CommentText"/>
    <w:uiPriority w:val="99"/>
    <w:rsid w:val="001F7455"/>
    <w:rPr>
      <w:sz w:val="20"/>
      <w:szCs w:val="20"/>
    </w:rPr>
  </w:style>
  <w:style w:type="paragraph" w:styleId="CommentSubject">
    <w:name w:val="annotation subject"/>
    <w:basedOn w:val="CommentText"/>
    <w:next w:val="CommentText"/>
    <w:link w:val="CommentSubjectChar"/>
    <w:uiPriority w:val="99"/>
    <w:semiHidden/>
    <w:unhideWhenUsed/>
    <w:rsid w:val="001F7455"/>
    <w:rPr>
      <w:b/>
      <w:bCs/>
    </w:rPr>
  </w:style>
  <w:style w:type="character" w:customStyle="1" w:styleId="CommentSubjectChar">
    <w:name w:val="Comment Subject Char"/>
    <w:basedOn w:val="CommentTextChar"/>
    <w:link w:val="CommentSubject"/>
    <w:uiPriority w:val="99"/>
    <w:semiHidden/>
    <w:rsid w:val="001F7455"/>
    <w:rPr>
      <w:b/>
      <w:bCs/>
      <w:sz w:val="20"/>
      <w:szCs w:val="20"/>
    </w:rPr>
  </w:style>
  <w:style w:type="paragraph" w:styleId="BalloonText">
    <w:name w:val="Balloon Text"/>
    <w:basedOn w:val="Normal"/>
    <w:link w:val="BalloonTextChar"/>
    <w:uiPriority w:val="99"/>
    <w:semiHidden/>
    <w:unhideWhenUsed/>
    <w:rsid w:val="001F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455"/>
    <w:rPr>
      <w:rFonts w:ascii="Segoe UI" w:hAnsi="Segoe UI" w:cs="Segoe UI"/>
      <w:sz w:val="18"/>
      <w:szCs w:val="18"/>
    </w:rPr>
  </w:style>
  <w:style w:type="paragraph" w:styleId="NormalWeb">
    <w:name w:val="Normal (Web)"/>
    <w:basedOn w:val="Normal"/>
    <w:uiPriority w:val="99"/>
    <w:semiHidden/>
    <w:unhideWhenUsed/>
    <w:rsid w:val="001F7455"/>
    <w:rPr>
      <w:rFonts w:ascii="Times New Roman" w:hAnsi="Times New Roman" w:cs="Times New Roman"/>
      <w:sz w:val="24"/>
      <w:szCs w:val="24"/>
    </w:rPr>
  </w:style>
  <w:style w:type="paragraph" w:styleId="FootnoteText">
    <w:name w:val="footnote text"/>
    <w:basedOn w:val="Normal"/>
    <w:link w:val="FootnoteTextChar"/>
    <w:unhideWhenUsed/>
    <w:rsid w:val="008961CB"/>
    <w:pPr>
      <w:spacing w:after="0" w:line="240" w:lineRule="auto"/>
    </w:pPr>
    <w:rPr>
      <w:sz w:val="20"/>
      <w:szCs w:val="20"/>
    </w:rPr>
  </w:style>
  <w:style w:type="character" w:customStyle="1" w:styleId="FootnoteTextChar">
    <w:name w:val="Footnote Text Char"/>
    <w:basedOn w:val="DefaultParagraphFont"/>
    <w:link w:val="FootnoteText"/>
    <w:rsid w:val="008961CB"/>
    <w:rPr>
      <w:sz w:val="20"/>
      <w:szCs w:val="20"/>
    </w:rPr>
  </w:style>
  <w:style w:type="character" w:styleId="FootnoteReference">
    <w:name w:val="footnote reference"/>
    <w:basedOn w:val="DefaultParagraphFont"/>
    <w:unhideWhenUsed/>
    <w:rsid w:val="008961CB"/>
    <w:rPr>
      <w:vertAlign w:val="superscript"/>
    </w:rPr>
  </w:style>
  <w:style w:type="character" w:styleId="FollowedHyperlink">
    <w:name w:val="FollowedHyperlink"/>
    <w:basedOn w:val="DefaultParagraphFont"/>
    <w:uiPriority w:val="99"/>
    <w:semiHidden/>
    <w:unhideWhenUsed/>
    <w:rsid w:val="00B94883"/>
    <w:rPr>
      <w:color w:val="954F72" w:themeColor="followedHyperlink"/>
      <w:u w:val="single"/>
    </w:rPr>
  </w:style>
  <w:style w:type="paragraph" w:styleId="Header">
    <w:name w:val="header"/>
    <w:basedOn w:val="Normal"/>
    <w:link w:val="HeaderChar"/>
    <w:uiPriority w:val="99"/>
    <w:unhideWhenUsed/>
    <w:rsid w:val="00DA1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AA7"/>
  </w:style>
  <w:style w:type="paragraph" w:styleId="Footer">
    <w:name w:val="footer"/>
    <w:basedOn w:val="Normal"/>
    <w:link w:val="FooterChar"/>
    <w:uiPriority w:val="99"/>
    <w:unhideWhenUsed/>
    <w:rsid w:val="00DA1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AA7"/>
  </w:style>
  <w:style w:type="character" w:styleId="Emphasis">
    <w:name w:val="Emphasis"/>
    <w:basedOn w:val="DefaultParagraphFont"/>
    <w:uiPriority w:val="20"/>
    <w:qFormat/>
    <w:rsid w:val="00341A1D"/>
    <w:rPr>
      <w:i/>
      <w:iCs/>
    </w:rPr>
  </w:style>
  <w:style w:type="paragraph" w:styleId="Revision">
    <w:name w:val="Revision"/>
    <w:hidden/>
    <w:uiPriority w:val="99"/>
    <w:semiHidden/>
    <w:rsid w:val="00332F3F"/>
    <w:pPr>
      <w:spacing w:after="0" w:line="240" w:lineRule="auto"/>
    </w:pPr>
  </w:style>
  <w:style w:type="paragraph" w:styleId="ListParagraph">
    <w:name w:val="List Paragraph"/>
    <w:basedOn w:val="Normal"/>
    <w:uiPriority w:val="34"/>
    <w:qFormat/>
    <w:rsid w:val="00142E5A"/>
    <w:pPr>
      <w:ind w:left="720"/>
      <w:contextualSpacing/>
    </w:pPr>
  </w:style>
  <w:style w:type="character" w:styleId="PlaceholderText">
    <w:name w:val="Placeholder Text"/>
    <w:basedOn w:val="DefaultParagraphFont"/>
    <w:uiPriority w:val="99"/>
    <w:semiHidden/>
    <w:rsid w:val="000138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673">
      <w:bodyDiv w:val="1"/>
      <w:marLeft w:val="0"/>
      <w:marRight w:val="0"/>
      <w:marTop w:val="0"/>
      <w:marBottom w:val="0"/>
      <w:divBdr>
        <w:top w:val="none" w:sz="0" w:space="0" w:color="auto"/>
        <w:left w:val="none" w:sz="0" w:space="0" w:color="auto"/>
        <w:bottom w:val="none" w:sz="0" w:space="0" w:color="auto"/>
        <w:right w:val="none" w:sz="0" w:space="0" w:color="auto"/>
      </w:divBdr>
    </w:div>
    <w:div w:id="6199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40923">
          <w:marLeft w:val="0"/>
          <w:marRight w:val="0"/>
          <w:marTop w:val="0"/>
          <w:marBottom w:val="0"/>
          <w:divBdr>
            <w:top w:val="none" w:sz="0" w:space="0" w:color="auto"/>
            <w:left w:val="none" w:sz="0" w:space="0" w:color="auto"/>
            <w:bottom w:val="none" w:sz="0" w:space="0" w:color="auto"/>
            <w:right w:val="none" w:sz="0" w:space="0" w:color="auto"/>
          </w:divBdr>
        </w:div>
      </w:divsChild>
    </w:div>
    <w:div w:id="373895187">
      <w:bodyDiv w:val="1"/>
      <w:marLeft w:val="0"/>
      <w:marRight w:val="0"/>
      <w:marTop w:val="0"/>
      <w:marBottom w:val="0"/>
      <w:divBdr>
        <w:top w:val="none" w:sz="0" w:space="0" w:color="auto"/>
        <w:left w:val="none" w:sz="0" w:space="0" w:color="auto"/>
        <w:bottom w:val="none" w:sz="0" w:space="0" w:color="auto"/>
        <w:right w:val="none" w:sz="0" w:space="0" w:color="auto"/>
      </w:divBdr>
    </w:div>
    <w:div w:id="565916563">
      <w:bodyDiv w:val="1"/>
      <w:marLeft w:val="0"/>
      <w:marRight w:val="0"/>
      <w:marTop w:val="0"/>
      <w:marBottom w:val="0"/>
      <w:divBdr>
        <w:top w:val="none" w:sz="0" w:space="0" w:color="auto"/>
        <w:left w:val="none" w:sz="0" w:space="0" w:color="auto"/>
        <w:bottom w:val="none" w:sz="0" w:space="0" w:color="auto"/>
        <w:right w:val="none" w:sz="0" w:space="0" w:color="auto"/>
      </w:divBdr>
    </w:div>
    <w:div w:id="600459022">
      <w:bodyDiv w:val="1"/>
      <w:marLeft w:val="0"/>
      <w:marRight w:val="0"/>
      <w:marTop w:val="0"/>
      <w:marBottom w:val="0"/>
      <w:divBdr>
        <w:top w:val="none" w:sz="0" w:space="0" w:color="auto"/>
        <w:left w:val="none" w:sz="0" w:space="0" w:color="auto"/>
        <w:bottom w:val="none" w:sz="0" w:space="0" w:color="auto"/>
        <w:right w:val="none" w:sz="0" w:space="0" w:color="auto"/>
      </w:divBdr>
      <w:divsChild>
        <w:div w:id="1275943778">
          <w:marLeft w:val="0"/>
          <w:marRight w:val="0"/>
          <w:marTop w:val="0"/>
          <w:marBottom w:val="0"/>
          <w:divBdr>
            <w:top w:val="none" w:sz="0" w:space="0" w:color="auto"/>
            <w:left w:val="none" w:sz="0" w:space="0" w:color="auto"/>
            <w:bottom w:val="none" w:sz="0" w:space="0" w:color="auto"/>
            <w:right w:val="none" w:sz="0" w:space="0" w:color="auto"/>
          </w:divBdr>
        </w:div>
      </w:divsChild>
    </w:div>
    <w:div w:id="751002669">
      <w:bodyDiv w:val="1"/>
      <w:marLeft w:val="0"/>
      <w:marRight w:val="0"/>
      <w:marTop w:val="0"/>
      <w:marBottom w:val="0"/>
      <w:divBdr>
        <w:top w:val="none" w:sz="0" w:space="0" w:color="auto"/>
        <w:left w:val="none" w:sz="0" w:space="0" w:color="auto"/>
        <w:bottom w:val="none" w:sz="0" w:space="0" w:color="auto"/>
        <w:right w:val="none" w:sz="0" w:space="0" w:color="auto"/>
      </w:divBdr>
      <w:divsChild>
        <w:div w:id="664094824">
          <w:marLeft w:val="0"/>
          <w:marRight w:val="0"/>
          <w:marTop w:val="0"/>
          <w:marBottom w:val="0"/>
          <w:divBdr>
            <w:top w:val="none" w:sz="0" w:space="0" w:color="auto"/>
            <w:left w:val="none" w:sz="0" w:space="0" w:color="auto"/>
            <w:bottom w:val="none" w:sz="0" w:space="0" w:color="auto"/>
            <w:right w:val="none" w:sz="0" w:space="0" w:color="auto"/>
          </w:divBdr>
        </w:div>
      </w:divsChild>
    </w:div>
    <w:div w:id="782654469">
      <w:bodyDiv w:val="1"/>
      <w:marLeft w:val="0"/>
      <w:marRight w:val="0"/>
      <w:marTop w:val="0"/>
      <w:marBottom w:val="0"/>
      <w:divBdr>
        <w:top w:val="none" w:sz="0" w:space="0" w:color="auto"/>
        <w:left w:val="none" w:sz="0" w:space="0" w:color="auto"/>
        <w:bottom w:val="none" w:sz="0" w:space="0" w:color="auto"/>
        <w:right w:val="none" w:sz="0" w:space="0" w:color="auto"/>
      </w:divBdr>
    </w:div>
    <w:div w:id="835612873">
      <w:bodyDiv w:val="1"/>
      <w:marLeft w:val="0"/>
      <w:marRight w:val="0"/>
      <w:marTop w:val="0"/>
      <w:marBottom w:val="0"/>
      <w:divBdr>
        <w:top w:val="none" w:sz="0" w:space="0" w:color="auto"/>
        <w:left w:val="none" w:sz="0" w:space="0" w:color="auto"/>
        <w:bottom w:val="none" w:sz="0" w:space="0" w:color="auto"/>
        <w:right w:val="none" w:sz="0" w:space="0" w:color="auto"/>
      </w:divBdr>
    </w:div>
    <w:div w:id="838082471">
      <w:bodyDiv w:val="1"/>
      <w:marLeft w:val="0"/>
      <w:marRight w:val="0"/>
      <w:marTop w:val="0"/>
      <w:marBottom w:val="0"/>
      <w:divBdr>
        <w:top w:val="none" w:sz="0" w:space="0" w:color="auto"/>
        <w:left w:val="none" w:sz="0" w:space="0" w:color="auto"/>
        <w:bottom w:val="none" w:sz="0" w:space="0" w:color="auto"/>
        <w:right w:val="none" w:sz="0" w:space="0" w:color="auto"/>
      </w:divBdr>
      <w:divsChild>
        <w:div w:id="1378433132">
          <w:marLeft w:val="0"/>
          <w:marRight w:val="0"/>
          <w:marTop w:val="0"/>
          <w:marBottom w:val="0"/>
          <w:divBdr>
            <w:top w:val="none" w:sz="0" w:space="0" w:color="auto"/>
            <w:left w:val="none" w:sz="0" w:space="0" w:color="auto"/>
            <w:bottom w:val="none" w:sz="0" w:space="0" w:color="auto"/>
            <w:right w:val="none" w:sz="0" w:space="0" w:color="auto"/>
          </w:divBdr>
        </w:div>
      </w:divsChild>
    </w:div>
    <w:div w:id="885721367">
      <w:bodyDiv w:val="1"/>
      <w:marLeft w:val="0"/>
      <w:marRight w:val="0"/>
      <w:marTop w:val="0"/>
      <w:marBottom w:val="0"/>
      <w:divBdr>
        <w:top w:val="none" w:sz="0" w:space="0" w:color="auto"/>
        <w:left w:val="none" w:sz="0" w:space="0" w:color="auto"/>
        <w:bottom w:val="none" w:sz="0" w:space="0" w:color="auto"/>
        <w:right w:val="none" w:sz="0" w:space="0" w:color="auto"/>
      </w:divBdr>
    </w:div>
    <w:div w:id="959843190">
      <w:bodyDiv w:val="1"/>
      <w:marLeft w:val="0"/>
      <w:marRight w:val="0"/>
      <w:marTop w:val="0"/>
      <w:marBottom w:val="0"/>
      <w:divBdr>
        <w:top w:val="none" w:sz="0" w:space="0" w:color="auto"/>
        <w:left w:val="none" w:sz="0" w:space="0" w:color="auto"/>
        <w:bottom w:val="none" w:sz="0" w:space="0" w:color="auto"/>
        <w:right w:val="none" w:sz="0" w:space="0" w:color="auto"/>
      </w:divBdr>
      <w:divsChild>
        <w:div w:id="121464357">
          <w:marLeft w:val="0"/>
          <w:marRight w:val="0"/>
          <w:marTop w:val="0"/>
          <w:marBottom w:val="0"/>
          <w:divBdr>
            <w:top w:val="none" w:sz="0" w:space="0" w:color="auto"/>
            <w:left w:val="none" w:sz="0" w:space="0" w:color="auto"/>
            <w:bottom w:val="none" w:sz="0" w:space="0" w:color="auto"/>
            <w:right w:val="none" w:sz="0" w:space="0" w:color="auto"/>
          </w:divBdr>
        </w:div>
      </w:divsChild>
    </w:div>
    <w:div w:id="1016419681">
      <w:bodyDiv w:val="1"/>
      <w:marLeft w:val="0"/>
      <w:marRight w:val="0"/>
      <w:marTop w:val="0"/>
      <w:marBottom w:val="0"/>
      <w:divBdr>
        <w:top w:val="none" w:sz="0" w:space="0" w:color="auto"/>
        <w:left w:val="none" w:sz="0" w:space="0" w:color="auto"/>
        <w:bottom w:val="none" w:sz="0" w:space="0" w:color="auto"/>
        <w:right w:val="none" w:sz="0" w:space="0" w:color="auto"/>
      </w:divBdr>
    </w:div>
    <w:div w:id="1058287259">
      <w:bodyDiv w:val="1"/>
      <w:marLeft w:val="0"/>
      <w:marRight w:val="0"/>
      <w:marTop w:val="0"/>
      <w:marBottom w:val="0"/>
      <w:divBdr>
        <w:top w:val="none" w:sz="0" w:space="0" w:color="auto"/>
        <w:left w:val="none" w:sz="0" w:space="0" w:color="auto"/>
        <w:bottom w:val="none" w:sz="0" w:space="0" w:color="auto"/>
        <w:right w:val="none" w:sz="0" w:space="0" w:color="auto"/>
      </w:divBdr>
    </w:div>
    <w:div w:id="1203131890">
      <w:bodyDiv w:val="1"/>
      <w:marLeft w:val="0"/>
      <w:marRight w:val="0"/>
      <w:marTop w:val="0"/>
      <w:marBottom w:val="0"/>
      <w:divBdr>
        <w:top w:val="none" w:sz="0" w:space="0" w:color="auto"/>
        <w:left w:val="none" w:sz="0" w:space="0" w:color="auto"/>
        <w:bottom w:val="none" w:sz="0" w:space="0" w:color="auto"/>
        <w:right w:val="none" w:sz="0" w:space="0" w:color="auto"/>
      </w:divBdr>
    </w:div>
    <w:div w:id="1259753228">
      <w:bodyDiv w:val="1"/>
      <w:marLeft w:val="0"/>
      <w:marRight w:val="0"/>
      <w:marTop w:val="0"/>
      <w:marBottom w:val="0"/>
      <w:divBdr>
        <w:top w:val="none" w:sz="0" w:space="0" w:color="auto"/>
        <w:left w:val="none" w:sz="0" w:space="0" w:color="auto"/>
        <w:bottom w:val="none" w:sz="0" w:space="0" w:color="auto"/>
        <w:right w:val="none" w:sz="0" w:space="0" w:color="auto"/>
      </w:divBdr>
    </w:div>
    <w:div w:id="1298992584">
      <w:bodyDiv w:val="1"/>
      <w:marLeft w:val="0"/>
      <w:marRight w:val="0"/>
      <w:marTop w:val="0"/>
      <w:marBottom w:val="0"/>
      <w:divBdr>
        <w:top w:val="none" w:sz="0" w:space="0" w:color="auto"/>
        <w:left w:val="none" w:sz="0" w:space="0" w:color="auto"/>
        <w:bottom w:val="none" w:sz="0" w:space="0" w:color="auto"/>
        <w:right w:val="none" w:sz="0" w:space="0" w:color="auto"/>
      </w:divBdr>
    </w:div>
    <w:div w:id="1384870627">
      <w:bodyDiv w:val="1"/>
      <w:marLeft w:val="0"/>
      <w:marRight w:val="0"/>
      <w:marTop w:val="0"/>
      <w:marBottom w:val="0"/>
      <w:divBdr>
        <w:top w:val="none" w:sz="0" w:space="0" w:color="auto"/>
        <w:left w:val="none" w:sz="0" w:space="0" w:color="auto"/>
        <w:bottom w:val="none" w:sz="0" w:space="0" w:color="auto"/>
        <w:right w:val="none" w:sz="0" w:space="0" w:color="auto"/>
      </w:divBdr>
    </w:div>
    <w:div w:id="1385985303">
      <w:bodyDiv w:val="1"/>
      <w:marLeft w:val="0"/>
      <w:marRight w:val="0"/>
      <w:marTop w:val="0"/>
      <w:marBottom w:val="0"/>
      <w:divBdr>
        <w:top w:val="none" w:sz="0" w:space="0" w:color="auto"/>
        <w:left w:val="none" w:sz="0" w:space="0" w:color="auto"/>
        <w:bottom w:val="none" w:sz="0" w:space="0" w:color="auto"/>
        <w:right w:val="none" w:sz="0" w:space="0" w:color="auto"/>
      </w:divBdr>
    </w:div>
    <w:div w:id="1431704010">
      <w:bodyDiv w:val="1"/>
      <w:marLeft w:val="0"/>
      <w:marRight w:val="0"/>
      <w:marTop w:val="0"/>
      <w:marBottom w:val="0"/>
      <w:divBdr>
        <w:top w:val="none" w:sz="0" w:space="0" w:color="auto"/>
        <w:left w:val="none" w:sz="0" w:space="0" w:color="auto"/>
        <w:bottom w:val="none" w:sz="0" w:space="0" w:color="auto"/>
        <w:right w:val="none" w:sz="0" w:space="0" w:color="auto"/>
      </w:divBdr>
    </w:div>
    <w:div w:id="1440904197">
      <w:bodyDiv w:val="1"/>
      <w:marLeft w:val="0"/>
      <w:marRight w:val="0"/>
      <w:marTop w:val="0"/>
      <w:marBottom w:val="0"/>
      <w:divBdr>
        <w:top w:val="none" w:sz="0" w:space="0" w:color="auto"/>
        <w:left w:val="none" w:sz="0" w:space="0" w:color="auto"/>
        <w:bottom w:val="none" w:sz="0" w:space="0" w:color="auto"/>
        <w:right w:val="none" w:sz="0" w:space="0" w:color="auto"/>
      </w:divBdr>
    </w:div>
    <w:div w:id="1514538474">
      <w:bodyDiv w:val="1"/>
      <w:marLeft w:val="0"/>
      <w:marRight w:val="0"/>
      <w:marTop w:val="0"/>
      <w:marBottom w:val="0"/>
      <w:divBdr>
        <w:top w:val="none" w:sz="0" w:space="0" w:color="auto"/>
        <w:left w:val="none" w:sz="0" w:space="0" w:color="auto"/>
        <w:bottom w:val="none" w:sz="0" w:space="0" w:color="auto"/>
        <w:right w:val="none" w:sz="0" w:space="0" w:color="auto"/>
      </w:divBdr>
    </w:div>
    <w:div w:id="1573470530">
      <w:bodyDiv w:val="1"/>
      <w:marLeft w:val="0"/>
      <w:marRight w:val="0"/>
      <w:marTop w:val="0"/>
      <w:marBottom w:val="0"/>
      <w:divBdr>
        <w:top w:val="none" w:sz="0" w:space="0" w:color="auto"/>
        <w:left w:val="none" w:sz="0" w:space="0" w:color="auto"/>
        <w:bottom w:val="none" w:sz="0" w:space="0" w:color="auto"/>
        <w:right w:val="none" w:sz="0" w:space="0" w:color="auto"/>
      </w:divBdr>
      <w:divsChild>
        <w:div w:id="1642073703">
          <w:marLeft w:val="0"/>
          <w:marRight w:val="0"/>
          <w:marTop w:val="0"/>
          <w:marBottom w:val="0"/>
          <w:divBdr>
            <w:top w:val="none" w:sz="0" w:space="0" w:color="auto"/>
            <w:left w:val="none" w:sz="0" w:space="0" w:color="auto"/>
            <w:bottom w:val="none" w:sz="0" w:space="0" w:color="auto"/>
            <w:right w:val="none" w:sz="0" w:space="0" w:color="auto"/>
          </w:divBdr>
        </w:div>
      </w:divsChild>
    </w:div>
    <w:div w:id="1670451320">
      <w:bodyDiv w:val="1"/>
      <w:marLeft w:val="0"/>
      <w:marRight w:val="0"/>
      <w:marTop w:val="0"/>
      <w:marBottom w:val="0"/>
      <w:divBdr>
        <w:top w:val="none" w:sz="0" w:space="0" w:color="auto"/>
        <w:left w:val="none" w:sz="0" w:space="0" w:color="auto"/>
        <w:bottom w:val="none" w:sz="0" w:space="0" w:color="auto"/>
        <w:right w:val="none" w:sz="0" w:space="0" w:color="auto"/>
      </w:divBdr>
    </w:div>
    <w:div w:id="1770616582">
      <w:bodyDiv w:val="1"/>
      <w:marLeft w:val="0"/>
      <w:marRight w:val="0"/>
      <w:marTop w:val="0"/>
      <w:marBottom w:val="0"/>
      <w:divBdr>
        <w:top w:val="none" w:sz="0" w:space="0" w:color="auto"/>
        <w:left w:val="none" w:sz="0" w:space="0" w:color="auto"/>
        <w:bottom w:val="none" w:sz="0" w:space="0" w:color="auto"/>
        <w:right w:val="none" w:sz="0" w:space="0" w:color="auto"/>
      </w:divBdr>
    </w:div>
    <w:div w:id="1928464537">
      <w:bodyDiv w:val="1"/>
      <w:marLeft w:val="0"/>
      <w:marRight w:val="0"/>
      <w:marTop w:val="0"/>
      <w:marBottom w:val="0"/>
      <w:divBdr>
        <w:top w:val="none" w:sz="0" w:space="0" w:color="auto"/>
        <w:left w:val="none" w:sz="0" w:space="0" w:color="auto"/>
        <w:bottom w:val="none" w:sz="0" w:space="0" w:color="auto"/>
        <w:right w:val="none" w:sz="0" w:space="0" w:color="auto"/>
      </w:divBdr>
    </w:div>
    <w:div w:id="21061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hyperlink" Target="https://doi.org/10.1007/s11292-020-09454-7"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oleObject1.bin"/><Relationship Id="rId25" Type="http://schemas.openxmlformats.org/officeDocument/2006/relationships/hyperlink" Target="https://fivethirtyeight.com/features/many-americans-are-convinced-crime-is-rising-in-the-u-s-theyre-wrong/" TargetMode="Externa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www.pewresearch.org/fact-tank/2020/11/20/facts-about-crime-in-the-u-s/"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https://fivethirtyeight.com/features/many-americans-are-convinced-crime-is-rising-in-the-u-s-theyre-wrong/" TargetMode="Externa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yperlink" Target="https://www.bjs.gov/index.cfm?ty=nva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D2CB-7FDF-477A-8955-BDEE35AD0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12262</Words>
  <Characters>69894</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Enns</dc:creator>
  <cp:keywords/>
  <dc:description/>
  <cp:lastModifiedBy>Will Jennings</cp:lastModifiedBy>
  <cp:revision>3</cp:revision>
  <dcterms:created xsi:type="dcterms:W3CDTF">2022-01-27T00:27:00Z</dcterms:created>
  <dcterms:modified xsi:type="dcterms:W3CDTF">2022-01-27T00:28:00Z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http://www.zotero.org/styles/electoral-studies</vt:lpwstr>
  </property>
  <property fmtid="{D5CDD505-2E9C-101B-9397-08002B2CF9AE}" pid="11" name="Mendeley Recent Style Name 4_1">
    <vt:lpwstr>Electoral Studies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http://www.zotero.org/styles/sage-harvard</vt:lpwstr>
  </property>
  <property fmtid="{D5CDD505-2E9C-101B-9397-08002B2CF9AE}" pid="21" name="Mendeley Recent Style Name 9_1">
    <vt:lpwstr>SAGE - Harvard</vt:lpwstr>
  </property>
</Properties>
</file>