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E3FEEB" w14:textId="77777777" w:rsidR="001F3A44" w:rsidRDefault="001F3A44" w:rsidP="00915ACD">
      <w:pPr>
        <w:jc w:val="both"/>
        <w:rPr>
          <w:rFonts w:ascii="Times New Roman" w:hAnsi="Times New Roman" w:cs="Times New Roman"/>
          <w:b/>
          <w:bCs/>
          <w:lang w:val="en-GB"/>
        </w:rPr>
      </w:pPr>
    </w:p>
    <w:p w14:paraId="5EB0DCE3" w14:textId="4C05D829" w:rsidR="00915ACD" w:rsidRPr="007D4E5D" w:rsidRDefault="00C868B4" w:rsidP="00915ACD">
      <w:pPr>
        <w:jc w:val="both"/>
        <w:rPr>
          <w:rFonts w:ascii="Times New Roman" w:hAnsi="Times New Roman" w:cs="Times New Roman"/>
          <w:b/>
          <w:bCs/>
          <w:lang w:val="en-GB"/>
        </w:rPr>
      </w:pPr>
      <w:r>
        <w:rPr>
          <w:rFonts w:ascii="Times New Roman" w:hAnsi="Times New Roman" w:cs="Times New Roman"/>
          <w:b/>
          <w:bCs/>
          <w:lang w:val="en-GB"/>
        </w:rPr>
        <w:t xml:space="preserve"> </w:t>
      </w:r>
      <w:r w:rsidR="00915ACD" w:rsidRPr="00E251B0">
        <w:rPr>
          <w:rFonts w:ascii="Times New Roman" w:hAnsi="Times New Roman" w:cs="Times New Roman"/>
          <w:b/>
          <w:bCs/>
          <w:sz w:val="32"/>
          <w:szCs w:val="32"/>
          <w:lang w:val="en-GB"/>
        </w:rPr>
        <w:t xml:space="preserve">Patient </w:t>
      </w:r>
      <w:r w:rsidR="001F3A44">
        <w:rPr>
          <w:rFonts w:ascii="Times New Roman" w:hAnsi="Times New Roman" w:cs="Times New Roman"/>
          <w:b/>
          <w:bCs/>
          <w:sz w:val="32"/>
          <w:szCs w:val="32"/>
          <w:lang w:val="en-GB"/>
        </w:rPr>
        <w:t>P</w:t>
      </w:r>
      <w:r w:rsidR="00915ACD" w:rsidRPr="004B552A">
        <w:rPr>
          <w:rFonts w:ascii="Times New Roman" w:hAnsi="Times New Roman" w:cs="Times New Roman"/>
          <w:b/>
          <w:bCs/>
          <w:sz w:val="32"/>
          <w:szCs w:val="32"/>
          <w:lang w:val="en-GB"/>
        </w:rPr>
        <w:t xml:space="preserve">references for </w:t>
      </w:r>
      <w:r w:rsidR="001F3A44">
        <w:rPr>
          <w:rFonts w:ascii="Times New Roman" w:hAnsi="Times New Roman" w:cs="Times New Roman"/>
          <w:b/>
          <w:bCs/>
          <w:sz w:val="32"/>
          <w:szCs w:val="32"/>
          <w:lang w:val="en-GB"/>
        </w:rPr>
        <w:t>L</w:t>
      </w:r>
      <w:r w:rsidR="00915ACD" w:rsidRPr="004B552A">
        <w:rPr>
          <w:rFonts w:ascii="Times New Roman" w:hAnsi="Times New Roman" w:cs="Times New Roman"/>
          <w:b/>
          <w:bCs/>
          <w:sz w:val="32"/>
          <w:szCs w:val="32"/>
          <w:lang w:val="en-GB"/>
        </w:rPr>
        <w:t xml:space="preserve">ifestyle </w:t>
      </w:r>
      <w:r w:rsidR="001F3A44">
        <w:rPr>
          <w:rFonts w:ascii="Times New Roman" w:hAnsi="Times New Roman" w:cs="Times New Roman"/>
          <w:b/>
          <w:bCs/>
          <w:sz w:val="32"/>
          <w:szCs w:val="32"/>
          <w:lang w:val="en-GB"/>
        </w:rPr>
        <w:t>B</w:t>
      </w:r>
      <w:r w:rsidR="00C63E0D" w:rsidRPr="004B552A">
        <w:rPr>
          <w:rFonts w:ascii="Times New Roman" w:hAnsi="Times New Roman" w:cs="Times New Roman"/>
          <w:b/>
          <w:bCs/>
          <w:sz w:val="32"/>
          <w:szCs w:val="32"/>
          <w:lang w:val="en-GB"/>
        </w:rPr>
        <w:t xml:space="preserve">ehaviours </w:t>
      </w:r>
      <w:r w:rsidR="00915ACD" w:rsidRPr="004B552A">
        <w:rPr>
          <w:rFonts w:ascii="Times New Roman" w:hAnsi="Times New Roman" w:cs="Times New Roman"/>
          <w:b/>
          <w:bCs/>
          <w:sz w:val="32"/>
          <w:szCs w:val="32"/>
          <w:lang w:val="en-GB"/>
        </w:rPr>
        <w:t xml:space="preserve">in </w:t>
      </w:r>
      <w:r w:rsidR="001F3A44">
        <w:rPr>
          <w:rFonts w:ascii="Times New Roman" w:hAnsi="Times New Roman" w:cs="Times New Roman"/>
          <w:b/>
          <w:bCs/>
          <w:sz w:val="32"/>
          <w:szCs w:val="32"/>
          <w:lang w:val="en-GB"/>
        </w:rPr>
        <w:t>O</w:t>
      </w:r>
      <w:r w:rsidR="00915ACD" w:rsidRPr="004B552A">
        <w:rPr>
          <w:rFonts w:ascii="Times New Roman" w:hAnsi="Times New Roman" w:cs="Times New Roman"/>
          <w:b/>
          <w:bCs/>
          <w:sz w:val="32"/>
          <w:szCs w:val="32"/>
          <w:lang w:val="en-GB"/>
        </w:rPr>
        <w:t xml:space="preserve">steoporotic </w:t>
      </w:r>
      <w:r>
        <w:rPr>
          <w:rFonts w:ascii="Times New Roman" w:hAnsi="Times New Roman" w:cs="Times New Roman"/>
          <w:b/>
          <w:bCs/>
          <w:sz w:val="32"/>
          <w:szCs w:val="32"/>
          <w:lang w:val="en-GB"/>
        </w:rPr>
        <w:t xml:space="preserve">   </w:t>
      </w:r>
      <w:r w:rsidR="001F3A44">
        <w:rPr>
          <w:rFonts w:ascii="Times New Roman" w:hAnsi="Times New Roman" w:cs="Times New Roman"/>
          <w:b/>
          <w:bCs/>
          <w:sz w:val="32"/>
          <w:szCs w:val="32"/>
          <w:lang w:val="en-GB"/>
        </w:rPr>
        <w:t>F</w:t>
      </w:r>
      <w:r w:rsidR="00915ACD" w:rsidRPr="004B552A">
        <w:rPr>
          <w:rFonts w:ascii="Times New Roman" w:hAnsi="Times New Roman" w:cs="Times New Roman"/>
          <w:b/>
          <w:bCs/>
          <w:sz w:val="32"/>
          <w:szCs w:val="32"/>
          <w:lang w:val="en-GB"/>
        </w:rPr>
        <w:t xml:space="preserve">racture </w:t>
      </w:r>
      <w:r w:rsidR="001F3A44">
        <w:rPr>
          <w:rFonts w:ascii="Times New Roman" w:hAnsi="Times New Roman" w:cs="Times New Roman"/>
          <w:b/>
          <w:bCs/>
          <w:sz w:val="32"/>
          <w:szCs w:val="32"/>
          <w:lang w:val="en-GB"/>
        </w:rPr>
        <w:t>P</w:t>
      </w:r>
      <w:r w:rsidR="00915ACD" w:rsidRPr="004B552A">
        <w:rPr>
          <w:rFonts w:ascii="Times New Roman" w:hAnsi="Times New Roman" w:cs="Times New Roman"/>
          <w:b/>
          <w:bCs/>
          <w:sz w:val="32"/>
          <w:szCs w:val="32"/>
          <w:lang w:val="en-GB"/>
        </w:rPr>
        <w:t xml:space="preserve">revention: </w:t>
      </w:r>
      <w:r w:rsidR="001F3A44">
        <w:rPr>
          <w:rFonts w:ascii="Times New Roman" w:hAnsi="Times New Roman" w:cs="Times New Roman"/>
          <w:b/>
          <w:bCs/>
          <w:sz w:val="32"/>
          <w:szCs w:val="32"/>
          <w:lang w:val="en-GB"/>
        </w:rPr>
        <w:t>A</w:t>
      </w:r>
      <w:r w:rsidR="00915ACD" w:rsidRPr="004B552A">
        <w:rPr>
          <w:rFonts w:ascii="Times New Roman" w:hAnsi="Times New Roman" w:cs="Times New Roman"/>
          <w:b/>
          <w:bCs/>
          <w:sz w:val="32"/>
          <w:szCs w:val="32"/>
          <w:lang w:val="en-GB"/>
        </w:rPr>
        <w:t xml:space="preserve"> cross-European discrete</w:t>
      </w:r>
      <w:r w:rsidR="00150AFE">
        <w:rPr>
          <w:rFonts w:ascii="Times New Roman" w:hAnsi="Times New Roman" w:cs="Times New Roman"/>
          <w:b/>
          <w:bCs/>
          <w:sz w:val="32"/>
          <w:szCs w:val="32"/>
          <w:lang w:val="en-GB"/>
        </w:rPr>
        <w:t xml:space="preserve"> </w:t>
      </w:r>
      <w:r w:rsidR="00915ACD" w:rsidRPr="004B552A">
        <w:rPr>
          <w:rFonts w:ascii="Times New Roman" w:hAnsi="Times New Roman" w:cs="Times New Roman"/>
          <w:b/>
          <w:bCs/>
          <w:sz w:val="32"/>
          <w:szCs w:val="32"/>
          <w:lang w:val="en-GB"/>
        </w:rPr>
        <w:t>choice</w:t>
      </w:r>
      <w:r w:rsidR="00915ACD" w:rsidRPr="00E251B0">
        <w:rPr>
          <w:rFonts w:ascii="Times New Roman" w:hAnsi="Times New Roman" w:cs="Times New Roman"/>
          <w:b/>
          <w:bCs/>
          <w:sz w:val="32"/>
          <w:szCs w:val="32"/>
          <w:lang w:val="en-GB"/>
        </w:rPr>
        <w:t xml:space="preserve"> experiment </w:t>
      </w:r>
    </w:p>
    <w:p w14:paraId="7147D3CB" w14:textId="77777777" w:rsidR="001F3A44" w:rsidRDefault="001F3A44" w:rsidP="00915ACD">
      <w:pPr>
        <w:jc w:val="both"/>
        <w:rPr>
          <w:rFonts w:ascii="Times New Roman" w:hAnsi="Times New Roman" w:cs="Times New Roman"/>
          <w:b/>
          <w:bCs/>
          <w:lang w:val="en-GB"/>
        </w:rPr>
      </w:pPr>
    </w:p>
    <w:p w14:paraId="4216E341" w14:textId="48161899" w:rsidR="00915ACD" w:rsidRPr="00E251B0" w:rsidRDefault="00915ACD" w:rsidP="00915ACD">
      <w:pPr>
        <w:jc w:val="both"/>
        <w:rPr>
          <w:rFonts w:ascii="Times New Roman" w:hAnsi="Times New Roman" w:cs="Times New Roman"/>
          <w:vertAlign w:val="superscript"/>
          <w:lang w:val="en-GB"/>
        </w:rPr>
      </w:pPr>
      <w:r w:rsidRPr="007D4E5D">
        <w:rPr>
          <w:rFonts w:ascii="Times New Roman" w:hAnsi="Times New Roman" w:cs="Times New Roman"/>
          <w:b/>
          <w:bCs/>
          <w:lang w:val="en-GB"/>
        </w:rPr>
        <w:t>Authors:</w:t>
      </w:r>
      <w:r w:rsidRPr="007D4E5D">
        <w:rPr>
          <w:rFonts w:ascii="Times New Roman" w:hAnsi="Times New Roman" w:cs="Times New Roman"/>
          <w:lang w:val="en-GB"/>
        </w:rPr>
        <w:t xml:space="preserve"> Charlotte Beaudart</w:t>
      </w:r>
      <w:r w:rsidR="001F3A44">
        <w:rPr>
          <w:rFonts w:ascii="Times New Roman" w:hAnsi="Times New Roman" w:cs="Times New Roman"/>
          <w:vertAlign w:val="superscript"/>
          <w:lang w:val="en-GB"/>
        </w:rPr>
        <w:t>1</w:t>
      </w:r>
      <w:r w:rsidRPr="007D4E5D">
        <w:rPr>
          <w:rFonts w:ascii="Times New Roman" w:hAnsi="Times New Roman" w:cs="Times New Roman"/>
          <w:lang w:val="en-GB"/>
        </w:rPr>
        <w:t>, Annelies Boonen</w:t>
      </w:r>
      <w:r w:rsidR="001F3A44">
        <w:rPr>
          <w:rFonts w:ascii="Times New Roman" w:hAnsi="Times New Roman" w:cs="Times New Roman"/>
          <w:vertAlign w:val="superscript"/>
          <w:lang w:val="en-GB"/>
        </w:rPr>
        <w:t>2</w:t>
      </w:r>
      <w:r w:rsidRPr="007D4E5D">
        <w:rPr>
          <w:rFonts w:ascii="Times New Roman" w:hAnsi="Times New Roman" w:cs="Times New Roman"/>
          <w:lang w:val="en-GB"/>
        </w:rPr>
        <w:t>, Nannan Li</w:t>
      </w:r>
      <w:r w:rsidR="001F3A44">
        <w:rPr>
          <w:rFonts w:ascii="Times New Roman" w:hAnsi="Times New Roman" w:cs="Times New Roman"/>
          <w:vertAlign w:val="superscript"/>
          <w:lang w:val="en-GB"/>
        </w:rPr>
        <w:t>1</w:t>
      </w:r>
      <w:r w:rsidRPr="007D4E5D">
        <w:rPr>
          <w:rFonts w:ascii="Times New Roman" w:hAnsi="Times New Roman" w:cs="Times New Roman"/>
          <w:lang w:val="en-GB"/>
        </w:rPr>
        <w:t>, Sandrine Bours</w:t>
      </w:r>
      <w:r w:rsidR="001F3A44">
        <w:rPr>
          <w:rFonts w:ascii="Times New Roman" w:hAnsi="Times New Roman" w:cs="Times New Roman"/>
          <w:vertAlign w:val="superscript"/>
          <w:lang w:val="en-GB"/>
        </w:rPr>
        <w:t>1</w:t>
      </w:r>
      <w:r w:rsidRPr="007D4E5D">
        <w:rPr>
          <w:rFonts w:ascii="Times New Roman" w:hAnsi="Times New Roman" w:cs="Times New Roman"/>
          <w:lang w:val="en-GB"/>
        </w:rPr>
        <w:t>, Stefan Goemaere</w:t>
      </w:r>
      <w:r w:rsidR="00485D2F">
        <w:rPr>
          <w:rFonts w:ascii="Times New Roman" w:hAnsi="Times New Roman" w:cs="Times New Roman"/>
          <w:vertAlign w:val="superscript"/>
          <w:lang w:val="en-GB"/>
        </w:rPr>
        <w:t>3</w:t>
      </w:r>
      <w:r w:rsidRPr="007D4E5D">
        <w:rPr>
          <w:rFonts w:ascii="Times New Roman" w:hAnsi="Times New Roman" w:cs="Times New Roman"/>
          <w:lang w:val="en-GB"/>
        </w:rPr>
        <w:t>, Jean-Yves Reginster</w:t>
      </w:r>
      <w:r w:rsidR="00485D2F">
        <w:rPr>
          <w:rFonts w:ascii="Times New Roman" w:hAnsi="Times New Roman" w:cs="Times New Roman"/>
          <w:vertAlign w:val="superscript"/>
          <w:lang w:val="en-GB"/>
        </w:rPr>
        <w:t>4</w:t>
      </w:r>
      <w:r w:rsidRPr="007D4E5D">
        <w:rPr>
          <w:rFonts w:ascii="Times New Roman" w:hAnsi="Times New Roman" w:cs="Times New Roman"/>
          <w:lang w:val="en-GB"/>
        </w:rPr>
        <w:t>, Christian Roux</w:t>
      </w:r>
      <w:r w:rsidR="00485D2F">
        <w:rPr>
          <w:rFonts w:ascii="Times New Roman" w:hAnsi="Times New Roman" w:cs="Times New Roman"/>
          <w:vertAlign w:val="superscript"/>
          <w:lang w:val="en-GB"/>
        </w:rPr>
        <w:t>5</w:t>
      </w:r>
      <w:r w:rsidR="00485D2F">
        <w:rPr>
          <w:rFonts w:ascii="Times New Roman" w:hAnsi="Times New Roman" w:cs="Times New Roman"/>
          <w:lang w:val="en-GB"/>
        </w:rPr>
        <w:t xml:space="preserve">, </w:t>
      </w:r>
      <w:r w:rsidRPr="007D4E5D">
        <w:rPr>
          <w:rFonts w:ascii="Times New Roman" w:hAnsi="Times New Roman" w:cs="Times New Roman"/>
          <w:lang w:val="en-GB"/>
        </w:rPr>
        <w:t>Bernie McGowan</w:t>
      </w:r>
      <w:r w:rsidR="00485D2F">
        <w:rPr>
          <w:rFonts w:ascii="Times New Roman" w:hAnsi="Times New Roman" w:cs="Times New Roman"/>
          <w:vertAlign w:val="superscript"/>
          <w:lang w:val="en-GB"/>
        </w:rPr>
        <w:t>6</w:t>
      </w:r>
      <w:r w:rsidRPr="007D4E5D">
        <w:rPr>
          <w:rFonts w:ascii="Times New Roman" w:hAnsi="Times New Roman" w:cs="Times New Roman"/>
          <w:lang w:val="en-GB"/>
        </w:rPr>
        <w:t>, Adolfo Diez-Perez</w:t>
      </w:r>
      <w:r w:rsidR="00485D2F">
        <w:rPr>
          <w:rFonts w:ascii="Times New Roman" w:hAnsi="Times New Roman" w:cs="Times New Roman"/>
          <w:vertAlign w:val="superscript"/>
          <w:lang w:val="en-GB"/>
        </w:rPr>
        <w:t>7</w:t>
      </w:r>
      <w:r w:rsidRPr="007D4E5D">
        <w:rPr>
          <w:rFonts w:ascii="Times New Roman" w:hAnsi="Times New Roman" w:cs="Times New Roman"/>
          <w:lang w:val="en-GB"/>
        </w:rPr>
        <w:t>, René Rizzoli</w:t>
      </w:r>
      <w:r w:rsidR="00485D2F">
        <w:rPr>
          <w:rFonts w:ascii="Times New Roman" w:hAnsi="Times New Roman" w:cs="Times New Roman"/>
          <w:vertAlign w:val="superscript"/>
          <w:lang w:val="en-GB"/>
        </w:rPr>
        <w:t>8</w:t>
      </w:r>
      <w:r w:rsidRPr="007D4E5D">
        <w:rPr>
          <w:rFonts w:ascii="Times New Roman" w:hAnsi="Times New Roman" w:cs="Times New Roman"/>
          <w:lang w:val="en-GB"/>
        </w:rPr>
        <w:t>, Cyrus Cooper</w:t>
      </w:r>
      <w:r w:rsidR="00485D2F">
        <w:rPr>
          <w:rFonts w:ascii="Times New Roman" w:hAnsi="Times New Roman" w:cs="Times New Roman"/>
          <w:vertAlign w:val="superscript"/>
          <w:lang w:val="en-GB"/>
        </w:rPr>
        <w:t>9</w:t>
      </w:r>
      <w:r w:rsidRPr="007D4E5D">
        <w:rPr>
          <w:rFonts w:ascii="Times New Roman" w:hAnsi="Times New Roman" w:cs="Times New Roman"/>
          <w:lang w:val="en-GB"/>
        </w:rPr>
        <w:t>, Mickael Hiligsmann</w:t>
      </w:r>
      <w:r w:rsidR="00485D2F">
        <w:rPr>
          <w:rFonts w:ascii="Times New Roman" w:hAnsi="Times New Roman" w:cs="Times New Roman"/>
          <w:vertAlign w:val="superscript"/>
          <w:lang w:val="en-GB"/>
        </w:rPr>
        <w:t>1</w:t>
      </w:r>
    </w:p>
    <w:p w14:paraId="090A18D6" w14:textId="77777777" w:rsidR="001F3A44" w:rsidRDefault="001F3A44" w:rsidP="00915ACD">
      <w:pPr>
        <w:jc w:val="both"/>
        <w:rPr>
          <w:rFonts w:ascii="Times New Roman" w:hAnsi="Times New Roman" w:cs="Times New Roman"/>
          <w:b/>
          <w:bCs/>
          <w:lang w:val="en-GB"/>
        </w:rPr>
      </w:pPr>
    </w:p>
    <w:p w14:paraId="031918F2" w14:textId="12BA7250" w:rsidR="00915ACD" w:rsidRPr="007D4E5D" w:rsidRDefault="00915ACD" w:rsidP="00915ACD">
      <w:pPr>
        <w:jc w:val="both"/>
        <w:rPr>
          <w:rFonts w:ascii="Times New Roman" w:hAnsi="Times New Roman" w:cs="Times New Roman"/>
          <w:b/>
          <w:bCs/>
          <w:lang w:val="en-GB"/>
        </w:rPr>
      </w:pPr>
      <w:r w:rsidRPr="007D4E5D">
        <w:rPr>
          <w:rFonts w:ascii="Times New Roman" w:hAnsi="Times New Roman" w:cs="Times New Roman"/>
          <w:b/>
          <w:bCs/>
          <w:lang w:val="en-GB"/>
        </w:rPr>
        <w:t>Affiliations:</w:t>
      </w:r>
    </w:p>
    <w:p w14:paraId="74DEB7B4" w14:textId="05C6F1CF" w:rsidR="00915ACD" w:rsidRPr="007D4E5D" w:rsidRDefault="00485D2F" w:rsidP="00915ACD">
      <w:pPr>
        <w:jc w:val="both"/>
        <w:rPr>
          <w:rFonts w:ascii="Times New Roman" w:hAnsi="Times New Roman" w:cs="Times New Roman"/>
          <w:lang w:val="en-GB"/>
        </w:rPr>
      </w:pPr>
      <w:r>
        <w:rPr>
          <w:rFonts w:ascii="Times New Roman" w:hAnsi="Times New Roman" w:cs="Times New Roman"/>
          <w:vertAlign w:val="superscript"/>
          <w:lang w:val="en-GB"/>
        </w:rPr>
        <w:t xml:space="preserve">1 </w:t>
      </w:r>
      <w:r w:rsidR="00915ACD" w:rsidRPr="007D4E5D">
        <w:rPr>
          <w:rFonts w:ascii="Times New Roman" w:hAnsi="Times New Roman" w:cs="Times New Roman"/>
          <w:lang w:val="en-GB"/>
        </w:rPr>
        <w:t xml:space="preserve">Department of Health Services Research, CAPHRI Care and Public Health Research Institute, Maastricht University, Maastricht, </w:t>
      </w:r>
      <w:r>
        <w:rPr>
          <w:rFonts w:ascii="Times New Roman" w:hAnsi="Times New Roman" w:cs="Times New Roman"/>
          <w:lang w:val="en-GB"/>
        </w:rPr>
        <w:t>T</w:t>
      </w:r>
      <w:r w:rsidR="00915ACD" w:rsidRPr="007D4E5D">
        <w:rPr>
          <w:rFonts w:ascii="Times New Roman" w:hAnsi="Times New Roman" w:cs="Times New Roman"/>
          <w:lang w:val="en-GB"/>
        </w:rPr>
        <w:t>he Netherlands</w:t>
      </w:r>
      <w:r>
        <w:rPr>
          <w:rFonts w:ascii="Times New Roman" w:hAnsi="Times New Roman" w:cs="Times New Roman"/>
          <w:lang w:val="en-GB"/>
        </w:rPr>
        <w:t xml:space="preserve"> </w:t>
      </w:r>
    </w:p>
    <w:p w14:paraId="1F3A72A6" w14:textId="33177F5D" w:rsidR="00915ACD" w:rsidRPr="007D4E5D" w:rsidRDefault="00485D2F" w:rsidP="00915ACD">
      <w:pPr>
        <w:spacing w:line="240" w:lineRule="auto"/>
        <w:jc w:val="both"/>
        <w:rPr>
          <w:rFonts w:ascii="Times New Roman" w:hAnsi="Times New Roman" w:cs="Times New Roman"/>
          <w:lang w:val="en-GB"/>
        </w:rPr>
      </w:pPr>
      <w:r>
        <w:rPr>
          <w:rFonts w:ascii="Times New Roman" w:hAnsi="Times New Roman" w:cs="Times New Roman"/>
          <w:vertAlign w:val="superscript"/>
          <w:lang w:val="en-GB"/>
        </w:rPr>
        <w:t xml:space="preserve">2 </w:t>
      </w:r>
      <w:r w:rsidR="00915ACD" w:rsidRPr="007D4E5D">
        <w:rPr>
          <w:rFonts w:ascii="Times New Roman" w:hAnsi="Times New Roman" w:cs="Times New Roman"/>
          <w:lang w:val="en-GB"/>
        </w:rPr>
        <w:t>Department of Internal Medicine, Division of Rheumatology</w:t>
      </w:r>
      <w:r w:rsidR="004F1ED8">
        <w:rPr>
          <w:rFonts w:ascii="Times New Roman" w:hAnsi="Times New Roman" w:cs="Times New Roman"/>
          <w:lang w:val="en-GB"/>
        </w:rPr>
        <w:t>,</w:t>
      </w:r>
      <w:r w:rsidR="00915ACD" w:rsidRPr="007D4E5D">
        <w:rPr>
          <w:rFonts w:ascii="Times New Roman" w:hAnsi="Times New Roman" w:cs="Times New Roman"/>
          <w:lang w:val="en-GB"/>
        </w:rPr>
        <w:t xml:space="preserve"> and CAPRHI Care and Public Health Research Institute, Maastricht University Medical Center, Maastricht, </w:t>
      </w:r>
      <w:r w:rsidR="004F1ED8">
        <w:rPr>
          <w:rFonts w:ascii="Times New Roman" w:hAnsi="Times New Roman" w:cs="Times New Roman"/>
          <w:lang w:val="en-GB"/>
        </w:rPr>
        <w:t>T</w:t>
      </w:r>
      <w:r w:rsidR="00915ACD" w:rsidRPr="007D4E5D">
        <w:rPr>
          <w:rFonts w:ascii="Times New Roman" w:hAnsi="Times New Roman" w:cs="Times New Roman"/>
          <w:lang w:val="en-GB"/>
        </w:rPr>
        <w:t>he Netherlands</w:t>
      </w:r>
    </w:p>
    <w:p w14:paraId="0542B60A" w14:textId="22D7BFB9" w:rsidR="00733AFF" w:rsidRPr="007D4E5D" w:rsidRDefault="00733AFF" w:rsidP="00915ACD">
      <w:pPr>
        <w:jc w:val="both"/>
        <w:rPr>
          <w:rFonts w:ascii="Times New Roman" w:hAnsi="Times New Roman" w:cs="Times New Roman"/>
          <w:lang w:val="en-GB"/>
        </w:rPr>
      </w:pPr>
      <w:r>
        <w:rPr>
          <w:rFonts w:ascii="Times New Roman" w:hAnsi="Times New Roman" w:cs="Times New Roman"/>
          <w:vertAlign w:val="superscript"/>
          <w:lang w:val="en-GB"/>
        </w:rPr>
        <w:t xml:space="preserve">3 </w:t>
      </w:r>
      <w:r w:rsidR="00915ACD" w:rsidRPr="007D4E5D">
        <w:rPr>
          <w:rFonts w:ascii="Times New Roman" w:hAnsi="Times New Roman" w:cs="Times New Roman"/>
          <w:lang w:val="en-GB"/>
        </w:rPr>
        <w:t>Department of Rheumatology and Endocrinology, Ghent University Hospital, G</w:t>
      </w:r>
      <w:r w:rsidR="004F1ED8">
        <w:rPr>
          <w:rFonts w:ascii="Times New Roman" w:hAnsi="Times New Roman" w:cs="Times New Roman"/>
          <w:lang w:val="en-GB"/>
        </w:rPr>
        <w:t>h</w:t>
      </w:r>
      <w:r w:rsidR="00915ACD" w:rsidRPr="007D4E5D">
        <w:rPr>
          <w:rFonts w:ascii="Times New Roman" w:hAnsi="Times New Roman" w:cs="Times New Roman"/>
          <w:lang w:val="en-GB"/>
        </w:rPr>
        <w:t>ent</w:t>
      </w:r>
    </w:p>
    <w:p w14:paraId="4882075B" w14:textId="2239E537" w:rsidR="00915ACD" w:rsidRPr="007D4E5D" w:rsidRDefault="00733AFF" w:rsidP="00915ACD">
      <w:pPr>
        <w:jc w:val="both"/>
        <w:rPr>
          <w:rFonts w:ascii="Times New Roman" w:hAnsi="Times New Roman" w:cs="Times New Roman"/>
          <w:lang w:val="en-GB"/>
        </w:rPr>
      </w:pPr>
      <w:r>
        <w:rPr>
          <w:rFonts w:ascii="Times New Roman" w:hAnsi="Times New Roman" w:cs="Times New Roman"/>
          <w:vertAlign w:val="superscript"/>
          <w:lang w:val="en-GB"/>
        </w:rPr>
        <w:t xml:space="preserve"> 4 </w:t>
      </w:r>
      <w:r w:rsidR="00915ACD" w:rsidRPr="007D4E5D">
        <w:rPr>
          <w:rFonts w:ascii="Times New Roman" w:hAnsi="Times New Roman" w:cs="Times New Roman"/>
          <w:lang w:val="en-GB"/>
        </w:rPr>
        <w:t>WHO Collaborating Center for Public Health aspects of musculo-skeletal health and ageing, Division of Public Health, Epidemiology and Health Economics, University of Liège, Belgium</w:t>
      </w:r>
    </w:p>
    <w:p w14:paraId="3F6119BB" w14:textId="221B3A10" w:rsidR="00915ACD" w:rsidRPr="007D4E5D" w:rsidRDefault="00F97510" w:rsidP="00915ACD">
      <w:pPr>
        <w:jc w:val="both"/>
        <w:rPr>
          <w:rFonts w:ascii="Times New Roman" w:hAnsi="Times New Roman" w:cs="Times New Roman"/>
          <w:lang w:val="en-GB"/>
        </w:rPr>
      </w:pPr>
      <w:r>
        <w:rPr>
          <w:rFonts w:ascii="Times New Roman" w:hAnsi="Times New Roman" w:cs="Times New Roman"/>
          <w:vertAlign w:val="superscript"/>
          <w:lang w:val="en-GB"/>
        </w:rPr>
        <w:t xml:space="preserve">5 </w:t>
      </w:r>
      <w:r w:rsidR="00915ACD" w:rsidRPr="007D4E5D">
        <w:rPr>
          <w:rFonts w:ascii="Times New Roman" w:hAnsi="Times New Roman" w:cs="Times New Roman"/>
          <w:lang w:val="en-GB"/>
        </w:rPr>
        <w:t>Department of Rheumatology, Paris Descartes University, Paris, France</w:t>
      </w:r>
    </w:p>
    <w:p w14:paraId="0B24F573" w14:textId="098F2B71" w:rsidR="00915ACD" w:rsidRPr="007D4E5D" w:rsidRDefault="00F97510" w:rsidP="00915ACD">
      <w:pPr>
        <w:jc w:val="both"/>
        <w:rPr>
          <w:rFonts w:ascii="Times New Roman" w:hAnsi="Times New Roman" w:cs="Times New Roman"/>
          <w:lang w:val="en-GB"/>
        </w:rPr>
      </w:pPr>
      <w:r>
        <w:rPr>
          <w:rFonts w:ascii="Times New Roman" w:hAnsi="Times New Roman" w:cs="Times New Roman"/>
          <w:vertAlign w:val="superscript"/>
          <w:lang w:val="en-GB"/>
        </w:rPr>
        <w:t xml:space="preserve">6 </w:t>
      </w:r>
      <w:r w:rsidR="00915ACD" w:rsidRPr="007D4E5D">
        <w:rPr>
          <w:rFonts w:ascii="Times New Roman" w:hAnsi="Times New Roman" w:cs="Times New Roman"/>
          <w:lang w:val="en-GB"/>
        </w:rPr>
        <w:t>The North Western Rheumatology Unit, Our Lady's Hospital, Manorhamilton, Co</w:t>
      </w:r>
      <w:r>
        <w:rPr>
          <w:rFonts w:ascii="Times New Roman" w:hAnsi="Times New Roman" w:cs="Times New Roman"/>
          <w:lang w:val="en-GB"/>
        </w:rPr>
        <w:t>.</w:t>
      </w:r>
      <w:r w:rsidR="00915ACD" w:rsidRPr="007D4E5D">
        <w:rPr>
          <w:rFonts w:ascii="Times New Roman" w:hAnsi="Times New Roman" w:cs="Times New Roman"/>
          <w:lang w:val="en-GB"/>
        </w:rPr>
        <w:t xml:space="preserve"> Leitrim, Ireland</w:t>
      </w:r>
    </w:p>
    <w:p w14:paraId="23E90071" w14:textId="5482474C" w:rsidR="00915ACD" w:rsidRPr="007D4E5D" w:rsidRDefault="00F97510" w:rsidP="00915ACD">
      <w:pPr>
        <w:jc w:val="both"/>
        <w:rPr>
          <w:rFonts w:ascii="Times New Roman" w:hAnsi="Times New Roman" w:cs="Times New Roman"/>
          <w:lang w:val="en-GB"/>
        </w:rPr>
      </w:pPr>
      <w:r>
        <w:rPr>
          <w:rFonts w:ascii="Times New Roman" w:hAnsi="Times New Roman" w:cs="Times New Roman"/>
          <w:vertAlign w:val="superscript"/>
          <w:lang w:val="en-GB"/>
        </w:rPr>
        <w:t xml:space="preserve">7 </w:t>
      </w:r>
      <w:r w:rsidR="00915ACD" w:rsidRPr="007D4E5D">
        <w:rPr>
          <w:rFonts w:ascii="Times New Roman" w:hAnsi="Times New Roman" w:cs="Times New Roman"/>
          <w:lang w:val="en-GB"/>
        </w:rPr>
        <w:t xml:space="preserve">Musculoskeletal Research Unit (IMIM) and CIBERFES, Universitat Autònoma de Barcelona, Barcelona, Spain </w:t>
      </w:r>
    </w:p>
    <w:p w14:paraId="4405C06E" w14:textId="24F5FFC2" w:rsidR="0085433C" w:rsidRPr="007D4E5D" w:rsidRDefault="00F97510" w:rsidP="0085433C">
      <w:pPr>
        <w:jc w:val="both"/>
        <w:rPr>
          <w:rFonts w:ascii="Times New Roman" w:hAnsi="Times New Roman" w:cs="Times New Roman"/>
          <w:lang w:val="en-GB"/>
        </w:rPr>
      </w:pPr>
      <w:r>
        <w:rPr>
          <w:rFonts w:ascii="Times New Roman" w:hAnsi="Times New Roman" w:cs="Times New Roman"/>
          <w:vertAlign w:val="superscript"/>
          <w:lang w:val="en-GB"/>
        </w:rPr>
        <w:t xml:space="preserve">8 </w:t>
      </w:r>
      <w:bookmarkStart w:id="0" w:name="_GoBack"/>
      <w:r w:rsidR="0085433C" w:rsidRPr="007D4E5D">
        <w:rPr>
          <w:rFonts w:ascii="Times New Roman" w:hAnsi="Times New Roman" w:cs="Times New Roman"/>
          <w:lang w:val="en-GB"/>
        </w:rPr>
        <w:t>Division of Bone Diseases, Geneva University Hospitals</w:t>
      </w:r>
      <w:r w:rsidR="0085433C">
        <w:rPr>
          <w:rFonts w:ascii="Times New Roman" w:hAnsi="Times New Roman" w:cs="Times New Roman"/>
          <w:lang w:val="en-GB"/>
        </w:rPr>
        <w:t xml:space="preserve"> and Faculty of Medicine</w:t>
      </w:r>
      <w:r w:rsidR="0085433C" w:rsidRPr="007D4E5D">
        <w:rPr>
          <w:rFonts w:ascii="Times New Roman" w:hAnsi="Times New Roman" w:cs="Times New Roman"/>
          <w:lang w:val="en-GB"/>
        </w:rPr>
        <w:t>, Geneva, Switzerland</w:t>
      </w:r>
      <w:bookmarkEnd w:id="0"/>
    </w:p>
    <w:p w14:paraId="1201854C" w14:textId="14231ADA" w:rsidR="00915ACD" w:rsidRDefault="00F97510" w:rsidP="00915ACD">
      <w:pPr>
        <w:jc w:val="both"/>
        <w:rPr>
          <w:rFonts w:ascii="Times New Roman" w:hAnsi="Times New Roman" w:cs="Times New Roman"/>
          <w:lang w:val="en-GB"/>
        </w:rPr>
      </w:pPr>
      <w:r>
        <w:rPr>
          <w:rFonts w:ascii="Times New Roman" w:hAnsi="Times New Roman" w:cs="Times New Roman"/>
          <w:vertAlign w:val="superscript"/>
          <w:lang w:val="en-GB"/>
        </w:rPr>
        <w:t xml:space="preserve">9 </w:t>
      </w:r>
      <w:r w:rsidR="00915ACD" w:rsidRPr="007D4E5D">
        <w:rPr>
          <w:rFonts w:ascii="Times New Roman" w:hAnsi="Times New Roman" w:cs="Times New Roman"/>
          <w:lang w:val="en-GB"/>
        </w:rPr>
        <w:t>MRC Lifecourse Epidemiology Unit, University of Southampton, Southampton General Hospital, Southampton, U</w:t>
      </w:r>
      <w:r w:rsidR="00542E3B">
        <w:rPr>
          <w:rFonts w:ascii="Times New Roman" w:hAnsi="Times New Roman" w:cs="Times New Roman"/>
          <w:lang w:val="en-GB"/>
        </w:rPr>
        <w:t>nited Kingdom</w:t>
      </w:r>
    </w:p>
    <w:p w14:paraId="6D56E40D" w14:textId="1A33E625" w:rsidR="00915ACD" w:rsidRPr="007D4E5D" w:rsidRDefault="00915ACD">
      <w:pPr>
        <w:rPr>
          <w:rFonts w:ascii="Times New Roman" w:hAnsi="Times New Roman" w:cs="Times New Roman"/>
          <w:b/>
          <w:bCs/>
          <w:lang w:val="en-GB"/>
        </w:rPr>
      </w:pPr>
    </w:p>
    <w:p w14:paraId="40F07A6A" w14:textId="77777777" w:rsidR="00915ACD" w:rsidRPr="007D4E5D" w:rsidRDefault="00915ACD" w:rsidP="00915ACD">
      <w:pPr>
        <w:spacing w:line="240" w:lineRule="auto"/>
        <w:jc w:val="both"/>
        <w:rPr>
          <w:rFonts w:ascii="Times New Roman" w:hAnsi="Times New Roman" w:cs="Times New Roman"/>
          <w:b/>
          <w:bCs/>
          <w:lang w:val="en-GB"/>
        </w:rPr>
      </w:pPr>
    </w:p>
    <w:p w14:paraId="03F7FB5D" w14:textId="5EAA28EA" w:rsidR="00915ACD" w:rsidRPr="007D4E5D" w:rsidRDefault="00915ACD" w:rsidP="00915ACD">
      <w:pPr>
        <w:jc w:val="both"/>
        <w:rPr>
          <w:rFonts w:ascii="Times New Roman" w:hAnsi="Times New Roman" w:cs="Times New Roman"/>
          <w:b/>
          <w:bCs/>
          <w:lang w:val="en-GB"/>
        </w:rPr>
      </w:pPr>
      <w:r w:rsidRPr="007D4E5D">
        <w:rPr>
          <w:rFonts w:ascii="Times New Roman" w:hAnsi="Times New Roman" w:cs="Times New Roman"/>
          <w:b/>
          <w:bCs/>
          <w:lang w:val="en-GB"/>
        </w:rPr>
        <w:t>Corresponding author:</w:t>
      </w:r>
    </w:p>
    <w:p w14:paraId="5B72CC31" w14:textId="77777777" w:rsidR="00915ACD" w:rsidRPr="007D4E5D" w:rsidRDefault="00915ACD" w:rsidP="00915ACD">
      <w:pPr>
        <w:spacing w:line="240" w:lineRule="auto"/>
        <w:jc w:val="both"/>
        <w:rPr>
          <w:rFonts w:ascii="Times New Roman" w:hAnsi="Times New Roman" w:cs="Times New Roman"/>
          <w:lang w:val="en-GB"/>
        </w:rPr>
      </w:pPr>
      <w:r w:rsidRPr="007D4E5D">
        <w:rPr>
          <w:rFonts w:ascii="Times New Roman" w:hAnsi="Times New Roman" w:cs="Times New Roman"/>
          <w:lang w:val="en-GB"/>
        </w:rPr>
        <w:t xml:space="preserve">Dr. Charlotte Beaudart </w:t>
      </w:r>
    </w:p>
    <w:p w14:paraId="32EC9956" w14:textId="5995E2C8" w:rsidR="00915ACD" w:rsidRPr="007D4E5D" w:rsidRDefault="00915ACD" w:rsidP="00915ACD">
      <w:pPr>
        <w:spacing w:line="240" w:lineRule="auto"/>
        <w:jc w:val="both"/>
        <w:rPr>
          <w:rFonts w:ascii="Times New Roman" w:hAnsi="Times New Roman" w:cs="Times New Roman"/>
          <w:lang w:val="en-GB"/>
        </w:rPr>
      </w:pPr>
      <w:r w:rsidRPr="007D4E5D">
        <w:rPr>
          <w:rFonts w:ascii="Times New Roman" w:hAnsi="Times New Roman" w:cs="Times New Roman"/>
          <w:lang w:val="en-GB"/>
        </w:rPr>
        <w:t>Department of Health Services Research, CAPHRI Care and Public Health Research Institute, Maastricht Universit</w:t>
      </w:r>
      <w:r w:rsidR="00542E3B">
        <w:rPr>
          <w:rFonts w:ascii="Times New Roman" w:hAnsi="Times New Roman" w:cs="Times New Roman"/>
          <w:lang w:val="en-GB"/>
        </w:rPr>
        <w:t xml:space="preserve">y, </w:t>
      </w:r>
      <w:r w:rsidRPr="007D4E5D">
        <w:rPr>
          <w:rFonts w:ascii="Times New Roman" w:hAnsi="Times New Roman" w:cs="Times New Roman"/>
          <w:lang w:val="en-GB"/>
        </w:rPr>
        <w:t>Maastricht, The Netherlands</w:t>
      </w:r>
    </w:p>
    <w:p w14:paraId="39C34E7C" w14:textId="77777777" w:rsidR="00915ACD" w:rsidRPr="007D4E5D" w:rsidRDefault="00915ACD" w:rsidP="00915ACD">
      <w:pPr>
        <w:spacing w:line="240" w:lineRule="auto"/>
        <w:jc w:val="both"/>
        <w:rPr>
          <w:rFonts w:ascii="Times New Roman" w:hAnsi="Times New Roman" w:cs="Times New Roman"/>
          <w:lang w:val="en-GB"/>
        </w:rPr>
      </w:pPr>
      <w:r w:rsidRPr="007D4E5D">
        <w:rPr>
          <w:rFonts w:ascii="Times New Roman" w:hAnsi="Times New Roman" w:cs="Times New Roman"/>
          <w:lang w:val="en-GB"/>
        </w:rPr>
        <w:t xml:space="preserve">Email: </w:t>
      </w:r>
      <w:hyperlink r:id="rId8" w:history="1">
        <w:r w:rsidRPr="007D4E5D">
          <w:rPr>
            <w:rStyle w:val="Hyperlink"/>
            <w:rFonts w:ascii="Times New Roman" w:hAnsi="Times New Roman" w:cs="Times New Roman"/>
            <w:lang w:val="en-GB"/>
          </w:rPr>
          <w:t>c.beaudart@maastrichtuniversity.nl</w:t>
        </w:r>
      </w:hyperlink>
      <w:r w:rsidRPr="007D4E5D">
        <w:rPr>
          <w:rFonts w:ascii="Times New Roman" w:hAnsi="Times New Roman" w:cs="Times New Roman"/>
          <w:lang w:val="en-GB"/>
        </w:rPr>
        <w:t xml:space="preserve"> </w:t>
      </w:r>
    </w:p>
    <w:p w14:paraId="14A6C783" w14:textId="77777777" w:rsidR="00915ACD" w:rsidRPr="007D4E5D" w:rsidRDefault="00915ACD" w:rsidP="00915ACD">
      <w:pPr>
        <w:spacing w:line="240" w:lineRule="auto"/>
        <w:jc w:val="both"/>
        <w:rPr>
          <w:rFonts w:ascii="Times New Roman" w:hAnsi="Times New Roman" w:cs="Times New Roman"/>
          <w:lang w:val="en-GB"/>
        </w:rPr>
      </w:pPr>
      <w:r w:rsidRPr="007D4E5D">
        <w:rPr>
          <w:rFonts w:ascii="Times New Roman" w:hAnsi="Times New Roman" w:cs="Times New Roman"/>
          <w:lang w:val="en-GB"/>
        </w:rPr>
        <w:t xml:space="preserve">ORCID ID : </w:t>
      </w:r>
      <w:hyperlink r:id="rId9" w:history="1">
        <w:r w:rsidRPr="007D4E5D">
          <w:rPr>
            <w:rFonts w:ascii="Times New Roman" w:hAnsi="Times New Roman" w:cs="Times New Roman"/>
            <w:lang w:val="en-GB"/>
          </w:rPr>
          <w:t>0000-0002-0827-5303</w:t>
        </w:r>
      </w:hyperlink>
    </w:p>
    <w:p w14:paraId="1F516032" w14:textId="05D699D4" w:rsidR="00915ACD" w:rsidRPr="007D4E5D" w:rsidRDefault="00915ACD" w:rsidP="00915ACD">
      <w:pPr>
        <w:jc w:val="both"/>
        <w:rPr>
          <w:rFonts w:ascii="Times New Roman" w:hAnsi="Times New Roman" w:cs="Times New Roman"/>
          <w:b/>
          <w:bCs/>
          <w:lang w:val="en-GB"/>
        </w:rPr>
      </w:pPr>
    </w:p>
    <w:p w14:paraId="51F614A7" w14:textId="77777777" w:rsidR="00FF23E4" w:rsidRDefault="00FF23E4" w:rsidP="00915ACD">
      <w:pPr>
        <w:spacing w:line="240" w:lineRule="auto"/>
        <w:jc w:val="both"/>
        <w:rPr>
          <w:rFonts w:ascii="Times New Roman" w:eastAsia="Arial Unicode MS" w:hAnsi="Times New Roman" w:cs="Times New Roman"/>
          <w:b/>
          <w:bCs/>
          <w:lang w:val="en-GB"/>
        </w:rPr>
      </w:pPr>
    </w:p>
    <w:p w14:paraId="08C0908D" w14:textId="77777777" w:rsidR="00FF23E4" w:rsidRDefault="00FF23E4" w:rsidP="00915ACD">
      <w:pPr>
        <w:spacing w:line="240" w:lineRule="auto"/>
        <w:jc w:val="both"/>
        <w:rPr>
          <w:rFonts w:ascii="Times New Roman" w:eastAsia="Arial Unicode MS" w:hAnsi="Times New Roman" w:cs="Times New Roman"/>
          <w:b/>
          <w:bCs/>
          <w:lang w:val="en-GB"/>
        </w:rPr>
      </w:pPr>
    </w:p>
    <w:p w14:paraId="7556999A" w14:textId="77777777" w:rsidR="00FF23E4" w:rsidRDefault="00FF23E4" w:rsidP="00915ACD">
      <w:pPr>
        <w:spacing w:line="240" w:lineRule="auto"/>
        <w:jc w:val="both"/>
        <w:rPr>
          <w:rFonts w:ascii="Times New Roman" w:eastAsia="Arial Unicode MS" w:hAnsi="Times New Roman" w:cs="Times New Roman"/>
          <w:b/>
          <w:bCs/>
          <w:lang w:val="en-GB"/>
        </w:rPr>
      </w:pPr>
    </w:p>
    <w:p w14:paraId="079A99D5" w14:textId="77777777" w:rsidR="00FF23E4" w:rsidRDefault="00FF23E4" w:rsidP="00915ACD">
      <w:pPr>
        <w:spacing w:line="240" w:lineRule="auto"/>
        <w:jc w:val="both"/>
        <w:rPr>
          <w:rFonts w:ascii="Times New Roman" w:eastAsia="Arial Unicode MS" w:hAnsi="Times New Roman" w:cs="Times New Roman"/>
          <w:b/>
          <w:bCs/>
          <w:lang w:val="en-GB"/>
        </w:rPr>
      </w:pPr>
    </w:p>
    <w:p w14:paraId="40EBFC8A" w14:textId="164F9F2F" w:rsidR="00915ACD" w:rsidRPr="007D4E5D" w:rsidRDefault="00915ACD" w:rsidP="00915ACD">
      <w:pPr>
        <w:spacing w:line="240" w:lineRule="auto"/>
        <w:jc w:val="both"/>
        <w:rPr>
          <w:rFonts w:ascii="Times New Roman" w:eastAsia="Arial Unicode MS" w:hAnsi="Times New Roman" w:cs="Times New Roman"/>
          <w:b/>
          <w:bCs/>
          <w:lang w:val="en-GB"/>
        </w:rPr>
      </w:pPr>
      <w:r w:rsidRPr="007D4E5D">
        <w:rPr>
          <w:rFonts w:ascii="Times New Roman" w:eastAsia="Arial Unicode MS" w:hAnsi="Times New Roman" w:cs="Times New Roman"/>
          <w:b/>
          <w:bCs/>
          <w:lang w:val="en-GB"/>
        </w:rPr>
        <w:t>Article data:</w:t>
      </w:r>
    </w:p>
    <w:p w14:paraId="38440B5B" w14:textId="00E9B4A7" w:rsidR="00915ACD" w:rsidRPr="007D4E5D" w:rsidRDefault="00915ACD" w:rsidP="00915ACD">
      <w:pPr>
        <w:spacing w:line="240" w:lineRule="auto"/>
        <w:jc w:val="both"/>
        <w:rPr>
          <w:rFonts w:ascii="Times New Roman" w:eastAsia="Arial Unicode MS" w:hAnsi="Times New Roman" w:cs="Times New Roman"/>
          <w:lang w:val="en-GB"/>
        </w:rPr>
      </w:pPr>
      <w:r w:rsidRPr="007D4E5D">
        <w:rPr>
          <w:rFonts w:ascii="Times New Roman" w:eastAsia="Arial Unicode MS" w:hAnsi="Times New Roman" w:cs="Times New Roman"/>
          <w:lang w:val="en-GB"/>
        </w:rPr>
        <w:t xml:space="preserve">Total word count: </w:t>
      </w:r>
      <w:r w:rsidR="00C57C46">
        <w:rPr>
          <w:rFonts w:ascii="Times New Roman" w:eastAsia="Arial Unicode MS" w:hAnsi="Times New Roman" w:cs="Times New Roman"/>
          <w:lang w:val="en-GB"/>
        </w:rPr>
        <w:t>4059</w:t>
      </w:r>
    </w:p>
    <w:p w14:paraId="25747801" w14:textId="6F2E6D4C" w:rsidR="00915ACD" w:rsidRPr="007D4E5D" w:rsidRDefault="00915ACD" w:rsidP="00915ACD">
      <w:pPr>
        <w:spacing w:line="240" w:lineRule="auto"/>
        <w:jc w:val="both"/>
        <w:rPr>
          <w:rFonts w:ascii="Times New Roman" w:eastAsia="Arial Unicode MS" w:hAnsi="Times New Roman" w:cs="Times New Roman"/>
          <w:lang w:val="en-GB"/>
        </w:rPr>
      </w:pPr>
      <w:r w:rsidRPr="007D4E5D">
        <w:rPr>
          <w:rFonts w:ascii="Times New Roman" w:eastAsia="Arial Unicode MS" w:hAnsi="Times New Roman" w:cs="Times New Roman"/>
          <w:lang w:val="en-GB"/>
        </w:rPr>
        <w:t xml:space="preserve">Abstract word count: </w:t>
      </w:r>
      <w:r w:rsidR="00A67423">
        <w:rPr>
          <w:rFonts w:ascii="Times New Roman" w:eastAsia="Arial Unicode MS" w:hAnsi="Times New Roman" w:cs="Times New Roman"/>
          <w:lang w:val="en-GB"/>
        </w:rPr>
        <w:t>29</w:t>
      </w:r>
      <w:r w:rsidR="00A66359">
        <w:rPr>
          <w:rFonts w:ascii="Times New Roman" w:eastAsia="Arial Unicode MS" w:hAnsi="Times New Roman" w:cs="Times New Roman"/>
          <w:lang w:val="en-GB"/>
        </w:rPr>
        <w:t>7</w:t>
      </w:r>
    </w:p>
    <w:p w14:paraId="002C7EF5" w14:textId="1DBC90D1" w:rsidR="00915ACD" w:rsidRPr="007D4E5D" w:rsidRDefault="00915ACD" w:rsidP="00915ACD">
      <w:pPr>
        <w:spacing w:line="240" w:lineRule="auto"/>
        <w:jc w:val="both"/>
        <w:rPr>
          <w:rFonts w:ascii="Times New Roman" w:eastAsia="Arial Unicode MS" w:hAnsi="Times New Roman" w:cs="Times New Roman"/>
          <w:lang w:val="en-GB"/>
        </w:rPr>
      </w:pPr>
      <w:r w:rsidRPr="007D4E5D">
        <w:rPr>
          <w:rFonts w:ascii="Times New Roman" w:eastAsia="Arial Unicode MS" w:hAnsi="Times New Roman" w:cs="Times New Roman"/>
          <w:lang w:val="en-GB"/>
        </w:rPr>
        <w:t xml:space="preserve">Number of tables/figures: </w:t>
      </w:r>
      <w:r w:rsidR="00175118">
        <w:rPr>
          <w:rFonts w:ascii="Times New Roman" w:eastAsia="Arial Unicode MS" w:hAnsi="Times New Roman" w:cs="Times New Roman"/>
          <w:lang w:val="en-GB"/>
        </w:rPr>
        <w:t>3 figures, 3 tables</w:t>
      </w:r>
    </w:p>
    <w:p w14:paraId="460F2025" w14:textId="710F4083" w:rsidR="00915ACD" w:rsidRPr="007D4E5D" w:rsidRDefault="00915ACD" w:rsidP="00915ACD">
      <w:pPr>
        <w:spacing w:after="0" w:line="240" w:lineRule="auto"/>
        <w:jc w:val="both"/>
        <w:rPr>
          <w:rFonts w:ascii="Times New Roman" w:eastAsia="Arial Unicode MS" w:hAnsi="Times New Roman" w:cs="Times New Roman"/>
          <w:lang w:val="en-GB"/>
        </w:rPr>
      </w:pPr>
      <w:r w:rsidRPr="007D4E5D">
        <w:rPr>
          <w:rFonts w:ascii="Times New Roman" w:eastAsia="Arial Unicode MS" w:hAnsi="Times New Roman" w:cs="Times New Roman"/>
          <w:lang w:val="en-GB"/>
        </w:rPr>
        <w:t xml:space="preserve">Number of references: </w:t>
      </w:r>
    </w:p>
    <w:p w14:paraId="4D510C8D" w14:textId="77777777" w:rsidR="00915ACD" w:rsidRPr="007D4E5D" w:rsidRDefault="00915ACD" w:rsidP="00915ACD">
      <w:pPr>
        <w:spacing w:after="0" w:line="240" w:lineRule="auto"/>
        <w:jc w:val="both"/>
        <w:rPr>
          <w:rFonts w:ascii="Times New Roman" w:eastAsia="Arial Unicode MS" w:hAnsi="Times New Roman" w:cs="Times New Roman"/>
          <w:lang w:val="en-GB"/>
        </w:rPr>
      </w:pPr>
    </w:p>
    <w:p w14:paraId="395B4EAC" w14:textId="77777777" w:rsidR="00915ACD" w:rsidRPr="007D4E5D" w:rsidRDefault="00915ACD" w:rsidP="00CF60A0">
      <w:pPr>
        <w:spacing w:line="360" w:lineRule="auto"/>
        <w:jc w:val="both"/>
        <w:rPr>
          <w:rFonts w:ascii="Times New Roman" w:hAnsi="Times New Roman" w:cs="Times New Roman"/>
          <w:b/>
          <w:bCs/>
          <w:lang w:val="en-GB"/>
        </w:rPr>
      </w:pPr>
    </w:p>
    <w:p w14:paraId="7EE5E0F7" w14:textId="199521F4" w:rsidR="00915ACD" w:rsidRPr="007D4E5D" w:rsidRDefault="00915ACD" w:rsidP="0085433C">
      <w:pPr>
        <w:spacing w:line="360" w:lineRule="auto"/>
        <w:jc w:val="both"/>
        <w:rPr>
          <w:rFonts w:ascii="Times New Roman" w:hAnsi="Times New Roman" w:cs="Times New Roman"/>
          <w:lang w:val="en-GB"/>
        </w:rPr>
      </w:pPr>
      <w:r w:rsidRPr="007D4E5D">
        <w:rPr>
          <w:rFonts w:ascii="Times New Roman" w:hAnsi="Times New Roman" w:cs="Times New Roman"/>
          <w:b/>
          <w:bCs/>
          <w:lang w:val="en-GB"/>
        </w:rPr>
        <w:t>Disclosure of interest</w:t>
      </w:r>
      <w:r w:rsidRPr="00037F08">
        <w:rPr>
          <w:rFonts w:ascii="Times New Roman" w:hAnsi="Times New Roman" w:cs="Times New Roman"/>
          <w:lang w:val="en-GB"/>
        </w:rPr>
        <w:t xml:space="preserve">: </w:t>
      </w:r>
      <w:r w:rsidR="00037F08" w:rsidRPr="00037F08">
        <w:rPr>
          <w:rFonts w:ascii="Times New Roman" w:hAnsi="Times New Roman" w:cs="Times New Roman"/>
          <w:lang w:val="en-GB"/>
        </w:rPr>
        <w:t xml:space="preserve">JYR has received research grant and/or consulting fees from Servier, Novartis, Negma, Lilly, Wyeth, Amgen, GlaxoSmithKline, Roche, Merckle, Nycomed-Takeda, NPS, IBSA Genevrier, Theramex, UCB, Asahi Kasei, Endocyte, Merck Sharp and Dohme, Rottapharm, Teijin, Teva, Analis, NovoNordisk, Ebewee Pharma, Zodiac, Danone, Will Pharma, Meda, Bristol Myers Squibb, Pfizer, Organon, Therabel, Boehringer, Chiltern, Galapagos. SG has received lecture fees from Amgen </w:t>
      </w:r>
      <w:r w:rsidR="00743F86">
        <w:rPr>
          <w:rFonts w:ascii="Times New Roman" w:hAnsi="Times New Roman" w:cs="Times New Roman"/>
          <w:lang w:val="en-GB"/>
        </w:rPr>
        <w:t xml:space="preserve">and </w:t>
      </w:r>
      <w:r w:rsidR="00985E45">
        <w:rPr>
          <w:rFonts w:ascii="Times New Roman" w:hAnsi="Times New Roman" w:cs="Times New Roman"/>
          <w:lang w:val="en-GB"/>
        </w:rPr>
        <w:t>consulting fees from the</w:t>
      </w:r>
      <w:r w:rsidR="00037F08" w:rsidRPr="00037F08">
        <w:rPr>
          <w:rFonts w:ascii="Times New Roman" w:hAnsi="Times New Roman" w:cs="Times New Roman"/>
          <w:lang w:val="en-GB"/>
        </w:rPr>
        <w:t xml:space="preserve"> advisory board </w:t>
      </w:r>
      <w:r w:rsidR="00743F86">
        <w:rPr>
          <w:rFonts w:ascii="Times New Roman" w:hAnsi="Times New Roman" w:cs="Times New Roman"/>
          <w:lang w:val="en-GB"/>
        </w:rPr>
        <w:t>of</w:t>
      </w:r>
      <w:r w:rsidR="00037F08" w:rsidRPr="00037F08">
        <w:rPr>
          <w:rFonts w:ascii="Times New Roman" w:hAnsi="Times New Roman" w:cs="Times New Roman"/>
          <w:lang w:val="en-GB"/>
        </w:rPr>
        <w:t xml:space="preserve"> UCB. </w:t>
      </w:r>
      <w:r w:rsidR="0004300B" w:rsidRPr="00037F08">
        <w:rPr>
          <w:rFonts w:ascii="Times New Roman" w:hAnsi="Times New Roman" w:cs="Times New Roman"/>
          <w:lang w:val="en-GB"/>
        </w:rPr>
        <w:t xml:space="preserve">AD-P has been </w:t>
      </w:r>
      <w:r w:rsidR="00422E78">
        <w:rPr>
          <w:rFonts w:ascii="Times New Roman" w:hAnsi="Times New Roman" w:cs="Times New Roman"/>
          <w:lang w:val="en-GB"/>
        </w:rPr>
        <w:t xml:space="preserve">a </w:t>
      </w:r>
      <w:r w:rsidR="0004300B" w:rsidRPr="00037F08">
        <w:rPr>
          <w:rFonts w:ascii="Times New Roman" w:hAnsi="Times New Roman" w:cs="Times New Roman"/>
          <w:lang w:val="en-GB"/>
        </w:rPr>
        <w:t>speaker or advisor for Amgen, Lilly,</w:t>
      </w:r>
      <w:r w:rsidR="0004300B">
        <w:rPr>
          <w:rFonts w:ascii="Times New Roman" w:hAnsi="Times New Roman" w:cs="Times New Roman"/>
          <w:lang w:val="en-GB"/>
        </w:rPr>
        <w:t xml:space="preserve"> </w:t>
      </w:r>
      <w:r w:rsidR="0004300B" w:rsidRPr="00E41B58">
        <w:rPr>
          <w:rFonts w:ascii="Times New Roman" w:hAnsi="Times New Roman" w:cs="Times New Roman"/>
          <w:lang w:val="en-GB"/>
        </w:rPr>
        <w:t xml:space="preserve">Theramex, </w:t>
      </w:r>
      <w:r w:rsidR="00422E78">
        <w:rPr>
          <w:rFonts w:ascii="Times New Roman" w:hAnsi="Times New Roman" w:cs="Times New Roman"/>
          <w:lang w:val="en-GB"/>
        </w:rPr>
        <w:t xml:space="preserve">and </w:t>
      </w:r>
      <w:r w:rsidR="0004300B" w:rsidRPr="00037F08">
        <w:rPr>
          <w:rFonts w:ascii="Times New Roman" w:hAnsi="Times New Roman" w:cs="Times New Roman"/>
          <w:lang w:val="en-GB"/>
        </w:rPr>
        <w:t>Active Life Scientific</w:t>
      </w:r>
      <w:r w:rsidR="000E3C0D">
        <w:rPr>
          <w:rFonts w:ascii="Times New Roman" w:hAnsi="Times New Roman" w:cs="Times New Roman"/>
          <w:lang w:val="en-GB"/>
        </w:rPr>
        <w:t xml:space="preserve">. </w:t>
      </w:r>
      <w:r w:rsidR="00037F08" w:rsidRPr="00037F08">
        <w:rPr>
          <w:rFonts w:ascii="Times New Roman" w:hAnsi="Times New Roman" w:cs="Times New Roman"/>
          <w:lang w:val="en-GB"/>
        </w:rPr>
        <w:t xml:space="preserve"> </w:t>
      </w:r>
      <w:r w:rsidR="0085433C" w:rsidRPr="00037F08">
        <w:rPr>
          <w:rFonts w:ascii="Times New Roman" w:hAnsi="Times New Roman" w:cs="Times New Roman"/>
          <w:lang w:val="en-GB"/>
        </w:rPr>
        <w:t xml:space="preserve">RR has received </w:t>
      </w:r>
      <w:r w:rsidR="00422E78">
        <w:rPr>
          <w:rFonts w:ascii="Times New Roman" w:hAnsi="Times New Roman" w:cs="Times New Roman"/>
          <w:lang w:val="en-GB"/>
        </w:rPr>
        <w:t>c</w:t>
      </w:r>
      <w:r w:rsidR="0085433C" w:rsidRPr="00037F08">
        <w:rPr>
          <w:rFonts w:ascii="Times New Roman" w:hAnsi="Times New Roman" w:cs="Times New Roman"/>
          <w:lang w:val="en-GB"/>
        </w:rPr>
        <w:t xml:space="preserve">onsulting fees </w:t>
      </w:r>
      <w:r w:rsidR="00422E78">
        <w:rPr>
          <w:rFonts w:ascii="Times New Roman" w:hAnsi="Times New Roman" w:cs="Times New Roman"/>
          <w:lang w:val="en-GB"/>
        </w:rPr>
        <w:t>f</w:t>
      </w:r>
      <w:r w:rsidR="00BC66D9">
        <w:rPr>
          <w:rFonts w:ascii="Times New Roman" w:hAnsi="Times New Roman" w:cs="Times New Roman"/>
          <w:lang w:val="en-GB"/>
        </w:rPr>
        <w:t>rom</w:t>
      </w:r>
      <w:r w:rsidR="00422E78">
        <w:rPr>
          <w:rFonts w:ascii="Times New Roman" w:hAnsi="Times New Roman" w:cs="Times New Roman"/>
          <w:lang w:val="en-GB"/>
        </w:rPr>
        <w:t xml:space="preserve"> the </w:t>
      </w:r>
      <w:r w:rsidR="0085433C" w:rsidRPr="00037F08">
        <w:rPr>
          <w:rFonts w:ascii="Times New Roman" w:hAnsi="Times New Roman" w:cs="Times New Roman"/>
          <w:lang w:val="en-GB"/>
        </w:rPr>
        <w:t xml:space="preserve">advisory boards </w:t>
      </w:r>
      <w:r w:rsidR="00BC66D9">
        <w:rPr>
          <w:rFonts w:ascii="Times New Roman" w:hAnsi="Times New Roman" w:cs="Times New Roman"/>
          <w:lang w:val="en-GB"/>
        </w:rPr>
        <w:t>o</w:t>
      </w:r>
      <w:r w:rsidR="0085433C" w:rsidRPr="00501BF1">
        <w:rPr>
          <w:rFonts w:ascii="Times New Roman" w:hAnsi="Times New Roman" w:cs="Times New Roman"/>
          <w:lang w:val="en-GB"/>
        </w:rPr>
        <w:t>f</w:t>
      </w:r>
      <w:r w:rsidR="00BC66D9">
        <w:rPr>
          <w:rFonts w:ascii="Times New Roman" w:hAnsi="Times New Roman" w:cs="Times New Roman"/>
          <w:lang w:val="en-GB"/>
        </w:rPr>
        <w:t xml:space="preserve"> </w:t>
      </w:r>
      <w:r w:rsidR="0085433C" w:rsidRPr="00501BF1">
        <w:rPr>
          <w:rFonts w:ascii="Times New Roman" w:hAnsi="Times New Roman" w:cs="Times New Roman"/>
          <w:lang w:val="en-GB"/>
        </w:rPr>
        <w:t>Abiogen, Amgen, Danone, Echolight, European Milk Forum, Nestlé, ObsEva, Pfizer Consumer Health, Radius Health and Theramex</w:t>
      </w:r>
      <w:r w:rsidR="00037F08" w:rsidRPr="00037F08">
        <w:rPr>
          <w:rFonts w:ascii="Times New Roman" w:hAnsi="Times New Roman" w:cs="Times New Roman"/>
          <w:lang w:val="en-GB"/>
        </w:rPr>
        <w:t xml:space="preserve">. BW has received speaker </w:t>
      </w:r>
      <w:r w:rsidR="00BC66D9">
        <w:rPr>
          <w:rFonts w:ascii="Times New Roman" w:hAnsi="Times New Roman" w:cs="Times New Roman"/>
          <w:lang w:val="en-GB"/>
        </w:rPr>
        <w:t>or consulting fees from</w:t>
      </w:r>
      <w:r w:rsidR="00037F08" w:rsidRPr="00037F08">
        <w:rPr>
          <w:rFonts w:ascii="Times New Roman" w:hAnsi="Times New Roman" w:cs="Times New Roman"/>
          <w:lang w:val="en-GB"/>
        </w:rPr>
        <w:t xml:space="preserve"> advisory boards </w:t>
      </w:r>
      <w:r w:rsidR="00BC66D9">
        <w:rPr>
          <w:rFonts w:ascii="Times New Roman" w:hAnsi="Times New Roman" w:cs="Times New Roman"/>
          <w:lang w:val="en-GB"/>
        </w:rPr>
        <w:t>of</w:t>
      </w:r>
      <w:r w:rsidR="00037F08" w:rsidRPr="00037F08">
        <w:rPr>
          <w:rFonts w:ascii="Times New Roman" w:hAnsi="Times New Roman" w:cs="Times New Roman"/>
          <w:lang w:val="en-GB"/>
        </w:rPr>
        <w:t xml:space="preserve"> Abbvie, Pfizer, Merck Sharp and Dohme, Menarini and Novartis Pharmaceuticals. The remaining authors state that they have no competing interests</w:t>
      </w:r>
      <w:r w:rsidR="00D7192D">
        <w:rPr>
          <w:rFonts w:ascii="Times New Roman" w:hAnsi="Times New Roman" w:cs="Times New Roman"/>
          <w:lang w:val="en-GB"/>
        </w:rPr>
        <w:t xml:space="preserve"> relevant to this study</w:t>
      </w:r>
      <w:r w:rsidR="00037F08" w:rsidRPr="00037F08">
        <w:rPr>
          <w:rFonts w:ascii="Times New Roman" w:hAnsi="Times New Roman" w:cs="Times New Roman"/>
          <w:lang w:val="en-GB"/>
        </w:rPr>
        <w:t>.</w:t>
      </w:r>
    </w:p>
    <w:p w14:paraId="53F464AE" w14:textId="0FE87EF5" w:rsidR="00915ACD" w:rsidRPr="007D4E5D" w:rsidRDefault="00915ACD" w:rsidP="00CF60A0">
      <w:pPr>
        <w:spacing w:line="360" w:lineRule="auto"/>
        <w:jc w:val="both"/>
        <w:rPr>
          <w:rFonts w:ascii="Times New Roman" w:hAnsi="Times New Roman" w:cs="Times New Roman"/>
          <w:lang w:val="en-GB"/>
        </w:rPr>
      </w:pPr>
      <w:r w:rsidRPr="007D4E5D">
        <w:rPr>
          <w:rFonts w:ascii="Times New Roman" w:hAnsi="Times New Roman" w:cs="Times New Roman"/>
          <w:b/>
          <w:bCs/>
          <w:lang w:val="en-GB"/>
        </w:rPr>
        <w:t>Funding:</w:t>
      </w:r>
      <w:r w:rsidRPr="007D4E5D">
        <w:rPr>
          <w:rFonts w:ascii="Times New Roman" w:hAnsi="Times New Roman" w:cs="Times New Roman"/>
          <w:lang w:val="en-GB"/>
        </w:rPr>
        <w:t xml:space="preserve"> This </w:t>
      </w:r>
      <w:r w:rsidR="00ED716E">
        <w:rPr>
          <w:rFonts w:ascii="Times New Roman" w:hAnsi="Times New Roman" w:cs="Times New Roman"/>
          <w:lang w:val="en-GB"/>
        </w:rPr>
        <w:t>study</w:t>
      </w:r>
      <w:r w:rsidR="00ED716E" w:rsidRPr="007D4E5D">
        <w:rPr>
          <w:rFonts w:ascii="Times New Roman" w:hAnsi="Times New Roman" w:cs="Times New Roman"/>
          <w:lang w:val="en-GB"/>
        </w:rPr>
        <w:t xml:space="preserve"> </w:t>
      </w:r>
      <w:r w:rsidRPr="007D4E5D">
        <w:rPr>
          <w:rFonts w:ascii="Times New Roman" w:hAnsi="Times New Roman" w:cs="Times New Roman"/>
          <w:lang w:val="en-GB"/>
        </w:rPr>
        <w:t xml:space="preserve">was </w:t>
      </w:r>
      <w:r w:rsidR="00ED716E">
        <w:rPr>
          <w:rFonts w:ascii="Times New Roman" w:hAnsi="Times New Roman" w:cs="Times New Roman"/>
          <w:lang w:val="en-GB"/>
        </w:rPr>
        <w:t>part of a project funded</w:t>
      </w:r>
      <w:r w:rsidR="00ED716E" w:rsidRPr="007D4E5D">
        <w:rPr>
          <w:rFonts w:ascii="Times New Roman" w:hAnsi="Times New Roman" w:cs="Times New Roman"/>
          <w:lang w:val="en-GB"/>
        </w:rPr>
        <w:t xml:space="preserve"> </w:t>
      </w:r>
      <w:r w:rsidRPr="007D4E5D">
        <w:rPr>
          <w:rFonts w:ascii="Times New Roman" w:hAnsi="Times New Roman" w:cs="Times New Roman"/>
          <w:lang w:val="en-GB"/>
        </w:rPr>
        <w:t>by Amgen. The funding agreement between Maastricht University and Amgen ensured the authors’ independence in designing the study (including selection of attributes and levels), interpreting the data, and writing and publishing the report. Other participating centres were compensated by Maastricht University for their participation in the study.</w:t>
      </w:r>
    </w:p>
    <w:p w14:paraId="61C75847" w14:textId="1985F8F4" w:rsidR="00915ACD" w:rsidRPr="007D4E5D" w:rsidRDefault="00915ACD" w:rsidP="00CF60A0">
      <w:pPr>
        <w:spacing w:line="360" w:lineRule="auto"/>
        <w:jc w:val="both"/>
        <w:rPr>
          <w:rFonts w:ascii="Times New Roman" w:hAnsi="Times New Roman" w:cs="Times New Roman"/>
          <w:lang w:val="en-GB"/>
        </w:rPr>
      </w:pPr>
      <w:r w:rsidRPr="007D4E5D">
        <w:rPr>
          <w:rFonts w:ascii="Times New Roman" w:hAnsi="Times New Roman" w:cs="Times New Roman"/>
          <w:b/>
          <w:bCs/>
          <w:lang w:val="en-GB"/>
        </w:rPr>
        <w:t>Ethics:</w:t>
      </w:r>
      <w:r w:rsidRPr="007D4E5D">
        <w:rPr>
          <w:rFonts w:ascii="Times New Roman" w:hAnsi="Times New Roman" w:cs="Times New Roman"/>
          <w:lang w:val="en-GB"/>
        </w:rPr>
        <w:t xml:space="preserve"> Approval for this study was obtained from the Medical Ethics Committee of the Academic Hospital Maastricht and Maastricht University. Additional local ethics approval was obtained from those participating cent</w:t>
      </w:r>
      <w:r w:rsidR="00470E65">
        <w:rPr>
          <w:rFonts w:ascii="Times New Roman" w:hAnsi="Times New Roman" w:cs="Times New Roman"/>
          <w:lang w:val="en-GB"/>
        </w:rPr>
        <w:t>r</w:t>
      </w:r>
      <w:r w:rsidRPr="007D4E5D">
        <w:rPr>
          <w:rFonts w:ascii="Times New Roman" w:hAnsi="Times New Roman" w:cs="Times New Roman"/>
          <w:lang w:val="en-GB"/>
        </w:rPr>
        <w:t>es that required ethics approval for a DCE study, i.e.</w:t>
      </w:r>
      <w:r w:rsidR="00192C55">
        <w:rPr>
          <w:rFonts w:ascii="Times New Roman" w:hAnsi="Times New Roman" w:cs="Times New Roman"/>
          <w:lang w:val="en-GB"/>
        </w:rPr>
        <w:t>,</w:t>
      </w:r>
      <w:r w:rsidRPr="007D4E5D">
        <w:rPr>
          <w:rFonts w:ascii="Times New Roman" w:hAnsi="Times New Roman" w:cs="Times New Roman"/>
          <w:lang w:val="en-GB"/>
        </w:rPr>
        <w:t xml:space="preserve"> the Research Ethics Committee of Sligo University Hospital, the Southampton Joint Ethics Committee, the CEIC-Parc de Salut Mar (Committee of Ethics and Clinical Investigation) and the 'Commission cantonale d'éthique de la recherche' (CCER) of Geneva.</w:t>
      </w:r>
    </w:p>
    <w:p w14:paraId="3792794E" w14:textId="43AC6D0D" w:rsidR="00915ACD" w:rsidRPr="007D4E5D" w:rsidRDefault="00915ACD" w:rsidP="00CF60A0">
      <w:pPr>
        <w:spacing w:line="360" w:lineRule="auto"/>
        <w:jc w:val="both"/>
        <w:rPr>
          <w:rFonts w:ascii="Times New Roman" w:hAnsi="Times New Roman" w:cs="Times New Roman"/>
          <w:lang w:val="en-GB"/>
        </w:rPr>
      </w:pPr>
      <w:r w:rsidRPr="007D4E5D">
        <w:rPr>
          <w:rFonts w:ascii="Times New Roman" w:hAnsi="Times New Roman" w:cs="Times New Roman"/>
          <w:b/>
          <w:bCs/>
          <w:lang w:val="en-GB"/>
        </w:rPr>
        <w:t>Data availability:</w:t>
      </w:r>
      <w:r w:rsidRPr="007D4E5D">
        <w:rPr>
          <w:rFonts w:ascii="Times New Roman" w:hAnsi="Times New Roman" w:cs="Times New Roman"/>
          <w:b/>
          <w:bCs/>
          <w:smallCaps/>
          <w:color w:val="000000" w:themeColor="text1"/>
          <w:lang w:val="en-GB"/>
        </w:rPr>
        <w:t xml:space="preserve"> </w:t>
      </w:r>
      <w:r w:rsidR="004436A9">
        <w:rPr>
          <w:rFonts w:ascii="Times New Roman" w:hAnsi="Times New Roman" w:cs="Times New Roman"/>
          <w:lang w:val="en-GB"/>
        </w:rPr>
        <w:t>A</w:t>
      </w:r>
      <w:r w:rsidR="004436A9" w:rsidRPr="007D4E5D">
        <w:rPr>
          <w:rFonts w:ascii="Times New Roman" w:hAnsi="Times New Roman" w:cs="Times New Roman"/>
          <w:lang w:val="en-GB"/>
        </w:rPr>
        <w:t xml:space="preserve">ll </w:t>
      </w:r>
      <w:r w:rsidRPr="007D4E5D">
        <w:rPr>
          <w:rFonts w:ascii="Times New Roman" w:hAnsi="Times New Roman" w:cs="Times New Roman"/>
          <w:lang w:val="en-GB"/>
        </w:rPr>
        <w:t xml:space="preserve">data are available </w:t>
      </w:r>
      <w:r w:rsidR="00032F7A">
        <w:rPr>
          <w:rFonts w:ascii="Times New Roman" w:hAnsi="Times New Roman" w:cs="Times New Roman"/>
          <w:lang w:val="en-GB"/>
        </w:rPr>
        <w:t>on</w:t>
      </w:r>
      <w:r w:rsidRPr="007D4E5D">
        <w:rPr>
          <w:rFonts w:ascii="Times New Roman" w:hAnsi="Times New Roman" w:cs="Times New Roman"/>
          <w:lang w:val="en-GB"/>
        </w:rPr>
        <w:t xml:space="preserve"> request to the corresponding author</w:t>
      </w:r>
      <w:r w:rsidR="00ED716E">
        <w:rPr>
          <w:rFonts w:ascii="Times New Roman" w:hAnsi="Times New Roman" w:cs="Times New Roman"/>
          <w:lang w:val="en-GB"/>
        </w:rPr>
        <w:t>.</w:t>
      </w:r>
    </w:p>
    <w:p w14:paraId="14D816B6" w14:textId="3E680A15" w:rsidR="00915ACD" w:rsidRPr="007D4E5D" w:rsidRDefault="00915ACD" w:rsidP="00D95952">
      <w:pPr>
        <w:spacing w:line="360" w:lineRule="auto"/>
        <w:jc w:val="both"/>
        <w:rPr>
          <w:rFonts w:ascii="Times New Roman" w:hAnsi="Times New Roman" w:cs="Times New Roman"/>
          <w:lang w:val="en-GB"/>
        </w:rPr>
      </w:pPr>
      <w:r w:rsidRPr="007D4E5D">
        <w:rPr>
          <w:rFonts w:ascii="Times New Roman" w:hAnsi="Times New Roman" w:cs="Times New Roman"/>
          <w:b/>
          <w:bCs/>
          <w:lang w:val="en-GB"/>
        </w:rPr>
        <w:lastRenderedPageBreak/>
        <w:t xml:space="preserve">Acknowledgement: </w:t>
      </w:r>
      <w:r w:rsidRPr="007D4E5D">
        <w:rPr>
          <w:rFonts w:ascii="Times New Roman" w:hAnsi="Times New Roman" w:cs="Times New Roman"/>
          <w:lang w:val="en-GB"/>
        </w:rPr>
        <w:t xml:space="preserve">We would like to thank all participating centres: the Unit for Osteoporosis and Metabolic Bone from Ghent University Hospital (Belgium); the University Center for Investigation in Bone and Articular Cartilage Metabolism in </w:t>
      </w:r>
      <w:r w:rsidR="00D95952">
        <w:rPr>
          <w:rFonts w:ascii="Times New Roman" w:hAnsi="Times New Roman" w:cs="Times New Roman"/>
          <w:lang w:val="en-GB"/>
        </w:rPr>
        <w:t>Li</w:t>
      </w:r>
      <w:r w:rsidR="00B32A83">
        <w:rPr>
          <w:rFonts w:ascii="Times New Roman" w:hAnsi="Times New Roman" w:cs="Times New Roman"/>
          <w:lang w:val="en-GB"/>
        </w:rPr>
        <w:t>ège</w:t>
      </w:r>
      <w:r w:rsidRPr="007D4E5D">
        <w:rPr>
          <w:rFonts w:ascii="Times New Roman" w:hAnsi="Times New Roman" w:cs="Times New Roman"/>
          <w:lang w:val="en-GB"/>
        </w:rPr>
        <w:t xml:space="preserve"> (Belgium); the Fracture Clinic of Maastricht University Medical Center (</w:t>
      </w:r>
      <w:r w:rsidR="005F31CD">
        <w:rPr>
          <w:rFonts w:ascii="Times New Roman" w:hAnsi="Times New Roman" w:cs="Times New Roman"/>
          <w:lang w:val="en-GB"/>
        </w:rPr>
        <w:t>T</w:t>
      </w:r>
      <w:r w:rsidR="00470E65">
        <w:rPr>
          <w:rFonts w:ascii="Times New Roman" w:hAnsi="Times New Roman" w:cs="Times New Roman"/>
          <w:lang w:val="en-GB"/>
        </w:rPr>
        <w:t xml:space="preserve">he </w:t>
      </w:r>
      <w:r w:rsidRPr="007D4E5D">
        <w:rPr>
          <w:rFonts w:ascii="Times New Roman" w:hAnsi="Times New Roman" w:cs="Times New Roman"/>
          <w:lang w:val="en-GB"/>
        </w:rPr>
        <w:t xml:space="preserve">Netherlands); the Bone Unit of Paris Descartes University, Paris (France); </w:t>
      </w:r>
      <w:r w:rsidR="00B32A83">
        <w:rPr>
          <w:rFonts w:ascii="Times New Roman" w:hAnsi="Times New Roman" w:cs="Times New Roman"/>
          <w:lang w:val="en-GB"/>
        </w:rPr>
        <w:t>t</w:t>
      </w:r>
      <w:r w:rsidRPr="007D4E5D">
        <w:rPr>
          <w:rFonts w:ascii="Times New Roman" w:hAnsi="Times New Roman" w:cs="Times New Roman"/>
          <w:lang w:val="en-GB"/>
        </w:rPr>
        <w:t>he North Western Rheumatology Unit, Our Lady’s Hospital, Manorhamilton and Sligo University Hospital (Ireland); the Musculoskeletal Research Unit and RETICEF from the Universitat Autònoma de Barcelona (Spain); the Division of Bone Diseases from the Geneva University Hospitals (Switzerland); the MRC Lifecourse Epidemiology Unit from the University of Southampton (United Kingdom) for helping us in data collection; Ed Porquie, our patient partner; Wafa Ben Sedrine, Ivette Essers and Wilco Tilburgs for data entry</w:t>
      </w:r>
      <w:r w:rsidR="00B32A83">
        <w:rPr>
          <w:rFonts w:ascii="Times New Roman" w:hAnsi="Times New Roman" w:cs="Times New Roman"/>
          <w:lang w:val="en-GB"/>
        </w:rPr>
        <w:t>,</w:t>
      </w:r>
      <w:r w:rsidRPr="007D4E5D">
        <w:rPr>
          <w:rFonts w:ascii="Times New Roman" w:hAnsi="Times New Roman" w:cs="Times New Roman"/>
          <w:lang w:val="en-GB"/>
        </w:rPr>
        <w:t xml:space="preserve"> and all the patients for their participation.</w:t>
      </w:r>
    </w:p>
    <w:p w14:paraId="5004A265" w14:textId="77777777" w:rsidR="00915ACD" w:rsidRPr="007D4E5D" w:rsidRDefault="00915ACD" w:rsidP="00CF60A0">
      <w:pPr>
        <w:spacing w:line="360" w:lineRule="auto"/>
        <w:rPr>
          <w:rFonts w:ascii="Times New Roman" w:hAnsi="Times New Roman" w:cs="Times New Roman"/>
          <w:b/>
          <w:bCs/>
          <w:lang w:val="en-GB"/>
        </w:rPr>
      </w:pPr>
      <w:r w:rsidRPr="007D4E5D">
        <w:rPr>
          <w:rFonts w:ascii="Times New Roman" w:hAnsi="Times New Roman" w:cs="Times New Roman"/>
          <w:b/>
          <w:bCs/>
          <w:lang w:val="en-GB"/>
        </w:rPr>
        <w:br w:type="page"/>
      </w:r>
    </w:p>
    <w:p w14:paraId="046130BD" w14:textId="5E32BB95" w:rsidR="007D4E5D" w:rsidRPr="007D4E5D" w:rsidRDefault="007D4E5D" w:rsidP="007D4E5D">
      <w:pPr>
        <w:spacing w:line="360" w:lineRule="auto"/>
        <w:jc w:val="both"/>
        <w:rPr>
          <w:rFonts w:ascii="Times New Roman" w:hAnsi="Times New Roman" w:cs="Times New Roman"/>
          <w:b/>
          <w:bCs/>
          <w:smallCaps/>
          <w:lang w:val="en-GB"/>
        </w:rPr>
      </w:pPr>
      <w:r w:rsidRPr="007D4E5D">
        <w:rPr>
          <w:rFonts w:ascii="Times New Roman" w:hAnsi="Times New Roman" w:cs="Times New Roman"/>
          <w:b/>
          <w:bCs/>
          <w:smallCaps/>
          <w:lang w:val="en-GB"/>
        </w:rPr>
        <w:t>Abstract</w:t>
      </w:r>
    </w:p>
    <w:p w14:paraId="0CECF34D" w14:textId="1C8990AD" w:rsidR="007D4E5D" w:rsidRPr="007D4E5D" w:rsidRDefault="007D4E5D" w:rsidP="007D4E5D">
      <w:pPr>
        <w:spacing w:line="360" w:lineRule="auto"/>
        <w:jc w:val="both"/>
        <w:rPr>
          <w:rFonts w:ascii="Times New Roman" w:hAnsi="Times New Roman" w:cs="Times New Roman"/>
          <w:lang w:val="en-GB"/>
        </w:rPr>
      </w:pPr>
      <w:r w:rsidRPr="007D4E5D">
        <w:rPr>
          <w:rFonts w:ascii="Times New Roman" w:hAnsi="Times New Roman" w:cs="Times New Roman"/>
          <w:b/>
          <w:bCs/>
          <w:lang w:val="en-GB"/>
        </w:rPr>
        <w:t>Objective</w:t>
      </w:r>
      <w:r w:rsidRPr="007D4E5D">
        <w:rPr>
          <w:rFonts w:ascii="Times New Roman" w:hAnsi="Times New Roman" w:cs="Times New Roman"/>
          <w:lang w:val="en-GB"/>
        </w:rPr>
        <w:t xml:space="preserve">: </w:t>
      </w:r>
      <w:r w:rsidR="00816B28">
        <w:rPr>
          <w:rFonts w:ascii="Times New Roman" w:hAnsi="Times New Roman" w:cs="Times New Roman"/>
          <w:lang w:val="en-GB"/>
        </w:rPr>
        <w:t>Alongside medical therapy, h</w:t>
      </w:r>
      <w:r w:rsidRPr="007D4E5D">
        <w:rPr>
          <w:rFonts w:ascii="Times New Roman" w:hAnsi="Times New Roman" w:cs="Times New Roman"/>
          <w:lang w:val="en-GB"/>
        </w:rPr>
        <w:t>ealthy lifestyle habits are recommended for preventing osteoporotic fracture</w:t>
      </w:r>
      <w:r w:rsidR="004436A9">
        <w:rPr>
          <w:rFonts w:ascii="Times New Roman" w:hAnsi="Times New Roman" w:cs="Times New Roman"/>
          <w:lang w:val="en-GB"/>
        </w:rPr>
        <w:t>s</w:t>
      </w:r>
      <w:r w:rsidRPr="007D4E5D">
        <w:rPr>
          <w:rFonts w:ascii="Times New Roman" w:hAnsi="Times New Roman" w:cs="Times New Roman"/>
          <w:lang w:val="en-GB"/>
        </w:rPr>
        <w:t>. In this study, we aimed to assess patients’ preference</w:t>
      </w:r>
      <w:r w:rsidR="00816B28">
        <w:rPr>
          <w:rFonts w:ascii="Times New Roman" w:hAnsi="Times New Roman" w:cs="Times New Roman"/>
          <w:lang w:val="en-GB"/>
        </w:rPr>
        <w:t>s with regard</w:t>
      </w:r>
      <w:r w:rsidRPr="007D4E5D">
        <w:rPr>
          <w:rFonts w:ascii="Times New Roman" w:hAnsi="Times New Roman" w:cs="Times New Roman"/>
          <w:lang w:val="en-GB"/>
        </w:rPr>
        <w:t xml:space="preserve"> to adopt</w:t>
      </w:r>
      <w:r w:rsidR="00816B28">
        <w:rPr>
          <w:rFonts w:ascii="Times New Roman" w:hAnsi="Times New Roman" w:cs="Times New Roman"/>
          <w:lang w:val="en-GB"/>
        </w:rPr>
        <w:t>ing</w:t>
      </w:r>
      <w:r w:rsidRPr="007D4E5D">
        <w:rPr>
          <w:rFonts w:ascii="Times New Roman" w:hAnsi="Times New Roman" w:cs="Times New Roman"/>
          <w:lang w:val="en-GB"/>
        </w:rPr>
        <w:t xml:space="preserve"> lifestyle changes to prevent osteoporotic fractures. </w:t>
      </w:r>
    </w:p>
    <w:p w14:paraId="793E898A" w14:textId="09FE3C93" w:rsidR="007D4E5D" w:rsidRPr="007D4E5D" w:rsidRDefault="007D4E5D" w:rsidP="007D4E5D">
      <w:pPr>
        <w:spacing w:line="360" w:lineRule="auto"/>
        <w:jc w:val="both"/>
        <w:rPr>
          <w:rFonts w:ascii="Times New Roman" w:hAnsi="Times New Roman" w:cs="Times New Roman"/>
          <w:lang w:val="en-GB"/>
        </w:rPr>
      </w:pPr>
      <w:r w:rsidRPr="007D4E5D">
        <w:rPr>
          <w:rFonts w:ascii="Times New Roman" w:hAnsi="Times New Roman" w:cs="Times New Roman"/>
          <w:b/>
          <w:bCs/>
          <w:lang w:val="en-GB"/>
        </w:rPr>
        <w:t>Methods</w:t>
      </w:r>
      <w:r w:rsidRPr="007D4E5D">
        <w:rPr>
          <w:rFonts w:ascii="Times New Roman" w:hAnsi="Times New Roman" w:cs="Times New Roman"/>
          <w:lang w:val="en-GB"/>
        </w:rPr>
        <w:t>: A discrete</w:t>
      </w:r>
      <w:r w:rsidR="003B2223">
        <w:rPr>
          <w:rFonts w:ascii="Times New Roman" w:hAnsi="Times New Roman" w:cs="Times New Roman"/>
          <w:lang w:val="en-GB"/>
        </w:rPr>
        <w:t xml:space="preserve"> </w:t>
      </w:r>
      <w:r w:rsidRPr="007D4E5D">
        <w:rPr>
          <w:rFonts w:ascii="Times New Roman" w:hAnsi="Times New Roman" w:cs="Times New Roman"/>
          <w:lang w:val="en-GB"/>
        </w:rPr>
        <w:t xml:space="preserve">choice experiment was conducted in seven European countries. Patients </w:t>
      </w:r>
      <w:r w:rsidR="00501BF1">
        <w:rPr>
          <w:rFonts w:ascii="Times New Roman" w:hAnsi="Times New Roman" w:cs="Times New Roman"/>
          <w:lang w:val="en-GB"/>
        </w:rPr>
        <w:t xml:space="preserve">with or at risk of osteoporosis </w:t>
      </w:r>
      <w:r w:rsidRPr="007D4E5D">
        <w:rPr>
          <w:rFonts w:ascii="Times New Roman" w:hAnsi="Times New Roman" w:cs="Times New Roman"/>
          <w:lang w:val="en-GB"/>
        </w:rPr>
        <w:t xml:space="preserve">were asked </w:t>
      </w:r>
      <w:r w:rsidR="00501BF1">
        <w:rPr>
          <w:rFonts w:ascii="Times New Roman" w:hAnsi="Times New Roman" w:cs="Times New Roman"/>
          <w:lang w:val="en-GB"/>
        </w:rPr>
        <w:t xml:space="preserve">to indicate to what </w:t>
      </w:r>
      <w:r w:rsidR="00E30253">
        <w:rPr>
          <w:rFonts w:ascii="Times New Roman" w:hAnsi="Times New Roman" w:cs="Times New Roman"/>
          <w:lang w:val="en-GB"/>
        </w:rPr>
        <w:t xml:space="preserve">extent </w:t>
      </w:r>
      <w:r w:rsidR="00501BF1">
        <w:rPr>
          <w:rFonts w:ascii="Times New Roman" w:hAnsi="Times New Roman" w:cs="Times New Roman"/>
          <w:lang w:val="en-GB"/>
        </w:rPr>
        <w:t xml:space="preserve">they would be motivated to adhere to 16 lifestyle packages that differed in various levels of 6 attributes. The attributes and levels proposed were: </w:t>
      </w:r>
      <w:r w:rsidRPr="007D4E5D">
        <w:rPr>
          <w:rFonts w:ascii="Times New Roman" w:hAnsi="Times New Roman" w:cs="Times New Roman"/>
          <w:lang w:val="en-GB"/>
        </w:rPr>
        <w:t>physical activity (levels: not included, moderate or high), calcium and vitamin D status (levels: not included, taking supplements</w:t>
      </w:r>
      <w:r w:rsidR="00ED716E">
        <w:rPr>
          <w:rFonts w:ascii="Times New Roman" w:hAnsi="Times New Roman" w:cs="Times New Roman"/>
          <w:lang w:val="en-GB"/>
        </w:rPr>
        <w:t>,</w:t>
      </w:r>
      <w:r w:rsidRPr="007D4E5D">
        <w:rPr>
          <w:rFonts w:ascii="Times New Roman" w:hAnsi="Times New Roman" w:cs="Times New Roman"/>
          <w:lang w:val="en-GB"/>
        </w:rPr>
        <w:t xml:space="preserve"> improv</w:t>
      </w:r>
      <w:r w:rsidR="00816B28">
        <w:rPr>
          <w:rFonts w:ascii="Times New Roman" w:hAnsi="Times New Roman" w:cs="Times New Roman"/>
          <w:lang w:val="en-GB"/>
        </w:rPr>
        <w:t>ing</w:t>
      </w:r>
      <w:r w:rsidRPr="007D4E5D">
        <w:rPr>
          <w:rFonts w:ascii="Times New Roman" w:hAnsi="Times New Roman" w:cs="Times New Roman"/>
          <w:lang w:val="en-GB"/>
        </w:rPr>
        <w:t xml:space="preserve"> nutrition</w:t>
      </w:r>
      <w:r w:rsidR="00816B28">
        <w:rPr>
          <w:rFonts w:ascii="Times New Roman" w:hAnsi="Times New Roman" w:cs="Times New Roman"/>
          <w:lang w:val="en-GB"/>
        </w:rPr>
        <w:t>,</w:t>
      </w:r>
      <w:r w:rsidRPr="007D4E5D">
        <w:rPr>
          <w:rFonts w:ascii="Times New Roman" w:hAnsi="Times New Roman" w:cs="Times New Roman"/>
          <w:lang w:val="en-GB"/>
        </w:rPr>
        <w:t xml:space="preserve"> and assur</w:t>
      </w:r>
      <w:r w:rsidR="00816B28">
        <w:rPr>
          <w:rFonts w:ascii="Times New Roman" w:hAnsi="Times New Roman" w:cs="Times New Roman"/>
          <w:lang w:val="en-GB"/>
        </w:rPr>
        <w:t>ing</w:t>
      </w:r>
      <w:r w:rsidRPr="007D4E5D">
        <w:rPr>
          <w:rFonts w:ascii="Times New Roman" w:hAnsi="Times New Roman" w:cs="Times New Roman"/>
          <w:lang w:val="en-GB"/>
        </w:rPr>
        <w:t xml:space="preserve"> a minimal </w:t>
      </w:r>
      <w:r w:rsidR="00816B28">
        <w:rPr>
          <w:rFonts w:ascii="Times New Roman" w:hAnsi="Times New Roman" w:cs="Times New Roman"/>
          <w:lang w:val="en-GB"/>
        </w:rPr>
        <w:t xml:space="preserve">exposure to sunlight </w:t>
      </w:r>
      <w:r w:rsidRPr="007D4E5D">
        <w:rPr>
          <w:rFonts w:ascii="Times New Roman" w:hAnsi="Times New Roman" w:cs="Times New Roman"/>
          <w:lang w:val="en-GB"/>
        </w:rPr>
        <w:t>daily), smoking (levels: not included</w:t>
      </w:r>
      <w:r w:rsidR="00ED716E">
        <w:rPr>
          <w:rFonts w:ascii="Times New Roman" w:hAnsi="Times New Roman" w:cs="Times New Roman"/>
          <w:lang w:val="en-GB"/>
        </w:rPr>
        <w:t xml:space="preserve">, </w:t>
      </w:r>
      <w:r w:rsidRPr="007D4E5D">
        <w:rPr>
          <w:rFonts w:ascii="Times New Roman" w:hAnsi="Times New Roman" w:cs="Times New Roman"/>
          <w:lang w:val="en-GB"/>
        </w:rPr>
        <w:t>quit smoking), alcohol (levels: not included</w:t>
      </w:r>
      <w:r w:rsidR="00ED716E">
        <w:rPr>
          <w:rFonts w:ascii="Times New Roman" w:hAnsi="Times New Roman" w:cs="Times New Roman"/>
          <w:lang w:val="en-GB"/>
        </w:rPr>
        <w:t>,</w:t>
      </w:r>
      <w:r w:rsidRPr="007D4E5D">
        <w:rPr>
          <w:rFonts w:ascii="Times New Roman" w:hAnsi="Times New Roman" w:cs="Times New Roman"/>
          <w:lang w:val="en-GB"/>
        </w:rPr>
        <w:t xml:space="preserve">  moderate consumption), weight reduction (levels: not included</w:t>
      </w:r>
      <w:r w:rsidR="00ED716E">
        <w:rPr>
          <w:rFonts w:ascii="Times New Roman" w:hAnsi="Times New Roman" w:cs="Times New Roman"/>
          <w:lang w:val="en-GB"/>
        </w:rPr>
        <w:t>,</w:t>
      </w:r>
      <w:r w:rsidRPr="007D4E5D">
        <w:rPr>
          <w:rFonts w:ascii="Times New Roman" w:hAnsi="Times New Roman" w:cs="Times New Roman"/>
          <w:lang w:val="en-GB"/>
        </w:rPr>
        <w:t xml:space="preserve"> ensure a healthy body weight) and fall prevention (levels: not included, receiv</w:t>
      </w:r>
      <w:r w:rsidR="00816B28">
        <w:rPr>
          <w:rFonts w:ascii="Times New Roman" w:hAnsi="Times New Roman" w:cs="Times New Roman"/>
          <w:lang w:val="en-GB"/>
        </w:rPr>
        <w:t>ing</w:t>
      </w:r>
      <w:r w:rsidRPr="007D4E5D">
        <w:rPr>
          <w:rFonts w:ascii="Times New Roman" w:hAnsi="Times New Roman" w:cs="Times New Roman"/>
          <w:lang w:val="en-GB"/>
        </w:rPr>
        <w:t xml:space="preserve"> general advice</w:t>
      </w:r>
      <w:r w:rsidR="00ED716E">
        <w:rPr>
          <w:rFonts w:ascii="Times New Roman" w:hAnsi="Times New Roman" w:cs="Times New Roman"/>
          <w:lang w:val="en-GB"/>
        </w:rPr>
        <w:t>,</w:t>
      </w:r>
      <w:r w:rsidRPr="007D4E5D">
        <w:rPr>
          <w:rFonts w:ascii="Times New Roman" w:hAnsi="Times New Roman" w:cs="Times New Roman"/>
          <w:lang w:val="en-GB"/>
        </w:rPr>
        <w:t xml:space="preserve"> </w:t>
      </w:r>
      <w:r w:rsidR="00816B28">
        <w:rPr>
          <w:rFonts w:ascii="Times New Roman" w:hAnsi="Times New Roman" w:cs="Times New Roman"/>
          <w:lang w:val="en-GB"/>
        </w:rPr>
        <w:t xml:space="preserve">or </w:t>
      </w:r>
      <w:r w:rsidRPr="007D4E5D">
        <w:rPr>
          <w:rFonts w:ascii="Times New Roman" w:hAnsi="Times New Roman" w:cs="Times New Roman"/>
          <w:lang w:val="en-GB"/>
        </w:rPr>
        <w:t>following a one-day</w:t>
      </w:r>
      <w:r w:rsidR="00ED716E">
        <w:rPr>
          <w:rFonts w:ascii="Times New Roman" w:hAnsi="Times New Roman" w:cs="Times New Roman"/>
          <w:lang w:val="en-GB"/>
        </w:rPr>
        <w:t xml:space="preserve"> falls</w:t>
      </w:r>
      <w:r w:rsidRPr="007D4E5D">
        <w:rPr>
          <w:rFonts w:ascii="Times New Roman" w:hAnsi="Times New Roman" w:cs="Times New Roman"/>
          <w:lang w:val="en-GB"/>
        </w:rPr>
        <w:t xml:space="preserve"> prevention program). A c</w:t>
      </w:r>
      <w:r w:rsidRPr="007D4E5D">
        <w:rPr>
          <w:rFonts w:ascii="Times New Roman" w:hAnsi="Times New Roman" w:cs="Times New Roman"/>
          <w:color w:val="000000"/>
          <w:shd w:val="clear" w:color="auto" w:fill="FDFCFA"/>
          <w:lang w:val="en-GB"/>
        </w:rPr>
        <w:t xml:space="preserve">onditional logit model was used to estimate </w:t>
      </w:r>
      <w:r w:rsidR="00816B28">
        <w:rPr>
          <w:rFonts w:ascii="Times New Roman" w:hAnsi="Times New Roman" w:cs="Times New Roman"/>
          <w:color w:val="000000"/>
          <w:shd w:val="clear" w:color="auto" w:fill="FDFCFA"/>
          <w:lang w:val="en-GB"/>
        </w:rPr>
        <w:t xml:space="preserve">a </w:t>
      </w:r>
      <w:r w:rsidRPr="007D4E5D">
        <w:rPr>
          <w:rFonts w:ascii="Times New Roman" w:hAnsi="Times New Roman" w:cs="Times New Roman"/>
          <w:color w:val="000000"/>
          <w:shd w:val="clear" w:color="auto" w:fill="FDFCFA"/>
          <w:lang w:val="en-GB"/>
        </w:rPr>
        <w:t xml:space="preserve">patient’s </w:t>
      </w:r>
      <w:r w:rsidR="00501BF1">
        <w:rPr>
          <w:rFonts w:ascii="Times New Roman" w:hAnsi="Times New Roman" w:cs="Times New Roman"/>
          <w:color w:val="000000"/>
          <w:shd w:val="clear" w:color="auto" w:fill="FDFCFA"/>
          <w:lang w:val="en-GB"/>
        </w:rPr>
        <w:t xml:space="preserve">relative </w:t>
      </w:r>
      <w:r w:rsidRPr="007D4E5D">
        <w:rPr>
          <w:rFonts w:ascii="Times New Roman" w:hAnsi="Times New Roman" w:cs="Times New Roman"/>
          <w:color w:val="000000"/>
          <w:shd w:val="clear" w:color="auto" w:fill="FDFCFA"/>
          <w:lang w:val="en-GB"/>
        </w:rPr>
        <w:t xml:space="preserve">preferences </w:t>
      </w:r>
      <w:r w:rsidR="00501BF1">
        <w:rPr>
          <w:rFonts w:ascii="Times New Roman" w:hAnsi="Times New Roman" w:cs="Times New Roman"/>
          <w:color w:val="000000"/>
          <w:shd w:val="clear" w:color="auto" w:fill="FDFCFA"/>
          <w:lang w:val="en-GB"/>
        </w:rPr>
        <w:t xml:space="preserve">for the various attributes </w:t>
      </w:r>
      <w:r w:rsidR="00E34760">
        <w:rPr>
          <w:rFonts w:ascii="Times New Roman" w:hAnsi="Times New Roman" w:cs="Times New Roman"/>
          <w:color w:val="000000"/>
          <w:shd w:val="clear" w:color="auto" w:fill="FDFCFA"/>
          <w:lang w:val="en-GB"/>
        </w:rPr>
        <w:t>across</w:t>
      </w:r>
      <w:r w:rsidR="00E34760" w:rsidRPr="007D4E5D">
        <w:rPr>
          <w:rFonts w:ascii="Times New Roman" w:hAnsi="Times New Roman" w:cs="Times New Roman"/>
          <w:color w:val="000000"/>
          <w:shd w:val="clear" w:color="auto" w:fill="FDFCFA"/>
          <w:lang w:val="en-GB"/>
        </w:rPr>
        <w:t xml:space="preserve"> </w:t>
      </w:r>
      <w:r w:rsidRPr="007D4E5D">
        <w:rPr>
          <w:rFonts w:ascii="Times New Roman" w:hAnsi="Times New Roman" w:cs="Times New Roman"/>
          <w:color w:val="000000"/>
          <w:shd w:val="clear" w:color="auto" w:fill="FDFCFA"/>
          <w:lang w:val="en-GB"/>
        </w:rPr>
        <w:t xml:space="preserve">all participants and per country. </w:t>
      </w:r>
    </w:p>
    <w:p w14:paraId="6F2F78A7" w14:textId="578D2D7E" w:rsidR="007D4E5D" w:rsidRPr="007D4E5D" w:rsidRDefault="007D4E5D" w:rsidP="007D4E5D">
      <w:pPr>
        <w:spacing w:line="360" w:lineRule="auto"/>
        <w:jc w:val="both"/>
        <w:rPr>
          <w:rFonts w:ascii="Times New Roman" w:hAnsi="Times New Roman" w:cs="Times New Roman"/>
          <w:lang w:val="en-GB"/>
        </w:rPr>
      </w:pPr>
      <w:r w:rsidRPr="007D4E5D">
        <w:rPr>
          <w:rFonts w:ascii="Times New Roman" w:hAnsi="Times New Roman" w:cs="Times New Roman"/>
          <w:b/>
          <w:bCs/>
          <w:lang w:val="en-GB"/>
        </w:rPr>
        <w:t>Results:</w:t>
      </w:r>
      <w:r w:rsidRPr="007D4E5D">
        <w:rPr>
          <w:rFonts w:ascii="Times New Roman" w:hAnsi="Times New Roman" w:cs="Times New Roman"/>
          <w:lang w:val="en-GB"/>
        </w:rPr>
        <w:t xml:space="preserve"> In total, 1</w:t>
      </w:r>
      <w:r w:rsidR="00A66359">
        <w:rPr>
          <w:rFonts w:ascii="Times New Roman" w:hAnsi="Times New Roman" w:cs="Times New Roman"/>
          <w:lang w:val="en-GB"/>
        </w:rPr>
        <w:t>,</w:t>
      </w:r>
      <w:r w:rsidRPr="007D4E5D">
        <w:rPr>
          <w:rFonts w:ascii="Times New Roman" w:hAnsi="Times New Roman" w:cs="Times New Roman"/>
          <w:lang w:val="en-GB"/>
        </w:rPr>
        <w:t>042 patients completed the questionnaire</w:t>
      </w:r>
      <w:r w:rsidR="001A188D">
        <w:rPr>
          <w:rFonts w:ascii="Times New Roman" w:hAnsi="Times New Roman" w:cs="Times New Roman"/>
          <w:lang w:val="en-GB"/>
        </w:rPr>
        <w:t xml:space="preserve">. </w:t>
      </w:r>
      <w:r w:rsidRPr="007D4E5D">
        <w:rPr>
          <w:rFonts w:ascii="Times New Roman" w:hAnsi="Times New Roman" w:cs="Times New Roman"/>
          <w:lang w:val="en-GB"/>
        </w:rPr>
        <w:t xml:space="preserve">Overall, patients were favourable to lifestyle </w:t>
      </w:r>
      <w:r w:rsidR="00C63E0D">
        <w:rPr>
          <w:rFonts w:ascii="Times New Roman" w:hAnsi="Times New Roman" w:cs="Times New Roman"/>
          <w:lang w:val="en-GB"/>
        </w:rPr>
        <w:t>behaviours</w:t>
      </w:r>
      <w:r w:rsidR="00C63E0D" w:rsidRPr="007D4E5D">
        <w:rPr>
          <w:rFonts w:ascii="Times New Roman" w:hAnsi="Times New Roman" w:cs="Times New Roman"/>
          <w:lang w:val="en-GB"/>
        </w:rPr>
        <w:t xml:space="preserve"> </w:t>
      </w:r>
      <w:r w:rsidRPr="007D4E5D">
        <w:rPr>
          <w:rFonts w:ascii="Times New Roman" w:hAnsi="Times New Roman" w:cs="Times New Roman"/>
          <w:lang w:val="en-GB"/>
        </w:rPr>
        <w:t>for preventing osteoporotic fractures</w:t>
      </w:r>
      <w:r w:rsidR="001A188D">
        <w:rPr>
          <w:rFonts w:ascii="Times New Roman" w:hAnsi="Times New Roman" w:cs="Times New Roman"/>
          <w:lang w:val="en-GB"/>
        </w:rPr>
        <w:t xml:space="preserve">. </w:t>
      </w:r>
      <w:r w:rsidRPr="007D4E5D">
        <w:rPr>
          <w:rFonts w:ascii="Times New Roman" w:hAnsi="Times New Roman" w:cs="Times New Roman"/>
          <w:lang w:val="en-GB"/>
        </w:rPr>
        <w:t xml:space="preserve">However, among the lifestyle </w:t>
      </w:r>
      <w:r w:rsidR="00AF3B74">
        <w:rPr>
          <w:rFonts w:ascii="Times New Roman" w:hAnsi="Times New Roman" w:cs="Times New Roman"/>
          <w:lang w:val="en-GB"/>
        </w:rPr>
        <w:t>behaviours</w:t>
      </w:r>
      <w:r w:rsidRPr="007D4E5D">
        <w:rPr>
          <w:rFonts w:ascii="Times New Roman" w:hAnsi="Times New Roman" w:cs="Times New Roman"/>
          <w:lang w:val="en-GB"/>
        </w:rPr>
        <w:t xml:space="preserve"> proposed, patients were </w:t>
      </w:r>
      <w:r w:rsidR="00260182">
        <w:rPr>
          <w:rFonts w:ascii="Times New Roman" w:hAnsi="Times New Roman" w:cs="Times New Roman"/>
          <w:lang w:val="en-GB"/>
        </w:rPr>
        <w:t xml:space="preserve">consensually </w:t>
      </w:r>
      <w:r w:rsidRPr="007D4E5D">
        <w:rPr>
          <w:rFonts w:ascii="Times New Roman" w:hAnsi="Times New Roman" w:cs="Times New Roman"/>
          <w:lang w:val="en-GB"/>
        </w:rPr>
        <w:t xml:space="preserve">not prone to engage in </w:t>
      </w:r>
      <w:r w:rsidR="00797F99">
        <w:rPr>
          <w:rFonts w:ascii="Times New Roman" w:hAnsi="Times New Roman" w:cs="Times New Roman"/>
          <w:lang w:val="en-GB"/>
        </w:rPr>
        <w:t xml:space="preserve">a </w:t>
      </w:r>
      <w:r w:rsidRPr="007D4E5D">
        <w:rPr>
          <w:rFonts w:ascii="Times New Roman" w:hAnsi="Times New Roman" w:cs="Times New Roman"/>
          <w:lang w:val="en-GB"/>
        </w:rPr>
        <w:t xml:space="preserve">high </w:t>
      </w:r>
      <w:r w:rsidR="00797F99">
        <w:rPr>
          <w:rFonts w:ascii="Times New Roman" w:hAnsi="Times New Roman" w:cs="Times New Roman"/>
          <w:lang w:val="en-GB"/>
        </w:rPr>
        <w:t xml:space="preserve">level of </w:t>
      </w:r>
      <w:r w:rsidRPr="007D4E5D">
        <w:rPr>
          <w:rFonts w:ascii="Times New Roman" w:hAnsi="Times New Roman" w:cs="Times New Roman"/>
          <w:lang w:val="en-GB"/>
        </w:rPr>
        <w:t>physical activity</w:t>
      </w:r>
      <w:r w:rsidR="00363D0F">
        <w:rPr>
          <w:rFonts w:ascii="Times New Roman" w:hAnsi="Times New Roman" w:cs="Times New Roman"/>
          <w:lang w:val="en-GB"/>
        </w:rPr>
        <w:t xml:space="preserve">. </w:t>
      </w:r>
      <w:r w:rsidR="00797F99">
        <w:rPr>
          <w:rFonts w:ascii="Times New Roman" w:hAnsi="Times New Roman" w:cs="Times New Roman"/>
          <w:lang w:val="en-GB"/>
        </w:rPr>
        <w:t>In a</w:t>
      </w:r>
      <w:r w:rsidR="00AF3B74">
        <w:rPr>
          <w:rFonts w:ascii="Times New Roman" w:hAnsi="Times New Roman" w:cs="Times New Roman"/>
          <w:lang w:val="en-GB"/>
        </w:rPr>
        <w:t>ddition, i</w:t>
      </w:r>
      <w:r w:rsidRPr="007D4E5D">
        <w:rPr>
          <w:rFonts w:ascii="Times New Roman" w:hAnsi="Times New Roman" w:cs="Times New Roman"/>
          <w:lang w:val="en-GB"/>
        </w:rPr>
        <w:t xml:space="preserve">n Ireland, Belgium, the Netherlands and Switzerland, patients were </w:t>
      </w:r>
      <w:r w:rsidR="00AF3B74">
        <w:rPr>
          <w:rFonts w:ascii="Times New Roman" w:hAnsi="Times New Roman" w:cs="Times New Roman"/>
          <w:lang w:val="en-GB"/>
        </w:rPr>
        <w:t xml:space="preserve">also </w:t>
      </w:r>
      <w:r w:rsidRPr="007D4E5D">
        <w:rPr>
          <w:rFonts w:ascii="Times New Roman" w:hAnsi="Times New Roman" w:cs="Times New Roman"/>
          <w:lang w:val="en-GB"/>
        </w:rPr>
        <w:t xml:space="preserve">not </w:t>
      </w:r>
      <w:r w:rsidR="004B118B">
        <w:rPr>
          <w:rFonts w:ascii="Times New Roman" w:hAnsi="Times New Roman" w:cs="Times New Roman"/>
          <w:lang w:val="en-GB"/>
        </w:rPr>
        <w:t>inclined</w:t>
      </w:r>
      <w:r w:rsidRPr="007D4E5D">
        <w:rPr>
          <w:rFonts w:ascii="Times New Roman" w:hAnsi="Times New Roman" w:cs="Times New Roman"/>
          <w:lang w:val="en-GB"/>
        </w:rPr>
        <w:t xml:space="preserve"> to </w:t>
      </w:r>
      <w:r w:rsidR="00CD5160">
        <w:rPr>
          <w:rFonts w:ascii="Times New Roman" w:hAnsi="Times New Roman" w:cs="Times New Roman"/>
          <w:lang w:val="en-GB"/>
        </w:rPr>
        <w:t>participate in</w:t>
      </w:r>
      <w:r w:rsidR="00E34760" w:rsidRPr="007D4E5D">
        <w:rPr>
          <w:rFonts w:ascii="Times New Roman" w:hAnsi="Times New Roman" w:cs="Times New Roman"/>
          <w:lang w:val="en-GB"/>
        </w:rPr>
        <w:t xml:space="preserve"> </w:t>
      </w:r>
      <w:r w:rsidRPr="007D4E5D">
        <w:rPr>
          <w:rFonts w:ascii="Times New Roman" w:hAnsi="Times New Roman" w:cs="Times New Roman"/>
          <w:lang w:val="en-GB"/>
        </w:rPr>
        <w:t>a one-day falls prevention program</w:t>
      </w:r>
      <w:r w:rsidR="00AF3B74">
        <w:rPr>
          <w:rFonts w:ascii="Times New Roman" w:hAnsi="Times New Roman" w:cs="Times New Roman"/>
          <w:lang w:val="en-GB"/>
        </w:rPr>
        <w:t xml:space="preserve"> and </w:t>
      </w:r>
      <w:r w:rsidRPr="007D4E5D">
        <w:rPr>
          <w:rFonts w:ascii="Times New Roman" w:hAnsi="Times New Roman" w:cs="Times New Roman"/>
          <w:lang w:val="en-GB"/>
        </w:rPr>
        <w:t xml:space="preserve">Belgian, Swiss and Dutch patients were not prone to </w:t>
      </w:r>
      <w:r w:rsidR="00E34760">
        <w:rPr>
          <w:rFonts w:ascii="Times New Roman" w:hAnsi="Times New Roman" w:cs="Times New Roman"/>
          <w:lang w:val="en-GB"/>
        </w:rPr>
        <w:t>adhere to a</w:t>
      </w:r>
      <w:r w:rsidR="004B118B">
        <w:rPr>
          <w:rFonts w:ascii="Times New Roman" w:hAnsi="Times New Roman" w:cs="Times New Roman"/>
          <w:lang w:val="en-GB"/>
        </w:rPr>
        <w:t xml:space="preserve"> well-balanced</w:t>
      </w:r>
      <w:r w:rsidR="00797F99">
        <w:rPr>
          <w:rFonts w:ascii="Times New Roman" w:hAnsi="Times New Roman" w:cs="Times New Roman"/>
          <w:lang w:val="en-GB"/>
        </w:rPr>
        <w:t xml:space="preserve"> </w:t>
      </w:r>
      <w:r w:rsidR="00E34760">
        <w:rPr>
          <w:rFonts w:ascii="Times New Roman" w:hAnsi="Times New Roman" w:cs="Times New Roman"/>
          <w:lang w:val="en-GB"/>
        </w:rPr>
        <w:t>nutrition</w:t>
      </w:r>
      <w:r w:rsidR="004B118B">
        <w:rPr>
          <w:rFonts w:ascii="Times New Roman" w:hAnsi="Times New Roman" w:cs="Times New Roman"/>
          <w:lang w:val="en-GB"/>
        </w:rPr>
        <w:t>al program</w:t>
      </w:r>
      <w:r w:rsidR="00260182">
        <w:rPr>
          <w:rFonts w:ascii="Times New Roman" w:hAnsi="Times New Roman" w:cs="Times New Roman"/>
          <w:lang w:val="en-GB"/>
        </w:rPr>
        <w:t>.</w:t>
      </w:r>
      <w:r w:rsidRPr="007D4E5D">
        <w:rPr>
          <w:rFonts w:ascii="Times New Roman" w:hAnsi="Times New Roman" w:cs="Times New Roman"/>
          <w:lang w:val="en-GB"/>
        </w:rPr>
        <w:t xml:space="preserve"> </w:t>
      </w:r>
      <w:r w:rsidR="00260182">
        <w:rPr>
          <w:rFonts w:ascii="Times New Roman" w:hAnsi="Times New Roman" w:cs="Times New Roman"/>
          <w:lang w:val="en-GB"/>
        </w:rPr>
        <w:t>Nevertheless,</w:t>
      </w:r>
      <w:r w:rsidRPr="007D4E5D">
        <w:rPr>
          <w:rFonts w:ascii="Times New Roman" w:hAnsi="Times New Roman" w:cs="Times New Roman"/>
          <w:lang w:val="en-GB"/>
        </w:rPr>
        <w:t xml:space="preserve"> we observed </w:t>
      </w:r>
      <w:r w:rsidR="00260182">
        <w:rPr>
          <w:rFonts w:ascii="Times New Roman" w:hAnsi="Times New Roman" w:cs="Times New Roman"/>
          <w:lang w:val="en-GB"/>
        </w:rPr>
        <w:t xml:space="preserve">globally </w:t>
      </w:r>
      <w:r w:rsidR="00797F99">
        <w:rPr>
          <w:rFonts w:ascii="Times New Roman" w:hAnsi="Times New Roman" w:cs="Times New Roman"/>
          <w:lang w:val="en-GB"/>
        </w:rPr>
        <w:t>that</w:t>
      </w:r>
      <w:r w:rsidRPr="007D4E5D">
        <w:rPr>
          <w:rFonts w:ascii="Times New Roman" w:hAnsi="Times New Roman" w:cs="Times New Roman"/>
          <w:lang w:val="en-GB"/>
        </w:rPr>
        <w:t xml:space="preserve"> patient</w:t>
      </w:r>
      <w:r w:rsidR="00EB5817">
        <w:rPr>
          <w:rFonts w:ascii="Times New Roman" w:hAnsi="Times New Roman" w:cs="Times New Roman"/>
          <w:lang w:val="en-GB"/>
        </w:rPr>
        <w:t>s felt positively about</w:t>
      </w:r>
      <w:r w:rsidRPr="007D4E5D">
        <w:rPr>
          <w:rFonts w:ascii="Times New Roman" w:hAnsi="Times New Roman" w:cs="Times New Roman"/>
          <w:lang w:val="en-GB"/>
        </w:rPr>
        <w:t xml:space="preserve"> reduc</w:t>
      </w:r>
      <w:r w:rsidR="00EB5817">
        <w:rPr>
          <w:rFonts w:ascii="Times New Roman" w:hAnsi="Times New Roman" w:cs="Times New Roman"/>
          <w:lang w:val="en-GB"/>
        </w:rPr>
        <w:t>ing</w:t>
      </w:r>
      <w:r w:rsidRPr="007D4E5D">
        <w:rPr>
          <w:rFonts w:ascii="Times New Roman" w:hAnsi="Times New Roman" w:cs="Times New Roman"/>
          <w:lang w:val="en-GB"/>
        </w:rPr>
        <w:t xml:space="preserve"> their alcohol consumption, engag</w:t>
      </w:r>
      <w:r w:rsidR="00EB5817">
        <w:rPr>
          <w:rFonts w:ascii="Times New Roman" w:hAnsi="Times New Roman" w:cs="Times New Roman"/>
          <w:lang w:val="en-GB"/>
        </w:rPr>
        <w:t>ing</w:t>
      </w:r>
      <w:r w:rsidRPr="007D4E5D">
        <w:rPr>
          <w:rFonts w:ascii="Times New Roman" w:hAnsi="Times New Roman" w:cs="Times New Roman"/>
          <w:lang w:val="en-GB"/>
        </w:rPr>
        <w:t xml:space="preserve"> in moderate physical activity, taking calcium and vitamin D supplements and ensur</w:t>
      </w:r>
      <w:r w:rsidR="00EB5817">
        <w:rPr>
          <w:rFonts w:ascii="Times New Roman" w:hAnsi="Times New Roman" w:cs="Times New Roman"/>
          <w:lang w:val="en-GB"/>
        </w:rPr>
        <w:t>ing</w:t>
      </w:r>
      <w:r w:rsidRPr="007D4E5D">
        <w:rPr>
          <w:rFonts w:ascii="Times New Roman" w:hAnsi="Times New Roman" w:cs="Times New Roman"/>
          <w:lang w:val="en-GB"/>
        </w:rPr>
        <w:t xml:space="preserve"> a normal body weight</w:t>
      </w:r>
      <w:r w:rsidR="00EB5817">
        <w:rPr>
          <w:rFonts w:ascii="Times New Roman" w:hAnsi="Times New Roman" w:cs="Times New Roman"/>
          <w:lang w:val="en-GB"/>
        </w:rPr>
        <w:t>, all measures aimed at</w:t>
      </w:r>
      <w:r w:rsidRPr="007D4E5D">
        <w:rPr>
          <w:rFonts w:ascii="Times New Roman" w:hAnsi="Times New Roman" w:cs="Times New Roman"/>
          <w:lang w:val="en-GB"/>
        </w:rPr>
        <w:t xml:space="preserve"> preventing fractures. </w:t>
      </w:r>
    </w:p>
    <w:p w14:paraId="0B3492E3" w14:textId="1DBB4754" w:rsidR="007D4E5D" w:rsidRPr="007D4E5D" w:rsidRDefault="007D4E5D" w:rsidP="007D4E5D">
      <w:pPr>
        <w:spacing w:line="360" w:lineRule="auto"/>
        <w:jc w:val="both"/>
        <w:rPr>
          <w:rFonts w:ascii="Times New Roman" w:hAnsi="Times New Roman" w:cs="Times New Roman"/>
          <w:b/>
          <w:bCs/>
          <w:lang w:val="en-GB"/>
        </w:rPr>
      </w:pPr>
      <w:r w:rsidRPr="007D4E5D">
        <w:rPr>
          <w:rFonts w:ascii="Times New Roman" w:hAnsi="Times New Roman" w:cs="Times New Roman"/>
          <w:b/>
          <w:bCs/>
          <w:lang w:val="en-GB"/>
        </w:rPr>
        <w:t xml:space="preserve">Conclusions: </w:t>
      </w:r>
      <w:r w:rsidRPr="007D4E5D">
        <w:rPr>
          <w:rFonts w:ascii="Times New Roman" w:hAnsi="Times New Roman" w:cs="Times New Roman"/>
          <w:lang w:val="en-GB"/>
        </w:rPr>
        <w:t xml:space="preserve">In a  patient-centred approach, fracture prevention should take these considerations and preferences into account. </w:t>
      </w:r>
    </w:p>
    <w:p w14:paraId="61F4A84E" w14:textId="77777777" w:rsidR="00003110" w:rsidRDefault="00003110">
      <w:pPr>
        <w:rPr>
          <w:rFonts w:ascii="Times New Roman" w:hAnsi="Times New Roman" w:cs="Times New Roman"/>
          <w:b/>
          <w:bCs/>
          <w:lang w:val="en-GB"/>
        </w:rPr>
      </w:pPr>
    </w:p>
    <w:p w14:paraId="3FBCD75E" w14:textId="2DE6FCF2" w:rsidR="00003110" w:rsidRDefault="00003110" w:rsidP="00003110">
      <w:pPr>
        <w:spacing w:line="360" w:lineRule="auto"/>
        <w:jc w:val="both"/>
        <w:rPr>
          <w:rFonts w:ascii="Times New Roman" w:hAnsi="Times New Roman" w:cs="Times New Roman"/>
          <w:b/>
          <w:bCs/>
          <w:smallCaps/>
          <w:lang w:val="en-GB"/>
        </w:rPr>
      </w:pPr>
      <w:r w:rsidRPr="00003110">
        <w:rPr>
          <w:rFonts w:ascii="Times New Roman" w:hAnsi="Times New Roman" w:cs="Times New Roman"/>
          <w:b/>
          <w:bCs/>
          <w:smallCaps/>
          <w:lang w:val="en-GB"/>
        </w:rPr>
        <w:t>Keywords</w:t>
      </w:r>
    </w:p>
    <w:p w14:paraId="1182A556" w14:textId="78F9F491" w:rsidR="00003110" w:rsidRPr="00003110" w:rsidRDefault="00003110" w:rsidP="00003110">
      <w:pPr>
        <w:spacing w:line="360" w:lineRule="auto"/>
        <w:jc w:val="both"/>
        <w:rPr>
          <w:rFonts w:ascii="Times New Roman" w:hAnsi="Times New Roman" w:cs="Times New Roman"/>
          <w:lang w:val="en-GB"/>
        </w:rPr>
      </w:pPr>
      <w:r w:rsidRPr="00003110">
        <w:rPr>
          <w:rFonts w:ascii="Times New Roman" w:hAnsi="Times New Roman" w:cs="Times New Roman"/>
          <w:lang w:val="en-GB"/>
        </w:rPr>
        <w:t xml:space="preserve">Osteoporosis; </w:t>
      </w:r>
      <w:r w:rsidR="00C63E0D">
        <w:rPr>
          <w:rFonts w:ascii="Times New Roman" w:hAnsi="Times New Roman" w:cs="Times New Roman"/>
          <w:lang w:val="en-GB"/>
        </w:rPr>
        <w:t xml:space="preserve">Fractures ; </w:t>
      </w:r>
      <w:r w:rsidRPr="00003110">
        <w:rPr>
          <w:rFonts w:ascii="Times New Roman" w:hAnsi="Times New Roman" w:cs="Times New Roman"/>
          <w:lang w:val="en-GB"/>
        </w:rPr>
        <w:t xml:space="preserve">Lifestyle; </w:t>
      </w:r>
      <w:r>
        <w:rPr>
          <w:rFonts w:ascii="Times New Roman" w:hAnsi="Times New Roman" w:cs="Times New Roman"/>
          <w:lang w:val="en-GB"/>
        </w:rPr>
        <w:t>P</w:t>
      </w:r>
      <w:r w:rsidRPr="00003110">
        <w:rPr>
          <w:rFonts w:ascii="Times New Roman" w:hAnsi="Times New Roman" w:cs="Times New Roman"/>
          <w:lang w:val="en-GB"/>
        </w:rPr>
        <w:t xml:space="preserve">atients’ preferences; Discrete </w:t>
      </w:r>
      <w:r>
        <w:rPr>
          <w:rFonts w:ascii="Times New Roman" w:hAnsi="Times New Roman" w:cs="Times New Roman"/>
          <w:lang w:val="en-GB"/>
        </w:rPr>
        <w:t>Choice Experiment</w:t>
      </w:r>
    </w:p>
    <w:p w14:paraId="04FEF097" w14:textId="77777777" w:rsidR="00AD61BA" w:rsidRDefault="00AD61BA" w:rsidP="00003110">
      <w:pPr>
        <w:spacing w:line="360" w:lineRule="auto"/>
        <w:jc w:val="both"/>
        <w:rPr>
          <w:rFonts w:ascii="Times New Roman" w:hAnsi="Times New Roman" w:cs="Times New Roman"/>
          <w:b/>
          <w:bCs/>
          <w:smallCaps/>
          <w:lang w:val="en-GB"/>
        </w:rPr>
      </w:pPr>
    </w:p>
    <w:p w14:paraId="1CC91F78" w14:textId="59935A60" w:rsidR="00003110" w:rsidRDefault="00003110" w:rsidP="00003110">
      <w:pPr>
        <w:spacing w:line="360" w:lineRule="auto"/>
        <w:jc w:val="both"/>
        <w:rPr>
          <w:rFonts w:ascii="Times New Roman" w:hAnsi="Times New Roman" w:cs="Times New Roman"/>
          <w:b/>
          <w:bCs/>
          <w:smallCaps/>
          <w:lang w:val="en-GB"/>
        </w:rPr>
      </w:pPr>
      <w:r w:rsidRPr="00003110">
        <w:rPr>
          <w:rFonts w:ascii="Times New Roman" w:hAnsi="Times New Roman" w:cs="Times New Roman"/>
          <w:b/>
          <w:bCs/>
          <w:smallCaps/>
          <w:lang w:val="en-GB"/>
        </w:rPr>
        <w:t>Mini abstract</w:t>
      </w:r>
    </w:p>
    <w:p w14:paraId="6E474072" w14:textId="57E79318" w:rsidR="00003110" w:rsidRPr="00003110" w:rsidRDefault="00AD61BA" w:rsidP="00003110">
      <w:pPr>
        <w:spacing w:line="360" w:lineRule="auto"/>
        <w:jc w:val="both"/>
        <w:rPr>
          <w:rFonts w:ascii="Times New Roman" w:hAnsi="Times New Roman" w:cs="Times New Roman"/>
          <w:b/>
          <w:bCs/>
          <w:smallCaps/>
          <w:lang w:val="en-GB"/>
        </w:rPr>
      </w:pPr>
      <w:r>
        <w:rPr>
          <w:rFonts w:ascii="Times New Roman" w:hAnsi="Times New Roman" w:cs="Times New Roman"/>
          <w:lang w:val="en-GB"/>
        </w:rPr>
        <w:t>Using a Discrete Choice Experiment, we</w:t>
      </w:r>
      <w:r w:rsidR="00003110" w:rsidRPr="007D4E5D">
        <w:rPr>
          <w:rFonts w:ascii="Times New Roman" w:hAnsi="Times New Roman" w:cs="Times New Roman"/>
          <w:lang w:val="en-GB"/>
        </w:rPr>
        <w:t xml:space="preserve"> aimed to assess patients’ preference</w:t>
      </w:r>
      <w:r w:rsidR="00A66359">
        <w:rPr>
          <w:rFonts w:ascii="Times New Roman" w:hAnsi="Times New Roman" w:cs="Times New Roman"/>
          <w:lang w:val="en-GB"/>
        </w:rPr>
        <w:t>s</w:t>
      </w:r>
      <w:r w:rsidR="00003110" w:rsidRPr="007D4E5D">
        <w:rPr>
          <w:rFonts w:ascii="Times New Roman" w:hAnsi="Times New Roman" w:cs="Times New Roman"/>
          <w:lang w:val="en-GB"/>
        </w:rPr>
        <w:t xml:space="preserve"> </w:t>
      </w:r>
      <w:r w:rsidR="00A66359">
        <w:rPr>
          <w:rFonts w:ascii="Times New Roman" w:hAnsi="Times New Roman" w:cs="Times New Roman"/>
          <w:lang w:val="en-GB"/>
        </w:rPr>
        <w:t>with regard to</w:t>
      </w:r>
      <w:r w:rsidR="00003110" w:rsidRPr="007D4E5D">
        <w:rPr>
          <w:rFonts w:ascii="Times New Roman" w:hAnsi="Times New Roman" w:cs="Times New Roman"/>
          <w:lang w:val="en-GB"/>
        </w:rPr>
        <w:t xml:space="preserve"> adopt</w:t>
      </w:r>
      <w:r w:rsidR="00A66359">
        <w:rPr>
          <w:rFonts w:ascii="Times New Roman" w:hAnsi="Times New Roman" w:cs="Times New Roman"/>
          <w:lang w:val="en-GB"/>
        </w:rPr>
        <w:t>ing</w:t>
      </w:r>
      <w:r w:rsidR="00003110" w:rsidRPr="007D4E5D">
        <w:rPr>
          <w:rFonts w:ascii="Times New Roman" w:hAnsi="Times New Roman" w:cs="Times New Roman"/>
          <w:lang w:val="en-GB"/>
        </w:rPr>
        <w:t xml:space="preserve"> lifestyle </w:t>
      </w:r>
      <w:r w:rsidR="00C63E0D">
        <w:rPr>
          <w:rFonts w:ascii="Times New Roman" w:hAnsi="Times New Roman" w:cs="Times New Roman"/>
          <w:lang w:val="en-GB"/>
        </w:rPr>
        <w:t>behaviours</w:t>
      </w:r>
      <w:r w:rsidR="00C63E0D" w:rsidRPr="007D4E5D">
        <w:rPr>
          <w:rFonts w:ascii="Times New Roman" w:hAnsi="Times New Roman" w:cs="Times New Roman"/>
          <w:lang w:val="en-GB"/>
        </w:rPr>
        <w:t xml:space="preserve"> </w:t>
      </w:r>
      <w:r w:rsidR="00003110" w:rsidRPr="007D4E5D">
        <w:rPr>
          <w:rFonts w:ascii="Times New Roman" w:hAnsi="Times New Roman" w:cs="Times New Roman"/>
          <w:lang w:val="en-GB"/>
        </w:rPr>
        <w:t>to prevent osteoporotic fractures</w:t>
      </w:r>
      <w:r>
        <w:rPr>
          <w:rFonts w:ascii="Times New Roman" w:hAnsi="Times New Roman" w:cs="Times New Roman"/>
          <w:lang w:val="en-GB"/>
        </w:rPr>
        <w:t xml:space="preserve">. </w:t>
      </w:r>
      <w:r w:rsidRPr="007D4E5D">
        <w:rPr>
          <w:rFonts w:ascii="Times New Roman" w:hAnsi="Times New Roman" w:cs="Times New Roman"/>
          <w:lang w:val="en-GB"/>
        </w:rPr>
        <w:t xml:space="preserve">Overall, </w:t>
      </w:r>
      <w:r>
        <w:rPr>
          <w:rFonts w:ascii="Times New Roman" w:hAnsi="Times New Roman" w:cs="Times New Roman"/>
          <w:lang w:val="en-GB"/>
        </w:rPr>
        <w:t>the 1</w:t>
      </w:r>
      <w:r w:rsidR="00D7192D">
        <w:rPr>
          <w:rFonts w:ascii="Times New Roman" w:hAnsi="Times New Roman" w:cs="Times New Roman"/>
          <w:lang w:val="en-GB"/>
        </w:rPr>
        <w:t>,</w:t>
      </w:r>
      <w:r>
        <w:rPr>
          <w:rFonts w:ascii="Times New Roman" w:hAnsi="Times New Roman" w:cs="Times New Roman"/>
          <w:lang w:val="en-GB"/>
        </w:rPr>
        <w:t xml:space="preserve">042 </w:t>
      </w:r>
      <w:r w:rsidRPr="007D4E5D">
        <w:rPr>
          <w:rFonts w:ascii="Times New Roman" w:hAnsi="Times New Roman" w:cs="Times New Roman"/>
          <w:lang w:val="en-GB"/>
        </w:rPr>
        <w:t xml:space="preserve">patients </w:t>
      </w:r>
      <w:r>
        <w:rPr>
          <w:rFonts w:ascii="Times New Roman" w:hAnsi="Times New Roman" w:cs="Times New Roman"/>
          <w:lang w:val="en-GB"/>
        </w:rPr>
        <w:t xml:space="preserve">recruited </w:t>
      </w:r>
      <w:r w:rsidR="00A66359">
        <w:rPr>
          <w:rFonts w:ascii="Times New Roman" w:hAnsi="Times New Roman" w:cs="Times New Roman"/>
          <w:lang w:val="en-GB"/>
        </w:rPr>
        <w:t>from</w:t>
      </w:r>
      <w:r>
        <w:rPr>
          <w:rFonts w:ascii="Times New Roman" w:hAnsi="Times New Roman" w:cs="Times New Roman"/>
          <w:lang w:val="en-GB"/>
        </w:rPr>
        <w:t xml:space="preserve"> </w:t>
      </w:r>
      <w:r w:rsidRPr="007D4E5D">
        <w:rPr>
          <w:rFonts w:ascii="Times New Roman" w:hAnsi="Times New Roman" w:cs="Times New Roman"/>
          <w:lang w:val="en-GB"/>
        </w:rPr>
        <w:t xml:space="preserve">seven European countries were favourable to </w:t>
      </w:r>
      <w:r w:rsidR="00A66359">
        <w:rPr>
          <w:rFonts w:ascii="Times New Roman" w:hAnsi="Times New Roman" w:cs="Times New Roman"/>
          <w:lang w:val="en-GB"/>
        </w:rPr>
        <w:t xml:space="preserve">some </w:t>
      </w:r>
      <w:r w:rsidRPr="007D4E5D">
        <w:rPr>
          <w:rFonts w:ascii="Times New Roman" w:hAnsi="Times New Roman" w:cs="Times New Roman"/>
          <w:lang w:val="en-GB"/>
        </w:rPr>
        <w:t xml:space="preserve">lifestyle </w:t>
      </w:r>
      <w:r w:rsidR="00C63E0D">
        <w:rPr>
          <w:rFonts w:ascii="Times New Roman" w:hAnsi="Times New Roman" w:cs="Times New Roman"/>
          <w:lang w:val="en-GB"/>
        </w:rPr>
        <w:t>behaviours</w:t>
      </w:r>
      <w:r w:rsidR="00C63E0D" w:rsidRPr="007D4E5D">
        <w:rPr>
          <w:rFonts w:ascii="Times New Roman" w:hAnsi="Times New Roman" w:cs="Times New Roman"/>
          <w:lang w:val="en-GB"/>
        </w:rPr>
        <w:t xml:space="preserve"> </w:t>
      </w:r>
      <w:r>
        <w:rPr>
          <w:rFonts w:ascii="Times New Roman" w:hAnsi="Times New Roman" w:cs="Times New Roman"/>
          <w:lang w:val="en-GB"/>
        </w:rPr>
        <w:t xml:space="preserve">(i.e. </w:t>
      </w:r>
      <w:r w:rsidRPr="007D4E5D">
        <w:rPr>
          <w:rFonts w:ascii="Times New Roman" w:hAnsi="Times New Roman" w:cs="Times New Roman"/>
          <w:lang w:val="en-GB"/>
        </w:rPr>
        <w:t>engag</w:t>
      </w:r>
      <w:r w:rsidR="00A66359">
        <w:rPr>
          <w:rFonts w:ascii="Times New Roman" w:hAnsi="Times New Roman" w:cs="Times New Roman"/>
          <w:lang w:val="en-GB"/>
        </w:rPr>
        <w:t>ing</w:t>
      </w:r>
      <w:r w:rsidRPr="007D4E5D">
        <w:rPr>
          <w:rFonts w:ascii="Times New Roman" w:hAnsi="Times New Roman" w:cs="Times New Roman"/>
          <w:lang w:val="en-GB"/>
        </w:rPr>
        <w:t xml:space="preserve"> in moderate physical activity, taking calcium and vitamin D supplements</w:t>
      </w:r>
      <w:r w:rsidR="00D7192D">
        <w:rPr>
          <w:rFonts w:ascii="Times New Roman" w:hAnsi="Times New Roman" w:cs="Times New Roman"/>
          <w:lang w:val="en-GB"/>
        </w:rPr>
        <w:t xml:space="preserve">, </w:t>
      </w:r>
      <w:r w:rsidR="00D7192D" w:rsidRPr="007D4E5D">
        <w:rPr>
          <w:rFonts w:ascii="Times New Roman" w:hAnsi="Times New Roman" w:cs="Times New Roman"/>
          <w:lang w:val="en-GB"/>
        </w:rPr>
        <w:t>r</w:t>
      </w:r>
      <w:r w:rsidR="00D7192D">
        <w:rPr>
          <w:rFonts w:ascii="Times New Roman" w:hAnsi="Times New Roman" w:cs="Times New Roman"/>
          <w:lang w:val="en-GB"/>
        </w:rPr>
        <w:t>educ</w:t>
      </w:r>
      <w:r w:rsidR="00A66359">
        <w:rPr>
          <w:rFonts w:ascii="Times New Roman" w:hAnsi="Times New Roman" w:cs="Times New Roman"/>
          <w:lang w:val="en-GB"/>
        </w:rPr>
        <w:t>ing</w:t>
      </w:r>
      <w:r w:rsidR="00D7192D">
        <w:rPr>
          <w:rFonts w:ascii="Times New Roman" w:hAnsi="Times New Roman" w:cs="Times New Roman"/>
          <w:lang w:val="en-GB"/>
        </w:rPr>
        <w:t xml:space="preserve"> their alcohol consumption</w:t>
      </w:r>
      <w:r w:rsidRPr="007D4E5D">
        <w:rPr>
          <w:rFonts w:ascii="Times New Roman" w:hAnsi="Times New Roman" w:cs="Times New Roman"/>
          <w:lang w:val="en-GB"/>
        </w:rPr>
        <w:t xml:space="preserve"> and ensur</w:t>
      </w:r>
      <w:r w:rsidR="00A66359">
        <w:rPr>
          <w:rFonts w:ascii="Times New Roman" w:hAnsi="Times New Roman" w:cs="Times New Roman"/>
          <w:lang w:val="en-GB"/>
        </w:rPr>
        <w:t>ing</w:t>
      </w:r>
      <w:r w:rsidRPr="007D4E5D">
        <w:rPr>
          <w:rFonts w:ascii="Times New Roman" w:hAnsi="Times New Roman" w:cs="Times New Roman"/>
          <w:lang w:val="en-GB"/>
        </w:rPr>
        <w:t xml:space="preserve"> a normal body </w:t>
      </w:r>
      <w:r>
        <w:rPr>
          <w:rFonts w:ascii="Times New Roman" w:hAnsi="Times New Roman" w:cs="Times New Roman"/>
          <w:lang w:val="en-GB"/>
        </w:rPr>
        <w:t xml:space="preserve">weight). </w:t>
      </w:r>
    </w:p>
    <w:p w14:paraId="1F5FDE33" w14:textId="50D52A6B" w:rsidR="007D4E5D" w:rsidRPr="00003110" w:rsidRDefault="007D4E5D" w:rsidP="00003110">
      <w:pPr>
        <w:spacing w:line="360" w:lineRule="auto"/>
        <w:jc w:val="both"/>
        <w:rPr>
          <w:rFonts w:ascii="Times New Roman" w:hAnsi="Times New Roman" w:cs="Times New Roman"/>
          <w:b/>
          <w:bCs/>
          <w:lang w:val="en-GB"/>
        </w:rPr>
      </w:pPr>
      <w:r w:rsidRPr="00003110">
        <w:rPr>
          <w:rFonts w:ascii="Times New Roman" w:hAnsi="Times New Roman" w:cs="Times New Roman"/>
          <w:b/>
          <w:bCs/>
          <w:lang w:val="en-GB"/>
        </w:rPr>
        <w:br w:type="page"/>
      </w:r>
    </w:p>
    <w:p w14:paraId="33ABF090" w14:textId="5B532283" w:rsidR="00915ACD" w:rsidRPr="007D4E5D" w:rsidRDefault="00915ACD" w:rsidP="00CF60A0">
      <w:pPr>
        <w:spacing w:line="360" w:lineRule="auto"/>
        <w:jc w:val="both"/>
        <w:rPr>
          <w:rFonts w:ascii="Times New Roman" w:hAnsi="Times New Roman" w:cs="Times New Roman"/>
          <w:b/>
          <w:bCs/>
          <w:smallCaps/>
          <w:lang w:val="en-GB"/>
        </w:rPr>
      </w:pPr>
      <w:r w:rsidRPr="007D4E5D">
        <w:rPr>
          <w:rFonts w:ascii="Times New Roman" w:hAnsi="Times New Roman" w:cs="Times New Roman"/>
          <w:b/>
          <w:bCs/>
          <w:smallCaps/>
          <w:lang w:val="en-GB"/>
        </w:rPr>
        <w:t>Introduction</w:t>
      </w:r>
    </w:p>
    <w:p w14:paraId="7D24DEBC" w14:textId="7A993F9D" w:rsidR="005E06EE" w:rsidRPr="0043794D" w:rsidRDefault="00A0684A" w:rsidP="0043794D">
      <w:pPr>
        <w:spacing w:line="360" w:lineRule="auto"/>
        <w:jc w:val="both"/>
        <w:rPr>
          <w:rFonts w:ascii="Times New Roman" w:hAnsi="Times New Roman" w:cs="Times New Roman"/>
          <w:vertAlign w:val="superscript"/>
          <w:lang w:val="en-GB"/>
        </w:rPr>
      </w:pPr>
      <w:r w:rsidRPr="00A0684A">
        <w:rPr>
          <w:rFonts w:ascii="Times New Roman" w:hAnsi="Times New Roman" w:cs="Times New Roman"/>
          <w:lang w:val="en-GB"/>
        </w:rPr>
        <w:t>Osteoporosis and related fractures are a major cause of morbidity and mortality in older people</w:t>
      </w:r>
      <w:r w:rsidR="002C23D5">
        <w:rPr>
          <w:rFonts w:ascii="Times New Roman" w:hAnsi="Times New Roman" w:cs="Times New Roman"/>
          <w:lang w:val="en-GB"/>
        </w:rPr>
        <w:t xml:space="preserve"> </w:t>
      </w:r>
      <w:r w:rsidR="003545EB" w:rsidRPr="0043794D">
        <w:rPr>
          <w:rFonts w:ascii="Times New Roman" w:hAnsi="Times New Roman" w:cs="Times New Roman"/>
          <w:vertAlign w:val="superscript"/>
          <w:lang w:val="en-GB"/>
        </w:rPr>
        <w:fldChar w:fldCharType="begin" w:fldLock="1"/>
      </w:r>
      <w:r w:rsidR="007C3A46">
        <w:rPr>
          <w:rFonts w:ascii="Times New Roman" w:hAnsi="Times New Roman" w:cs="Times New Roman"/>
          <w:vertAlign w:val="superscript"/>
          <w:lang w:val="en-GB"/>
        </w:rPr>
        <w:instrText>ADDIN CSL_CITATION {"citationItems":[{"id":"ITEM-1","itemData":{"DOI":"10.1007/s11657-020-0706-y","ISSN":"18623514","PMID":"32306163","abstract":"Summary: This report provides an overview and a comparison of the burden and management of fragility fractures in the largest five countries of the European Union plus Sweden (EU6). In 2017, new fragility fractures in the EU6 are estimated at 2.7 million with an associated annual cost of €37.5 billion and a loss of 1.0 million quality-adjusted life years. Introduction: Osteoporosis is characterized by reduced bone mass and strength, which increases the risk of fragility fractures, which in turn, represent the main consequence of the disease. This report provides an overview and a comparison of the burden and management of fragility fractures in the largest five EU countries and Sweden (designated the EU6). Methods: A series of metrics describing the burden and management of fragility fractures were defined by a scientific steering committee. A working group performed the data collection and analysis. Data were collected from current literature, available retrospective data and public sources. Different methods were applied (e.g. standard statistics and health economic modelling), where appropriate, to perform the analysis for each metric. Results: Total fragility fractures in the EU6 are estimated to increase from 2.7 million in 2017 to 3.3 million in 2030; a 23% increase. The resulting annual fracture-related costs (€37.5 billion in 2017) are expected to increase by 27%. An estimated 1.0 million quality-adjusted life years (QALYs) were lost in 2017 due to fragility fractures. The current disability-adjusted life years (DALYs) per 1000 individuals age 50 years or more were estimated at 21 years, which is higher than the estimates for stroke or chronic obstructive pulmonary disease. The treatment gap (percentage of eligible individuals not receiving treatment with osteoporosis drugs) in the EU6 is estimated to be 73% for women and 63% for men; an increase of 17% since 2010. If all patients who fracture in the EU6 were enrolled into fracture liaison services, at least 19,000 fractures every year might be avoided. Conclusions: Fracture-related burden is expected to increase over the coming decades. Given the substantial treatment gap and proven cost-effectiveness of fracture prevention schemes such as fracture liaison services, urgent action is needed to ensure that all individuals at high risk of fragility fracture are appropriately assessed and treated.","author":[{"dropping-particle":"","family":"Borgström","given":"Fredrik","non-dropping-particle":"","parse-names":false,"suffix":""},{"dropping-particle":"","family":"Karlsson","given":"Linda","non-dropping-particle":"","parse-names":false,"suffix":""},{"dropping-particle":"","family":"Ortsäter","given":"Gustav","non-dropping-particle":"","parse-names":false,"suffix":""},{"dropping-particle":"","family":"Norton","given":"Nicolas","non-dropping-particle":"","parse-names":false,"suffix":""},{"dropping-particle":"","family":"Halbout","given":"Philippe","non-dropping-particle":"","parse-names":false,"suffix":""},{"dropping-particle":"","family":"Cooper","given":"Cyrus","non-dropping-particle":"","parse-names":false,"suffix":""},{"dropping-particle":"","family":"Lorentzon","given":"Mattias","non-dropping-particle":"","parse-names":false,"suffix":""},{"dropping-particle":"V.","family":"McCloskey","given":"Eugene","non-dropping-particle":"","parse-names":false,"suffix":""},{"dropping-particle":"","family":"Harvey","given":"Nicholas C.","non-dropping-particle":"","parse-names":false,"suffix":""},{"dropping-particle":"","family":"Javaid","given":"Muhamamd K.","non-dropping-particle":"","parse-names":false,"suffix":""},{"dropping-particle":"","family":"Kanis","given":"John A.","non-dropping-particle":"","parse-names":false,"suffix":""},{"dropping-particle":"","family":"Reginster","given":"Jean Yves","non-dropping-particle":"","parse-names":false,"suffix":""},{"dropping-particle":"","family":"Ferrari","given":"Serge","non-dropping-particle":"","parse-names":false,"suffix":""}],"container-title":"Archives of Osteoporosis","id":"ITEM-1","issue":"1","issued":{"date-parts":[["2020","12","1"]]},"publisher":"Arch Osteoporos","title":"Fragility fractures in Europe: burden, management and opportunities","type":"article-journal","volume":"15"},"uris":["http://www.mendeley.com/documents/?uuid=e6d31f25-4bba-307a-b1e0-b20f540ae91e"]},{"id":"ITEM-2","itemData":{"DOI":"10.1007/s11657-013-0136-1","ISSN":"18623514","PMID":"24113837","abstract":"This report describes the epidemiology, burden, and treatment of osteoporosis in the 27 countries of the European Union (EU27). Introduction: Osteoporosis is characterized by reduced bone mass and disruption of bone architecture, resulting in increased risk of fragility fractures which represent the main clinical consequence of the disease. Fragility fractures are associated with substantial pain and suffering, disability and even death for affected patients and substantial costs to society. The aim of this report was to characterize the burden of osteoporosis in the EU27 in 2010 and beyond. Methods: The literature on fracture incidence and costs of fractures in the EU27 was reviewed and incorporated into a model estimating the clinical and economic burden of osteoporotic fractures in 2010. Results: Twenty-two million women and 5.5 million men were estimated to have osteoporosis; and 3.5 million new fragility fractures were sustained, comprising 610,000 hip fractures, 520,000 vertebral fractures, 560,000 forearm fractures and 1,800,000 other fractures (i.e. fractures of the pelvis, rib, humerus, tibia, fibula, clavicle, scapula, sternum and other femoral fractures). The economic burden of incident and prior fragility fractures was estimated at € 37 billion. Incident fractures represented 66 % of this cost, long-term fracture care 29 % and pharmacological prevention 5 %. Previous and incident fractures also accounted for 1,180,000 quality-adjusted life years lost during 2010. The costs are expected to increase by 25 % in 2025. The majority of individuals who have sustained an osteoporosis-related fracture or who are at high risk of fracture are untreated and the number of patients on treatment is declining. Conclusions: In spite of the high social and economic cost of osteoporosis, a substantial treatment gap and projected increase of the economic burden driven by the aging populations, the use of pharmacological interventions to prevent fractures has decreased in recent years, suggesting that a change in healthcare policy is warranted. © 2013 The Author(s).","author":[{"dropping-particle":"","family":"Hernlund","given":"E.","non-dropping-particle":"","parse-names":false,"suffix":""},{"dropping-particle":"","family":"Svedbom","given":"A.","non-dropping-particle":"","parse-names":false,"suffix":""},{"dropping-particle":"","family":"Ivergård","given":"M.","non-dropping-particle":"","parse-names":false,"suffix":""},{"dropping-particle":"","family":"Compston","given":"J.","non-dropping-particle":"","parse-names":false,"suffix":""},{"dropping-particle":"","family":"Cooper","given":"C.","non-dropping-particle":"","parse-names":false,"suffix":""},{"dropping-particle":"","family":"Stenmark","given":"J.","non-dropping-particle":"","parse-names":false,"suffix":""},{"dropping-particle":"V.","family":"McCloskey","given":"E.","non-dropping-particle":"","parse-names":false,"suffix":""},{"dropping-particle":"","family":"Jönsson","given":"B.","non-dropping-particle":"","parse-names":false,"suffix":""},{"dropping-particle":"","family":"Kanis","given":"J. A.","non-dropping-particle":"","parse-names":false,"suffix":""}],"container-title":"Archives of Osteoporosis","id":"ITEM-2","issue":"1-2","issued":{"date-parts":[["2013","12","1"]]},"publisher":"Arch Osteoporos","title":"Osteoporosis in the European Union: Medical management, epidemiology and economic burden: A report prepared in collaboration with the International Osteoporosis Foundation (IOF) and the European Federation of Pharmaceutical Industry Associations (EFPIA)","type":"article-journal","volume":"8"},"uris":["http://www.mendeley.com/documents/?uuid=a15575ef-62cd-354d-8933-be2b4d956567"]}],"mendeley":{"formattedCitation":"[1, 2]","plainTextFormattedCitation":"[1, 2]","previouslyFormattedCitation":"[1, 2]"},"properties":{"noteIndex":0},"schema":"https://github.com/citation-style-language/schema/raw/master/csl-citation.json"}</w:instrText>
      </w:r>
      <w:r w:rsidR="003545EB" w:rsidRPr="0043794D">
        <w:rPr>
          <w:rFonts w:ascii="Times New Roman" w:hAnsi="Times New Roman" w:cs="Times New Roman"/>
          <w:vertAlign w:val="superscript"/>
          <w:lang w:val="en-GB"/>
        </w:rPr>
        <w:fldChar w:fldCharType="separate"/>
      </w:r>
      <w:r w:rsidR="00003110" w:rsidRPr="00003110">
        <w:rPr>
          <w:rFonts w:ascii="Times New Roman" w:hAnsi="Times New Roman" w:cs="Times New Roman"/>
          <w:noProof/>
          <w:lang w:val="en-GB"/>
        </w:rPr>
        <w:t>[1, 2]</w:t>
      </w:r>
      <w:r w:rsidR="003545EB" w:rsidRPr="0043794D">
        <w:rPr>
          <w:rFonts w:ascii="Times New Roman" w:hAnsi="Times New Roman" w:cs="Times New Roman"/>
          <w:vertAlign w:val="superscript"/>
          <w:lang w:val="en-GB"/>
        </w:rPr>
        <w:fldChar w:fldCharType="end"/>
      </w:r>
      <w:r w:rsidRPr="00A0684A">
        <w:rPr>
          <w:rFonts w:ascii="Times New Roman" w:hAnsi="Times New Roman" w:cs="Times New Roman"/>
          <w:lang w:val="en-GB"/>
        </w:rPr>
        <w:t>.</w:t>
      </w:r>
      <w:r w:rsidR="008B4342">
        <w:rPr>
          <w:rFonts w:ascii="Times New Roman" w:hAnsi="Times New Roman" w:cs="Times New Roman"/>
          <w:lang w:val="en-GB"/>
        </w:rPr>
        <w:t xml:space="preserve"> </w:t>
      </w:r>
      <w:r w:rsidRPr="00A0684A">
        <w:rPr>
          <w:rFonts w:ascii="Times New Roman" w:hAnsi="Times New Roman" w:cs="Times New Roman"/>
          <w:lang w:val="en-GB"/>
        </w:rPr>
        <w:t xml:space="preserve">Since the incidence of osteoporosis is increasing each year and </w:t>
      </w:r>
      <w:r w:rsidR="002F2EDD">
        <w:rPr>
          <w:rFonts w:ascii="Times New Roman" w:hAnsi="Times New Roman" w:cs="Times New Roman"/>
          <w:lang w:val="en-GB"/>
        </w:rPr>
        <w:t xml:space="preserve">bone </w:t>
      </w:r>
      <w:r w:rsidRPr="00A0684A">
        <w:rPr>
          <w:rFonts w:ascii="Times New Roman" w:hAnsi="Times New Roman" w:cs="Times New Roman"/>
          <w:lang w:val="en-GB"/>
        </w:rPr>
        <w:t xml:space="preserve">fractures </w:t>
      </w:r>
      <w:r w:rsidR="00C92694">
        <w:rPr>
          <w:rFonts w:ascii="Times New Roman" w:hAnsi="Times New Roman" w:cs="Times New Roman"/>
          <w:lang w:val="en-GB"/>
        </w:rPr>
        <w:t>are</w:t>
      </w:r>
      <w:r w:rsidRPr="00A0684A">
        <w:rPr>
          <w:rFonts w:ascii="Times New Roman" w:hAnsi="Times New Roman" w:cs="Times New Roman"/>
          <w:lang w:val="en-GB"/>
        </w:rPr>
        <w:t xml:space="preserve"> the third highest cause of becoming bedridden, maintenance of healthy bones is an important factor in extending </w:t>
      </w:r>
      <w:r w:rsidR="002C23D5">
        <w:rPr>
          <w:rFonts w:ascii="Times New Roman" w:hAnsi="Times New Roman" w:cs="Times New Roman"/>
          <w:lang w:val="en-GB"/>
        </w:rPr>
        <w:t xml:space="preserve">a </w:t>
      </w:r>
      <w:r w:rsidRPr="00A0684A">
        <w:rPr>
          <w:rFonts w:ascii="Times New Roman" w:hAnsi="Times New Roman" w:cs="Times New Roman"/>
          <w:lang w:val="en-GB"/>
        </w:rPr>
        <w:t>person’s healthy lifespan</w:t>
      </w:r>
      <w:r w:rsidR="002C23D5">
        <w:rPr>
          <w:rFonts w:ascii="Times New Roman" w:hAnsi="Times New Roman" w:cs="Times New Roman"/>
          <w:lang w:val="en-GB"/>
        </w:rPr>
        <w:t xml:space="preserve"> </w:t>
      </w:r>
      <w:r w:rsidR="00404FC7" w:rsidRPr="0043794D">
        <w:rPr>
          <w:rFonts w:ascii="Times New Roman" w:hAnsi="Times New Roman" w:cs="Times New Roman"/>
          <w:vertAlign w:val="superscript"/>
          <w:lang w:val="en-GB"/>
        </w:rPr>
        <w:fldChar w:fldCharType="begin" w:fldLock="1"/>
      </w:r>
      <w:r w:rsidR="007C3A46">
        <w:rPr>
          <w:rFonts w:ascii="Times New Roman" w:hAnsi="Times New Roman" w:cs="Times New Roman"/>
          <w:vertAlign w:val="superscript"/>
          <w:lang w:val="en-GB"/>
        </w:rPr>
        <w:instrText>ADDIN CSL_CITATION {"citationItems":[{"id":"ITEM-1","itemData":{"DOI":"10.1016/j.bone.2005.11.024","ISSN":"87563282","PMID":"16455317","abstract":"It is estimated that over 200 million people worldwide have osteoporosis. The prevalence of osteoporosis is continuing to escalate with the increasingly elderly population. The major complication of osteoporosis is an increase in fragility fractures leading to morbidity, mortality, and decreased quality of life. In the European Union, in 2000, the number of osteoporotic fractures was estimated at 3.79 million. A baseline fracture is a very strong predictor of further fractures with 20% of patients experiencing a second fracture within the first year. The costs to health care services are already considerable and, on current trends, are predicted to double by 2050. The direct costs of osteoporotic fractures to the health services in the European Union in the year 2000 were estimated at €32 billion. Guidelines for the diagnosis and treatment of osteoporosis are available in many countries; however, implementation is generally poor despite the availability of treatments with proven efficacy. Programs to increase awareness of osteoporosis and its outcomes are necessary for healthcare specialists and the general public. Earlier diagnosis and intervention prior to the first fracture are highly desirable. © 2005 Elsevier Inc. All rights reserved.","author":[{"dropping-particle":"","family":"Reginster","given":"Jean Yves","non-dropping-particle":"","parse-names":false,"suffix":""},{"dropping-particle":"","family":"Burlet","given":"Nansa","non-dropping-particle":"","parse-names":false,"suffix":""}],"container-title":"Bone","id":"ITEM-1","issue":"2 SUPPL. 1","issued":{"date-parts":[["2006"]]},"page":"4-9","publisher":"Bone","title":"Osteoporosis: A still increasing prevalence","type":"article-journal","volume":"38"},"uris":["http://www.mendeley.com/documents/?uuid=14436d25-2366-3fe1-870b-6b76818d0ea8"]}],"mendeley":{"formattedCitation":"[3]","plainTextFormattedCitation":"[3]","previouslyFormattedCitation":"[3]"},"properties":{"noteIndex":0},"schema":"https://github.com/citation-style-language/schema/raw/master/csl-citation.json"}</w:instrText>
      </w:r>
      <w:r w:rsidR="00404FC7" w:rsidRPr="0043794D">
        <w:rPr>
          <w:rFonts w:ascii="Times New Roman" w:hAnsi="Times New Roman" w:cs="Times New Roman"/>
          <w:vertAlign w:val="superscript"/>
          <w:lang w:val="en-GB"/>
        </w:rPr>
        <w:fldChar w:fldCharType="separate"/>
      </w:r>
      <w:r w:rsidR="00003110" w:rsidRPr="00003110">
        <w:rPr>
          <w:rFonts w:ascii="Times New Roman" w:hAnsi="Times New Roman" w:cs="Times New Roman"/>
          <w:noProof/>
          <w:lang w:val="en-GB"/>
        </w:rPr>
        <w:t>[3]</w:t>
      </w:r>
      <w:r w:rsidR="00404FC7" w:rsidRPr="0043794D">
        <w:rPr>
          <w:rFonts w:ascii="Times New Roman" w:hAnsi="Times New Roman" w:cs="Times New Roman"/>
          <w:vertAlign w:val="superscript"/>
          <w:lang w:val="en-GB"/>
        </w:rPr>
        <w:fldChar w:fldCharType="end"/>
      </w:r>
      <w:r w:rsidRPr="00A0684A">
        <w:rPr>
          <w:rFonts w:ascii="Times New Roman" w:hAnsi="Times New Roman" w:cs="Times New Roman"/>
          <w:lang w:val="en-GB"/>
        </w:rPr>
        <w:t xml:space="preserve">. </w:t>
      </w:r>
      <w:r w:rsidR="005E06EE" w:rsidRPr="00A0684A">
        <w:rPr>
          <w:rFonts w:ascii="Times New Roman" w:hAnsi="Times New Roman" w:cs="Times New Roman"/>
          <w:lang w:val="en-GB"/>
        </w:rPr>
        <w:t xml:space="preserve">To date, most of the evidence for osteoporosis </w:t>
      </w:r>
      <w:r w:rsidR="002C23D5">
        <w:rPr>
          <w:rFonts w:ascii="Times New Roman" w:hAnsi="Times New Roman" w:cs="Times New Roman"/>
          <w:lang w:val="en-GB"/>
        </w:rPr>
        <w:t xml:space="preserve">treatment </w:t>
      </w:r>
      <w:r w:rsidR="005E06EE" w:rsidRPr="00A0684A">
        <w:rPr>
          <w:rFonts w:ascii="Times New Roman" w:hAnsi="Times New Roman" w:cs="Times New Roman"/>
          <w:lang w:val="en-GB"/>
        </w:rPr>
        <w:t xml:space="preserve">supports pharmacological intervention </w:t>
      </w:r>
      <w:r w:rsidR="002C23D5">
        <w:rPr>
          <w:rFonts w:ascii="Times New Roman" w:hAnsi="Times New Roman" w:cs="Times New Roman"/>
          <w:lang w:val="en-GB"/>
        </w:rPr>
        <w:t>to</w:t>
      </w:r>
      <w:r w:rsidR="005E06EE" w:rsidRPr="00A0684A">
        <w:rPr>
          <w:rFonts w:ascii="Times New Roman" w:hAnsi="Times New Roman" w:cs="Times New Roman"/>
          <w:lang w:val="en-GB"/>
        </w:rPr>
        <w:t xml:space="preserve"> improv</w:t>
      </w:r>
      <w:r w:rsidR="002C23D5">
        <w:rPr>
          <w:rFonts w:ascii="Times New Roman" w:hAnsi="Times New Roman" w:cs="Times New Roman"/>
          <w:lang w:val="en-GB"/>
        </w:rPr>
        <w:t>e</w:t>
      </w:r>
      <w:r w:rsidR="005E06EE" w:rsidRPr="00A0684A">
        <w:rPr>
          <w:rFonts w:ascii="Times New Roman" w:hAnsi="Times New Roman" w:cs="Times New Roman"/>
          <w:lang w:val="en-GB"/>
        </w:rPr>
        <w:t xml:space="preserve"> bone mineral density </w:t>
      </w:r>
      <w:r w:rsidR="002C23D5">
        <w:rPr>
          <w:rFonts w:ascii="Times New Roman" w:hAnsi="Times New Roman" w:cs="Times New Roman"/>
          <w:lang w:val="en-GB"/>
        </w:rPr>
        <w:t>and consequently</w:t>
      </w:r>
      <w:r w:rsidR="005E06EE" w:rsidRPr="00A0684A">
        <w:rPr>
          <w:rFonts w:ascii="Times New Roman" w:hAnsi="Times New Roman" w:cs="Times New Roman"/>
          <w:lang w:val="en-GB"/>
        </w:rPr>
        <w:t xml:space="preserve"> bone health</w:t>
      </w:r>
      <w:r w:rsidR="002C23D5">
        <w:rPr>
          <w:rFonts w:ascii="Times New Roman" w:hAnsi="Times New Roman" w:cs="Times New Roman"/>
          <w:lang w:val="en-GB"/>
        </w:rPr>
        <w:t xml:space="preserve"> </w:t>
      </w:r>
      <w:r w:rsidR="00404FC7" w:rsidRPr="0043794D">
        <w:rPr>
          <w:rFonts w:ascii="Times New Roman" w:hAnsi="Times New Roman" w:cs="Times New Roman"/>
          <w:vertAlign w:val="superscript"/>
          <w:lang w:val="en-GB"/>
        </w:rPr>
        <w:fldChar w:fldCharType="begin" w:fldLock="1"/>
      </w:r>
      <w:r w:rsidR="007C3A46">
        <w:rPr>
          <w:rFonts w:ascii="Times New Roman" w:hAnsi="Times New Roman" w:cs="Times New Roman"/>
          <w:vertAlign w:val="superscript"/>
          <w:lang w:val="en-GB"/>
        </w:rPr>
        <w:instrText>ADDIN CSL_CITATION {"citationItems":[{"id":"ITEM-1","itemData":{"DOI":"10.1007/s40273-020-00965-9","ISSN":"11792027","PMID":"33026634","abstract":"Background: Considering the heavy economic burden of osteoporotic fractures, the limits of healthcare resources, and the recent availability of new anti-osteoporosis drugs, there is continuing interest in economic evaluation studies of osteoporosis management strategies. Objectives: This study aims to (1) systematically review recent economic evaluations of drugs for osteoporosis and (2) to apply an osteoporosis-specific guideline to critically appraise them. Methods: A literature search was undertaken using PubMed, EMBASE, National Health Service Economic Evaluation database, and the Cost-Effectiveness Analysis Registry to identify original articles containing economic evaluations of anti-osteoporosis drugs, published between 1 July, 2013 and 31 December, 2019. A recent European Society for Clinical and Economic Aspects of Osteoporosis, Osteoarthritis and Musculoskeletal Diseases-International Osteoporosis Foundation (ESCEO-IOF) guideline for the conduct and reporting of economic evaluations in osteoporosis was used to assess the quality of included articles. Results: The database search retrieved 3860 records, of which 27 studies fulfilled the inclusion criteria. These studies were conducted in 15 countries; 12 active drugs were assessed, including various traditional pharmacological treatments such as bisphosphonates, raloxifene, strontium ranelate, denosumab, and teriparatide, and new agents such as abaloparatide, romosozumab, and gastro-resistant risedronate. Eight out of 12 studies that compared traditional oral bisphosphonates to other active interventions (denosumab, zoledronic acid, gastro-resistant risedronate, and teriparatide) suggested that the other active agents were generally cost-effective or dominant. Additionally, the cost-effectiveness of sequential therapy has recently been assessed and indications are that it can lead to extra health benefits (larger gains in quality-adjusted life-year). The key drivers of cost effectiveness included baseline fracture risk, drug effect on the risk of fractures, drug cost, and medication adherence/persistence. The current average score for quality assessment was 17 out of 25 (range 2–15); room for improvement was observed for most studies, which could potentially be explained by the fact that most studies were published prior to the osteoporosis-specific guideline. Greater adherence to guideline recommendations was expected for future studies. The quality of reporting was also suboptimal, especially…","author":[{"dropping-particle":"","family":"Li","given":"Nannan","non-dropping-particle":"","parse-names":false,"suffix":""},{"dropping-particle":"","family":"Cornelissen","given":"Dennis","non-dropping-particle":"","parse-names":false,"suffix":""},{"dropping-particle":"","family":"Silverman","given":"Stuart","non-dropping-particle":"","parse-names":false,"suffix":""},{"dropping-particle":"","family":"Pinto","given":"Daniel","non-dropping-particle":"","parse-names":false,"suffix":""},{"dropping-particle":"","family":"Si","given":"Lei","non-dropping-particle":"","parse-names":false,"suffix":""},{"dropping-particle":"","family":"Kremer","given":"Ingrid","non-dropping-particle":"","parse-names":false,"suffix":""},{"dropping-particle":"","family":"Bours","given":"Sandrine","non-dropping-particle":"","parse-names":false,"suffix":""},{"dropping-particle":"","family":"Bot","given":"Robin","non-dropping-particle":"de","parse-names":false,"suffix":""},{"dropping-particle":"","family":"Boonen","given":"Annelies","non-dropping-particle":"","parse-names":false,"suffix":""},{"dropping-particle":"","family":"Evers","given":"Silvia","non-dropping-particle":"","parse-names":false,"suffix":""},{"dropping-particle":"","family":"Bergh","given":"Joop","non-dropping-particle":"van den","parse-names":false,"suffix":""},{"dropping-particle":"","family":"Reginster","given":"Jean Yves","non-dropping-particle":"","parse-names":false,"suffix":""},{"dropping-particle":"","family":"Hiligsmann","given":"Mickaël","non-dropping-particle":"","parse-names":false,"suffix":""}],"container-title":"PharmacoEconomics","id":"ITEM-1","issue":"2","issued":{"date-parts":[["2021","2","1"]]},"page":"181-209","publisher":"Pharmacoeconomics","title":"An Updated Systematic Review of Cost-Effectiveness Analyses of Drugs for Osteoporosis","type":"article","volume":"39"},"uris":["http://www.mendeley.com/documents/?uuid=4dec672d-79d8-3c55-a6e4-1f8115eb568f"]},{"id":"ITEM-2","itemData":{"DOI":"10.3310/hta6290","ISSN":"13665278","PMID":"12654239","author":[{"dropping-particle":"","family":"Kanis","given":"J. A.","non-dropping-particle":"","parse-names":false,"suffix":""},{"dropping-particle":"","family":"Brazier","given":"J. E.","non-dropping-particle":"","parse-names":false,"suffix":""},{"dropping-particle":"","family":"Stevenson","given":"M.","non-dropping-particle":"","parse-names":false,"suffix":""},{"dropping-particle":"","family":"Calvert","given":"N. W.","non-dropping-particle":"","parse-names":false,"suffix":""},{"dropping-particle":"","family":"Jones","given":"M. Lloyd","non-dropping-particle":"","parse-names":false,"suffix":""}],"container-title":"Health Technology Assessment","id":"ITEM-2","issue":"29","issued":{"date-parts":[["2002"]]},"publisher":"Health Technol Assess","title":"Treatment of established osteoporosis: A systematic review and cost-utility analysis","type":"article","volume":"6"},"uris":["http://www.mendeley.com/documents/?uuid=2c941dfc-3a5b-3a57-b42a-35828c5c08a0"]},{"id":"ITEM-3","itemData":{"DOI":"10.1007/s00223-018-00512-x","ISSN":"14320827","PMID":"30796490","abstract":"A guidance on the assessment and treatment of postmenopausal women at risk from fractures due to osteoporosis was recently published in Osteoporosis International as a joint effort of the International Osteoporosis Foundation and European Society for Clinical and Economic Aspects of Osteoporosis and Osteoarthritis (Kanis et al. in Osteoporos Int https://doi.org/10.1007/s00198-018-4704-5, 2018). This manuscript updates the previous guidelines document, published in 2013 (Kanis et al. in Osteoporos Int 24:23–57, 2013) and is written in a European perspective. The present article reports and summarizes the main recommendations included in this 2018 guidance document.","author":[{"dropping-particle":"","family":"Kanis","given":"J. A.","non-dropping-particle":"","parse-names":false,"suffix":""},{"dropping-particle":"","family":"Cooper","given":"C.","non-dropping-particle":"","parse-names":false,"suffix":""},{"dropping-particle":"","family":"Rizzoli","given":"R.","non-dropping-particle":"","parse-names":false,"suffix":""},{"dropping-particle":"","family":"Reginster","given":"J. Y.","non-dropping-particle":"","parse-names":false,"suffix":""}],"container-title":"Calcified Tissue International","id":"ITEM-3","issue":"3","issued":{"date-parts":[["2019","3","15"]]},"page":"235-238","publisher":"Calcif Tissue Int","title":"Executive summary of the European guidance for the diagnosis and management of osteoporosis in postmenopausal women","type":"article","volume":"104"},"uris":["http://www.mendeley.com/documents/?uuid=7c6597f8-a123-3ff8-9e88-347d7cc0a974"]}],"mendeley":{"formattedCitation":"[4–6]","plainTextFormattedCitation":"[4–6]","previouslyFormattedCitation":"[4–6]"},"properties":{"noteIndex":0},"schema":"https://github.com/citation-style-language/schema/raw/master/csl-citation.json"}</w:instrText>
      </w:r>
      <w:r w:rsidR="00404FC7" w:rsidRPr="0043794D">
        <w:rPr>
          <w:rFonts w:ascii="Times New Roman" w:hAnsi="Times New Roman" w:cs="Times New Roman"/>
          <w:vertAlign w:val="superscript"/>
          <w:lang w:val="en-GB"/>
        </w:rPr>
        <w:fldChar w:fldCharType="separate"/>
      </w:r>
      <w:r w:rsidR="00003110" w:rsidRPr="00003110">
        <w:rPr>
          <w:rFonts w:ascii="Times New Roman" w:hAnsi="Times New Roman" w:cs="Times New Roman"/>
          <w:noProof/>
          <w:lang w:val="en-GB"/>
        </w:rPr>
        <w:t>[4–6]</w:t>
      </w:r>
      <w:r w:rsidR="00404FC7" w:rsidRPr="0043794D">
        <w:rPr>
          <w:rFonts w:ascii="Times New Roman" w:hAnsi="Times New Roman" w:cs="Times New Roman"/>
          <w:vertAlign w:val="superscript"/>
          <w:lang w:val="en-GB"/>
        </w:rPr>
        <w:fldChar w:fldCharType="end"/>
      </w:r>
      <w:r w:rsidR="005E06EE" w:rsidRPr="00A0684A">
        <w:rPr>
          <w:rFonts w:ascii="Times New Roman" w:hAnsi="Times New Roman" w:cs="Times New Roman"/>
          <w:lang w:val="en-GB"/>
        </w:rPr>
        <w:t xml:space="preserve">. </w:t>
      </w:r>
      <w:r w:rsidR="007D1D4F">
        <w:rPr>
          <w:rFonts w:ascii="Times New Roman" w:hAnsi="Times New Roman" w:cs="Times New Roman"/>
          <w:lang w:val="en-GB"/>
        </w:rPr>
        <w:t>In 2019, Barrionuevo et al.</w:t>
      </w:r>
      <w:r w:rsidR="002C23D5">
        <w:rPr>
          <w:rFonts w:ascii="Times New Roman" w:hAnsi="Times New Roman" w:cs="Times New Roman"/>
          <w:lang w:val="en-GB"/>
        </w:rPr>
        <w:t xml:space="preserve"> </w:t>
      </w:r>
      <w:r w:rsidR="007D1D4F" w:rsidRPr="0043794D">
        <w:rPr>
          <w:rFonts w:ascii="Times New Roman" w:hAnsi="Times New Roman" w:cs="Times New Roman"/>
          <w:vertAlign w:val="superscript"/>
          <w:lang w:val="en-GB"/>
        </w:rPr>
        <w:fldChar w:fldCharType="begin" w:fldLock="1"/>
      </w:r>
      <w:r w:rsidR="007C3A46">
        <w:rPr>
          <w:rFonts w:ascii="Times New Roman" w:hAnsi="Times New Roman" w:cs="Times New Roman"/>
          <w:vertAlign w:val="superscript"/>
          <w:lang w:val="en-GB"/>
        </w:rPr>
        <w:instrText>ADDIN CSL_CITATION {"citationItems":[{"id":"ITEM-1","itemData":{"DOI":"10.1210/JC.2019-00192","ISSN":"0021-972X","abstract":"Background: Osteoporosis and osteopenia are associated with increased fracture incidence in postmenopausal women. We aimed to determine the comparative effectiveness of various available pharmacological therapies. Methods: We searched MEDLINE, EMBASE, Cochrane Central Register of Controlled Trials, ISI Web of Science, and Scopus for randomized controlled trials that enrolled postmenopausal women with primary osteoporosis and evaluated the risk of hip, vertebral, or nonvertebral fractures. A network meta-analysis was conducted using the multivariate random effects method. Results: We included 107 trials (193,987 postmenopausal women; mean age, 66 years; 55% white; median follow-up, 28 months). A significant reduction in hip fractures was observed with romosozumab, alendronate, zoledronate, risedronate, denosumab, estrogen with progesterone, and calcium in combination with vitamin D. A significant reduction in nonvertebral fractures was observed with abaloparatide, romosozumab, denosumab, teriparatide, alendronate, risedronate, zoledronate, lasofoxifene, tibolone, estrogen with progesterone, and vitamin D. A significant reduction in vertebral fractures was observed with abaloparatide, teriparatide, parathyroid hormone 1-84, romosozumab, strontium ranelate, denosumab, zoledronate, risedronate, alendronate, ibandronate, raloxifene, bazedoxifene, lasofoxifene, estrogen with progesterone, tibolone, and calcitonin. Teriparatide, abaloparatide, denosumab, and romosozumab were associated with the highest relative risk reductions, whereas ibandronate and selective estrogen receptor modulators had lower efficacy. The evidence for the treatment of fractures with vitamin D and calcium remains limited despite numerous large trials. Conclusions: This network meta-analysis provides comparative effective estimates for the various available treatments to reduce the risk of fragility fractures in postmenopausal women.","author":[{"dropping-particle":"","family":"Barrionuevo","given":"Patricia","non-dropping-particle":"","parse-names":false,"suffix":""},{"dropping-particle":"","family":"Kapoor","given":"Ekta","non-dropping-particle":"","parse-names":false,"suffix":""},{"dropping-particle":"","family":"Asi","given":"Noor","non-dropping-particle":"","parse-names":false,"suffix":""},{"dropping-particle":"","family":"Alahdab","given":"Fares","non-dropping-particle":"","parse-names":false,"suffix":""},{"dropping-particle":"","family":"Mohammed","given":"Khaled","non-dropping-particle":"","parse-names":false,"suffix":""},{"dropping-particle":"","family":"Benkhadra","given":"Khalid","non-dropping-particle":"","parse-names":false,"suffix":""},{"dropping-particle":"","family":"Almasri","given":"Jehad","non-dropping-particle":"","parse-names":false,"suffix":""},{"dropping-particle":"","family":"Farah","given":"Wigdan","non-dropping-particle":"","parse-names":false,"suffix":""},{"dropping-particle":"","family":"Sarigianni","given":"Maria","non-dropping-particle":"","parse-names":false,"suffix":""},{"dropping-particle":"","family":"Muthusamy","given":"Kalpana","non-dropping-particle":"","parse-names":false,"suffix":""},{"dropping-particle":"","family":"Nofal","given":"Alaa","non-dropping-particle":"Al","parse-names":false,"suffix":""},{"dropping-particle":"","family":"Haydour","given":"Qusay","non-dropping-particle":"","parse-names":false,"suffix":""},{"dropping-particle":"","family":"Wang","given":"Zhen","non-dropping-particle":"","parse-names":false,"suffix":""},{"dropping-particle":"","family":"Murad","given":"Mohammad Hassan","non-dropping-particle":"","parse-names":false,"suffix":""}],"container-title":"The Journal of Clinical Endocrinology &amp; Metabolism","id":"ITEM-1","issue":"5","issued":{"date-parts":[["2019","5","1"]]},"page":"1623-1630","publisher":"Oxford Academic","title":"Efficacy of Pharmacological Therapies for the Prevention of Fractures in Postmenopausal Women: A Network Meta-Analysis","type":"article-journal","volume":"104"},"uris":["http://www.mendeley.com/documents/?uuid=bb243c25-8c74-356a-8ebe-ecc34fbbf7e4"]}],"mendeley":{"formattedCitation":"[7]","plainTextFormattedCitation":"[7]","previouslyFormattedCitation":"[7]"},"properties":{"noteIndex":0},"schema":"https://github.com/citation-style-language/schema/raw/master/csl-citation.json"}</w:instrText>
      </w:r>
      <w:r w:rsidR="007D1D4F" w:rsidRPr="0043794D">
        <w:rPr>
          <w:rFonts w:ascii="Times New Roman" w:hAnsi="Times New Roman" w:cs="Times New Roman"/>
          <w:vertAlign w:val="superscript"/>
          <w:lang w:val="en-GB"/>
        </w:rPr>
        <w:fldChar w:fldCharType="separate"/>
      </w:r>
      <w:r w:rsidR="00003110" w:rsidRPr="00003110">
        <w:rPr>
          <w:rFonts w:ascii="Times New Roman" w:hAnsi="Times New Roman" w:cs="Times New Roman"/>
          <w:noProof/>
          <w:lang w:val="en-GB"/>
        </w:rPr>
        <w:t>[7]</w:t>
      </w:r>
      <w:r w:rsidR="007D1D4F" w:rsidRPr="0043794D">
        <w:rPr>
          <w:rFonts w:ascii="Times New Roman" w:hAnsi="Times New Roman" w:cs="Times New Roman"/>
          <w:vertAlign w:val="superscript"/>
          <w:lang w:val="en-GB"/>
        </w:rPr>
        <w:fldChar w:fldCharType="end"/>
      </w:r>
      <w:r w:rsidR="007D1D4F">
        <w:rPr>
          <w:rFonts w:ascii="Times New Roman" w:hAnsi="Times New Roman" w:cs="Times New Roman"/>
          <w:lang w:val="en-GB"/>
        </w:rPr>
        <w:t xml:space="preserve"> published a network meta-analysis </w:t>
      </w:r>
      <w:r w:rsidR="00B20ED4">
        <w:rPr>
          <w:rFonts w:ascii="Times New Roman" w:hAnsi="Times New Roman" w:cs="Times New Roman"/>
          <w:lang w:val="en-GB"/>
        </w:rPr>
        <w:t>showing the positive effects of more than</w:t>
      </w:r>
      <w:r w:rsidR="007D1D4F">
        <w:rPr>
          <w:rFonts w:ascii="Times New Roman" w:hAnsi="Times New Roman" w:cs="Times New Roman"/>
          <w:lang w:val="en-GB"/>
        </w:rPr>
        <w:t xml:space="preserve"> </w:t>
      </w:r>
      <w:r w:rsidR="001579D5">
        <w:rPr>
          <w:rFonts w:ascii="Times New Roman" w:hAnsi="Times New Roman" w:cs="Times New Roman"/>
          <w:lang w:val="en-GB"/>
        </w:rPr>
        <w:t>20</w:t>
      </w:r>
      <w:r w:rsidR="007D1D4F">
        <w:rPr>
          <w:rFonts w:ascii="Times New Roman" w:hAnsi="Times New Roman" w:cs="Times New Roman"/>
          <w:lang w:val="en-GB"/>
        </w:rPr>
        <w:t xml:space="preserve"> </w:t>
      </w:r>
      <w:r w:rsidR="00D50A0A">
        <w:rPr>
          <w:rFonts w:ascii="Times New Roman" w:hAnsi="Times New Roman" w:cs="Times New Roman"/>
          <w:lang w:val="en-GB"/>
        </w:rPr>
        <w:t xml:space="preserve">different </w:t>
      </w:r>
      <w:r w:rsidR="007D1D4F">
        <w:rPr>
          <w:rFonts w:ascii="Times New Roman" w:hAnsi="Times New Roman" w:cs="Times New Roman"/>
          <w:lang w:val="en-GB"/>
        </w:rPr>
        <w:t xml:space="preserve">pharmaceutical therapies </w:t>
      </w:r>
      <w:r w:rsidR="00B20ED4">
        <w:rPr>
          <w:rFonts w:ascii="Times New Roman" w:hAnsi="Times New Roman" w:cs="Times New Roman"/>
          <w:lang w:val="en-GB"/>
        </w:rPr>
        <w:t xml:space="preserve">on </w:t>
      </w:r>
      <w:r w:rsidR="007D1D4F">
        <w:rPr>
          <w:rFonts w:ascii="Times New Roman" w:hAnsi="Times New Roman" w:cs="Times New Roman"/>
          <w:lang w:val="en-GB"/>
        </w:rPr>
        <w:t xml:space="preserve">the prevention of vertebral fractures in postmenopausal women. </w:t>
      </w:r>
      <w:r w:rsidR="00ED716E">
        <w:rPr>
          <w:rFonts w:ascii="Times New Roman" w:hAnsi="Times New Roman" w:cs="Times New Roman"/>
          <w:lang w:val="en-GB"/>
        </w:rPr>
        <w:t>B</w:t>
      </w:r>
      <w:r w:rsidR="005E06EE" w:rsidRPr="00A0684A">
        <w:rPr>
          <w:rFonts w:ascii="Times New Roman" w:hAnsi="Times New Roman" w:cs="Times New Roman"/>
          <w:lang w:val="en-GB"/>
        </w:rPr>
        <w:t xml:space="preserve">eside pharmaceutical therapies, </w:t>
      </w:r>
      <w:r w:rsidR="005E06EE">
        <w:rPr>
          <w:rFonts w:ascii="Times New Roman" w:hAnsi="Times New Roman" w:cs="Times New Roman"/>
          <w:lang w:val="en-GB"/>
        </w:rPr>
        <w:t>h</w:t>
      </w:r>
      <w:r w:rsidR="005E06EE" w:rsidRPr="007D4E5D">
        <w:rPr>
          <w:rFonts w:ascii="Times New Roman" w:hAnsi="Times New Roman" w:cs="Times New Roman"/>
          <w:lang w:val="en-GB"/>
        </w:rPr>
        <w:t xml:space="preserve">ealthy lifestyle habits are </w:t>
      </w:r>
      <w:r>
        <w:rPr>
          <w:rFonts w:ascii="Times New Roman" w:hAnsi="Times New Roman" w:cs="Times New Roman"/>
          <w:lang w:val="en-GB"/>
        </w:rPr>
        <w:t xml:space="preserve">also </w:t>
      </w:r>
      <w:r w:rsidR="005E06EE" w:rsidRPr="007D4E5D">
        <w:rPr>
          <w:rFonts w:ascii="Times New Roman" w:hAnsi="Times New Roman" w:cs="Times New Roman"/>
          <w:lang w:val="en-GB"/>
        </w:rPr>
        <w:t xml:space="preserve">recommended </w:t>
      </w:r>
      <w:r w:rsidR="00D50A0A">
        <w:rPr>
          <w:rFonts w:ascii="Times New Roman" w:hAnsi="Times New Roman" w:cs="Times New Roman"/>
          <w:lang w:val="en-GB"/>
        </w:rPr>
        <w:t>for preventing osteoporotic fracture</w:t>
      </w:r>
      <w:r w:rsidR="00ED716E">
        <w:rPr>
          <w:rFonts w:ascii="Times New Roman" w:hAnsi="Times New Roman" w:cs="Times New Roman"/>
          <w:lang w:val="en-GB"/>
        </w:rPr>
        <w:t>s</w:t>
      </w:r>
      <w:r w:rsidR="00D50A0A">
        <w:rPr>
          <w:rFonts w:ascii="Times New Roman" w:hAnsi="Times New Roman" w:cs="Times New Roman"/>
          <w:lang w:val="en-GB"/>
        </w:rPr>
        <w:t xml:space="preserve"> by </w:t>
      </w:r>
      <w:r w:rsidR="0043794D" w:rsidRPr="0043794D">
        <w:rPr>
          <w:rFonts w:ascii="Times New Roman" w:hAnsi="Times New Roman" w:cs="Times New Roman"/>
          <w:lang w:val="en-GB"/>
        </w:rPr>
        <w:t>various respected scientific societies—for example, the International Osteoporosis Foundation (IOF), the European Society for Clinical and Economic Aspects of Osteoporosis, Osteoarthritis (ESCEO), the American College of Rheumatology (ACR)</w:t>
      </w:r>
      <w:r w:rsidR="00D50A0A">
        <w:rPr>
          <w:rFonts w:ascii="Times New Roman" w:hAnsi="Times New Roman" w:cs="Times New Roman"/>
          <w:lang w:val="en-GB"/>
        </w:rPr>
        <w:t>,</w:t>
      </w:r>
      <w:r w:rsidR="0043794D" w:rsidRPr="0043794D">
        <w:rPr>
          <w:rFonts w:ascii="Times New Roman" w:hAnsi="Times New Roman" w:cs="Times New Roman"/>
          <w:lang w:val="en-GB"/>
        </w:rPr>
        <w:t xml:space="preserve"> the American Society for Bone and Mineral Research (</w:t>
      </w:r>
      <w:r w:rsidR="0043794D" w:rsidRPr="001A188D">
        <w:rPr>
          <w:rFonts w:ascii="Times New Roman" w:hAnsi="Times New Roman" w:cs="Times New Roman"/>
          <w:lang w:val="en-GB"/>
        </w:rPr>
        <w:t>ASBMR</w:t>
      </w:r>
      <w:r w:rsidR="0043794D" w:rsidRPr="0043794D">
        <w:rPr>
          <w:rFonts w:ascii="Times New Roman" w:hAnsi="Times New Roman" w:cs="Times New Roman"/>
          <w:lang w:val="en-GB"/>
        </w:rPr>
        <w:t>)</w:t>
      </w:r>
      <w:r w:rsidR="00D50A0A">
        <w:rPr>
          <w:rFonts w:ascii="Times New Roman" w:hAnsi="Times New Roman" w:cs="Times New Roman"/>
          <w:lang w:val="en-GB"/>
        </w:rPr>
        <w:t xml:space="preserve"> </w:t>
      </w:r>
      <w:r w:rsidR="00444D8B">
        <w:rPr>
          <w:rFonts w:ascii="Times New Roman" w:hAnsi="Times New Roman" w:cs="Times New Roman"/>
          <w:lang w:val="en-GB"/>
        </w:rPr>
        <w:t>and</w:t>
      </w:r>
      <w:r w:rsidR="00D50A0A">
        <w:rPr>
          <w:rFonts w:ascii="Times New Roman" w:hAnsi="Times New Roman" w:cs="Times New Roman"/>
          <w:lang w:val="en-GB"/>
        </w:rPr>
        <w:t xml:space="preserve"> the A</w:t>
      </w:r>
      <w:r w:rsidR="00D50A0A" w:rsidRPr="00464D4E">
        <w:rPr>
          <w:rFonts w:ascii="Times New Roman" w:hAnsi="Times New Roman" w:cs="Times New Roman"/>
          <w:lang w:val="en-GB"/>
        </w:rPr>
        <w:t>merican Association of Clinical Endocrinologists (AACE)</w:t>
      </w:r>
      <w:r w:rsidR="00D50A0A" w:rsidRPr="0043794D" w:rsidDel="00D50A0A">
        <w:rPr>
          <w:rFonts w:ascii="Times New Roman" w:hAnsi="Times New Roman" w:cs="Times New Roman"/>
          <w:lang w:val="en-GB"/>
        </w:rPr>
        <w:t xml:space="preserve"> </w:t>
      </w:r>
      <w:r w:rsidR="00066D48" w:rsidRPr="0043794D">
        <w:rPr>
          <w:rFonts w:ascii="Times New Roman" w:hAnsi="Times New Roman" w:cs="Times New Roman"/>
          <w:vertAlign w:val="superscript"/>
          <w:lang w:val="en-GB"/>
        </w:rPr>
        <w:fldChar w:fldCharType="begin" w:fldLock="1"/>
      </w:r>
      <w:r w:rsidR="007C3A46">
        <w:rPr>
          <w:rFonts w:ascii="Times New Roman" w:hAnsi="Times New Roman" w:cs="Times New Roman"/>
          <w:vertAlign w:val="superscript"/>
          <w:lang w:val="en-GB"/>
        </w:rPr>
        <w:instrText>ADDIN CSL_CITATION {"citationItems":[{"id":"ITEM-1","itemData":{"DOI":"10.1007/s00198-018-4704-5","ISSN":"14332965","PMID":"30324412","abstract":"Summary: Guidance is provided in a European setting on the assessment and treatment of postmenopausal women at risk from fractures due to osteoporosis. Introduction: The International Osteoporosis Foundation and European Society for Clinical and Economic Aspects of Osteoporosis and Osteoarthritis published guidance for the diagnosis and management of osteoporosis in 2013. This manuscript updates these in a European setting. Methods: Systematic reviews were updated. Results: The following areas are reviewed: the role of bone mineral density measurement for the diagnosis of osteoporosis and assessment of fracture risk; general and pharmacological management of osteoporosis; monitoring of treatment; assessment of fracture risk; case-finding strategies; investigation of patients; health economics of treatment. The update includes new information on the evaluation of bone microstructure evaluation in facture risk assessment, the role of FRAX® and Fracture Liaison Services in secondary fracture prevention, long-term effects on fracture risk of dietary intakes, and increased fracture risk on stopping drug treatment. Conclusions: A platform is provided on which specific guidelines can be developed for national use.","author":[{"dropping-particle":"","family":"Kanis","given":"J. A.","non-dropping-particle":"","parse-names":false,"suffix":""},{"dropping-particle":"","family":"Cooper","given":"C.","non-dropping-particle":"","parse-names":false,"suffix":""},{"dropping-particle":"","family":"Rizzoli","given":"R.","non-dropping-particle":"","parse-names":false,"suffix":""},{"dropping-particle":"","family":"Reginster","given":"J. Y.","non-dropping-particle":"","parse-names":false,"suffix":""}],"container-title":"Osteoporosis International","id":"ITEM-1","issue":"1","issued":{"date-parts":[["2019","1","18"]]},"page":"3-44","publisher":"Osteoporos Int","title":"European guidance for the diagnosis and management of osteoporosis in postmenopausal women","type":"article-journal","volume":"30"},"uris":["http://www.mendeley.com/documents/?uuid=2fdb04cc-11f0-3463-96d7-62f99b18013b"]},{"id":"ITEM-2","itemData":{"DOI":"10.1007/s00223-018-00512-x","ISSN":"14320827","PMID":"30796490","abstract":"A guidance on the assessment and treatment of postmenopausal women at risk from fractures due to osteoporosis was recently published in Osteoporosis International as a joint effort of the International Osteoporosis Foundation and European Society for Clinical and Economic Aspects of Osteoporosis and Osteoarthritis (Kanis et al. in Osteoporos Int https://doi.org/10.1007/s00198-018-4704-5, 2018). This manuscript updates the previous guidelines document, published in 2013 (Kanis et al. in Osteoporos Int 24:23–57, 2013) and is written in a European perspective. The present article reports and summarizes the main recommendations included in this 2018 guidance document.","author":[{"dropping-particle":"","family":"Kanis","given":"J. A.","non-dropping-particle":"","parse-names":false,"suffix":""},{"dropping-particle":"","family":"Cooper","given":"C.","non-dropping-particle":"","parse-names":false,"suffix":""},{"dropping-particle":"","family":"Rizzoli","given":"R.","non-dropping-particle":"","parse-names":false,"suffix":""},{"dropping-particle":"","family":"Reginster","given":"J. Y.","non-dropping-particle":"","parse-names":false,"suffix":""}],"container-title":"Calcified Tissue International","id":"ITEM-2","issue":"3","issued":{"date-parts":[["2019","3","15"]]},"page":"235-238","publisher":"Calcif Tissue Int","title":"Executive summary of the European guidance for the diagnosis and management of osteoporosis in postmenopausal women","type":"article","volume":"104"},"uris":["http://www.mendeley.com/documents/?uuid=7c6597f8-a123-3ff8-9e88-347d7cc0a974"]},{"id":"ITEM-3","itemData":{"DOI":"10.4158/GL-2020-0524SUPPL","ISSN":"19342403","PMID":"32339028","abstract":"Objective: The development of these guidelines is sponsored by the American Association of Clinical Endocrinologists (AACE) Board of Directors and American College of Endocrinology (ACE) Board of Trustees and adheres with published AACE protocols for the standardized production of clinical practice guidelines (CPGs). Methods: Recommendations are based on diligent reviews of the clinical evidence with transparent incorporation of subjective factors, according to established AACE/ACE guidelines for guidelines protocols. Results: The Executive Summary of this 2020 updated guideline contains 52 recommendations: 21 Grade A (40%), 24 Grade B (46%), 7 Grade C (14%), and no Grade D (0%). These detailed, evidence-based recommendations allow for nuance-based clinical decision-making that addresses multiple aspects of real-world care of patients. The evidence base presented in the subsequent Appendix provides relevant supporting information for the Executive Summary recommendations. This update contains 368 citations: 123 (33.5%) evidence level (EL) 1 (highest), 132 (36%) EL 2 (intermediate), 20 (5.5%) EL 3 (weak), and 93 (25%) EL 4 (lowest). New or updated topics in this CPG include: clarifcation of the diagnosis of osteoporosis, stratifcation of the patient according to high-risk and veryhigh-risk features, a new dual-action therapy option, and transitions from therapeutic options. Conclusion: This guideline is a practical tool for endocrinologists, physicians in general, regulatory bodies, health-related organizations, and interested laypersons regarding the diagnosis, evaluation, and treatment of postmenopausal osteoporosis.","author":[{"dropping-particle":"","family":"Camacho","given":"Pauline M.","non-dropping-particle":"","parse-names":false,"suffix":""},{"dropping-particle":"","family":"Petak","given":"Steven M.","non-dropping-particle":"","parse-names":false,"suffix":""},{"dropping-particle":"","family":"Binkley","given":"Neil","non-dropping-particle":"","parse-names":false,"suffix":""},{"dropping-particle":"","family":"Diab","given":"Dima L.","non-dropping-particle":"","parse-names":false,"suffix":""},{"dropping-particle":"","family":"Eldeiry","given":"Leslie S.","non-dropping-particle":"","parse-names":false,"suffix":""},{"dropping-particle":"","family":"Farooki","given":"Azeez","non-dropping-particle":"","parse-names":false,"suffix":""},{"dropping-particle":"","family":"Harris","given":"Steven T.","non-dropping-particle":"","parse-names":false,"suffix":""},{"dropping-particle":"","family":"Hurley","given":"Daniel L.","non-dropping-particle":"","parse-names":false,"suffix":""},{"dropping-particle":"","family":"Kelly","given":"Jennifer","non-dropping-particle":"","parse-names":false,"suffix":""},{"dropping-particle":"","family":"Michael Lewiecki","given":"E.","non-dropping-particle":"","parse-names":false,"suffix":""},{"dropping-particle":"","family":"Pessah-Pollack","given":"Rachel","non-dropping-particle":"","parse-names":false,"suffix":""},{"dropping-particle":"","family":"McClung","given":"Michael","non-dropping-particle":"","parse-names":false,"suffix":""},{"dropping-particle":"","family":"Wimalawansa","given":"Sunil J.","non-dropping-particle":"","parse-names":false,"suffix":""},{"dropping-particle":"","family":"Watts","given":"Nelson B.","non-dropping-particle":"","parse-names":false,"suffix":""}],"container-title":"Endocrine Practice","id":"ITEM-3","issue":"s1","issued":{"date-parts":[["2020","5","15"]]},"page":"1-46","publisher":"Endocr Pract","title":"American association of clinical endocrinologists/American college of endocrinology clinical practice guidelines for the diagnosis and treatment of postmenopausal osteoporosis-2020 update","type":"article","volume":"26"},"uris":["http://www.mendeley.com/documents/?uuid=c4f597ec-9a94-35a0-9e86-6d36aa08d3ca"]},{"id":"ITEM-4","itemData":{"DOI":"10.1002/jbmr.3039","ISSN":"15234681","PMID":"27864889","abstract":"The American Society for Bone and Mineral Research and the United States National Osteoporosis Foundation (NOF) formed a working group to develop principles of goal-directed treatment and identify gaps that need to be filled to implement this approach. With goal-directed treatment, a treatment goal would first be established and choice of treatment determined by the probability of achieving that goal. Goals of treatment would be freedom from fracture, a T-score &gt; –2.5, which is above the NOF threshold for initiating treatment, or achievement of an estimated risk level below the threshold for initiating treatment. Progress toward reaching the patient's goal would be periodically and systematically assessed by estimating the patient's compliance with treatment, reviewing fracture history, repeating vertebral imaging when indicated, and repeating measurement of bone mineral density (BMD). Using these data, a decision would be made to stop, continue, or change therapy. Some of these approaches can now be applied to clinical practice. However, the application of goal-directed treatment cannot be fully achieved until medications are available that provide greater increases in BMD and greater reduction in fracture risk than those that are currently approved; only then can patients with very high fracture risk and very low BMD achieve such goals. Furthermore, assessing future fracture risk in patients on treatment requires a new assessment tool that accurately captures the change in fracture risk associated with treatment and should also be sensitive to the importance of recent fractures as predictors of imminent fracture risk. Lastly, evidence is needed to confirm that selecting and switching treatments to achieve goals reduces fracture risk more effectively than current standard care. © 2016 American Society for Bone and Mineral Research.","author":[{"dropping-particle":"","family":"Cummings","given":"Steven R.","non-dropping-particle":"","parse-names":false,"suffix":""},{"dropping-particle":"","family":"Cosman","given":"Felicia","non-dropping-particle":"","parse-names":false,"suffix":""},{"dropping-particle":"","family":"Lewiecki","given":"E. Michael","non-dropping-particle":"","parse-names":false,"suffix":""},{"dropping-particle":"","family":"Schousboe","given":"John T.","non-dropping-particle":"","parse-names":false,"suffix":""},{"dropping-particle":"","family":"Bauer","given":"Douglas C.","non-dropping-particle":"","parse-names":false,"suffix":""},{"dropping-particle":"","family":"Black","given":"Dennis M.","non-dropping-particle":"","parse-names":false,"suffix":""},{"dropping-particle":"","family":"Brown","given":"Thomas D.","non-dropping-particle":"","parse-names":false,"suffix":""},{"dropping-particle":"","family":"Cheung","given":"Angela M.","non-dropping-particle":"","parse-names":false,"suffix":""},{"dropping-particle":"","family":"Cody","given":"Kathleen","non-dropping-particle":"","parse-names":false,"suffix":""},{"dropping-particle":"","family":"Cooper","given":"Cyrus","non-dropping-particle":"","parse-names":false,"suffix":""},{"dropping-particle":"","family":"Diez-Perez","given":"Adolfo","non-dropping-particle":"","parse-names":false,"suffix":""},{"dropping-particle":"","family":"Eastell","given":"Richard","non-dropping-particle":"","parse-names":false,"suffix":""},{"dropping-particle":"","family":"Hadji","given":"Peyman","non-dropping-particle":"","parse-names":false,"suffix":""},{"dropping-particle":"","family":"Hosoi","given":"Takayuki","non-dropping-particle":"","parse-names":false,"suffix":""},{"dropping-particle":"","family":"Jan De Beur","given":"Suzanne","non-dropping-particle":"","parse-names":false,"suffix":""},{"dropping-particle":"","family":"Kagan","given":"Risa","non-dropping-particle":"","parse-names":false,"suffix":""},{"dropping-particle":"","family":"Kiel","given":"Douglas P.","non-dropping-particle":"","parse-names":false,"suffix":""},{"dropping-particle":"","family":"Reid","given":"Ian R.","non-dropping-particle":"","parse-names":false,"suffix":""},{"dropping-particle":"","family":"Solomon","given":"Daniel H.","non-dropping-particle":"","parse-names":false,"suffix":""},{"dropping-particle":"","family":"Randall","given":"Susan","non-dropping-particle":"","parse-names":false,"suffix":""}],"container-title":"Journal of Bone and Mineral Research","id":"ITEM-4","issue":"1","issued":{"date-parts":[["2017","1","1"]]},"page":"3-10","publisher":"J Bone Miner Res","title":"Goal-Directed Treatment for Osteoporosis: A Progress Report From the ASBMR-NOF Working Group on Goal-Directed Treatment for Osteoporosis","type":"article-journal","volume":"32"},"uris":["http://www.mendeley.com/documents/?uuid=f535c5da-6eb6-3c2a-9c91-112a2fbe6a9d"]},{"id":"ITEM-5","itemData":{"DOI":"10.1002/acr.23279","ISSN":"21514658","PMID":"28585410","abstract":"Objective: To develop recommendations for prevention and treatment of glucocorticoid-induced osteoporosis (GIOP). Methods: We conducted a systematic review to synthesize the evidence for the benefits and harms of GIOP prevention and treatment options. The Grading of Recommendations Assessment, Development and Evaluation methodology was used to rate the quality of evidence. We used a group consensus process to determine the final recommendations and grade their strength. The guideline addresses initial assessment and reassessment in patients beginning or continuing long-term (≥3 months) glucocorticoid (GC) treatment, as well as the relative benefits and harms of lifestyle modification and of calcium, vitamin D, bisphosphonate, raloxifene, teriparatide, and denosumab treatment in the general adult population receiving long-term GC treatment, as well as in special populations of long-term GC users. Results: Because of limited evidence regarding the benefits and harms of interventions in GC users, most recommendations in this guideline are conditional (uncertain balance between benefits and harms). Recommendations include treating only with calcium and vitamin D in adults at low fracture risk, treating with calcium and vitamin D plus an additional osteoporosis medication (oral bisphosphonate preferred) in adults at moderate-to-high fracture risk, continuing calcium plus vitamin D but switching from an oral bisphosphonate to another antifracture medication in adults in whom oral bisphosphonate treatment is not appropriate, and continuing oral bisphosphonate treatment or switching to another antifracture medication in adults who complete a planned oral bisphosphonate regimen but continue to receive GC treatment. Recommendations for special populations, including children, people with organ transplants, women of childbearing potential, and people receiving very high-dose GC treatment, are also made. Conclusion: This guideline provides direction for clinicians and patients making treatment decisions. Clinicians and patients should use a shared decision-making process that accounts for patients' values, preferences, and comorbidities. These recommendations should not be used to limit or deny access to therapies.","author":[{"dropping-particle":"","family":"Buckley","given":"Lenore","non-dropping-particle":"","parse-names":false,"suffix":""},{"dropping-particle":"","family":"Guyatt","given":"Gordon","non-dropping-particle":"","parse-names":false,"suffix":""},{"dropping-particle":"","family":"Fink","given":"Howard A.","non-dropping-particle":"","parse-names":false,"suffix":""},{"dropping-particle":"","family":"Cannon","given":"Michael","non-dropping-particle":"","parse-names":false,"suffix":""},{"dropping-particle":"","family":"Grossman","given":"Jennifer","non-dropping-particle":"","parse-names":false,"suffix":""},{"dropping-particle":"","family":"Hansen","given":"Karen E.","non-dropping-particle":"","parse-names":false,"suffix":""},{"dropping-particle":"","family":"Humphrey","given":"Mary Beth","non-dropping-particle":"","parse-names":false,"suffix":""},{"dropping-particle":"","family":"Lane","given":"Nancy E.","non-dropping-particle":"","parse-names":false,"suffix":""},{"dropping-particle":"","family":"Magrey","given":"Marina","non-dropping-particle":"","parse-names":false,"suffix":""},{"dropping-particle":"","family":"Miller","given":"Marc","non-dropping-particle":"","parse-names":false,"suffix":""},{"dropping-particle":"","family":"Morrison","given":"Lake","non-dropping-particle":"","parse-names":false,"suffix":""},{"dropping-particle":"","family":"Rao","given":"Madhumathi","non-dropping-particle":"","parse-names":false,"suffix":""},{"dropping-particle":"","family":"Byun Robinson","given":"Angela","non-dropping-particle":"","parse-names":false,"suffix":""},{"dropping-particle":"","family":"Saha","given":"Sumona","non-dropping-particle":"","parse-names":false,"suffix":""},{"dropping-particle":"","family":"Wolver","given":"Susan","non-dropping-particle":"","parse-names":false,"suffix":""},{"dropping-particle":"","family":"Bannuru","given":"Raveendhara R.","non-dropping-particle":"","parse-names":false,"suffix":""},{"dropping-particle":"","family":"Vaysbrot","given":"Elizaveta","non-dropping-particle":"","parse-names":false,"suffix":""},{"dropping-particle":"","family":"Osani","given":"Mikala","non-dropping-particle":"","parse-names":false,"suffix":""},{"dropping-particle":"","family":"Turgunbaev","given":"Marat","non-dropping-particle":"","parse-names":false,"suffix":""},{"dropping-particle":"","family":"Miller","given":"Amy S.","non-dropping-particle":"","parse-names":false,"suffix":""},{"dropping-particle":"","family":"McAlindon","given":"Timothy","non-dropping-particle":"","parse-names":false,"suffix":""}],"container-title":"Arthritis Care and Research","id":"ITEM-5","issue":"8","issued":{"date-parts":[["2017","8","1"]]},"page":"1095-1110","publisher":"Arthritis Care Res (Hoboken)","title":"2017 American College of Rheumatology Guideline for the Prevention and Treatment of Glucocorticoid-Induced Osteoporosis","type":"article-journal","volume":"69"},"uris":["http://www.mendeley.com/documents/?uuid=dfc5f89f-ad71-3466-88f0-0588603b3a32"]}],"mendeley":{"formattedCitation":"[6, 8–11]","plainTextFormattedCitation":"[6, 8–11]","previouslyFormattedCitation":"[6, 8–11]"},"properties":{"noteIndex":0},"schema":"https://github.com/citation-style-language/schema/raw/master/csl-citation.json"}</w:instrText>
      </w:r>
      <w:r w:rsidR="00066D48" w:rsidRPr="0043794D">
        <w:rPr>
          <w:rFonts w:ascii="Times New Roman" w:hAnsi="Times New Roman" w:cs="Times New Roman"/>
          <w:vertAlign w:val="superscript"/>
          <w:lang w:val="en-GB"/>
        </w:rPr>
        <w:fldChar w:fldCharType="separate"/>
      </w:r>
      <w:r w:rsidR="00003110" w:rsidRPr="00003110">
        <w:rPr>
          <w:rFonts w:ascii="Times New Roman" w:hAnsi="Times New Roman" w:cs="Times New Roman"/>
          <w:noProof/>
          <w:lang w:val="en-GB"/>
        </w:rPr>
        <w:t>[6, 8–11]</w:t>
      </w:r>
      <w:r w:rsidR="00066D48" w:rsidRPr="0043794D">
        <w:rPr>
          <w:rFonts w:ascii="Times New Roman" w:hAnsi="Times New Roman" w:cs="Times New Roman"/>
          <w:vertAlign w:val="superscript"/>
          <w:lang w:val="en-GB"/>
        </w:rPr>
        <w:fldChar w:fldCharType="end"/>
      </w:r>
      <w:r w:rsidR="005E06EE" w:rsidRPr="0043794D">
        <w:rPr>
          <w:rFonts w:ascii="Times New Roman" w:hAnsi="Times New Roman" w:cs="Times New Roman"/>
          <w:vertAlign w:val="superscript"/>
          <w:lang w:val="en-GB"/>
        </w:rPr>
        <w:t xml:space="preserve">. </w:t>
      </w:r>
    </w:p>
    <w:p w14:paraId="048ABEE4" w14:textId="1D3C6516" w:rsidR="005E06EE" w:rsidRPr="007C3A46" w:rsidRDefault="001579D5" w:rsidP="00CF60A0">
      <w:pPr>
        <w:spacing w:line="360" w:lineRule="auto"/>
        <w:jc w:val="both"/>
        <w:rPr>
          <w:rFonts w:ascii="Times New Roman" w:hAnsi="Times New Roman" w:cs="Times New Roman"/>
          <w:lang w:val="en-US"/>
        </w:rPr>
      </w:pPr>
      <w:r>
        <w:rPr>
          <w:rFonts w:ascii="Times New Roman" w:hAnsi="Times New Roman" w:cs="Times New Roman"/>
          <w:lang w:val="en-GB"/>
        </w:rPr>
        <w:t>Although</w:t>
      </w:r>
      <w:r w:rsidR="005E06EE" w:rsidRPr="00A0684A">
        <w:rPr>
          <w:rFonts w:ascii="Times New Roman" w:hAnsi="Times New Roman" w:cs="Times New Roman"/>
          <w:lang w:val="en-GB"/>
        </w:rPr>
        <w:t xml:space="preserve"> bone density is largely determined by genetic factors, a number of lifestyle factors </w:t>
      </w:r>
      <w:r w:rsidR="002F2EDD">
        <w:rPr>
          <w:rFonts w:ascii="Times New Roman" w:hAnsi="Times New Roman" w:cs="Times New Roman"/>
          <w:lang w:val="en-GB"/>
        </w:rPr>
        <w:t xml:space="preserve">also </w:t>
      </w:r>
      <w:r w:rsidR="005E06EE" w:rsidRPr="00A0684A">
        <w:rPr>
          <w:rFonts w:ascii="Times New Roman" w:hAnsi="Times New Roman" w:cs="Times New Roman"/>
          <w:lang w:val="en-GB"/>
        </w:rPr>
        <w:t>play a role in the development or prevention of osteoporosis</w:t>
      </w:r>
      <w:r w:rsidR="00C63E0D">
        <w:rPr>
          <w:rFonts w:ascii="Times New Roman" w:hAnsi="Times New Roman" w:cs="Times New Roman"/>
          <w:lang w:val="en-GB"/>
        </w:rPr>
        <w:t xml:space="preserve"> and osteoporosis-related fractures</w:t>
      </w:r>
      <w:r w:rsidR="005E06EE" w:rsidRPr="00A0684A">
        <w:rPr>
          <w:rFonts w:ascii="Times New Roman" w:hAnsi="Times New Roman" w:cs="Times New Roman"/>
          <w:lang w:val="en-GB"/>
        </w:rPr>
        <w:t>, through their effects on bone development during years</w:t>
      </w:r>
      <w:r w:rsidR="00C92694">
        <w:rPr>
          <w:rFonts w:ascii="Times New Roman" w:hAnsi="Times New Roman" w:cs="Times New Roman"/>
          <w:lang w:val="en-GB"/>
        </w:rPr>
        <w:t xml:space="preserve"> of growth</w:t>
      </w:r>
      <w:r w:rsidR="005E06EE" w:rsidRPr="00A0684A">
        <w:rPr>
          <w:rFonts w:ascii="Times New Roman" w:hAnsi="Times New Roman" w:cs="Times New Roman"/>
          <w:lang w:val="en-GB"/>
        </w:rPr>
        <w:t xml:space="preserve"> and the rate of bone loss in later life</w:t>
      </w:r>
      <w:r w:rsidR="00A0684A" w:rsidRPr="00A0684A">
        <w:rPr>
          <w:rFonts w:ascii="Times New Roman" w:hAnsi="Times New Roman" w:cs="Times New Roman"/>
          <w:lang w:val="en-GB"/>
        </w:rPr>
        <w:t xml:space="preserve">. Numerous </w:t>
      </w:r>
      <w:r w:rsidR="0054280D">
        <w:rPr>
          <w:rFonts w:ascii="Times New Roman" w:hAnsi="Times New Roman" w:cs="Times New Roman"/>
          <w:lang w:val="en-GB"/>
        </w:rPr>
        <w:t>meta-research studies and expert consensus</w:t>
      </w:r>
      <w:r w:rsidR="00A0684A" w:rsidRPr="00A0684A">
        <w:rPr>
          <w:rFonts w:ascii="Times New Roman" w:hAnsi="Times New Roman" w:cs="Times New Roman"/>
          <w:lang w:val="en-GB"/>
        </w:rPr>
        <w:t xml:space="preserve"> have highlighted th</w:t>
      </w:r>
      <w:r w:rsidR="0054280D">
        <w:rPr>
          <w:rFonts w:ascii="Times New Roman" w:hAnsi="Times New Roman" w:cs="Times New Roman"/>
          <w:lang w:val="en-GB"/>
        </w:rPr>
        <w:t xml:space="preserve">e positive role of </w:t>
      </w:r>
      <w:r w:rsidR="00A0684A" w:rsidRPr="00A0684A">
        <w:rPr>
          <w:rFonts w:ascii="Times New Roman" w:hAnsi="Times New Roman" w:cs="Times New Roman"/>
          <w:lang w:val="en-GB"/>
        </w:rPr>
        <w:t>diet, physical activity, and other healthy lifestyle behavio</w:t>
      </w:r>
      <w:r w:rsidR="000E3C0D">
        <w:rPr>
          <w:rFonts w:ascii="Times New Roman" w:hAnsi="Times New Roman" w:cs="Times New Roman"/>
          <w:lang w:val="en-GB"/>
        </w:rPr>
        <w:t>u</w:t>
      </w:r>
      <w:r w:rsidR="00A0684A" w:rsidRPr="00A0684A">
        <w:rPr>
          <w:rFonts w:ascii="Times New Roman" w:hAnsi="Times New Roman" w:cs="Times New Roman"/>
          <w:lang w:val="en-GB"/>
        </w:rPr>
        <w:t xml:space="preserve">rs </w:t>
      </w:r>
      <w:r w:rsidR="00E17044">
        <w:rPr>
          <w:rFonts w:ascii="Times New Roman" w:hAnsi="Times New Roman" w:cs="Times New Roman"/>
          <w:lang w:val="en-GB"/>
        </w:rPr>
        <w:t>in</w:t>
      </w:r>
      <w:r w:rsidR="00A0684A" w:rsidRPr="00A0684A">
        <w:rPr>
          <w:rFonts w:ascii="Times New Roman" w:hAnsi="Times New Roman" w:cs="Times New Roman"/>
          <w:lang w:val="en-GB"/>
        </w:rPr>
        <w:t xml:space="preserve"> ensur</w:t>
      </w:r>
      <w:r w:rsidR="00E17044">
        <w:rPr>
          <w:rFonts w:ascii="Times New Roman" w:hAnsi="Times New Roman" w:cs="Times New Roman"/>
          <w:lang w:val="en-GB"/>
        </w:rPr>
        <w:t>ing</w:t>
      </w:r>
      <w:r w:rsidR="00A0684A" w:rsidRPr="00A0684A">
        <w:rPr>
          <w:rFonts w:ascii="Times New Roman" w:hAnsi="Times New Roman" w:cs="Times New Roman"/>
          <w:lang w:val="en-GB"/>
        </w:rPr>
        <w:t xml:space="preserve"> good skeletal health throughout life</w:t>
      </w:r>
      <w:r w:rsidR="0054280D">
        <w:rPr>
          <w:rFonts w:ascii="Times New Roman" w:hAnsi="Times New Roman" w:cs="Times New Roman"/>
          <w:lang w:val="en-GB"/>
        </w:rPr>
        <w:t xml:space="preserve"> and prevent</w:t>
      </w:r>
      <w:r w:rsidR="00E17044">
        <w:rPr>
          <w:rFonts w:ascii="Times New Roman" w:hAnsi="Times New Roman" w:cs="Times New Roman"/>
          <w:lang w:val="en-GB"/>
        </w:rPr>
        <w:t>ing</w:t>
      </w:r>
      <w:r w:rsidR="0054280D">
        <w:rPr>
          <w:rFonts w:ascii="Times New Roman" w:hAnsi="Times New Roman" w:cs="Times New Roman"/>
          <w:lang w:val="en-GB"/>
        </w:rPr>
        <w:t xml:space="preserve"> osteoporosis</w:t>
      </w:r>
      <w:r w:rsidR="00C63E0D">
        <w:rPr>
          <w:rFonts w:ascii="Times New Roman" w:hAnsi="Times New Roman" w:cs="Times New Roman"/>
          <w:lang w:val="en-GB"/>
        </w:rPr>
        <w:t xml:space="preserve"> and osteoporosis fractures</w:t>
      </w:r>
      <w:r w:rsidR="00E17044">
        <w:rPr>
          <w:rFonts w:ascii="Times New Roman" w:hAnsi="Times New Roman" w:cs="Times New Roman"/>
          <w:lang w:val="en-GB"/>
        </w:rPr>
        <w:t xml:space="preserve"> </w:t>
      </w:r>
      <w:r w:rsidR="0054280D">
        <w:rPr>
          <w:rFonts w:ascii="Times New Roman" w:hAnsi="Times New Roman" w:cs="Times New Roman"/>
          <w:lang w:val="en-GB"/>
        </w:rPr>
        <w:fldChar w:fldCharType="begin" w:fldLock="1"/>
      </w:r>
      <w:r w:rsidR="00016D21">
        <w:rPr>
          <w:rFonts w:ascii="Times New Roman" w:hAnsi="Times New Roman" w:cs="Times New Roman"/>
          <w:lang w:val="en-GB"/>
        </w:rPr>
        <w:instrText>ADDIN CSL_CITATION {"citationItems":[{"id":"ITEM-1","itemData":{"DOI":"10.1007/s00198-011-1545-x","ISSN":"0937941X","PMID":"21360219","abstract":"This consensus article reviews the various aspects of the non-pharmacological management of osteoporosis, including the effects of nutriments, physical exercise, lifestyle, fall prevention, and hip protectors. Vertebroplasty is also briefly reviewed. Non-pharmacological management of osteoporosis is a broad concept. It must be viewed as an essential part of the prevention of fractures from childhood through adulthood and the old age. The topic also includes surgical procedures for the treatment of peripheral and vertebral fractures and the post-fracture rehabilitation. The present document is the result of a consensus, based on a systematic review and a critical appraisal of the literature. Diets deficient in calcium, proteins or vitamin D impair skeletal integrity. The effect of other nutriments is less clear, although an excessive consumption of sodium, caffeine, or fibres exerts negative effects on calcium balance. The deleterious effects of tobacco, excessive alcohol consumption and a low BMI are well accepted. Physical activity is of primary importance to reach optimal peak bone mass but, if numerous studies have shown the beneficial effects of various types of exercise on bone mass, fracture data as an endpoint are scanty. Fall prevention strategies are especially efficient in the community setting, but less evidence is available about their effectiveness in preventing fall-related injuries and fractures. The efficacy of hip protectors remains controversial. This is also true for vertebroplasty and kyphoplasty. Several randomized controlled studies had reported a short-term advantage of vertebroplasty over medical treatment for pain relief, but these findings have been questioned by recent sham-controlled randomized clinical studies. © 2011 The Author(s).","author":[{"dropping-particle":"","family":"Body","given":"J. J.","non-dropping-particle":"","parse-names":false,"suffix":""},{"dropping-particle":"","family":"Bergmann","given":"P.","non-dropping-particle":"","parse-names":false,"suffix":""},{"dropping-particle":"","family":"Boonen","given":"S.","non-dropping-particle":"","parse-names":false,"suffix":""},{"dropping-particle":"","family":"Boutsen","given":"Y.","non-dropping-particle":"","parse-names":false,"suffix":""},{"dropping-particle":"","family":"Bruyere","given":"O.","non-dropping-particle":"","parse-names":false,"suffix":""},{"dropping-particle":"","family":"Devogelaer","given":"J. P.","non-dropping-particle":"","parse-names":false,"suffix":""},{"dropping-particle":"","family":"Goemaere","given":"S.","non-dropping-particle":"","parse-names":false,"suffix":""},{"dropping-particle":"","family":"Hollevoet","given":"N.","non-dropping-particle":"","parse-names":false,"suffix":""},{"dropping-particle":"","family":"Kaufman","given":"J. M.","non-dropping-particle":"","parse-names":false,"suffix":""},{"dropping-particle":"","family":"Milisen","given":"K.","non-dropping-particle":"","parse-names":false,"suffix":""},{"dropping-particle":"","family":"Rozenberg","given":"S.","non-dropping-particle":"","parse-names":false,"suffix":""},{"dropping-particle":"","family":"Reginster","given":"J. Y.","non-dropping-particle":"","parse-names":false,"suffix":""}],"container-title":"Osteoporosis International","id":"ITEM-1","issue":"11","issued":{"date-parts":[["2011","11"]]},"page":"2769-2788","publisher":"Osteoporos Int","title":"Non-pharmacological management of osteoporosis: A consensus of the Belgian Bone Club","type":"article-journal","volume":"22"},"uris":["http://www.mendeley.com/documents/?uuid=923c808b-03cd-3af7-8517-ed980df4616c"]},{"id":"ITEM-2","itemData":{"DOI":"10.1016/j.maturitas.2014.07.005","ISSN":"18734111","PMID":"25082206","abstract":"From 50 years of age, postmenopausal women are at an increased risk of developing sarcopenia and osteoporosis as a result of deterioration of musculoskeletal health. Both disorders increase the risk of falls and fractures. The risk of developing sarcopenia and osteoporosis may be attenuated through healthy lifestyle changes, which include adequate dietary protein, calcium and vitamin D intakes, and regular physical activity/exercise, besides hormone replacement therapy when appropriate. Protein intake and physical activity are the main anabolic stimuli for muscle protein synthesis. Exercise training leads to increased muscle mass and strength, and the combination of optimal protein intake and exercise produces a greater degree of muscle protein accretion than either intervention alone. Similarly, adequate dietary protein intake and resistance exercise are important contributors to the maintenance of bone strength. Vitamin D helps to maintain muscle mass and strength as well as bone health. These findings suggest that healthy lifestyle measures in women aged &gt;50 years are essential to allow healthy ageing. The European Society for Clinical and Economic Aspects of Osteoporosis and Osteoarthritis (ESCEO) recommends optimal dietary protein intake of 1.0-1.2 g/kg body weight/d with at least 20-25 g of high-quality protein at each main meal, with adequate vitamin D intake at 800 IU/d to maintain serum 25-hydroxyvitamin D levels &gt;50 nmol/L as well as calcium intake of 1000 mg/d, alongside regular physical activity/exercise 3-5 times/week combined with protein intake in close proximity to exercise, in postmenopausal women for prevention of age-related deterioration of musculoskeletal health. © 2014 Elsevier Ireland Ltd.","author":[{"dropping-particle":"","family":"Rizzoli","given":"René","non-dropping-particle":"","parse-names":false,"suffix":""},{"dropping-particle":"","family":"Stevenson","given":"John C.","non-dropping-particle":"","parse-names":false,"suffix":""},{"dropping-particle":"","family":"Bauer","given":"Jürgen M.","non-dropping-particle":"","parse-names":false,"suffix":""},{"dropping-particle":"","family":"Loon","given":"Luc J.C.","non-dropping-particle":"Van","parse-names":false,"suffix":""},{"dropping-particle":"","family":"Walrand","given":"Stéphane","non-dropping-particle":"","parse-names":false,"suffix":""},{"dropping-particle":"","family":"Kanis","given":"John A.","non-dropping-particle":"","parse-names":false,"suffix":""},{"dropping-particle":"","family":"Cooper","given":"Cyrus","non-dropping-particle":"","parse-names":false,"suffix":""},{"dropping-particle":"","family":"Brandi","given":"Maria Luisa","non-dropping-particle":"","parse-names":false,"suffix":""},{"dropping-particle":"","family":"Diez-Perez","given":"Adolfo","non-dropping-particle":"","parse-names":false,"suffix":""},{"dropping-particle":"","family":"Reginster","given":"Jean Yves","non-dropping-particle":"","parse-names":false,"suffix":""}],"container-title":"Maturitas","id":"ITEM-2","issue":"1","issued":{"date-parts":[["2014"]]},"page":"122-132","publisher":"Maturitas","title":"The role of dietary protein and vitamin D in maintaining musculoskeletal health in postmenopausal women: A consensus statement from the European Society for Clinical and Economic Aspects of Osteoporosis and Osteoarthritis (ESCEO)","type":"article-journal","volume":"79"},"uris":["http://www.mendeley.com/documents/?uuid=9e47e666-2cd0-3f15-93d9-cd47f980ae6e"]},{"id":"ITEM-3","itemData":{"DOI":"10.3390/HEALTHCARE5040085","PMID":"29113119","abstract":"Osteoporosis is an age-related disease, characterised by lowbonemineral density (BMD) and compromised bone geometry andmicroarchitecture, leading to reduced bone strength. Physical activity (PA) has potential as a therapy for osteoporosis, yet differentmodalities of PAhave varying influences on bone health. This reviewexplores current evidence for the benefits of PA, and targeted exercise regimes for the prevention and treatment of osteoporosis in older adults. In particular, the outcomes of interventions involving resistance training, low- and high-impactweight bearing activities, andwhole-body vibration therapy are discussed. Finally,we present recommendations for future research thatmaymaximise the potential of exercise in primary and secondary prevention of osteoporosis in the ageing population","author":[{"dropping-particle":"","family":"McMillan","given":"Lachlan B.","non-dropping-particle":"","parse-names":false,"suffix":""},{"dropping-particle":"","family":"Zengin","given":"Ayse","non-dropping-particle":"","parse-names":false,"suffix":""},{"dropping-particle":"","family":"Ebeling","given":"Peter R.","non-dropping-particle":"","parse-names":false,"suffix":""},{"dropping-particle":"","family":"Scott","given":"David","non-dropping-particle":"","parse-names":false,"suffix":""}],"container-title":"Healthcare","id":"ITEM-3","issue":"4","issued":{"date-parts":[["2017","11","6"]]},"page":"85","publisher":"Multidisciplinary Digital Publishing Institute  (MDPI)","title":"Prescribing Physical Activity for the Prevention and Treatment of Osteoporosis in Older Adults","type":"article-journal","volume":"5"},"uris":["http://www.mendeley.com/documents/?uuid=729f2037-809d-322f-975b-fe54deb3316f"]},{"id":"ITEM-4","itemData":{"DOI":"10.1016/S2213-8587(21)00119-4","ISSN":"22138595","PMID":"34242583","abstract":"Osteoporotic or fragility fractures affect one in two women and one in five men who are older than 50. These events are associated with substantial morbidity, increased mortality, and an impaired quality of life. Recommended general measures for fragility fracture prevention include a balanced diet with an optimal protein and calcium intake and vitamin D sufficiency, together with regular weight-bearing physical exercise. In this narrative Review, we discuss the role of nutrients, foods, and dietary patterns in maintaining bone health. Much of this information comes from observational studies. Bone mineral density, microstructure-estimated bone strength, and trabecular and cortical microstructure are positively associated with total protein intake. Several studies indicate that fracture risk might be lower with a higher dietary protein intake, provided that the calcium supply is sufficient. Dairy products are a valuable source of these two nutrients. Hip fracture risk appears to be lower in consumers of dairy products, particularly fermented dairy products. Consuming less than five servings per day of fruit and vegetables is associated with a higher hip fracture risk. Adherence to a Mediterranean diet or to a prudent diet is associated with a lower fracture risk. These various nutrients and dietary patterns influence gut microbiota composition or function, or both. The conclusions of this Review emphasise the importance of a balanced diet including minerals, protein, and fruit and vegetables for bone health and in the prevention of fragility fractures.","author":[{"dropping-particle":"","family":"Rizzoli","given":"René","non-dropping-particle":"","parse-names":false,"suffix":""},{"dropping-particle":"","family":"Biver","given":"Emmanuel","non-dropping-particle":"","parse-names":false,"suffix":""},{"dropping-particle":"","family":"Brennan-Speranza","given":"Tara C.","non-dropping-particle":"","parse-names":false,"suffix":""}],"container-title":"The Lancet Diabetes and Endocrinology","id":"ITEM-4","issue":"9","issued":{"date-parts":[["2021","9","1"]]},"page":"606-621","publisher":"Lancet Diabetes Endocrinol","title":"Nutritional intake and bone health","type":"article","volume":"9"},"uris":["http://www.mendeley.com/documents/?uuid=78c2f71f-1d1b-3e63-9aa8-c949523900aa"]}],"mendeley":{"formattedCitation":"[12–15]","plainTextFormattedCitation":"[12–15]","previouslyFormattedCitation":"[12–15]"},"properties":{"noteIndex":0},"schema":"https://github.com/citation-style-language/schema/raw/master/csl-citation.json"}</w:instrText>
      </w:r>
      <w:r w:rsidR="0054280D">
        <w:rPr>
          <w:rFonts w:ascii="Times New Roman" w:hAnsi="Times New Roman" w:cs="Times New Roman"/>
          <w:lang w:val="en-GB"/>
        </w:rPr>
        <w:fldChar w:fldCharType="separate"/>
      </w:r>
      <w:r w:rsidR="007C3A46" w:rsidRPr="007C3A46">
        <w:rPr>
          <w:rFonts w:ascii="Times New Roman" w:hAnsi="Times New Roman" w:cs="Times New Roman"/>
          <w:noProof/>
          <w:lang w:val="en-GB"/>
        </w:rPr>
        <w:t>[12–15]</w:t>
      </w:r>
      <w:r w:rsidR="0054280D">
        <w:rPr>
          <w:rFonts w:ascii="Times New Roman" w:hAnsi="Times New Roman" w:cs="Times New Roman"/>
          <w:lang w:val="en-GB"/>
        </w:rPr>
        <w:fldChar w:fldCharType="end"/>
      </w:r>
      <w:r w:rsidR="00A0684A" w:rsidRPr="00A0684A">
        <w:rPr>
          <w:rFonts w:ascii="Times New Roman" w:hAnsi="Times New Roman" w:cs="Times New Roman"/>
          <w:lang w:val="en-GB"/>
        </w:rPr>
        <w:t>.</w:t>
      </w:r>
    </w:p>
    <w:p w14:paraId="7BD1A6D6" w14:textId="71BAA2CD" w:rsidR="008B4342" w:rsidRPr="00136B48" w:rsidRDefault="00136B48" w:rsidP="00CF60A0">
      <w:pPr>
        <w:spacing w:line="360" w:lineRule="auto"/>
        <w:jc w:val="both"/>
        <w:rPr>
          <w:rFonts w:ascii="Times New Roman" w:hAnsi="Times New Roman" w:cs="Times New Roman"/>
          <w:lang w:val="en-GB"/>
        </w:rPr>
      </w:pPr>
      <w:r>
        <w:rPr>
          <w:rFonts w:ascii="Times New Roman" w:hAnsi="Times New Roman" w:cs="Times New Roman"/>
          <w:lang w:val="en-GB"/>
        </w:rPr>
        <w:t xml:space="preserve">Despite the well-known role of healthy lifestyle habits on </w:t>
      </w:r>
      <w:r w:rsidR="00C63E0D">
        <w:rPr>
          <w:rFonts w:ascii="Times New Roman" w:hAnsi="Times New Roman" w:cs="Times New Roman"/>
          <w:lang w:val="en-GB"/>
        </w:rPr>
        <w:t xml:space="preserve">bone health </w:t>
      </w:r>
      <w:r>
        <w:rPr>
          <w:rFonts w:ascii="Times New Roman" w:hAnsi="Times New Roman" w:cs="Times New Roman"/>
          <w:lang w:val="en-GB"/>
        </w:rPr>
        <w:t xml:space="preserve">and on health </w:t>
      </w:r>
      <w:r w:rsidR="002F2EDD">
        <w:rPr>
          <w:rFonts w:ascii="Times New Roman" w:hAnsi="Times New Roman" w:cs="Times New Roman"/>
          <w:lang w:val="en-GB"/>
        </w:rPr>
        <w:t>in</w:t>
      </w:r>
      <w:r>
        <w:rPr>
          <w:rFonts w:ascii="Times New Roman" w:hAnsi="Times New Roman" w:cs="Times New Roman"/>
          <w:lang w:val="en-GB"/>
        </w:rPr>
        <w:t xml:space="preserve"> general, many people do not </w:t>
      </w:r>
      <w:r w:rsidR="007461C5">
        <w:rPr>
          <w:rFonts w:ascii="Times New Roman" w:hAnsi="Times New Roman" w:cs="Times New Roman"/>
          <w:lang w:val="en-GB"/>
        </w:rPr>
        <w:t xml:space="preserve">heed </w:t>
      </w:r>
      <w:r w:rsidR="00CD5160">
        <w:rPr>
          <w:rFonts w:ascii="Times New Roman" w:hAnsi="Times New Roman" w:cs="Times New Roman"/>
          <w:lang w:val="en-GB"/>
        </w:rPr>
        <w:t>the advice of their healthcare professionals</w:t>
      </w:r>
      <w:r>
        <w:rPr>
          <w:rFonts w:ascii="Times New Roman" w:hAnsi="Times New Roman" w:cs="Times New Roman"/>
          <w:lang w:val="en-GB"/>
        </w:rPr>
        <w:t xml:space="preserve"> </w:t>
      </w:r>
      <w:r w:rsidRPr="00136B48">
        <w:rPr>
          <w:rFonts w:ascii="Times New Roman" w:hAnsi="Times New Roman" w:cs="Times New Roman"/>
          <w:lang w:val="en-GB"/>
        </w:rPr>
        <w:t xml:space="preserve">and do not adopt </w:t>
      </w:r>
      <w:r w:rsidR="00CD5160">
        <w:rPr>
          <w:rFonts w:ascii="Times New Roman" w:hAnsi="Times New Roman" w:cs="Times New Roman"/>
          <w:lang w:val="en-GB"/>
        </w:rPr>
        <w:t xml:space="preserve">recommended </w:t>
      </w:r>
      <w:r w:rsidRPr="00136B48">
        <w:rPr>
          <w:rFonts w:ascii="Times New Roman" w:hAnsi="Times New Roman" w:cs="Times New Roman"/>
          <w:lang w:val="en-GB"/>
        </w:rPr>
        <w:t>preventive health measures</w:t>
      </w:r>
      <w:r w:rsidR="00953CA4">
        <w:rPr>
          <w:rFonts w:ascii="Times New Roman" w:hAnsi="Times New Roman" w:cs="Times New Roman"/>
          <w:lang w:val="en-GB"/>
        </w:rPr>
        <w:t xml:space="preserve">. </w:t>
      </w:r>
      <w:r w:rsidR="00C92694">
        <w:rPr>
          <w:rFonts w:ascii="Times New Roman" w:hAnsi="Times New Roman" w:cs="Times New Roman"/>
          <w:lang w:val="en-GB"/>
        </w:rPr>
        <w:t xml:space="preserve">Physician and patient factors play a role in explaining this implementation gap. From </w:t>
      </w:r>
      <w:r w:rsidR="007461C5">
        <w:rPr>
          <w:rFonts w:ascii="Times New Roman" w:hAnsi="Times New Roman" w:cs="Times New Roman"/>
          <w:lang w:val="en-GB"/>
        </w:rPr>
        <w:t>the</w:t>
      </w:r>
      <w:r w:rsidR="00C92694">
        <w:rPr>
          <w:rFonts w:ascii="Times New Roman" w:hAnsi="Times New Roman" w:cs="Times New Roman"/>
          <w:lang w:val="en-GB"/>
        </w:rPr>
        <w:t xml:space="preserve"> patient</w:t>
      </w:r>
      <w:r w:rsidR="007461C5">
        <w:rPr>
          <w:rFonts w:ascii="Times New Roman" w:hAnsi="Times New Roman" w:cs="Times New Roman"/>
          <w:lang w:val="en-GB"/>
        </w:rPr>
        <w:t>’s</w:t>
      </w:r>
      <w:r w:rsidR="00C92694">
        <w:rPr>
          <w:rFonts w:ascii="Times New Roman" w:hAnsi="Times New Roman" w:cs="Times New Roman"/>
          <w:lang w:val="en-GB"/>
        </w:rPr>
        <w:t xml:space="preserve"> perspective, w</w:t>
      </w:r>
      <w:r w:rsidR="00953CA4">
        <w:rPr>
          <w:rFonts w:ascii="Times New Roman" w:hAnsi="Times New Roman" w:cs="Times New Roman"/>
          <w:lang w:val="en-GB"/>
        </w:rPr>
        <w:t xml:space="preserve">illingness to accept preventive strategies for bone health may be associated with multiple factors such as personal experience with osteoporosis, socioeconomic status, health literacy, communication and </w:t>
      </w:r>
      <w:r w:rsidR="007461C5">
        <w:rPr>
          <w:rFonts w:ascii="Times New Roman" w:hAnsi="Times New Roman" w:cs="Times New Roman"/>
          <w:lang w:val="en-GB"/>
        </w:rPr>
        <w:t xml:space="preserve">one’s </w:t>
      </w:r>
      <w:r w:rsidR="00953CA4">
        <w:rPr>
          <w:rFonts w:ascii="Times New Roman" w:hAnsi="Times New Roman" w:cs="Times New Roman"/>
          <w:lang w:val="en-GB"/>
        </w:rPr>
        <w:t xml:space="preserve">relationship with the healthcare professional, </w:t>
      </w:r>
      <w:r w:rsidR="00931AA7">
        <w:rPr>
          <w:rFonts w:ascii="Times New Roman" w:hAnsi="Times New Roman" w:cs="Times New Roman"/>
          <w:lang w:val="en-GB"/>
        </w:rPr>
        <w:t xml:space="preserve">perceived confidence in </w:t>
      </w:r>
      <w:r w:rsidR="007461C5">
        <w:rPr>
          <w:rFonts w:ascii="Times New Roman" w:hAnsi="Times New Roman" w:cs="Times New Roman"/>
          <w:lang w:val="en-GB"/>
        </w:rPr>
        <w:t>one’s</w:t>
      </w:r>
      <w:r w:rsidR="00931AA7">
        <w:rPr>
          <w:rFonts w:ascii="Times New Roman" w:hAnsi="Times New Roman" w:cs="Times New Roman"/>
          <w:lang w:val="en-GB"/>
        </w:rPr>
        <w:t xml:space="preserve"> own ability to change behaviour</w:t>
      </w:r>
      <w:r w:rsidR="00CD5160">
        <w:rPr>
          <w:rFonts w:ascii="Times New Roman" w:hAnsi="Times New Roman" w:cs="Times New Roman"/>
          <w:lang w:val="en-GB"/>
        </w:rPr>
        <w:t>,</w:t>
      </w:r>
      <w:r w:rsidR="00931AA7">
        <w:rPr>
          <w:rFonts w:ascii="Times New Roman" w:hAnsi="Times New Roman" w:cs="Times New Roman"/>
          <w:lang w:val="en-GB"/>
        </w:rPr>
        <w:t xml:space="preserve"> including the ability to overcome barriers, </w:t>
      </w:r>
      <w:r w:rsidR="007461C5">
        <w:rPr>
          <w:rFonts w:ascii="Times New Roman" w:hAnsi="Times New Roman" w:cs="Times New Roman"/>
          <w:lang w:val="en-GB"/>
        </w:rPr>
        <w:t>lack of</w:t>
      </w:r>
      <w:r w:rsidR="00931AA7">
        <w:rPr>
          <w:rFonts w:ascii="Times New Roman" w:hAnsi="Times New Roman" w:cs="Times New Roman"/>
          <w:lang w:val="en-GB"/>
        </w:rPr>
        <w:t xml:space="preserve"> support from family/surroundings, work schedule</w:t>
      </w:r>
      <w:r w:rsidR="00ED716E">
        <w:rPr>
          <w:rFonts w:ascii="Times New Roman" w:hAnsi="Times New Roman" w:cs="Times New Roman"/>
          <w:lang w:val="en-GB"/>
        </w:rPr>
        <w:t xml:space="preserve"> or</w:t>
      </w:r>
      <w:r w:rsidR="00931AA7">
        <w:rPr>
          <w:rFonts w:ascii="Times New Roman" w:hAnsi="Times New Roman" w:cs="Times New Roman"/>
          <w:lang w:val="en-GB"/>
        </w:rPr>
        <w:t xml:space="preserve"> phycological distress</w:t>
      </w:r>
      <w:r w:rsidR="007461C5">
        <w:rPr>
          <w:rFonts w:ascii="Times New Roman" w:hAnsi="Times New Roman" w:cs="Times New Roman"/>
          <w:lang w:val="en-GB"/>
        </w:rPr>
        <w:t xml:space="preserve"> </w:t>
      </w:r>
      <w:r w:rsidR="00066D48">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{"citationItems":[{"id":"ITEM-1","itemData":{"DOI":"10.1186/1471-2288-8-17","ISSN":"14712288","PMID":"18402683","abstract":"Background. Non-participants can have a considerable influence on the external validity of a study. Therefore, we assessed the socio-demographic, health-related, and lifestyle behavioral differences between participants and non-participants in a comprehensive CVD lifestyle intervention trial, and explored the motives and barriers underlying the decision to participate or not. Methods. We collected data on participants (n = 50) and non-participants (n = 50) who were eligible for inclusion in a comprehensive CVD lifestyle interventional trial. Questionnaires and a hospital patient records database were used to assess socio-demographic, health-related and lifestyle behavioral variables. Univariate and multivariate logistic regression was used to describe the relationship between explanatory variables and study participation. Furthermore, motives and barriers that underlie study participation were investigated by means of questionnaires. Results. Participants were younger, single, had a higher level of education and were employed. No statistically significant differences were found in health measures and behavioral variables. The motives for participation that were most frequently reported were: the perception of being unhealthy and willingness to change their lifestyle. The main barriers reported by non-participants were financial arguments and time investment. Conclusion. The differences between participants and non-participants in a lifestyle intervention trial are in mainly demographic factors. The participants consent in order to alter their lifestyle, and/or because they want to improve their health. To minimize non-participation, it is recommended that access to a lifestyle intervention program should be easy and cause no financial restraints. Trial registration. ISRCTN69776211. © 2008 Lakerveld et al; licensee BioMed Central Ltd.","author":[{"dropping-particle":"","family":"Lakerveld","given":"Jeroen","non-dropping-particle":"","parse-names":false,"suffix":""},{"dropping-particle":"","family":"IJzelenberg","given":"Wilhelmina","non-dropping-particle":"","parse-names":false,"suffix":""},{"dropping-particle":"","family":"Tulder","given":"Maurits W.","non-dropping-particle":"Van","parse-names":false,"suffix":""},{"dropping-particle":"","family":"Hellemans","given":"Irene M.","non-dropping-particle":"","parse-names":false,"suffix":""},{"dropping-particle":"","family":"Rauwerda","given":"Jan A.","non-dropping-particle":"","parse-names":false,"suffix":""},{"dropping-particle":"","family":"Rossum","given":"Albert C.","non-dropping-particle":"Van","parse-names":false,"suffix":""},{"dropping-particle":"","family":"Seidell","given":"Jaap C.","non-dropping-particle":"","parse-names":false,"suffix":""}],"container-title":"BMC Medical Research Methodology","id":"ITEM-1","issued":{"date-parts":[["2008"]]},"publisher":"BMC Med Res Methodol","title":"Motives for (not) participating in a lifestyle intervention trial","type":"article-journal","volume":"8"},"uris":["http://www.mendeley.com/documents/?uuid=dd387169-06d8-3100-81ec-6d30e1c03a58"]},{"id":"ITEM-2","itemData":{"DOI":"10.1017/S1368980009990784","ISSN":"13689800","PMID":"19656436","abstract":"Objective To investigate the influence of a trial lifestyle intervention on participants preferences for a range of exercise and diet programmes and whether these differ between successful and unsuccessful participants.Design Hypothetical scenarios that describe attributes of diet and exercise programmes were developed using an experimental design. Participants completed an online questionnaire at baseline, 16 weeks and 12 months where they chose their most preferred of three programmes in each of sixteen scenarios. Discrete choice modelling was used to identify which attributes participants emphasised at each time point.Subjects Fifty-five individuals who exhibited symptoms of metabolic syndrome and who participated in a 16-week trial lifestyle intervention.Results There was a clear shift in programme preferences from structure to flexibility over the intervention. At baseline, emphasis was on individually designed and supervised exercise, structured diets and high levels of support, with Gainers focusing almost exclusively on support and supervision. Losers tended to consider a wider range of programme attributes. After 16 weeks preferences shifted towards self-directed rather than organised/supervised exercise and support was less important (this depended on the type of participant and whether they were in the follow-up group). Cost became significant for Gainers following the end of the primary intervention.Conclusions The stated preference method could be a useful tool in identifying potential for success and specific needs. Gainers relinquishment of responsibility for lifestyle change to programme staff may be a factor in their failure and in their greater cost sensitivity, since they focus on external rather than internal resources. © 2009 The Authors.","author":[{"dropping-particle":"","family":"Owen","given":"Kate","non-dropping-particle":"","parse-names":false,"suffix":""},{"dropping-particle":"","family":"Pettman","given":"Tahna","non-dropping-particle":"","parse-names":false,"suffix":""},{"dropping-particle":"","family":"Haas","given":"Marion","non-dropping-particle":"","parse-names":false,"suffix":""},{"dropping-particle":"","family":"Viney","given":"Rosalie","non-dropping-particle":"","parse-names":false,"suffix":""},{"dropping-particle":"","family":"Misan","given":"Gary","non-dropping-particle":"","parse-names":false,"suffix":""}],"container-title":"Public Health Nutrition","id":"ITEM-2","issue":"2","issued":{"date-parts":[["2010"]]},"page":"245-252","publisher":"Public Health Nutr","title":"Individual preferences for diet and exercise programmes: Changes over a lifestyle intervention and their link with outcomes","type":"article-journal","volume":"13"},"uris":["http://www.mendeley.com/documents/?uuid=fa63cae7-34af-3eeb-b004-8bf5f9c8025a"]},{"id":"ITEM-3","itemData":{"DOI":"10.1016/J.PMEDR.2017.02.010","ISSN":"2211-3355","abstract":"Preferences for medication treatment versus lifestyle changes are of major importance in the management of chronic diseases. This study aims to investigate determinants of preference for lifestyle changes versus medication for prevention of cardiovascular disease as well as determinants of respondents' beliefs in their ability to maintain lifestyle changes. A representative sample of 40–60-year old Danish inhabitants was in 2012 invited to a survey and were asked to imagine that they had been diagnosed as being at increased risk of heart disease. Subsequently they were presented with a choice between a preventive medical intervention versus lifestyle change. The study population for the present paper comprises 1069 participants. A total of 962 participants preferred lifestyle changes to medication treatment. Significant determinants for preferring lifestyle changes were female gender and high level of physical activity. Significant determinants for not opting for lifestyle changes were being self-employed, poor self-rated health and smoking. Low educational attainment, lifestyle risk factors, self-reported health-related challenges and prior experience with heart disease were associated with a low belief in ability to maintain lifestyle changes. For conclusion we found a pervasive preference for lifestyle changes over medical treatment when individuals were promised the same benefits. Lifestyle risk factors and socioeconomic characteristics were associated with preference for lifestyle changes as well as belief in ability to maintain lifestyle changes. For health professionals risk communication should not only focus on patient preferences but also on patients' beliefs in their own ability to initiate lifestyle changes and possible barriers against maintaining changes.","author":[{"dropping-particle":"","family":"Jarbøl","given":"Dorte Ejg","non-dropping-particle":"","parse-names":false,"suffix":""},{"dropping-particle":"","family":"Larsen","given":"Pia Veldt","non-dropping-particle":"","parse-names":false,"suffix":""},{"dropping-particle":"","family":"Gyrd-Hansen","given":"Dorte","non-dropping-particle":"","parse-names":false,"suffix":""},{"dropping-particle":"","family":"Søndergaard","given":"Jens","non-dropping-particle":"","parse-names":false,"suffix":""},{"dropping-particle":"","family":"Brandt","given":"Carl","non-dropping-particle":"","parse-names":false,"suffix":""},{"dropping-particle":"","family":"Leppin","given":"Anja","non-dropping-particle":"","parse-names":false,"suffix":""},{"dropping-particle":"","family":"Barfoed","given":"Benedicte Lind","non-dropping-particle":"","parse-names":false,"suffix":""},{"dropping-particle":"","family":"Nielsen","given":"Jesper Bo","non-dropping-particle":"","parse-names":false,"suffix":""}],"container-title":"Preventive Medicine Reports","id":"ITEM-3","issued":{"date-parts":[["2017","6","1"]]},"page":"66-73","publisher":"Elsevier","title":"Determinants of preferences for lifestyle changes versus medication and beliefs in ability to maintain lifestyle changes. A population-based survey","type":"article-journal","volume":"6"},"uris":["http://www.mendeley.com/documents/?uuid=1b31982e-9d7f-39d9-b918-52475b603aca"]},{"id":"ITEM-4","itemData":{"DOI":"10.1007/s40520-021-01860-9","ISSN":"17208319","PMID":"33905104","abstract":"Background: Inadequate osteoporosis education can make patients ill-informed concerning preventive and therapeutic interventions and creates misconceptions and unnecessary concerns about the disease. Aim: Our study aimed to assess whether patients referred to the DXA exam by their general practitioner are informed about risk factors for osteoporosis, comparing patients who received a diagnosis of osteoporosis before the exam with those without this diagnosis. Methods: An observational single-center study was performed among patients who were referred to the DXA exam at the Osteoporosis Service of Marche Nord Hospital (Fano, Italy) between April and July 2019. Socio-demographic and clinical characteristics, awareness of suffering from osteoporosis, femoral and lumbar spine T-score and bone mineral density, risk of fracture and the I-FOOQ score were assessed. Results: A pilot study was carried out to validate the questionnaire in the Italian language (alpha-Cronbach 0.75). After that, a sample of 128 patients was enrolled (response rate 93.3%). Mean age was 66 ± 10.6 years, 95.6% were women. Overall, I-FOOQ mean score was 12 ± 3.5. Age, educational level, menopausal age, body mass index, femoral T-score were not associated with a better knowledge (p &gt; 0.05). A comparison between who know to suffer from osteoporosis and others found no differences (12.2 ± 3.4 and 12 ± 3.5, respectively, p = 0.772). Effect of walking, recommended calcium intake, and familiar predisposition are the less known topics. Conclusion: Patients who undergo the DXA exam are poorly informed about risk factors for osteoporosis, independently of age, education, bone mineral density and risk of fracture. Knowing to suffer from osteoporosis does not increase the likelihood to be informed. It is mandatory to improve the education that is provided to the patients, as there are effective non-pharmacological interventions to prevent and treat osteoporosis.","author":[{"dropping-particle":"","family":"Gasperini","given":"Beatrice","non-dropping-particle":"","parse-names":false,"suffix":""},{"dropping-particle":"","family":"Cherubini","given":"Antonio","non-dropping-particle":"","parse-names":false,"suffix":""},{"dropping-particle":"","family":"Montanari","given":"Roberto","non-dropping-particle":"","parse-names":false,"suffix":""},{"dropping-particle":"","family":"Lamanna","given":"Pierpaolo","non-dropping-particle":"","parse-names":false,"suffix":""},{"dropping-particle":"","family":"Martinez","given":"Vanessa","non-dropping-particle":"","parse-names":false,"suffix":""},{"dropping-particle":"","family":"Prospero","given":"Emilia","non-dropping-particle":"","parse-names":false,"suffix":""},{"dropping-particle":"","family":"Espinosa","given":"Emma","non-dropping-particle":"","parse-names":false,"suffix":""}],"container-title":"Aging Clinical and Experimental Research","id":"ITEM-4","issued":{"date-parts":[["2021","4","27"]]},"page":"1-7","publisher":"Springer","title":"How much do patients know about osteoporosis? A survey among patients referred to the dual-energy X-ray absorptiometry exam","type":"article-journal"},"uris":["http://www.mendeley.com/documents/?uuid=c0444bec-0e4c-3bf9-96e8-a03a5152f5bb"]}],"mendeley":{"formattedCitation":"[16–19]","plainTextFormattedCitation":"[16–19]","previouslyFormattedCitation":"[16–19]"},"properties":{"noteIndex":0},"schema":"https://github.com/citation-style-language/schema/raw/master/csl-citation.json"}</w:instrText>
      </w:r>
      <w:r w:rsidR="00066D48">
        <w:rPr>
          <w:rFonts w:ascii="Times New Roman" w:hAnsi="Times New Roman" w:cs="Times New Roman"/>
          <w:lang w:val="en-GB"/>
        </w:rPr>
        <w:fldChar w:fldCharType="separate"/>
      </w:r>
      <w:r w:rsidR="003066E4" w:rsidRPr="003066E4">
        <w:rPr>
          <w:rFonts w:ascii="Times New Roman" w:hAnsi="Times New Roman" w:cs="Times New Roman"/>
          <w:noProof/>
          <w:lang w:val="en-GB"/>
        </w:rPr>
        <w:t>[16–19]</w:t>
      </w:r>
      <w:r w:rsidR="00066D48">
        <w:rPr>
          <w:rFonts w:ascii="Times New Roman" w:hAnsi="Times New Roman" w:cs="Times New Roman"/>
          <w:lang w:val="en-GB"/>
        </w:rPr>
        <w:fldChar w:fldCharType="end"/>
      </w:r>
      <w:r w:rsidR="00931AA7">
        <w:rPr>
          <w:rFonts w:ascii="Times New Roman" w:hAnsi="Times New Roman" w:cs="Times New Roman"/>
          <w:lang w:val="en-GB"/>
        </w:rPr>
        <w:t xml:space="preserve">. It seems therefore essential to understand patient preferences and needs for optimal </w:t>
      </w:r>
      <w:r w:rsidR="00ED716E">
        <w:rPr>
          <w:rFonts w:ascii="Times New Roman" w:hAnsi="Times New Roman" w:cs="Times New Roman"/>
          <w:lang w:val="en-GB"/>
        </w:rPr>
        <w:t xml:space="preserve">lifestyle </w:t>
      </w:r>
      <w:r w:rsidR="00931AA7">
        <w:rPr>
          <w:rFonts w:ascii="Times New Roman" w:hAnsi="Times New Roman" w:cs="Times New Roman"/>
          <w:lang w:val="en-GB"/>
        </w:rPr>
        <w:t xml:space="preserve">management of the disease. Understanding </w:t>
      </w:r>
      <w:r w:rsidR="007D1FFA">
        <w:rPr>
          <w:rFonts w:ascii="Times New Roman" w:hAnsi="Times New Roman" w:cs="Times New Roman"/>
          <w:lang w:val="en-GB"/>
        </w:rPr>
        <w:t xml:space="preserve">and quantification of </w:t>
      </w:r>
      <w:r w:rsidR="009D3785">
        <w:rPr>
          <w:rFonts w:ascii="Times New Roman" w:hAnsi="Times New Roman" w:cs="Times New Roman"/>
          <w:lang w:val="en-GB"/>
        </w:rPr>
        <w:t xml:space="preserve">a </w:t>
      </w:r>
      <w:r w:rsidR="007D1FFA">
        <w:rPr>
          <w:rFonts w:ascii="Times New Roman" w:hAnsi="Times New Roman" w:cs="Times New Roman"/>
          <w:lang w:val="en-GB"/>
        </w:rPr>
        <w:t xml:space="preserve">patient’s </w:t>
      </w:r>
      <w:r w:rsidR="00931AA7">
        <w:rPr>
          <w:rFonts w:ascii="Times New Roman" w:hAnsi="Times New Roman" w:cs="Times New Roman"/>
          <w:lang w:val="en-GB"/>
        </w:rPr>
        <w:t xml:space="preserve">preferences </w:t>
      </w:r>
      <w:r w:rsidR="009D3785">
        <w:rPr>
          <w:rFonts w:ascii="Times New Roman" w:hAnsi="Times New Roman" w:cs="Times New Roman"/>
          <w:lang w:val="en-GB"/>
        </w:rPr>
        <w:t>regarding</w:t>
      </w:r>
      <w:r w:rsidR="00931AA7">
        <w:rPr>
          <w:rFonts w:ascii="Times New Roman" w:hAnsi="Times New Roman" w:cs="Times New Roman"/>
          <w:lang w:val="en-GB"/>
        </w:rPr>
        <w:t xml:space="preserve"> healthy lifestyle regimens </w:t>
      </w:r>
      <w:r w:rsidR="007D1FFA">
        <w:rPr>
          <w:rFonts w:ascii="Times New Roman" w:hAnsi="Times New Roman" w:cs="Times New Roman"/>
          <w:lang w:val="en-GB"/>
        </w:rPr>
        <w:t>may lead to tailored programs rather than using generic approach</w:t>
      </w:r>
      <w:r w:rsidR="00C92694">
        <w:rPr>
          <w:rFonts w:ascii="Times New Roman" w:hAnsi="Times New Roman" w:cs="Times New Roman"/>
          <w:lang w:val="en-GB"/>
        </w:rPr>
        <w:t>es</w:t>
      </w:r>
      <w:r w:rsidR="007D1FFA">
        <w:rPr>
          <w:rFonts w:ascii="Times New Roman" w:hAnsi="Times New Roman" w:cs="Times New Roman"/>
          <w:lang w:val="en-GB"/>
        </w:rPr>
        <w:t xml:space="preserve">. </w:t>
      </w:r>
      <w:r w:rsidR="00292713">
        <w:rPr>
          <w:rFonts w:ascii="Times New Roman" w:hAnsi="Times New Roman" w:cs="Times New Roman"/>
          <w:lang w:val="en-GB"/>
        </w:rPr>
        <w:t xml:space="preserve">Individualized care </w:t>
      </w:r>
      <w:r w:rsidR="007D1FFA">
        <w:rPr>
          <w:rFonts w:ascii="Times New Roman" w:hAnsi="Times New Roman" w:cs="Times New Roman"/>
          <w:lang w:val="en-GB"/>
        </w:rPr>
        <w:t xml:space="preserve">can lead to improvement </w:t>
      </w:r>
      <w:r w:rsidR="002F2EDD">
        <w:rPr>
          <w:rFonts w:ascii="Times New Roman" w:hAnsi="Times New Roman" w:cs="Times New Roman"/>
          <w:lang w:val="en-GB"/>
        </w:rPr>
        <w:t>in</w:t>
      </w:r>
      <w:r w:rsidR="007D1FFA">
        <w:rPr>
          <w:rFonts w:ascii="Times New Roman" w:hAnsi="Times New Roman" w:cs="Times New Roman"/>
          <w:lang w:val="en-GB"/>
        </w:rPr>
        <w:t xml:space="preserve"> patient satisfaction, </w:t>
      </w:r>
      <w:r w:rsidR="009D3785">
        <w:rPr>
          <w:rFonts w:ascii="Times New Roman" w:hAnsi="Times New Roman" w:cs="Times New Roman"/>
          <w:lang w:val="en-GB"/>
        </w:rPr>
        <w:t xml:space="preserve">in </w:t>
      </w:r>
      <w:r w:rsidR="007D1FFA">
        <w:rPr>
          <w:rFonts w:ascii="Times New Roman" w:hAnsi="Times New Roman" w:cs="Times New Roman"/>
          <w:lang w:val="en-GB"/>
        </w:rPr>
        <w:t xml:space="preserve">patient adherence to the healthy lifestyle habits, </w:t>
      </w:r>
      <w:r w:rsidR="009D3785">
        <w:rPr>
          <w:rFonts w:ascii="Times New Roman" w:hAnsi="Times New Roman" w:cs="Times New Roman"/>
          <w:lang w:val="en-GB"/>
        </w:rPr>
        <w:t xml:space="preserve">in </w:t>
      </w:r>
      <w:r w:rsidR="007D1FFA">
        <w:rPr>
          <w:rFonts w:ascii="Times New Roman" w:hAnsi="Times New Roman" w:cs="Times New Roman"/>
          <w:lang w:val="en-GB"/>
        </w:rPr>
        <w:t xml:space="preserve">patient health and, ultimately, </w:t>
      </w:r>
      <w:r w:rsidR="009D3785">
        <w:rPr>
          <w:rFonts w:ascii="Times New Roman" w:hAnsi="Times New Roman" w:cs="Times New Roman"/>
          <w:lang w:val="en-GB"/>
        </w:rPr>
        <w:t xml:space="preserve">in improved </w:t>
      </w:r>
      <w:r w:rsidR="007D1FFA">
        <w:rPr>
          <w:rFonts w:ascii="Times New Roman" w:hAnsi="Times New Roman" w:cs="Times New Roman"/>
          <w:lang w:val="en-GB"/>
        </w:rPr>
        <w:t xml:space="preserve">efficiency of healthcare system interventions. </w:t>
      </w:r>
    </w:p>
    <w:p w14:paraId="24ACF714" w14:textId="585AE200" w:rsidR="00A0684A" w:rsidRDefault="00292713" w:rsidP="00A0684A">
      <w:pPr>
        <w:spacing w:line="360" w:lineRule="auto"/>
        <w:jc w:val="both"/>
        <w:rPr>
          <w:rFonts w:ascii="Times New Roman" w:hAnsi="Times New Roman" w:cs="Times New Roman"/>
          <w:lang w:val="en-GB"/>
        </w:rPr>
      </w:pPr>
      <w:r>
        <w:rPr>
          <w:rFonts w:ascii="Times New Roman" w:hAnsi="Times New Roman" w:cs="Times New Roman"/>
          <w:lang w:val="en-GB"/>
        </w:rPr>
        <w:t>S</w:t>
      </w:r>
      <w:r w:rsidR="00B44C43">
        <w:rPr>
          <w:rFonts w:ascii="Times New Roman" w:hAnsi="Times New Roman" w:cs="Times New Roman"/>
          <w:lang w:val="en-GB"/>
        </w:rPr>
        <w:t>tudies</w:t>
      </w:r>
      <w:r w:rsidR="00492685">
        <w:rPr>
          <w:rFonts w:ascii="Times New Roman" w:hAnsi="Times New Roman" w:cs="Times New Roman"/>
          <w:lang w:val="en-GB"/>
        </w:rPr>
        <w:t xml:space="preserve"> </w:t>
      </w:r>
      <w:r>
        <w:rPr>
          <w:rFonts w:ascii="Times New Roman" w:hAnsi="Times New Roman" w:cs="Times New Roman"/>
          <w:lang w:val="en-GB"/>
        </w:rPr>
        <w:t xml:space="preserve">on </w:t>
      </w:r>
      <w:r w:rsidR="00492685">
        <w:rPr>
          <w:rFonts w:ascii="Times New Roman" w:hAnsi="Times New Roman" w:cs="Times New Roman"/>
          <w:lang w:val="en-GB"/>
        </w:rPr>
        <w:t>patien</w:t>
      </w:r>
      <w:r w:rsidR="00B173B3">
        <w:rPr>
          <w:rFonts w:ascii="Times New Roman" w:hAnsi="Times New Roman" w:cs="Times New Roman"/>
          <w:lang w:val="en-GB"/>
        </w:rPr>
        <w:t>t</w:t>
      </w:r>
      <w:r w:rsidR="00492685">
        <w:rPr>
          <w:rFonts w:ascii="Times New Roman" w:hAnsi="Times New Roman" w:cs="Times New Roman"/>
          <w:lang w:val="en-GB"/>
        </w:rPr>
        <w:t xml:space="preserve"> preferences for adopting healthy lifestyle </w:t>
      </w:r>
      <w:r w:rsidR="00C63E0D">
        <w:rPr>
          <w:rFonts w:ascii="Times New Roman" w:hAnsi="Times New Roman" w:cs="Times New Roman"/>
          <w:lang w:val="en-GB"/>
        </w:rPr>
        <w:t xml:space="preserve">behaviours </w:t>
      </w:r>
      <w:r w:rsidR="00B44C43">
        <w:rPr>
          <w:rFonts w:ascii="Times New Roman" w:hAnsi="Times New Roman" w:cs="Times New Roman"/>
          <w:lang w:val="en-GB"/>
        </w:rPr>
        <w:t xml:space="preserve">have been performed </w:t>
      </w:r>
      <w:r w:rsidR="00B173B3">
        <w:rPr>
          <w:rFonts w:ascii="Times New Roman" w:hAnsi="Times New Roman" w:cs="Times New Roman"/>
          <w:lang w:val="en-GB"/>
        </w:rPr>
        <w:t>for</w:t>
      </w:r>
      <w:r w:rsidR="00B44C43">
        <w:rPr>
          <w:rFonts w:ascii="Times New Roman" w:hAnsi="Times New Roman" w:cs="Times New Roman"/>
          <w:lang w:val="en-GB"/>
        </w:rPr>
        <w:t xml:space="preserve"> </w:t>
      </w:r>
      <w:r w:rsidR="00ED716E">
        <w:rPr>
          <w:rFonts w:ascii="Times New Roman" w:hAnsi="Times New Roman" w:cs="Times New Roman"/>
          <w:lang w:val="en-GB"/>
        </w:rPr>
        <w:t>other diseases</w:t>
      </w:r>
      <w:r w:rsidR="00B44C43">
        <w:rPr>
          <w:rFonts w:ascii="Times New Roman" w:hAnsi="Times New Roman" w:cs="Times New Roman"/>
          <w:lang w:val="en-GB"/>
        </w:rPr>
        <w:t xml:space="preserve"> such as diabetes</w:t>
      </w:r>
      <w:r w:rsidR="00B173B3">
        <w:rPr>
          <w:rFonts w:ascii="Times New Roman" w:hAnsi="Times New Roman" w:cs="Times New Roman"/>
          <w:lang w:val="en-GB"/>
        </w:rPr>
        <w:t xml:space="preserve"> </w:t>
      </w:r>
      <w:r w:rsidR="00B44C43">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{"citationItems":[{"id":"ITEM-1","itemData":{"DOI":"10.1186/1471-2458-13-1099","ISSN":"14712458","PMID":"24289831","abstract":"Background: Participation rates of lifestyle programs among type 2 diabetes mellitus (T2DM) patients are less than optimal around the globe. Whereas research shows notable delays in the development of the disease among lifestyle program participants. Very little is known about the relative importance of barriers for participation as well as the willingness of T2DM patients to pay for participation in such programs. The aim of this study was to identify the preferences of T2DM patients with regard to lifestyle programs and to calculate participants' willingness to pay (WTP) as well as to estimate the potential participation rates of lifestyle programs. Methods: A Discrete Choice Experiment (DCE) questionnaire assessing five different lifestyle program attributes was distributed among 1250 Dutch adults aged 35-65 years with T2DM, 391 questionnaires (31%) were returned and included in the analysis. The relative importance of the program attributes (i.e., meal plan, physical activity (PA) schedule, consultation structure, expected program outcome and out-of-pocket costs) was determined using panel-mixed logit models. Based on the retrieved attribute estimates, patients' WTP and potential participation rates were determined. Results: The out-of-pocket costs (β = -0.75, P &lt;.001), consultation structure (β = -0.46, P &lt;.001) and expected outcome (β = 0.72, P &lt;.001) were the most important factors for respondents when deciding whether to participate in a lifestyle program. Respondents were willing to pay 128 per year for individual instead of group consultation and 97 per year for 10 kilograms anticipated weight loss. Potential participation rates for different lifestyle-program scenarios ranged between 48.5% and 62.4%. Conclusions: When deciding whether to participate in a lifestyle program, T2DM patients are mostly driven by low levels of out-of-pocket costs. Thereafter, they prefer individual consultation and high levels of anticipated outcomes with respect to weight loss. © 2013 Veldwijk et al.; licensee BioMed Central Ltd.","author":[{"dropping-particle":"","family":"Veldwijk","given":"Jorien","non-dropping-particle":"","parse-names":false,"suffix":""},{"dropping-particle":"","family":"Lambooij","given":"Mattijs S","non-dropping-particle":"","parse-names":false,"suffix":""},{"dropping-particle":"","family":"Gils","given":"Paul F.","non-dropping-particle":"Van","parse-names":false,"suffix":""},{"dropping-particle":"","family":"Struijs","given":"Jeroen N","non-dropping-particle":"","parse-names":false,"suffix":""},{"dropping-particle":"","family":"Smit","given":"Henriëtte A","non-dropping-particle":"","parse-names":false,"suffix":""},{"dropping-particle":"","family":"Wit","given":"G. Ardine","non-dropping-particle":"De","parse-names":false,"suffix":""}],"container-title":"BMC Public Health","id":"ITEM-1","issue":"1","issued":{"date-parts":[["2013","11","29"]]},"page":"1099","publisher":"BioMed Central","title":"Type 2 diabetes patients' preferences and willingness to pay for lifestyle programs: A discrete choice experiment","type":"article-journal","volume":"13"},"uris":["http://www.mendeley.com/documents/?uuid=9e3a3bad-866c-3309-9861-2701f6218310"]}],"mendeley":{"formattedCitation":"[20]","plainTextFormattedCitation":"[20]","previouslyFormattedCitation":"[20]"},"properties":{"noteIndex":0},"schema":"https://github.com/citation-style-language/schema/raw/master/csl-citation.json"}</w:instrText>
      </w:r>
      <w:r w:rsidR="00B44C43">
        <w:rPr>
          <w:rFonts w:ascii="Times New Roman" w:hAnsi="Times New Roman" w:cs="Times New Roman"/>
          <w:lang w:val="en-GB"/>
        </w:rPr>
        <w:fldChar w:fldCharType="separate"/>
      </w:r>
      <w:r w:rsidR="003066E4" w:rsidRPr="003066E4">
        <w:rPr>
          <w:rFonts w:ascii="Times New Roman" w:hAnsi="Times New Roman" w:cs="Times New Roman"/>
          <w:noProof/>
          <w:lang w:val="en-GB"/>
        </w:rPr>
        <w:t>[20]</w:t>
      </w:r>
      <w:r w:rsidR="00B44C43">
        <w:rPr>
          <w:rFonts w:ascii="Times New Roman" w:hAnsi="Times New Roman" w:cs="Times New Roman"/>
          <w:lang w:val="en-GB"/>
        </w:rPr>
        <w:fldChar w:fldCharType="end"/>
      </w:r>
      <w:r w:rsidR="00977F6B">
        <w:rPr>
          <w:rFonts w:ascii="Times New Roman" w:hAnsi="Times New Roman" w:cs="Times New Roman"/>
          <w:lang w:val="en-GB"/>
        </w:rPr>
        <w:t>,</w:t>
      </w:r>
      <w:r w:rsidR="00B44C43">
        <w:rPr>
          <w:rFonts w:ascii="Times New Roman" w:hAnsi="Times New Roman" w:cs="Times New Roman"/>
          <w:lang w:val="en-GB"/>
        </w:rPr>
        <w:t xml:space="preserve"> obesity</w:t>
      </w:r>
      <w:r w:rsidR="00B173B3">
        <w:rPr>
          <w:rFonts w:ascii="Times New Roman" w:hAnsi="Times New Roman" w:cs="Times New Roman"/>
          <w:lang w:val="en-GB"/>
        </w:rPr>
        <w:t xml:space="preserve"> </w:t>
      </w:r>
      <w:r w:rsidR="00B44C43">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{"citationItems":[{"id":"ITEM-1","itemData":{"DOI":"10.5334/ijic.1113","ISSN":"1568-4156","PMID":"24179457","abstract":"INTRODUCTION Obesity is associated with increased risk of morbidity and mortality and also appears to have an adverse effect on health-related quality of life. Though advances in obesity therapy and rehabilitation can be observed, the long-lasting outcome is dissatisfying to most of the patients and, therefore, the whole health care system. THEORY AND METHODOLOGY The study aims to identify key attributes of coordinated weight loss programmes and elicit patients' preferences for overweight and obesity therapy in rehabilitation programmes. A self-administered survey measuring attitudes and preferences was conducted in Germany in 2009. Discrete-choice experiment scenarios were developed using a fractional factorial design and results analysed using a random effects logit model. RESULTS N=110 patients completed the questionnaire, 51.82% of these were male, the mean age was 53.05 years and mean body mass index was 33.54 kg/m2 (SD 7.73). A total of 823 choices could be included in the final estimation. The most important aspects for the respondents' selection were care coordination (coefficient 1.473; SE 0.185) and individual therapy (coefficient 1.446; SE 0.188). The aspect 'infrastructure of care' (coefficient 0.570; SE 0.175) was less relevant. All attributes led to significant coefficients. CONCLUSION Patients value coordination of care and individual therapy most highly. So weight reduction therapy should enable patients to receive a structured, coordinated and interpersonal therapy that is tailored to their personal needs, behaviour and circumstances. Patients are willing to forego infrastructure quality in favour of better coordination and structure in their therapy.","author":[{"dropping-particle":"","family":"Mühlbacher","given":"Axel","non-dropping-particle":"","parse-names":false,"suffix":""},{"dropping-particle":"","family":"Bethge","given":"Susanne","non-dropping-particle":"","parse-names":false,"suffix":""}],"container-title":"International Journal of Integrated Care","id":"ITEM-1","issue":"3","issued":{"date-parts":[["2013","9","20"]]},"publisher":"Ubiquity Press","title":"Preferences of overweight and obese patients for weight loss programs: a discrete-choice experiment","type":"article-journal","volume":"13"},"uris":["http://www.mendeley.com/documents/?uuid=135965c5-f0bb-3a62-b5a8-644a6a106354"]}],"mendeley":{"formattedCitation":"[21]","plainTextFormattedCitation":"[21]","previouslyFormattedCitation":"[21]"},"properties":{"noteIndex":0},"schema":"https://github.com/citation-style-language/schema/raw/master/csl-citation.json"}</w:instrText>
      </w:r>
      <w:r w:rsidR="00B44C43">
        <w:rPr>
          <w:rFonts w:ascii="Times New Roman" w:hAnsi="Times New Roman" w:cs="Times New Roman"/>
          <w:lang w:val="en-GB"/>
        </w:rPr>
        <w:fldChar w:fldCharType="separate"/>
      </w:r>
      <w:r w:rsidR="003066E4" w:rsidRPr="003066E4">
        <w:rPr>
          <w:rFonts w:ascii="Times New Roman" w:hAnsi="Times New Roman" w:cs="Times New Roman"/>
          <w:noProof/>
          <w:lang w:val="en-GB"/>
        </w:rPr>
        <w:t>[21]</w:t>
      </w:r>
      <w:r w:rsidR="00B44C43">
        <w:rPr>
          <w:rFonts w:ascii="Times New Roman" w:hAnsi="Times New Roman" w:cs="Times New Roman"/>
          <w:lang w:val="en-GB"/>
        </w:rPr>
        <w:fldChar w:fldCharType="end"/>
      </w:r>
      <w:r w:rsidR="00977F6B">
        <w:rPr>
          <w:rFonts w:ascii="Times New Roman" w:hAnsi="Times New Roman" w:cs="Times New Roman"/>
          <w:lang w:val="en-GB"/>
        </w:rPr>
        <w:t xml:space="preserve"> </w:t>
      </w:r>
      <w:r w:rsidR="00B173B3">
        <w:rPr>
          <w:rFonts w:ascii="Times New Roman" w:hAnsi="Times New Roman" w:cs="Times New Roman"/>
          <w:lang w:val="en-GB"/>
        </w:rPr>
        <w:t xml:space="preserve">and for </w:t>
      </w:r>
      <w:r w:rsidR="00977F6B">
        <w:rPr>
          <w:rFonts w:ascii="Times New Roman" w:hAnsi="Times New Roman" w:cs="Times New Roman"/>
          <w:lang w:val="en-GB"/>
        </w:rPr>
        <w:t>colorectal cancer survivors</w:t>
      </w:r>
      <w:r w:rsidR="00B173B3">
        <w:rPr>
          <w:rFonts w:ascii="Times New Roman" w:hAnsi="Times New Roman" w:cs="Times New Roman"/>
          <w:lang w:val="en-GB"/>
        </w:rPr>
        <w:t xml:space="preserve"> </w:t>
      </w:r>
      <w:r w:rsidR="00977F6B">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{"citationItems":[{"id":"ITEM-1","itemData":{"DOI":"10.1007/s11764-017-0615-2","ISSN":"19322267","PMID":"28429186","abstract":"Purpose: Studies on healthy lifestyle interventions in survivors of colorectal cancer have been disappointing, demonstrating only modest changes. This study aims to quantify people’s preferences for different aspects of dietary intervention. Method: A best-worst discrete choice experiment was designed and incorporated into a questionnaire including participants’ characteristics and a self-assessment of lifestyle. Results: The response rate was 68% and 179 questionnaires were analysed. When analysing aggregate preferences, the modes of information provision selected as the most preferred were “face-to-face” (willingness to pay (WTP) £63.97, p ≤ 0.001) and “telephone” (WTP £62.36, p &lt; 0.001) discussions whereas group discussions were preferred least (WTP −£118.96, p ≤ 0.001). Scenarios that included hospitals were most preferred (WTP £17.94, p = 0.031), and the favoured provider was bowel cancer nurses (WTP £75.11, p ≤ 0.001). When investigating preference heterogeneity, three sub-groups were identified: Firstly, “technophiles” preferring email (WTP £239.60, p ≤ 0.001) were male, were younger and had fewer risk factors. Secondly, a “one-to-one” group had strong preference for interventions over the telephone or at their local doctors and were older (WTP £642.13, p ≤ 0.001). Finally, a “person-centred” group preferred face-to-face individual or group sessions (WTP £358.79, p &lt; 0.001) and had a high risk lifestyle. Conclusion: For survivors of colorectal cancer, there is not one approach that suits all when it comes to providing dietary advice. Implications for Cancer Survivors: This is important information to consider when planning healthy lifestyle interventions which include dietary advice for survivors of colorectal cancer. Aligning services to individuals’ preferences has the potential to improve patient experience and outcomes by increasing uptake of healthy lifestyle advice services and promoting a more tailored approach to dietary modifications, acknowledging sub-groups of people within the total population of colorectal cancer survivors.","author":[{"dropping-particle":"","family":"Wright","given":"Stuart J.","non-dropping-particle":"","parse-names":false,"suffix":""},{"dropping-particle":"","family":"Gibson","given":"Debbie","non-dropping-particle":"","parse-names":false,"suffix":""},{"dropping-particle":"","family":"Eden","given":"Martin","non-dropping-particle":"","parse-names":false,"suffix":""},{"dropping-particle":"","family":"Lal","given":"Simon","non-dropping-particle":"","parse-names":false,"suffix":""},{"dropping-particle":"","family":"Todd","given":"Chris","non-dropping-particle":"","parse-names":false,"suffix":""},{"dropping-particle":"","family":"Ness","given":"Andy","non-dropping-particle":"","parse-names":false,"suffix":""},{"dropping-particle":"","family":"Burden","given":"Sorrel","non-dropping-particle":"","parse-names":false,"suffix":""}],"container-title":"Journal of Cancer Survivorship","id":"ITEM-1","issue":"6","issued":{"date-parts":[["2017","12","1"]]},"page":"782-790","publisher":"J Cancer Surviv","title":"What are colorectal cancer survivors’ preferences for dietary advice? A best-worst discrete choice experiment","type":"article-journal","volume":"11"},"uris":["http://www.mendeley.com/documents/?uuid=1249f296-8069-3a9a-9d7f-4915d0ee5f81"]}],"mendeley":{"formattedCitation":"[22]","plainTextFormattedCitation":"[22]","previouslyFormattedCitation":"[22]"},"properties":{"noteIndex":0},"schema":"https://github.com/citation-style-language/schema/raw/master/csl-citation.json"}</w:instrText>
      </w:r>
      <w:r w:rsidR="00977F6B">
        <w:rPr>
          <w:rFonts w:ascii="Times New Roman" w:hAnsi="Times New Roman" w:cs="Times New Roman"/>
          <w:lang w:val="en-GB"/>
        </w:rPr>
        <w:fldChar w:fldCharType="separate"/>
      </w:r>
      <w:r w:rsidR="003066E4" w:rsidRPr="003066E4">
        <w:rPr>
          <w:rFonts w:ascii="Times New Roman" w:hAnsi="Times New Roman" w:cs="Times New Roman"/>
          <w:noProof/>
          <w:lang w:val="en-GB"/>
        </w:rPr>
        <w:t>[22]</w:t>
      </w:r>
      <w:r w:rsidR="00977F6B">
        <w:rPr>
          <w:rFonts w:ascii="Times New Roman" w:hAnsi="Times New Roman" w:cs="Times New Roman"/>
          <w:lang w:val="en-GB"/>
        </w:rPr>
        <w:fldChar w:fldCharType="end"/>
      </w:r>
      <w:r w:rsidR="00B44C43">
        <w:rPr>
          <w:rFonts w:ascii="Times New Roman" w:hAnsi="Times New Roman" w:cs="Times New Roman"/>
          <w:lang w:val="en-GB"/>
        </w:rPr>
        <w:t xml:space="preserve">, </w:t>
      </w:r>
      <w:r>
        <w:rPr>
          <w:rFonts w:ascii="Times New Roman" w:hAnsi="Times New Roman" w:cs="Times New Roman"/>
          <w:lang w:val="en-GB"/>
        </w:rPr>
        <w:t xml:space="preserve">but </w:t>
      </w:r>
      <w:r w:rsidR="00B44C43">
        <w:rPr>
          <w:rFonts w:ascii="Times New Roman" w:hAnsi="Times New Roman" w:cs="Times New Roman"/>
          <w:lang w:val="en-GB"/>
        </w:rPr>
        <w:t>no such studies have been developed</w:t>
      </w:r>
      <w:r w:rsidR="00492685">
        <w:rPr>
          <w:rFonts w:ascii="Times New Roman" w:hAnsi="Times New Roman" w:cs="Times New Roman"/>
          <w:lang w:val="en-GB"/>
        </w:rPr>
        <w:t xml:space="preserve"> </w:t>
      </w:r>
      <w:r w:rsidR="00B173B3">
        <w:rPr>
          <w:rFonts w:ascii="Times New Roman" w:hAnsi="Times New Roman" w:cs="Times New Roman"/>
          <w:lang w:val="en-GB"/>
        </w:rPr>
        <w:t>for</w:t>
      </w:r>
      <w:r w:rsidR="00492685">
        <w:rPr>
          <w:rFonts w:ascii="Times New Roman" w:hAnsi="Times New Roman" w:cs="Times New Roman"/>
          <w:lang w:val="en-GB"/>
        </w:rPr>
        <w:t xml:space="preserve"> a population of patients suffering from</w:t>
      </w:r>
      <w:r w:rsidR="0060288C">
        <w:rPr>
          <w:rFonts w:ascii="Times New Roman" w:hAnsi="Times New Roman" w:cs="Times New Roman"/>
          <w:lang w:val="en-GB"/>
        </w:rPr>
        <w:t xml:space="preserve"> or at risk of</w:t>
      </w:r>
      <w:r w:rsidR="00492685">
        <w:rPr>
          <w:rFonts w:ascii="Times New Roman" w:hAnsi="Times New Roman" w:cs="Times New Roman"/>
          <w:lang w:val="en-GB"/>
        </w:rPr>
        <w:t xml:space="preserve"> osteoporosis. </w:t>
      </w:r>
      <w:r w:rsidR="00B62EC1">
        <w:rPr>
          <w:rFonts w:ascii="Times New Roman" w:hAnsi="Times New Roman" w:cs="Times New Roman"/>
          <w:lang w:val="en-GB"/>
        </w:rPr>
        <w:t>Accordingly, i</w:t>
      </w:r>
      <w:r w:rsidR="00A0684A" w:rsidRPr="007D4E5D">
        <w:rPr>
          <w:rFonts w:ascii="Times New Roman" w:hAnsi="Times New Roman" w:cs="Times New Roman"/>
          <w:lang w:val="en-GB"/>
        </w:rPr>
        <w:t xml:space="preserve">n this study </w:t>
      </w:r>
      <w:r w:rsidR="00B44C43">
        <w:rPr>
          <w:rFonts w:ascii="Times New Roman" w:hAnsi="Times New Roman" w:cs="Times New Roman"/>
          <w:lang w:val="en-GB"/>
        </w:rPr>
        <w:t>we</w:t>
      </w:r>
      <w:r w:rsidR="00C204C9">
        <w:rPr>
          <w:rFonts w:ascii="Times New Roman" w:hAnsi="Times New Roman" w:cs="Times New Roman"/>
          <w:lang w:val="en-GB"/>
        </w:rPr>
        <w:t xml:space="preserve"> aimed to understand patients</w:t>
      </w:r>
      <w:r w:rsidR="00B62EC1">
        <w:rPr>
          <w:rFonts w:ascii="Times New Roman" w:hAnsi="Times New Roman" w:cs="Times New Roman"/>
          <w:lang w:val="en-GB"/>
        </w:rPr>
        <w:t>’</w:t>
      </w:r>
      <w:r w:rsidR="00C204C9">
        <w:rPr>
          <w:rFonts w:ascii="Times New Roman" w:hAnsi="Times New Roman" w:cs="Times New Roman"/>
          <w:lang w:val="en-GB"/>
        </w:rPr>
        <w:t xml:space="preserve"> willingness to </w:t>
      </w:r>
      <w:r w:rsidR="007C3A46">
        <w:rPr>
          <w:rFonts w:ascii="Times New Roman" w:hAnsi="Times New Roman" w:cs="Times New Roman"/>
          <w:lang w:val="en-GB"/>
        </w:rPr>
        <w:t xml:space="preserve">implement </w:t>
      </w:r>
      <w:r w:rsidR="00C204C9">
        <w:rPr>
          <w:rFonts w:ascii="Times New Roman" w:hAnsi="Times New Roman" w:cs="Times New Roman"/>
          <w:lang w:val="en-GB"/>
        </w:rPr>
        <w:t>different regimens of lifestyle recommendation to prevent osteoporo</w:t>
      </w:r>
      <w:r w:rsidR="002F2EDD">
        <w:rPr>
          <w:rFonts w:ascii="Times New Roman" w:hAnsi="Times New Roman" w:cs="Times New Roman"/>
          <w:lang w:val="en-GB"/>
        </w:rPr>
        <w:t>tic</w:t>
      </w:r>
      <w:r w:rsidR="00C204C9">
        <w:rPr>
          <w:rFonts w:ascii="Times New Roman" w:hAnsi="Times New Roman" w:cs="Times New Roman"/>
          <w:lang w:val="en-GB"/>
        </w:rPr>
        <w:t xml:space="preserve"> fractures. </w:t>
      </w:r>
    </w:p>
    <w:p w14:paraId="1A4358A8" w14:textId="77777777" w:rsidR="00A0684A" w:rsidRPr="005E06EE" w:rsidRDefault="00A0684A" w:rsidP="00CF60A0">
      <w:pPr>
        <w:spacing w:line="360" w:lineRule="auto"/>
        <w:jc w:val="both"/>
        <w:rPr>
          <w:rFonts w:ascii="Times New Roman" w:hAnsi="Times New Roman" w:cs="Times New Roman"/>
          <w:lang w:val="en-GB"/>
        </w:rPr>
      </w:pPr>
    </w:p>
    <w:p w14:paraId="13CAAE30" w14:textId="1EC09AD3" w:rsidR="00FF453A" w:rsidRPr="007D4E5D" w:rsidRDefault="00915ACD" w:rsidP="00CF60A0">
      <w:pPr>
        <w:spacing w:line="360" w:lineRule="auto"/>
        <w:jc w:val="both"/>
        <w:rPr>
          <w:rFonts w:ascii="Times New Roman" w:hAnsi="Times New Roman" w:cs="Times New Roman"/>
          <w:b/>
          <w:bCs/>
          <w:smallCaps/>
          <w:lang w:val="en-GB"/>
        </w:rPr>
      </w:pPr>
      <w:r w:rsidRPr="007D4E5D">
        <w:rPr>
          <w:rFonts w:ascii="Times New Roman" w:hAnsi="Times New Roman" w:cs="Times New Roman"/>
          <w:b/>
          <w:bCs/>
          <w:smallCaps/>
          <w:lang w:val="en-GB"/>
        </w:rPr>
        <w:t>Methods</w:t>
      </w:r>
    </w:p>
    <w:p w14:paraId="639557C8" w14:textId="7A331928" w:rsidR="00FF453A" w:rsidRPr="007D4E5D" w:rsidRDefault="007E4F2A" w:rsidP="00CF60A0">
      <w:pPr>
        <w:spacing w:line="360" w:lineRule="auto"/>
        <w:jc w:val="both"/>
        <w:rPr>
          <w:rFonts w:ascii="Times New Roman" w:hAnsi="Times New Roman" w:cs="Times New Roman"/>
          <w:b/>
          <w:bCs/>
          <w:lang w:val="en-GB"/>
        </w:rPr>
      </w:pPr>
      <w:r w:rsidRPr="007D4E5D">
        <w:rPr>
          <w:rFonts w:ascii="Times New Roman" w:hAnsi="Times New Roman" w:cs="Times New Roman"/>
          <w:b/>
          <w:bCs/>
          <w:lang w:val="en-GB"/>
        </w:rPr>
        <w:t>Discrete choice experiment (DCE)</w:t>
      </w:r>
    </w:p>
    <w:p w14:paraId="345DD5F5" w14:textId="6E404565" w:rsidR="007E4F2A" w:rsidRPr="007D4E5D" w:rsidRDefault="00363531" w:rsidP="00CF60A0">
      <w:pPr>
        <w:spacing w:line="360" w:lineRule="auto"/>
        <w:jc w:val="both"/>
        <w:rPr>
          <w:rFonts w:ascii="Times New Roman" w:hAnsi="Times New Roman" w:cs="Times New Roman"/>
          <w:lang w:val="en-GB"/>
        </w:rPr>
      </w:pPr>
      <w:r w:rsidRPr="007D4E5D">
        <w:rPr>
          <w:rFonts w:ascii="Times New Roman" w:hAnsi="Times New Roman" w:cs="Times New Roman"/>
          <w:lang w:val="en-GB"/>
        </w:rPr>
        <w:t>A DCE was used to examine patien</w:t>
      </w:r>
      <w:r w:rsidR="00B62EC1">
        <w:rPr>
          <w:rFonts w:ascii="Times New Roman" w:hAnsi="Times New Roman" w:cs="Times New Roman"/>
          <w:lang w:val="en-GB"/>
        </w:rPr>
        <w:t>t</w:t>
      </w:r>
      <w:r w:rsidRPr="007D4E5D">
        <w:rPr>
          <w:rFonts w:ascii="Times New Roman" w:hAnsi="Times New Roman" w:cs="Times New Roman"/>
          <w:lang w:val="en-GB"/>
        </w:rPr>
        <w:t xml:space="preserve"> preference</w:t>
      </w:r>
      <w:r w:rsidR="00B62EC1">
        <w:rPr>
          <w:rFonts w:ascii="Times New Roman" w:hAnsi="Times New Roman" w:cs="Times New Roman"/>
          <w:lang w:val="en-GB"/>
        </w:rPr>
        <w:t>s</w:t>
      </w:r>
      <w:r w:rsidRPr="007D4E5D">
        <w:rPr>
          <w:rFonts w:ascii="Times New Roman" w:hAnsi="Times New Roman" w:cs="Times New Roman"/>
          <w:lang w:val="en-GB"/>
        </w:rPr>
        <w:t xml:space="preserve"> </w:t>
      </w:r>
      <w:r w:rsidR="00F92C2E">
        <w:rPr>
          <w:rFonts w:ascii="Times New Roman" w:hAnsi="Times New Roman" w:cs="Times New Roman"/>
          <w:lang w:val="en-GB"/>
        </w:rPr>
        <w:t>for</w:t>
      </w:r>
      <w:r w:rsidRPr="007D4E5D">
        <w:rPr>
          <w:rFonts w:ascii="Times New Roman" w:hAnsi="Times New Roman" w:cs="Times New Roman"/>
          <w:lang w:val="en-GB"/>
        </w:rPr>
        <w:t xml:space="preserve"> lifestyle </w:t>
      </w:r>
      <w:r w:rsidR="00F92C2E">
        <w:rPr>
          <w:rFonts w:ascii="Times New Roman" w:hAnsi="Times New Roman" w:cs="Times New Roman"/>
          <w:lang w:val="en-GB"/>
        </w:rPr>
        <w:t>adaptations</w:t>
      </w:r>
      <w:r w:rsidR="00F92C2E" w:rsidRPr="007D4E5D">
        <w:rPr>
          <w:rFonts w:ascii="Times New Roman" w:hAnsi="Times New Roman" w:cs="Times New Roman"/>
          <w:lang w:val="en-GB"/>
        </w:rPr>
        <w:t xml:space="preserve"> </w:t>
      </w:r>
      <w:r w:rsidRPr="007D4E5D">
        <w:rPr>
          <w:rFonts w:ascii="Times New Roman" w:hAnsi="Times New Roman" w:cs="Times New Roman"/>
          <w:lang w:val="en-GB"/>
        </w:rPr>
        <w:t>to prevent osteoporotic fractures</w:t>
      </w:r>
      <w:r w:rsidR="00461086" w:rsidRPr="007D4E5D">
        <w:rPr>
          <w:rFonts w:ascii="Times New Roman" w:hAnsi="Times New Roman" w:cs="Times New Roman"/>
          <w:lang w:val="en-GB"/>
        </w:rPr>
        <w:t>. In the DCE survey, patients were repetitively asked if</w:t>
      </w:r>
      <w:r w:rsidR="00F92C2E">
        <w:rPr>
          <w:rFonts w:ascii="Times New Roman" w:hAnsi="Times New Roman" w:cs="Times New Roman"/>
          <w:lang w:val="en-GB"/>
        </w:rPr>
        <w:t xml:space="preserve"> (yes/no)</w:t>
      </w:r>
      <w:r w:rsidR="00461086" w:rsidRPr="007D4E5D">
        <w:rPr>
          <w:rFonts w:ascii="Times New Roman" w:hAnsi="Times New Roman" w:cs="Times New Roman"/>
          <w:lang w:val="en-GB"/>
        </w:rPr>
        <w:t xml:space="preserve"> they would closely </w:t>
      </w:r>
      <w:r w:rsidR="007C3A46">
        <w:rPr>
          <w:rFonts w:ascii="Times New Roman" w:hAnsi="Times New Roman" w:cs="Times New Roman"/>
          <w:lang w:val="en-GB"/>
        </w:rPr>
        <w:t>implement</w:t>
      </w:r>
      <w:r w:rsidR="007C3A46" w:rsidRPr="007D4E5D">
        <w:rPr>
          <w:rFonts w:ascii="Times New Roman" w:hAnsi="Times New Roman" w:cs="Times New Roman"/>
          <w:lang w:val="en-GB"/>
        </w:rPr>
        <w:t xml:space="preserve"> </w:t>
      </w:r>
      <w:r w:rsidR="00F92C2E">
        <w:rPr>
          <w:rFonts w:ascii="Times New Roman" w:hAnsi="Times New Roman" w:cs="Times New Roman"/>
          <w:lang w:val="en-GB"/>
        </w:rPr>
        <w:t xml:space="preserve">16 </w:t>
      </w:r>
      <w:r w:rsidR="00461086" w:rsidRPr="007D4E5D">
        <w:rPr>
          <w:rFonts w:ascii="Times New Roman" w:hAnsi="Times New Roman" w:cs="Times New Roman"/>
          <w:lang w:val="en-GB"/>
        </w:rPr>
        <w:t xml:space="preserve">different </w:t>
      </w:r>
      <w:r w:rsidR="003A3A52">
        <w:rPr>
          <w:rFonts w:ascii="Times New Roman" w:hAnsi="Times New Roman" w:cs="Times New Roman"/>
          <w:lang w:val="en-GB"/>
        </w:rPr>
        <w:t xml:space="preserve">lifestyle packages </w:t>
      </w:r>
      <w:r w:rsidR="00461086" w:rsidRPr="007D4E5D">
        <w:rPr>
          <w:rFonts w:ascii="Times New Roman" w:hAnsi="Times New Roman" w:cs="Times New Roman"/>
          <w:lang w:val="en-GB"/>
        </w:rPr>
        <w:t xml:space="preserve">which were described by a set of attributes </w:t>
      </w:r>
      <w:r w:rsidR="00A7044E">
        <w:rPr>
          <w:rFonts w:ascii="Times New Roman" w:hAnsi="Times New Roman" w:cs="Times New Roman"/>
          <w:lang w:val="en-GB"/>
        </w:rPr>
        <w:t xml:space="preserve">and </w:t>
      </w:r>
      <w:r w:rsidR="00461086" w:rsidRPr="007D4E5D">
        <w:rPr>
          <w:rFonts w:ascii="Times New Roman" w:hAnsi="Times New Roman" w:cs="Times New Roman"/>
          <w:lang w:val="en-GB"/>
        </w:rPr>
        <w:t xml:space="preserve">levels (see below).  </w:t>
      </w:r>
      <w:r w:rsidR="000406DF" w:rsidRPr="007D4E5D">
        <w:rPr>
          <w:rFonts w:ascii="Times New Roman" w:hAnsi="Times New Roman" w:cs="Times New Roman"/>
          <w:lang w:val="en-GB"/>
        </w:rPr>
        <w:t>By varying the levels within each attribute and question, scenarios for each choice were developed</w:t>
      </w:r>
      <w:r w:rsidR="00B62EC1">
        <w:rPr>
          <w:rFonts w:ascii="Times New Roman" w:hAnsi="Times New Roman" w:cs="Times New Roman"/>
          <w:lang w:val="en-GB"/>
        </w:rPr>
        <w:t>; these are</w:t>
      </w:r>
      <w:r w:rsidR="000406DF" w:rsidRPr="007D4E5D">
        <w:rPr>
          <w:rFonts w:ascii="Times New Roman" w:hAnsi="Times New Roman" w:cs="Times New Roman"/>
          <w:lang w:val="en-GB"/>
        </w:rPr>
        <w:t xml:space="preserve"> referred to as choice sets</w:t>
      </w:r>
      <w:r w:rsidR="00461086" w:rsidRPr="007D4E5D">
        <w:rPr>
          <w:rFonts w:ascii="Times New Roman" w:hAnsi="Times New Roman" w:cs="Times New Roman"/>
          <w:lang w:val="en-GB"/>
        </w:rPr>
        <w:t xml:space="preserve">. </w:t>
      </w:r>
      <w:r w:rsidR="000406DF" w:rsidRPr="007D4E5D">
        <w:rPr>
          <w:rFonts w:ascii="Times New Roman" w:hAnsi="Times New Roman" w:cs="Times New Roman"/>
          <w:lang w:val="en-GB"/>
        </w:rPr>
        <w:t>The DCE was developed according to the guidelines provided by the ISPOR Good Research Practice for Conjoint Analysis Task Force</w:t>
      </w:r>
      <w:r w:rsidR="00B62EC1">
        <w:rPr>
          <w:rFonts w:ascii="Times New Roman" w:hAnsi="Times New Roman" w:cs="Times New Roman"/>
          <w:lang w:val="en-GB"/>
        </w:rPr>
        <w:t xml:space="preserve"> </w:t>
      </w:r>
      <w:r w:rsidR="00B512B8">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{"citationItems":[{"id":"ITEM-1","itemData":{"DOI":"10.1016/j.jval.2010.11.013","ISSN":"15244733","PMID":"21669364","abstract":"Background: The application of conjoint analysis (including discrete-choice experiments and other multiattribute stated-preference methods) in health has increased rapidly over the past decade. A wider acceptance of these methods is limited by an absence of consensus-based methodological standards. Objective: The International Society for Pharmacoeconomics and Outcomes Research (ISPOR) Good Research Practices for Conjoint Analysis Task Force was established to identify good research practices for conjoint-analysis applications in health. Methods: The task force met regularly to identify the important steps in a conjoint analysis, to discuss good research practices for conjoint analysis, and to develop and refine the key criteria for identifying good research practices. ISPOR members contributed to this process through an extensive consultation process. A final consensus meeting was held to revise the article using these comments, and those of a number of international reviewers. Results: Task force findings are presented as a 10-item checklist covering: 1) research question; 2) attributes and levels; 3) construction of tasks; 4) experimental design; 5) preference elicitation; 6) instrument design; 7) data-collection plan; 8) statistical analyses; 9) results and conclusions; and 10) study presentation. A primary question relating to each of the 10 items is posed, and three sub-questions examine finer issues within items. Conclusions: Although the checklist should not be interpreted as endorsing any specific methodological approach to conjoint analysis, it can facilitate future training activities and discussions of good research practices for the application of conjoint-analysis methods in health care studies. Copyright © 2011, International Society for Pharmacoeconomics and Outcomes Research (ISPOR).","author":[{"dropping-particle":"","family":"Bridges","given":"John F.P.","non-dropping-particle":"","parse-names":false,"suffix":""},{"dropping-particle":"","family":"Hauber","given":"A. Brett","non-dropping-particle":"","parse-names":false,"suffix":""},{"dropping-particle":"","family":"Marshall","given":"Deborah","non-dropping-particle":"","parse-names":false,"suffix":""},{"dropping-particle":"","family":"Lloyd","given":"Andrew","non-dropping-particle":"","parse-names":false,"suffix":""},{"dropping-particle":"","family":"Prosser","given":"Lisa A.","non-dropping-particle":"","parse-names":false,"suffix":""},{"dropping-particle":"","family":"Regier","given":"Dean A.","non-dropping-particle":"","parse-names":false,"suffix":""},{"dropping-particle":"","family":"Johnson","given":"F. Reed","non-dropping-particle":"","parse-names":false,"suffix":""},{"dropping-particle":"","family":"Mauskopf","given":"Josephine","non-dropping-particle":"","parse-names":false,"suffix":""}],"container-title":"Value in Health","id":"ITEM-1","issue":"4","issued":{"date-parts":[["2011"]]},"page":"403-413","publisher":"Value Health","title":"Conjoint analysis applications in health - A checklist: A report of the ISPOR Good Research Practices for Conjoint Analysis Task Force","type":"article-journal","volume":"14"},"uris":["http://www.mendeley.com/documents/?uuid=7228639a-6dd2-30b2-8f85-3b4ad6dcc1c5"]}],"mendeley":{"formattedCitation":"[23]","plainTextFormattedCitation":"[23]","previouslyFormattedCitation":"[23]"},"properties":{"noteIndex":0},"schema":"https://github.com/citation-style-language/schema/raw/master/csl-citation.json"}</w:instrText>
      </w:r>
      <w:r w:rsidR="00B512B8">
        <w:rPr>
          <w:rFonts w:ascii="Times New Roman" w:hAnsi="Times New Roman" w:cs="Times New Roman"/>
          <w:lang w:val="en-GB"/>
        </w:rPr>
        <w:fldChar w:fldCharType="separate"/>
      </w:r>
      <w:r w:rsidR="003066E4" w:rsidRPr="003066E4">
        <w:rPr>
          <w:rFonts w:ascii="Times New Roman" w:hAnsi="Times New Roman" w:cs="Times New Roman"/>
          <w:noProof/>
          <w:lang w:val="en-GB"/>
        </w:rPr>
        <w:t>[23]</w:t>
      </w:r>
      <w:r w:rsidR="00B512B8">
        <w:rPr>
          <w:rFonts w:ascii="Times New Roman" w:hAnsi="Times New Roman" w:cs="Times New Roman"/>
          <w:lang w:val="en-GB"/>
        </w:rPr>
        <w:fldChar w:fldCharType="end"/>
      </w:r>
      <w:r w:rsidR="000406DF" w:rsidRPr="007D4E5D">
        <w:rPr>
          <w:rFonts w:ascii="Times New Roman" w:hAnsi="Times New Roman" w:cs="Times New Roman"/>
          <w:lang w:val="en-GB"/>
        </w:rPr>
        <w:t>.</w:t>
      </w:r>
      <w:r w:rsidR="00B512B8" w:rsidRPr="007D4E5D">
        <w:rPr>
          <w:rFonts w:ascii="Times New Roman" w:hAnsi="Times New Roman" w:cs="Times New Roman"/>
          <w:lang w:val="en-GB"/>
        </w:rPr>
        <w:t xml:space="preserve"> </w:t>
      </w:r>
    </w:p>
    <w:p w14:paraId="01B4C565" w14:textId="3FD24012" w:rsidR="00FF453A" w:rsidRPr="007D4E5D" w:rsidRDefault="00FF453A" w:rsidP="00CF60A0">
      <w:pPr>
        <w:spacing w:line="360" w:lineRule="auto"/>
        <w:jc w:val="both"/>
        <w:rPr>
          <w:rFonts w:ascii="Times New Roman" w:hAnsi="Times New Roman" w:cs="Times New Roman"/>
          <w:b/>
          <w:bCs/>
          <w:lang w:val="en-GB"/>
        </w:rPr>
      </w:pPr>
      <w:r w:rsidRPr="007D4E5D">
        <w:rPr>
          <w:rFonts w:ascii="Times New Roman" w:hAnsi="Times New Roman" w:cs="Times New Roman"/>
          <w:b/>
          <w:bCs/>
          <w:lang w:val="en-GB"/>
        </w:rPr>
        <w:t>Identification and selection of attributes and levels</w:t>
      </w:r>
    </w:p>
    <w:p w14:paraId="457BB568" w14:textId="3C0A7025" w:rsidR="00572B3C" w:rsidRDefault="007D2118" w:rsidP="00730583">
      <w:pPr>
        <w:spacing w:line="360" w:lineRule="auto"/>
        <w:jc w:val="both"/>
        <w:rPr>
          <w:rFonts w:ascii="Times New Roman" w:hAnsi="Times New Roman" w:cs="Times New Roman"/>
          <w:lang w:val="en-GB"/>
        </w:rPr>
      </w:pPr>
      <w:r w:rsidRPr="007D2118">
        <w:rPr>
          <w:rFonts w:ascii="Times New Roman" w:hAnsi="Times New Roman" w:cs="Times New Roman"/>
          <w:lang w:val="en-GB"/>
        </w:rPr>
        <w:t>The attributes and levels were selected based on a scoping literature review and discussion/validation by a dozen experts in osteoporosis</w:t>
      </w:r>
      <w:r w:rsidR="00330FAD">
        <w:rPr>
          <w:rFonts w:ascii="Times New Roman" w:hAnsi="Times New Roman" w:cs="Times New Roman"/>
          <w:lang w:val="en-GB"/>
        </w:rPr>
        <w:t xml:space="preserve"> and/or preference research</w:t>
      </w:r>
      <w:r>
        <w:rPr>
          <w:rFonts w:ascii="Times New Roman" w:hAnsi="Times New Roman" w:cs="Times New Roman"/>
          <w:lang w:val="en-GB"/>
        </w:rPr>
        <w:t>.</w:t>
      </w:r>
      <w:r w:rsidRPr="007D2118" w:rsidDel="007D2118">
        <w:rPr>
          <w:rFonts w:ascii="Times New Roman" w:hAnsi="Times New Roman" w:cs="Times New Roman"/>
          <w:lang w:val="en-GB"/>
        </w:rPr>
        <w:t xml:space="preserve"> </w:t>
      </w:r>
      <w:r w:rsidR="007D4E5D" w:rsidRPr="007D4E5D">
        <w:rPr>
          <w:rFonts w:ascii="Times New Roman" w:hAnsi="Times New Roman" w:cs="Times New Roman"/>
          <w:lang w:val="en-GB"/>
        </w:rPr>
        <w:t xml:space="preserve">The final list of attributes and levels is available in Table 1. </w:t>
      </w:r>
      <w:r w:rsidR="00572B3C">
        <w:rPr>
          <w:rFonts w:ascii="Times New Roman" w:hAnsi="Times New Roman" w:cs="Times New Roman"/>
          <w:lang w:val="en-GB"/>
        </w:rPr>
        <w:t>Six attributes were used in the DCE</w:t>
      </w:r>
      <w:r w:rsidR="00730583">
        <w:rPr>
          <w:rFonts w:ascii="Times New Roman" w:hAnsi="Times New Roman" w:cs="Times New Roman"/>
          <w:lang w:val="en-GB"/>
        </w:rPr>
        <w:t xml:space="preserve">. The attributes and levels presented in the choice sets were the following: </w:t>
      </w:r>
      <w:r w:rsidR="00572B3C" w:rsidRPr="007D4E5D">
        <w:rPr>
          <w:rFonts w:ascii="Times New Roman" w:hAnsi="Times New Roman" w:cs="Times New Roman"/>
          <w:lang w:val="en-GB"/>
        </w:rPr>
        <w:t>physical activity (levels: not included, moderate or high), calcium and vitamin D status (levels: not included, taking supplements</w:t>
      </w:r>
      <w:r w:rsidR="00113796">
        <w:rPr>
          <w:rFonts w:ascii="Times New Roman" w:hAnsi="Times New Roman" w:cs="Times New Roman"/>
          <w:lang w:val="en-GB"/>
        </w:rPr>
        <w:t xml:space="preserve"> of vitamin D and </w:t>
      </w:r>
      <w:r w:rsidR="00B62EC1">
        <w:rPr>
          <w:rFonts w:ascii="Times New Roman" w:hAnsi="Times New Roman" w:cs="Times New Roman"/>
          <w:lang w:val="en-GB"/>
        </w:rPr>
        <w:t>c</w:t>
      </w:r>
      <w:r w:rsidR="00113796">
        <w:rPr>
          <w:rFonts w:ascii="Times New Roman" w:hAnsi="Times New Roman" w:cs="Times New Roman"/>
          <w:lang w:val="en-GB"/>
        </w:rPr>
        <w:t>alcium</w:t>
      </w:r>
      <w:r w:rsidR="00572B3C" w:rsidRPr="007D4E5D">
        <w:rPr>
          <w:rFonts w:ascii="Times New Roman" w:hAnsi="Times New Roman" w:cs="Times New Roman"/>
          <w:lang w:val="en-GB"/>
        </w:rPr>
        <w:t xml:space="preserve"> or </w:t>
      </w:r>
      <w:r w:rsidR="00113796">
        <w:rPr>
          <w:rFonts w:ascii="Times New Roman" w:hAnsi="Times New Roman" w:cs="Times New Roman"/>
          <w:lang w:val="en-GB"/>
        </w:rPr>
        <w:t>adher</w:t>
      </w:r>
      <w:r w:rsidR="00B62EC1">
        <w:rPr>
          <w:rFonts w:ascii="Times New Roman" w:hAnsi="Times New Roman" w:cs="Times New Roman"/>
          <w:lang w:val="en-GB"/>
        </w:rPr>
        <w:t>ing</w:t>
      </w:r>
      <w:r w:rsidR="00113796">
        <w:rPr>
          <w:rFonts w:ascii="Times New Roman" w:hAnsi="Times New Roman" w:cs="Times New Roman"/>
          <w:lang w:val="en-GB"/>
        </w:rPr>
        <w:t xml:space="preserve"> to a </w:t>
      </w:r>
      <w:r w:rsidR="00B62EC1">
        <w:rPr>
          <w:rFonts w:ascii="Times New Roman" w:hAnsi="Times New Roman" w:cs="Times New Roman"/>
          <w:lang w:val="en-GB"/>
        </w:rPr>
        <w:t>diet</w:t>
      </w:r>
      <w:r w:rsidR="00572B3C" w:rsidRPr="007D4E5D">
        <w:rPr>
          <w:rFonts w:ascii="Times New Roman" w:hAnsi="Times New Roman" w:cs="Times New Roman"/>
          <w:lang w:val="en-GB"/>
        </w:rPr>
        <w:t xml:space="preserve"> </w:t>
      </w:r>
      <w:r w:rsidR="00113796">
        <w:rPr>
          <w:rFonts w:ascii="Times New Roman" w:hAnsi="Times New Roman" w:cs="Times New Roman"/>
          <w:lang w:val="en-GB"/>
        </w:rPr>
        <w:t xml:space="preserve">rich in milk products and fish </w:t>
      </w:r>
      <w:r w:rsidR="00572B3C" w:rsidRPr="007D4E5D">
        <w:rPr>
          <w:rFonts w:ascii="Times New Roman" w:hAnsi="Times New Roman" w:cs="Times New Roman"/>
          <w:lang w:val="en-GB"/>
        </w:rPr>
        <w:t>and assur</w:t>
      </w:r>
      <w:r w:rsidR="00B62EC1">
        <w:rPr>
          <w:rFonts w:ascii="Times New Roman" w:hAnsi="Times New Roman" w:cs="Times New Roman"/>
          <w:lang w:val="en-GB"/>
        </w:rPr>
        <w:t>ing</w:t>
      </w:r>
      <w:r w:rsidR="00572B3C" w:rsidRPr="007D4E5D">
        <w:rPr>
          <w:rFonts w:ascii="Times New Roman" w:hAnsi="Times New Roman" w:cs="Times New Roman"/>
          <w:lang w:val="en-GB"/>
        </w:rPr>
        <w:t xml:space="preserve"> a minimal daily</w:t>
      </w:r>
      <w:r w:rsidR="00B62EC1">
        <w:rPr>
          <w:rFonts w:ascii="Times New Roman" w:hAnsi="Times New Roman" w:cs="Times New Roman"/>
          <w:lang w:val="en-GB"/>
        </w:rPr>
        <w:t xml:space="preserve"> exposure to</w:t>
      </w:r>
      <w:r w:rsidR="00572B3C" w:rsidRPr="007D4E5D">
        <w:rPr>
          <w:rFonts w:ascii="Times New Roman" w:hAnsi="Times New Roman" w:cs="Times New Roman"/>
          <w:lang w:val="en-GB"/>
        </w:rPr>
        <w:t xml:space="preserve"> sunlight), smoking (levels: not included or quit smoking), alcohol (levels: not included or moderate consumption), weight reduction (levels: not included or ensure a healthy body weight) and fall prevention (levels: not included, receive general advice o</w:t>
      </w:r>
      <w:r w:rsidR="00B62EC1">
        <w:rPr>
          <w:rFonts w:ascii="Times New Roman" w:hAnsi="Times New Roman" w:cs="Times New Roman"/>
          <w:lang w:val="en-GB"/>
        </w:rPr>
        <w:t>r attend</w:t>
      </w:r>
      <w:r w:rsidR="00113796" w:rsidRPr="007D4E5D">
        <w:rPr>
          <w:rFonts w:ascii="Times New Roman" w:hAnsi="Times New Roman" w:cs="Times New Roman"/>
          <w:lang w:val="en-GB"/>
        </w:rPr>
        <w:t xml:space="preserve"> </w:t>
      </w:r>
      <w:r w:rsidR="00572B3C" w:rsidRPr="007D4E5D">
        <w:rPr>
          <w:rFonts w:ascii="Times New Roman" w:hAnsi="Times New Roman" w:cs="Times New Roman"/>
          <w:lang w:val="en-GB"/>
        </w:rPr>
        <w:t>a one-day prevention program).</w:t>
      </w:r>
      <w:r w:rsidR="00A3610D">
        <w:rPr>
          <w:rFonts w:ascii="Times New Roman" w:hAnsi="Times New Roman" w:cs="Times New Roman"/>
          <w:lang w:val="en-GB"/>
        </w:rPr>
        <w:t xml:space="preserve"> Common</w:t>
      </w:r>
      <w:r w:rsidR="00AA0299">
        <w:rPr>
          <w:rFonts w:ascii="Times New Roman" w:hAnsi="Times New Roman" w:cs="Times New Roman"/>
          <w:lang w:val="en-GB"/>
        </w:rPr>
        <w:t xml:space="preserve"> to each attribute was the level “not included” (meaning this specific lifestyle behaviour would not be part of the </w:t>
      </w:r>
      <w:r w:rsidR="003A3A52">
        <w:rPr>
          <w:rFonts w:ascii="Times New Roman" w:hAnsi="Times New Roman" w:cs="Times New Roman"/>
          <w:lang w:val="en-GB"/>
        </w:rPr>
        <w:t xml:space="preserve">lifestyle package). </w:t>
      </w:r>
    </w:p>
    <w:p w14:paraId="2B6DFAEF" w14:textId="15CE1DAE" w:rsidR="00730583" w:rsidRPr="00572B3C" w:rsidRDefault="00730583" w:rsidP="00730583">
      <w:pPr>
        <w:spacing w:line="360" w:lineRule="auto"/>
        <w:jc w:val="both"/>
        <w:rPr>
          <w:rFonts w:ascii="Times New Roman" w:hAnsi="Times New Roman" w:cs="Times New Roman"/>
          <w:lang w:val="en-GB"/>
        </w:rPr>
      </w:pPr>
      <w:r w:rsidRPr="00730583">
        <w:rPr>
          <w:rFonts w:ascii="Times New Roman" w:hAnsi="Times New Roman" w:cs="Times New Roman"/>
          <w:lang w:val="en-GB"/>
        </w:rPr>
        <w:t xml:space="preserve">If some categories </w:t>
      </w:r>
      <w:r>
        <w:rPr>
          <w:rFonts w:ascii="Times New Roman" w:hAnsi="Times New Roman" w:cs="Times New Roman"/>
          <w:lang w:val="en-GB"/>
        </w:rPr>
        <w:t>were not relevant for respondents</w:t>
      </w:r>
      <w:r w:rsidRPr="00730583">
        <w:rPr>
          <w:rFonts w:ascii="Times New Roman" w:hAnsi="Times New Roman" w:cs="Times New Roman"/>
          <w:lang w:val="en-GB"/>
        </w:rPr>
        <w:t xml:space="preserve"> (for example ‘quit smoking’ when </w:t>
      </w:r>
      <w:r>
        <w:rPr>
          <w:rFonts w:ascii="Times New Roman" w:hAnsi="Times New Roman" w:cs="Times New Roman"/>
          <w:lang w:val="en-GB"/>
        </w:rPr>
        <w:t>participant was</w:t>
      </w:r>
      <w:r w:rsidRPr="00730583">
        <w:rPr>
          <w:rFonts w:ascii="Times New Roman" w:hAnsi="Times New Roman" w:cs="Times New Roman"/>
          <w:lang w:val="en-GB"/>
        </w:rPr>
        <w:t xml:space="preserve"> already a</w:t>
      </w:r>
      <w:r>
        <w:rPr>
          <w:rFonts w:ascii="Times New Roman" w:hAnsi="Times New Roman" w:cs="Times New Roman"/>
          <w:lang w:val="en-GB"/>
        </w:rPr>
        <w:t xml:space="preserve"> </w:t>
      </w:r>
      <w:r w:rsidRPr="00730583">
        <w:rPr>
          <w:rFonts w:ascii="Times New Roman" w:hAnsi="Times New Roman" w:cs="Times New Roman"/>
          <w:lang w:val="en-GB"/>
        </w:rPr>
        <w:t>non-smoker),</w:t>
      </w:r>
      <w:r>
        <w:rPr>
          <w:rFonts w:ascii="Times New Roman" w:hAnsi="Times New Roman" w:cs="Times New Roman"/>
          <w:lang w:val="en-GB"/>
        </w:rPr>
        <w:t xml:space="preserve"> simply</w:t>
      </w:r>
      <w:r w:rsidRPr="00730583">
        <w:rPr>
          <w:rFonts w:ascii="Times New Roman" w:hAnsi="Times New Roman" w:cs="Times New Roman"/>
          <w:lang w:val="en-GB"/>
        </w:rPr>
        <w:t xml:space="preserve"> ignor</w:t>
      </w:r>
      <w:r w:rsidR="00A3610D">
        <w:rPr>
          <w:rFonts w:ascii="Times New Roman" w:hAnsi="Times New Roman" w:cs="Times New Roman"/>
          <w:lang w:val="en-GB"/>
        </w:rPr>
        <w:t>ing</w:t>
      </w:r>
      <w:r w:rsidRPr="00730583">
        <w:rPr>
          <w:rFonts w:ascii="Times New Roman" w:hAnsi="Times New Roman" w:cs="Times New Roman"/>
          <w:lang w:val="en-GB"/>
        </w:rPr>
        <w:t xml:space="preserve"> the</w:t>
      </w:r>
      <w:r>
        <w:rPr>
          <w:rFonts w:ascii="Times New Roman" w:hAnsi="Times New Roman" w:cs="Times New Roman"/>
          <w:lang w:val="en-GB"/>
        </w:rPr>
        <w:t xml:space="preserve"> attribute</w:t>
      </w:r>
      <w:r w:rsidR="00330FAD">
        <w:rPr>
          <w:rFonts w:ascii="Times New Roman" w:hAnsi="Times New Roman" w:cs="Times New Roman"/>
          <w:lang w:val="en-GB"/>
        </w:rPr>
        <w:t>(s)</w:t>
      </w:r>
      <w:r w:rsidR="00A3610D">
        <w:rPr>
          <w:rFonts w:ascii="Times New Roman" w:hAnsi="Times New Roman" w:cs="Times New Roman"/>
          <w:lang w:val="en-GB"/>
        </w:rPr>
        <w:t xml:space="preserve"> was recommended</w:t>
      </w:r>
      <w:r>
        <w:rPr>
          <w:rFonts w:ascii="Times New Roman" w:hAnsi="Times New Roman" w:cs="Times New Roman"/>
          <w:lang w:val="en-GB"/>
        </w:rPr>
        <w:t xml:space="preserve">. </w:t>
      </w:r>
    </w:p>
    <w:p w14:paraId="486B0B79" w14:textId="5AE95C03" w:rsidR="00FF453A" w:rsidRPr="007D4E5D" w:rsidRDefault="00FF453A" w:rsidP="00CF60A0">
      <w:pPr>
        <w:spacing w:line="360" w:lineRule="auto"/>
        <w:jc w:val="both"/>
        <w:rPr>
          <w:rFonts w:ascii="Times New Roman" w:hAnsi="Times New Roman" w:cs="Times New Roman"/>
          <w:b/>
          <w:bCs/>
          <w:lang w:val="en-GB"/>
        </w:rPr>
      </w:pPr>
      <w:r w:rsidRPr="007D4E5D">
        <w:rPr>
          <w:rFonts w:ascii="Times New Roman" w:hAnsi="Times New Roman" w:cs="Times New Roman"/>
          <w:b/>
          <w:bCs/>
          <w:lang w:val="en-GB"/>
        </w:rPr>
        <w:t>Experimental design</w:t>
      </w:r>
    </w:p>
    <w:p w14:paraId="3D03B821" w14:textId="1F554C04" w:rsidR="007D4E5D" w:rsidRPr="00B963D7" w:rsidRDefault="00B963D7" w:rsidP="00CF60A0">
      <w:pPr>
        <w:spacing w:line="360" w:lineRule="auto"/>
        <w:jc w:val="both"/>
        <w:rPr>
          <w:rFonts w:ascii="Times New Roman" w:hAnsi="Times New Roman" w:cs="Times New Roman"/>
          <w:i/>
          <w:iCs/>
          <w:lang w:val="en-GB"/>
        </w:rPr>
      </w:pPr>
      <w:r w:rsidRPr="00B963D7">
        <w:rPr>
          <w:rFonts w:ascii="Times New Roman" w:hAnsi="Times New Roman" w:cs="Times New Roman"/>
          <w:lang w:val="en-GB"/>
        </w:rPr>
        <w:t xml:space="preserve">The set </w:t>
      </w:r>
      <w:r w:rsidR="002F2EDD">
        <w:rPr>
          <w:rFonts w:ascii="Times New Roman" w:hAnsi="Times New Roman" w:cs="Times New Roman"/>
          <w:lang w:val="en-GB"/>
        </w:rPr>
        <w:t xml:space="preserve">of </w:t>
      </w:r>
      <w:r w:rsidRPr="00B963D7">
        <w:rPr>
          <w:rFonts w:ascii="Times New Roman" w:hAnsi="Times New Roman" w:cs="Times New Roman"/>
          <w:lang w:val="en-GB"/>
        </w:rPr>
        <w:t xml:space="preserve">lifestyle recommendations to be presented to the respondents was based on an experimental design. Specifically, we used a Bayesian efficient design to maximize the D efficiency of the chosen choice sets using Ngene software (Version 1.1.1, http://www.choicemetrics.com). A Bayesian efficient design aims to maximize the precision of the estimated parameters of the attributes for a given number of choice tasks by incorporating </w:t>
      </w:r>
      <w:r w:rsidRPr="00E251B0">
        <w:rPr>
          <w:rFonts w:ascii="Times New Roman" w:hAnsi="Times New Roman" w:cs="Times New Roman"/>
          <w:i/>
          <w:iCs/>
          <w:lang w:val="en-GB"/>
        </w:rPr>
        <w:t>a priori</w:t>
      </w:r>
      <w:r w:rsidRPr="00B963D7">
        <w:rPr>
          <w:rFonts w:ascii="Times New Roman" w:hAnsi="Times New Roman" w:cs="Times New Roman"/>
          <w:lang w:val="en-GB"/>
        </w:rPr>
        <w:t xml:space="preserve"> information about the sign and value of parameters. Parameter estimates deriv</w:t>
      </w:r>
      <w:r w:rsidR="002F2EDD">
        <w:rPr>
          <w:rFonts w:ascii="Times New Roman" w:hAnsi="Times New Roman" w:cs="Times New Roman"/>
          <w:lang w:val="en-GB"/>
        </w:rPr>
        <w:t>ing</w:t>
      </w:r>
      <w:r w:rsidRPr="00B963D7">
        <w:rPr>
          <w:rFonts w:ascii="Times New Roman" w:hAnsi="Times New Roman" w:cs="Times New Roman"/>
          <w:lang w:val="en-GB"/>
        </w:rPr>
        <w:t xml:space="preserve"> from a pilot study (n=10) were used as </w:t>
      </w:r>
      <w:r w:rsidRPr="00E251B0">
        <w:rPr>
          <w:rFonts w:ascii="Times New Roman" w:hAnsi="Times New Roman" w:cs="Times New Roman"/>
          <w:i/>
          <w:iCs/>
          <w:lang w:val="en-GB"/>
        </w:rPr>
        <w:t>a priori</w:t>
      </w:r>
      <w:r w:rsidRPr="00B963D7">
        <w:rPr>
          <w:rFonts w:ascii="Times New Roman" w:hAnsi="Times New Roman" w:cs="Times New Roman"/>
          <w:lang w:val="en-GB"/>
        </w:rPr>
        <w:t xml:space="preserve"> information to construct the choice sets. </w:t>
      </w:r>
      <w:r w:rsidR="00A7044E">
        <w:rPr>
          <w:rFonts w:ascii="Times New Roman" w:hAnsi="Times New Roman" w:cs="Times New Roman"/>
          <w:lang w:val="en-GB"/>
        </w:rPr>
        <w:t>Fifteen</w:t>
      </w:r>
      <w:r w:rsidRPr="00B963D7">
        <w:rPr>
          <w:rFonts w:ascii="Times New Roman" w:hAnsi="Times New Roman" w:cs="Times New Roman"/>
          <w:lang w:val="en-GB"/>
        </w:rPr>
        <w:t xml:space="preserve"> </w:t>
      </w:r>
      <w:r w:rsidR="00AA0299">
        <w:rPr>
          <w:rFonts w:ascii="Times New Roman" w:hAnsi="Times New Roman" w:cs="Times New Roman"/>
          <w:lang w:val="en-GB"/>
        </w:rPr>
        <w:t xml:space="preserve">different </w:t>
      </w:r>
      <w:r w:rsidRPr="00B963D7">
        <w:rPr>
          <w:rFonts w:ascii="Times New Roman" w:hAnsi="Times New Roman" w:cs="Times New Roman"/>
          <w:lang w:val="en-GB"/>
        </w:rPr>
        <w:t xml:space="preserve">choice tasks were created in which respondents were asked, in each case, to inform </w:t>
      </w:r>
      <w:r w:rsidR="002F2EDD">
        <w:rPr>
          <w:rFonts w:ascii="Times New Roman" w:hAnsi="Times New Roman" w:cs="Times New Roman"/>
          <w:lang w:val="en-GB"/>
        </w:rPr>
        <w:t xml:space="preserve">whether </w:t>
      </w:r>
      <w:r w:rsidRPr="00B963D7">
        <w:rPr>
          <w:rFonts w:ascii="Times New Roman" w:hAnsi="Times New Roman" w:cs="Times New Roman"/>
          <w:lang w:val="en-GB"/>
        </w:rPr>
        <w:t xml:space="preserve">they would </w:t>
      </w:r>
      <w:r w:rsidR="007C3A46">
        <w:rPr>
          <w:rFonts w:ascii="Times New Roman" w:hAnsi="Times New Roman" w:cs="Times New Roman"/>
          <w:lang w:val="en-GB"/>
        </w:rPr>
        <w:t>implement</w:t>
      </w:r>
      <w:r w:rsidR="007C3A46" w:rsidRPr="00B963D7">
        <w:rPr>
          <w:rFonts w:ascii="Times New Roman" w:hAnsi="Times New Roman" w:cs="Times New Roman"/>
          <w:lang w:val="en-GB"/>
        </w:rPr>
        <w:t xml:space="preserve"> </w:t>
      </w:r>
      <w:r w:rsidRPr="00B963D7">
        <w:rPr>
          <w:rFonts w:ascii="Times New Roman" w:hAnsi="Times New Roman" w:cs="Times New Roman"/>
          <w:lang w:val="en-GB"/>
        </w:rPr>
        <w:t>the lifestyle recommendation</w:t>
      </w:r>
      <w:r w:rsidR="002F2EDD">
        <w:rPr>
          <w:rFonts w:ascii="Times New Roman" w:hAnsi="Times New Roman" w:cs="Times New Roman"/>
          <w:lang w:val="en-GB"/>
        </w:rPr>
        <w:t xml:space="preserve"> (yes/no)</w:t>
      </w:r>
      <w:r w:rsidRPr="00B963D7">
        <w:rPr>
          <w:rFonts w:ascii="Times New Roman" w:hAnsi="Times New Roman" w:cs="Times New Roman"/>
          <w:lang w:val="en-GB"/>
        </w:rPr>
        <w:t>. One of the</w:t>
      </w:r>
      <w:r w:rsidR="00AA0299">
        <w:rPr>
          <w:rFonts w:ascii="Times New Roman" w:hAnsi="Times New Roman" w:cs="Times New Roman"/>
          <w:lang w:val="en-GB"/>
        </w:rPr>
        <w:t>se</w:t>
      </w:r>
      <w:r w:rsidRPr="00B963D7">
        <w:rPr>
          <w:rFonts w:ascii="Times New Roman" w:hAnsi="Times New Roman" w:cs="Times New Roman"/>
          <w:lang w:val="en-GB"/>
        </w:rPr>
        <w:t xml:space="preserve"> choice tasks was repeated at the end of the choice tasks to assess</w:t>
      </w:r>
      <w:r w:rsidR="00793ADE">
        <w:rPr>
          <w:rFonts w:ascii="Times New Roman" w:hAnsi="Times New Roman" w:cs="Times New Roman"/>
          <w:lang w:val="en-GB"/>
        </w:rPr>
        <w:t xml:space="preserve"> the</w:t>
      </w:r>
      <w:r w:rsidRPr="00B963D7">
        <w:rPr>
          <w:rFonts w:ascii="Times New Roman" w:hAnsi="Times New Roman" w:cs="Times New Roman"/>
          <w:lang w:val="en-GB"/>
        </w:rPr>
        <w:t xml:space="preserve"> test-retest reliability of respondents’ choices. Each respondent therefore received 16 choice tasks</w:t>
      </w:r>
      <w:r w:rsidR="00835114">
        <w:rPr>
          <w:rFonts w:ascii="Times New Roman" w:hAnsi="Times New Roman" w:cs="Times New Roman"/>
          <w:lang w:val="en-GB"/>
        </w:rPr>
        <w:t xml:space="preserve"> (the</w:t>
      </w:r>
      <w:r w:rsidR="00E80A2D">
        <w:rPr>
          <w:rFonts w:ascii="Times New Roman" w:hAnsi="Times New Roman" w:cs="Times New Roman"/>
          <w:lang w:val="en-GB"/>
        </w:rPr>
        <w:t>se</w:t>
      </w:r>
      <w:r w:rsidR="00835114">
        <w:rPr>
          <w:rFonts w:ascii="Times New Roman" w:hAnsi="Times New Roman" w:cs="Times New Roman"/>
          <w:lang w:val="en-GB"/>
        </w:rPr>
        <w:t xml:space="preserve"> choice tasks are provided in Appendix</w:t>
      </w:r>
      <w:r w:rsidR="0024251C">
        <w:rPr>
          <w:rFonts w:ascii="Times New Roman" w:hAnsi="Times New Roman" w:cs="Times New Roman"/>
          <w:lang w:val="en-GB"/>
        </w:rPr>
        <w:t xml:space="preserve"> 1</w:t>
      </w:r>
      <w:r w:rsidR="00835114">
        <w:rPr>
          <w:rFonts w:ascii="Times New Roman" w:hAnsi="Times New Roman" w:cs="Times New Roman"/>
          <w:lang w:val="en-GB"/>
        </w:rPr>
        <w:t>)</w:t>
      </w:r>
      <w:r w:rsidRPr="00B963D7">
        <w:rPr>
          <w:rFonts w:ascii="Times New Roman" w:hAnsi="Times New Roman" w:cs="Times New Roman"/>
          <w:lang w:val="en-GB"/>
        </w:rPr>
        <w:t>. An example of a choice task is shown in Figure 1.</w:t>
      </w:r>
    </w:p>
    <w:p w14:paraId="4D44C485" w14:textId="02AB1BD3" w:rsidR="00FF453A" w:rsidRDefault="00FF453A" w:rsidP="00CF60A0">
      <w:pPr>
        <w:spacing w:line="360" w:lineRule="auto"/>
        <w:jc w:val="both"/>
        <w:rPr>
          <w:rFonts w:ascii="Times New Roman" w:hAnsi="Times New Roman" w:cs="Times New Roman"/>
          <w:b/>
          <w:bCs/>
          <w:lang w:val="en-GB"/>
        </w:rPr>
      </w:pPr>
      <w:r w:rsidRPr="007D4E5D">
        <w:rPr>
          <w:rFonts w:ascii="Times New Roman" w:hAnsi="Times New Roman" w:cs="Times New Roman"/>
          <w:b/>
          <w:bCs/>
          <w:lang w:val="en-GB"/>
        </w:rPr>
        <w:t>Questionnaire design</w:t>
      </w:r>
    </w:p>
    <w:p w14:paraId="38C8C726" w14:textId="6986ED9C" w:rsidR="001C74A9" w:rsidRDefault="0060105D" w:rsidP="00CF60A0">
      <w:pPr>
        <w:spacing w:line="360" w:lineRule="auto"/>
        <w:jc w:val="both"/>
        <w:rPr>
          <w:rFonts w:ascii="Times New Roman" w:hAnsi="Times New Roman" w:cs="Times New Roman"/>
          <w:lang w:val="en-GB"/>
        </w:rPr>
      </w:pPr>
      <w:r>
        <w:rPr>
          <w:rFonts w:ascii="Times New Roman" w:hAnsi="Times New Roman" w:cs="Times New Roman"/>
          <w:lang w:val="en-GB"/>
        </w:rPr>
        <w:t>O</w:t>
      </w:r>
      <w:r w:rsidR="00D1762A">
        <w:rPr>
          <w:rFonts w:ascii="Times New Roman" w:hAnsi="Times New Roman" w:cs="Times New Roman"/>
          <w:lang w:val="en-GB"/>
        </w:rPr>
        <w:t xml:space="preserve">riginally, </w:t>
      </w:r>
      <w:r w:rsidR="00330FAD">
        <w:rPr>
          <w:rFonts w:ascii="Times New Roman" w:hAnsi="Times New Roman" w:cs="Times New Roman"/>
          <w:lang w:val="en-GB"/>
        </w:rPr>
        <w:t>the questionnaire included two DCEs</w:t>
      </w:r>
      <w:r w:rsidR="00D1762A">
        <w:rPr>
          <w:rFonts w:ascii="Times New Roman" w:hAnsi="Times New Roman" w:cs="Times New Roman"/>
          <w:lang w:val="en-GB"/>
        </w:rPr>
        <w:t xml:space="preserve">; one to assess </w:t>
      </w:r>
      <w:r>
        <w:rPr>
          <w:rFonts w:ascii="Times New Roman" w:hAnsi="Times New Roman" w:cs="Times New Roman"/>
          <w:lang w:val="en-GB"/>
        </w:rPr>
        <w:t xml:space="preserve">patient </w:t>
      </w:r>
      <w:r w:rsidR="00D1762A">
        <w:rPr>
          <w:rFonts w:ascii="Times New Roman" w:hAnsi="Times New Roman" w:cs="Times New Roman"/>
          <w:lang w:val="en-GB"/>
        </w:rPr>
        <w:t xml:space="preserve">preferences for osteoporosis </w:t>
      </w:r>
      <w:r w:rsidR="00835114">
        <w:rPr>
          <w:rFonts w:ascii="Times New Roman" w:hAnsi="Times New Roman" w:cs="Times New Roman"/>
          <w:lang w:val="en-GB"/>
        </w:rPr>
        <w:t>medical</w:t>
      </w:r>
      <w:r w:rsidR="00D1762A">
        <w:rPr>
          <w:rFonts w:ascii="Times New Roman" w:hAnsi="Times New Roman" w:cs="Times New Roman"/>
          <w:lang w:val="en-GB"/>
        </w:rPr>
        <w:t xml:space="preserve"> therapy</w:t>
      </w:r>
      <w:r>
        <w:rPr>
          <w:rFonts w:ascii="Times New Roman" w:hAnsi="Times New Roman" w:cs="Times New Roman"/>
          <w:lang w:val="en-GB"/>
        </w:rPr>
        <w:t xml:space="preserve"> (data already published</w:t>
      </w:r>
      <w:r w:rsidR="00793ADE">
        <w:rPr>
          <w:rFonts w:ascii="Times New Roman" w:hAnsi="Times New Roman" w:cs="Times New Roman"/>
          <w:lang w:val="en-GB"/>
        </w:rPr>
        <w:t xml:space="preserve"> </w:t>
      </w:r>
      <w:r>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{"citationItems":[{"id":"ITEM-1","itemData":{"DOI":"10.1093/rheumatology/kex071","ISSN":"14620332","PMID":"28398547","abstract":"Objectives. To estimate the preferences of osteoporotic patients for medication attributes, and analyse data from seven European countries. Methods. A discrete choice experiment was conducted in Belgium, France, Ireland, the Netherlands, Spain, Switzerland and the UK. Patients were asked to choose repeatedly between two hypothetical unlabelled drug treatments (and an opt-out option) that varied with respect to four attributes: efficacy in reducing the risk of fracture, type of potential common side effects, and mode and frequency of administration. In those countries in which patients contribute to the cost of their treatment directly, a fifth attribute was added: out-of-pocket cost. A mixed logit panel model was used to estimate patients' preferences. Results. In total, 1124 patients completed the experiment, with a sample of between 98 and 257 patients per country. In all countries, patients preferred treatment with higher effectiveness, and 6-monthly subcutaneous injection was always preferred over weekly oral tablets. In five countries, patients also preferred a monthly oral tablet and yearly i.v. injections over weekly oral tablets. In the three countries where the out-of-pocket cost was included as an attribute, lower costs significantly contributed to the treatment preference. Between countries, there were statistically significant differences for 13 out of 42 attribute/level interactions. Conclusion. We found statistically significant differences in patients' preferences for anti-osteoporosis medications between countries, especially for the mode of administration. Our findings emphasized that international treatment recommendations should allow for local adaptation, and that understanding individual preferences is important if we want to improve the quality of clinical care for patients with osteoporosis.","author":[{"dropping-particle":"","family":"Hiligsmann","given":"Mickaël","non-dropping-particle":"","parse-names":false,"suffix":""},{"dropping-particle":"","family":"Dellaert","given":"Benedict G.","non-dropping-particle":"","parse-names":false,"suffix":""},{"dropping-particle":"","family":"Dirksen","given":"Carmen D.","non-dropping-particle":"","parse-names":false,"suffix":""},{"dropping-particle":"","family":"Watson","given":"Verity","non-dropping-particle":"","parse-names":false,"suffix":""},{"dropping-particle":"","family":"Bours","given":"Sandrine","non-dropping-particle":"","parse-names":false,"suffix":""},{"dropping-particle":"","family":"Goemaere","given":"Stefan","non-dropping-particle":"","parse-names":false,"suffix":""},{"dropping-particle":"","family":"Reginster","given":"Jean Yves","non-dropping-particle":"","parse-names":false,"suffix":""},{"dropping-particle":"","family":"Roux","given":"Christian","non-dropping-particle":"","parse-names":false,"suffix":""},{"dropping-particle":"","family":"McGowan","given":"Bernie","non-dropping-particle":"","parse-names":false,"suffix":""},{"dropping-particle":"","family":"Silke","given":"Carmel","non-dropping-particle":"","parse-names":false,"suffix":""},{"dropping-particle":"","family":"Whelan","given":"Bryan","non-dropping-particle":"","parse-names":false,"suffix":""},{"dropping-particle":"","family":"Diez-Perez","given":"Adolfo","non-dropping-particle":"","parse-names":false,"suffix":""},{"dropping-particle":"","family":"Torres","given":"Elisa","non-dropping-particle":"","parse-names":false,"suffix":""},{"dropping-particle":"","family":"Papadakis","given":"Georgios","non-dropping-particle":"","parse-names":false,"suffix":""},{"dropping-particle":"","family":"Rizzoli","given":"Rene","non-dropping-particle":"","parse-names":false,"suffix":""},{"dropping-particle":"","family":"Cooper","given":"Cyrus","non-dropping-particle":"","parse-names":false,"suffix":""},{"dropping-particle":"","family":"Pearson","given":"Gill","non-dropping-particle":"","parse-names":false,"suffix":""},{"dropping-particle":"","family":"Boonen","given":"Annelies","non-dropping-particle":"","parse-names":false,"suffix":""}],"container-title":"Rheumatology (United Kingdom)","id":"ITEM-1","issue":"7","issued":{"date-parts":[["2017"]]},"page":"1167-1176","publisher":"Rheumatology (Oxford)","title":"Patients' preferences for anti-osteoporosis drug treatment: A cross-European discrete choice experiment","type":"article-journal","volume":"56"},"uris":["http://www.mendeley.com/documents/?uuid=4b83d88e-320d-38d6-ae47-08765017e6f4"]}],"mendeley":{"formattedCitation":"[24]","plainTextFormattedCitation":"[24]","previouslyFormattedCitation":"[24]"},"properties":{"noteIndex":0},"schema":"https://github.com/citation-style-language/schema/raw/master/csl-citation.json"}</w:instrText>
      </w:r>
      <w:r>
        <w:rPr>
          <w:rFonts w:ascii="Times New Roman" w:hAnsi="Times New Roman" w:cs="Times New Roman"/>
          <w:lang w:val="en-GB"/>
        </w:rPr>
        <w:fldChar w:fldCharType="separate"/>
      </w:r>
      <w:r w:rsidR="003066E4" w:rsidRPr="003066E4">
        <w:rPr>
          <w:rFonts w:ascii="Times New Roman" w:hAnsi="Times New Roman" w:cs="Times New Roman"/>
          <w:noProof/>
          <w:lang w:val="en-GB"/>
        </w:rPr>
        <w:t>[24]</w:t>
      </w:r>
      <w:r>
        <w:rPr>
          <w:rFonts w:ascii="Times New Roman" w:hAnsi="Times New Roman" w:cs="Times New Roman"/>
          <w:lang w:val="en-GB"/>
        </w:rPr>
        <w:fldChar w:fldCharType="end"/>
      </w:r>
      <w:r>
        <w:rPr>
          <w:rFonts w:ascii="Times New Roman" w:hAnsi="Times New Roman" w:cs="Times New Roman"/>
          <w:lang w:val="en-GB"/>
        </w:rPr>
        <w:t xml:space="preserve">), and the present DCE to assess patient </w:t>
      </w:r>
      <w:r w:rsidR="007C3A46">
        <w:rPr>
          <w:rFonts w:ascii="Times New Roman" w:hAnsi="Times New Roman" w:cs="Times New Roman"/>
          <w:lang w:val="en-GB"/>
        </w:rPr>
        <w:t xml:space="preserve">willingness </w:t>
      </w:r>
      <w:r>
        <w:rPr>
          <w:rFonts w:ascii="Times New Roman" w:hAnsi="Times New Roman" w:cs="Times New Roman"/>
          <w:lang w:val="en-GB"/>
        </w:rPr>
        <w:t xml:space="preserve">to </w:t>
      </w:r>
      <w:r w:rsidR="007C3A46">
        <w:rPr>
          <w:rFonts w:ascii="Times New Roman" w:hAnsi="Times New Roman" w:cs="Times New Roman"/>
          <w:lang w:val="en-GB"/>
        </w:rPr>
        <w:t xml:space="preserve">implement </w:t>
      </w:r>
      <w:r>
        <w:rPr>
          <w:rFonts w:ascii="Times New Roman" w:hAnsi="Times New Roman" w:cs="Times New Roman"/>
          <w:lang w:val="en-GB"/>
        </w:rPr>
        <w:t xml:space="preserve">different regimens of lifestyle recommendation to prevent osteoporosis fractures. </w:t>
      </w:r>
      <w:r w:rsidR="00D1762A">
        <w:rPr>
          <w:rFonts w:ascii="Times New Roman" w:hAnsi="Times New Roman" w:cs="Times New Roman"/>
          <w:lang w:val="en-GB"/>
        </w:rPr>
        <w:t xml:space="preserve"> </w:t>
      </w:r>
      <w:r w:rsidR="009B1BD9" w:rsidRPr="001C74A9">
        <w:rPr>
          <w:rFonts w:ascii="Times New Roman" w:hAnsi="Times New Roman" w:cs="Times New Roman"/>
          <w:lang w:val="en-GB"/>
        </w:rPr>
        <w:t>The questionnaire consisted of f</w:t>
      </w:r>
      <w:r w:rsidR="001C74A9">
        <w:rPr>
          <w:rFonts w:ascii="Times New Roman" w:hAnsi="Times New Roman" w:cs="Times New Roman"/>
          <w:lang w:val="en-GB"/>
        </w:rPr>
        <w:t>ive</w:t>
      </w:r>
      <w:r w:rsidR="009B1BD9" w:rsidRPr="001C74A9">
        <w:rPr>
          <w:rFonts w:ascii="Times New Roman" w:hAnsi="Times New Roman" w:cs="Times New Roman"/>
          <w:lang w:val="en-GB"/>
        </w:rPr>
        <w:t xml:space="preserve"> parts: 1) a patient information leaflet and informed consent; 2) </w:t>
      </w:r>
      <w:r w:rsidR="00330FAD">
        <w:rPr>
          <w:rFonts w:ascii="Times New Roman" w:hAnsi="Times New Roman" w:cs="Times New Roman"/>
          <w:lang w:val="en-GB"/>
        </w:rPr>
        <w:t xml:space="preserve">the DCE </w:t>
      </w:r>
      <w:r w:rsidR="00AA0299">
        <w:rPr>
          <w:rFonts w:ascii="Times New Roman" w:hAnsi="Times New Roman" w:cs="Times New Roman"/>
          <w:lang w:val="en-GB"/>
        </w:rPr>
        <w:t>to elicit preferences for attrib</w:t>
      </w:r>
      <w:r w:rsidR="003D153E">
        <w:rPr>
          <w:rFonts w:ascii="Times New Roman" w:hAnsi="Times New Roman" w:cs="Times New Roman"/>
          <w:lang w:val="en-GB"/>
        </w:rPr>
        <w:t>u</w:t>
      </w:r>
      <w:r w:rsidR="00AA0299">
        <w:rPr>
          <w:rFonts w:ascii="Times New Roman" w:hAnsi="Times New Roman" w:cs="Times New Roman"/>
          <w:lang w:val="en-GB"/>
        </w:rPr>
        <w:t>tes of anti-osteoporosis drugs</w:t>
      </w:r>
      <w:r w:rsidR="00835114">
        <w:rPr>
          <w:rFonts w:ascii="Times New Roman" w:hAnsi="Times New Roman" w:cs="Times New Roman"/>
          <w:lang w:val="en-GB"/>
        </w:rPr>
        <w:t xml:space="preserve"> </w:t>
      </w:r>
      <w:r w:rsidR="00330FAD">
        <w:rPr>
          <w:rFonts w:ascii="Times New Roman" w:hAnsi="Times New Roman" w:cs="Times New Roman"/>
          <w:lang w:val="en-GB"/>
        </w:rPr>
        <w:t>therapy, 3) the DCE</w:t>
      </w:r>
      <w:r w:rsidR="00AA0299">
        <w:rPr>
          <w:rFonts w:ascii="Times New Roman" w:hAnsi="Times New Roman" w:cs="Times New Roman"/>
          <w:lang w:val="en-GB"/>
        </w:rPr>
        <w:t xml:space="preserve"> on</w:t>
      </w:r>
      <w:r w:rsidR="00330FAD">
        <w:rPr>
          <w:rFonts w:ascii="Times New Roman" w:hAnsi="Times New Roman" w:cs="Times New Roman"/>
          <w:lang w:val="en-GB"/>
        </w:rPr>
        <w:t xml:space="preserve"> lifestyle</w:t>
      </w:r>
      <w:r w:rsidR="00793ADE">
        <w:rPr>
          <w:rFonts w:ascii="Times New Roman" w:hAnsi="Times New Roman" w:cs="Times New Roman"/>
          <w:lang w:val="en-GB"/>
        </w:rPr>
        <w:t>,</w:t>
      </w:r>
      <w:r w:rsidR="00330FAD">
        <w:rPr>
          <w:rFonts w:ascii="Times New Roman" w:hAnsi="Times New Roman" w:cs="Times New Roman"/>
          <w:lang w:val="en-GB"/>
        </w:rPr>
        <w:t xml:space="preserve"> including a</w:t>
      </w:r>
      <w:r w:rsidR="009B1BD9" w:rsidRPr="001C74A9">
        <w:rPr>
          <w:rFonts w:ascii="Times New Roman" w:hAnsi="Times New Roman" w:cs="Times New Roman"/>
          <w:lang w:val="en-GB"/>
        </w:rPr>
        <w:t xml:space="preserve"> description of the choice tasks, attributes, levels and an example of the choice task</w:t>
      </w:r>
      <w:r w:rsidR="00793ADE">
        <w:rPr>
          <w:rFonts w:ascii="Times New Roman" w:hAnsi="Times New Roman" w:cs="Times New Roman"/>
          <w:lang w:val="en-GB"/>
        </w:rPr>
        <w:t>,</w:t>
      </w:r>
      <w:r w:rsidR="00330FAD">
        <w:rPr>
          <w:rFonts w:ascii="Times New Roman" w:hAnsi="Times New Roman" w:cs="Times New Roman"/>
          <w:lang w:val="en-GB"/>
        </w:rPr>
        <w:t xml:space="preserve"> and</w:t>
      </w:r>
      <w:r w:rsidR="001C74A9">
        <w:rPr>
          <w:rFonts w:ascii="Times New Roman" w:hAnsi="Times New Roman" w:cs="Times New Roman"/>
          <w:lang w:val="en-GB"/>
        </w:rPr>
        <w:t xml:space="preserve"> </w:t>
      </w:r>
      <w:r w:rsidR="00793ADE">
        <w:rPr>
          <w:rFonts w:ascii="Times New Roman" w:hAnsi="Times New Roman" w:cs="Times New Roman"/>
          <w:lang w:val="en-GB"/>
        </w:rPr>
        <w:t xml:space="preserve">then </w:t>
      </w:r>
      <w:r w:rsidR="001C74A9">
        <w:rPr>
          <w:rFonts w:ascii="Times New Roman" w:hAnsi="Times New Roman" w:cs="Times New Roman"/>
          <w:lang w:val="en-GB"/>
        </w:rPr>
        <w:t xml:space="preserve">the 16-choice tasks that participants had to fill in; </w:t>
      </w:r>
      <w:r w:rsidR="00330FAD">
        <w:rPr>
          <w:rFonts w:ascii="Times New Roman" w:hAnsi="Times New Roman" w:cs="Times New Roman"/>
          <w:lang w:val="en-GB"/>
        </w:rPr>
        <w:t>4</w:t>
      </w:r>
      <w:r w:rsidR="009B1BD9" w:rsidRPr="001C74A9">
        <w:rPr>
          <w:rFonts w:ascii="Times New Roman" w:hAnsi="Times New Roman" w:cs="Times New Roman"/>
          <w:lang w:val="en-GB"/>
        </w:rPr>
        <w:t>) questions about the respondent’s demographic (</w:t>
      </w:r>
      <w:r w:rsidR="009B1BD9" w:rsidRPr="007D4E5D">
        <w:rPr>
          <w:rFonts w:ascii="Times New Roman" w:hAnsi="Times New Roman" w:cs="Times New Roman"/>
          <w:lang w:val="en-GB"/>
        </w:rPr>
        <w:t>e</w:t>
      </w:r>
      <w:r w:rsidR="00192C55">
        <w:rPr>
          <w:rFonts w:ascii="Times New Roman" w:hAnsi="Times New Roman" w:cs="Times New Roman"/>
          <w:lang w:val="en-GB"/>
        </w:rPr>
        <w:t>.</w:t>
      </w:r>
      <w:r w:rsidR="009B1BD9" w:rsidRPr="007D4E5D">
        <w:rPr>
          <w:rFonts w:ascii="Times New Roman" w:hAnsi="Times New Roman" w:cs="Times New Roman"/>
          <w:lang w:val="en-GB"/>
        </w:rPr>
        <w:t>g</w:t>
      </w:r>
      <w:r w:rsidR="00192C55">
        <w:rPr>
          <w:rFonts w:ascii="Times New Roman" w:hAnsi="Times New Roman" w:cs="Times New Roman"/>
          <w:lang w:val="en-GB"/>
        </w:rPr>
        <w:t>.,</w:t>
      </w:r>
      <w:r w:rsidR="009B1BD9" w:rsidRPr="007D4E5D">
        <w:rPr>
          <w:rFonts w:ascii="Times New Roman" w:hAnsi="Times New Roman" w:cs="Times New Roman"/>
          <w:lang w:val="en-GB"/>
        </w:rPr>
        <w:t xml:space="preserve"> age, gende</w:t>
      </w:r>
      <w:r w:rsidR="009B1BD9">
        <w:rPr>
          <w:rFonts w:ascii="Times New Roman" w:hAnsi="Times New Roman" w:cs="Times New Roman"/>
          <w:lang w:val="en-GB"/>
        </w:rPr>
        <w:t>r, height, weight and education level)</w:t>
      </w:r>
      <w:r w:rsidR="009B1BD9" w:rsidRPr="001C74A9">
        <w:rPr>
          <w:rFonts w:ascii="Times New Roman" w:hAnsi="Times New Roman" w:cs="Times New Roman"/>
          <w:lang w:val="en-GB"/>
        </w:rPr>
        <w:t>, years since diagnosis of osteoporosis</w:t>
      </w:r>
      <w:r w:rsidR="00793ADE">
        <w:rPr>
          <w:rFonts w:ascii="Times New Roman" w:hAnsi="Times New Roman" w:cs="Times New Roman"/>
          <w:lang w:val="en-GB"/>
        </w:rPr>
        <w:t>,</w:t>
      </w:r>
      <w:r w:rsidR="009B1BD9" w:rsidRPr="001C74A9">
        <w:rPr>
          <w:rFonts w:ascii="Times New Roman" w:hAnsi="Times New Roman" w:cs="Times New Roman"/>
          <w:lang w:val="en-GB"/>
        </w:rPr>
        <w:t xml:space="preserve"> and other characteristics that could affect </w:t>
      </w:r>
      <w:r w:rsidR="00793ADE">
        <w:rPr>
          <w:rFonts w:ascii="Times New Roman" w:hAnsi="Times New Roman" w:cs="Times New Roman"/>
          <w:lang w:val="en-GB"/>
        </w:rPr>
        <w:t>the participant’s</w:t>
      </w:r>
      <w:r w:rsidR="009B1BD9" w:rsidRPr="001C74A9">
        <w:rPr>
          <w:rFonts w:ascii="Times New Roman" w:hAnsi="Times New Roman" w:cs="Times New Roman"/>
          <w:lang w:val="en-GB"/>
        </w:rPr>
        <w:t xml:space="preserve"> willingness to accept lifestyle recommendations (e.g.</w:t>
      </w:r>
      <w:r w:rsidR="00192C55">
        <w:rPr>
          <w:rFonts w:ascii="Times New Roman" w:hAnsi="Times New Roman" w:cs="Times New Roman"/>
          <w:lang w:val="en-GB"/>
        </w:rPr>
        <w:t>,</w:t>
      </w:r>
      <w:r w:rsidR="009B1BD9" w:rsidRPr="001C74A9">
        <w:rPr>
          <w:rFonts w:ascii="Times New Roman" w:hAnsi="Times New Roman" w:cs="Times New Roman"/>
          <w:lang w:val="en-GB"/>
        </w:rPr>
        <w:t xml:space="preserve"> physical activity level, nutrition, smoking and alcohol consumption</w:t>
      </w:r>
      <w:r w:rsidR="00762022">
        <w:rPr>
          <w:rFonts w:ascii="Times New Roman" w:hAnsi="Times New Roman" w:cs="Times New Roman"/>
          <w:lang w:val="en-GB"/>
        </w:rPr>
        <w:t>)</w:t>
      </w:r>
      <w:r w:rsidR="00793ADE">
        <w:rPr>
          <w:rFonts w:ascii="Times New Roman" w:hAnsi="Times New Roman" w:cs="Times New Roman"/>
          <w:lang w:val="en-GB"/>
        </w:rPr>
        <w:t>,</w:t>
      </w:r>
      <w:r w:rsidR="00762022">
        <w:rPr>
          <w:rFonts w:ascii="Times New Roman" w:hAnsi="Times New Roman" w:cs="Times New Roman"/>
          <w:lang w:val="en-GB"/>
        </w:rPr>
        <w:t xml:space="preserve"> and 5) t</w:t>
      </w:r>
      <w:r w:rsidR="00762022" w:rsidRPr="007D4E5D">
        <w:rPr>
          <w:rFonts w:ascii="Times New Roman" w:hAnsi="Times New Roman" w:cs="Times New Roman"/>
          <w:lang w:val="en-GB"/>
        </w:rPr>
        <w:t>he difficulty of the task was estimated on a seven-point scale (1=extremely easy to 7=extremely difficult</w:t>
      </w:r>
      <w:r w:rsidR="001701B0">
        <w:rPr>
          <w:rFonts w:ascii="Times New Roman" w:hAnsi="Times New Roman" w:cs="Times New Roman"/>
          <w:lang w:val="en-GB"/>
        </w:rPr>
        <w:t>)</w:t>
      </w:r>
      <w:r w:rsidR="00762022">
        <w:rPr>
          <w:rFonts w:ascii="Times New Roman" w:hAnsi="Times New Roman" w:cs="Times New Roman"/>
          <w:lang w:val="en-GB"/>
        </w:rPr>
        <w:t>.</w:t>
      </w:r>
      <w:r w:rsidR="00413882" w:rsidRPr="00413882">
        <w:rPr>
          <w:rFonts w:ascii="Times New Roman" w:hAnsi="Times New Roman" w:cs="Times New Roman"/>
          <w:lang w:val="en-GB"/>
        </w:rPr>
        <w:t xml:space="preserve"> </w:t>
      </w:r>
    </w:p>
    <w:p w14:paraId="447F5694" w14:textId="4DD08F10" w:rsidR="001C74A9" w:rsidRDefault="001C74A9" w:rsidP="001C74A9">
      <w:pPr>
        <w:spacing w:line="360" w:lineRule="auto"/>
        <w:jc w:val="both"/>
        <w:rPr>
          <w:rFonts w:ascii="Times New Roman" w:hAnsi="Times New Roman" w:cs="Times New Roman"/>
          <w:lang w:val="en-GB"/>
        </w:rPr>
      </w:pPr>
      <w:r w:rsidRPr="007D4E5D">
        <w:rPr>
          <w:rFonts w:ascii="Times New Roman" w:hAnsi="Times New Roman" w:cs="Times New Roman"/>
          <w:lang w:val="en-GB"/>
        </w:rPr>
        <w:t>The questionnaire was</w:t>
      </w:r>
      <w:r w:rsidR="00A7044E">
        <w:rPr>
          <w:rFonts w:ascii="Times New Roman" w:hAnsi="Times New Roman" w:cs="Times New Roman"/>
          <w:lang w:val="en-GB"/>
        </w:rPr>
        <w:t xml:space="preserve"> </w:t>
      </w:r>
      <w:r w:rsidR="00413882">
        <w:rPr>
          <w:rFonts w:ascii="Times New Roman" w:hAnsi="Times New Roman" w:cs="Times New Roman"/>
          <w:lang w:val="en-GB"/>
        </w:rPr>
        <w:t>initially</w:t>
      </w:r>
      <w:r w:rsidRPr="007D4E5D">
        <w:rPr>
          <w:rFonts w:ascii="Times New Roman" w:hAnsi="Times New Roman" w:cs="Times New Roman"/>
          <w:lang w:val="en-GB"/>
        </w:rPr>
        <w:t xml:space="preserve"> developed in English by a working group that included a patient, DCE experts and </w:t>
      </w:r>
      <w:r w:rsidR="006F7B9A">
        <w:rPr>
          <w:rFonts w:ascii="Times New Roman" w:hAnsi="Times New Roman" w:cs="Times New Roman"/>
          <w:lang w:val="en-GB"/>
        </w:rPr>
        <w:t>osteoporosis</w:t>
      </w:r>
      <w:r w:rsidR="006F7B9A" w:rsidRPr="007D4E5D">
        <w:rPr>
          <w:rFonts w:ascii="Times New Roman" w:hAnsi="Times New Roman" w:cs="Times New Roman"/>
          <w:lang w:val="en-GB"/>
        </w:rPr>
        <w:t xml:space="preserve"> </w:t>
      </w:r>
      <w:r w:rsidRPr="007D4E5D">
        <w:rPr>
          <w:rFonts w:ascii="Times New Roman" w:hAnsi="Times New Roman" w:cs="Times New Roman"/>
          <w:lang w:val="en-GB"/>
        </w:rPr>
        <w:t xml:space="preserve">experts. </w:t>
      </w:r>
      <w:r w:rsidR="00413882" w:rsidRPr="007D4E5D">
        <w:rPr>
          <w:rFonts w:ascii="Times New Roman" w:hAnsi="Times New Roman" w:cs="Times New Roman"/>
          <w:lang w:val="en-GB"/>
        </w:rPr>
        <w:t xml:space="preserve">The survey was </w:t>
      </w:r>
      <w:r w:rsidR="00413882">
        <w:rPr>
          <w:rFonts w:ascii="Times New Roman" w:hAnsi="Times New Roman" w:cs="Times New Roman"/>
          <w:lang w:val="en-GB"/>
        </w:rPr>
        <w:t xml:space="preserve">then </w:t>
      </w:r>
      <w:r w:rsidR="00413882" w:rsidRPr="007D4E5D">
        <w:rPr>
          <w:rFonts w:ascii="Times New Roman" w:hAnsi="Times New Roman" w:cs="Times New Roman"/>
          <w:lang w:val="en-GB"/>
        </w:rPr>
        <w:t>pilot</w:t>
      </w:r>
      <w:r w:rsidR="001701B0">
        <w:rPr>
          <w:rFonts w:ascii="Times New Roman" w:hAnsi="Times New Roman" w:cs="Times New Roman"/>
          <w:lang w:val="en-GB"/>
        </w:rPr>
        <w:t>-</w:t>
      </w:r>
      <w:r w:rsidR="00413882" w:rsidRPr="007D4E5D">
        <w:rPr>
          <w:rFonts w:ascii="Times New Roman" w:hAnsi="Times New Roman" w:cs="Times New Roman"/>
          <w:lang w:val="en-GB"/>
        </w:rPr>
        <w:t xml:space="preserve">tested </w:t>
      </w:r>
      <w:r w:rsidR="00413882">
        <w:rPr>
          <w:rFonts w:ascii="Times New Roman" w:hAnsi="Times New Roman" w:cs="Times New Roman"/>
          <w:lang w:val="en-GB"/>
        </w:rPr>
        <w:t>on a sample of 15 participants</w:t>
      </w:r>
      <w:r w:rsidR="00413882" w:rsidRPr="007D4E5D">
        <w:rPr>
          <w:rFonts w:ascii="Times New Roman" w:hAnsi="Times New Roman" w:cs="Times New Roman"/>
          <w:lang w:val="en-GB"/>
        </w:rPr>
        <w:t xml:space="preserve"> to check for any problems with interpretation and </w:t>
      </w:r>
      <w:r w:rsidR="00413882">
        <w:rPr>
          <w:rFonts w:ascii="Times New Roman" w:hAnsi="Times New Roman" w:cs="Times New Roman"/>
          <w:lang w:val="en-GB"/>
        </w:rPr>
        <w:t>understanding.</w:t>
      </w:r>
      <w:r w:rsidR="00413882" w:rsidRPr="007D4E5D">
        <w:rPr>
          <w:rFonts w:ascii="Times New Roman" w:hAnsi="Times New Roman" w:cs="Times New Roman"/>
          <w:lang w:val="en-GB"/>
        </w:rPr>
        <w:t xml:space="preserve"> </w:t>
      </w:r>
      <w:r w:rsidRPr="007D4E5D">
        <w:rPr>
          <w:rFonts w:ascii="Times New Roman" w:hAnsi="Times New Roman" w:cs="Times New Roman"/>
          <w:lang w:val="en-GB"/>
        </w:rPr>
        <w:t xml:space="preserve">The questionnaire was </w:t>
      </w:r>
      <w:r w:rsidR="002F2EDD">
        <w:rPr>
          <w:rFonts w:ascii="Times New Roman" w:hAnsi="Times New Roman" w:cs="Times New Roman"/>
          <w:lang w:val="en-GB"/>
        </w:rPr>
        <w:t>then</w:t>
      </w:r>
      <w:r w:rsidR="00A7044E">
        <w:rPr>
          <w:rFonts w:ascii="Times New Roman" w:hAnsi="Times New Roman" w:cs="Times New Roman"/>
          <w:lang w:val="en-GB"/>
        </w:rPr>
        <w:t xml:space="preserve"> </w:t>
      </w:r>
      <w:r w:rsidRPr="007D4E5D">
        <w:rPr>
          <w:rFonts w:ascii="Times New Roman" w:hAnsi="Times New Roman" w:cs="Times New Roman"/>
          <w:lang w:val="en-GB"/>
        </w:rPr>
        <w:t xml:space="preserve">translated into three languages (French, Spanish and Dutch) by a medical translation company specialising in </w:t>
      </w:r>
      <w:r w:rsidR="001701B0">
        <w:rPr>
          <w:rFonts w:ascii="Times New Roman" w:hAnsi="Times New Roman" w:cs="Times New Roman"/>
          <w:lang w:val="en-GB"/>
        </w:rPr>
        <w:t xml:space="preserve">the translation of </w:t>
      </w:r>
      <w:r w:rsidRPr="007D4E5D">
        <w:rPr>
          <w:rFonts w:ascii="Times New Roman" w:hAnsi="Times New Roman" w:cs="Times New Roman"/>
          <w:lang w:val="en-GB"/>
        </w:rPr>
        <w:t>patient</w:t>
      </w:r>
      <w:r w:rsidR="001701B0">
        <w:rPr>
          <w:rFonts w:ascii="Times New Roman" w:hAnsi="Times New Roman" w:cs="Times New Roman"/>
          <w:lang w:val="en-GB"/>
        </w:rPr>
        <w:t>-</w:t>
      </w:r>
      <w:r w:rsidRPr="007D4E5D">
        <w:rPr>
          <w:rFonts w:ascii="Times New Roman" w:hAnsi="Times New Roman" w:cs="Times New Roman"/>
          <w:lang w:val="en-GB"/>
        </w:rPr>
        <w:t>reported outcome measures (Pharma Quest Ltd, Oxford, UK)</w:t>
      </w:r>
      <w:r w:rsidR="001701B0">
        <w:rPr>
          <w:rFonts w:ascii="Times New Roman" w:hAnsi="Times New Roman" w:cs="Times New Roman"/>
          <w:lang w:val="en-GB"/>
        </w:rPr>
        <w:t xml:space="preserve">. Each translation was </w:t>
      </w:r>
      <w:r w:rsidR="003A3A52">
        <w:rPr>
          <w:rFonts w:ascii="Times New Roman" w:hAnsi="Times New Roman" w:cs="Times New Roman"/>
          <w:lang w:val="en-GB"/>
        </w:rPr>
        <w:t xml:space="preserve">verified by </w:t>
      </w:r>
      <w:r w:rsidR="001701B0">
        <w:rPr>
          <w:rFonts w:ascii="Times New Roman" w:hAnsi="Times New Roman" w:cs="Times New Roman"/>
          <w:lang w:val="en-GB"/>
        </w:rPr>
        <w:t>our</w:t>
      </w:r>
      <w:r w:rsidR="003A3A52">
        <w:rPr>
          <w:rFonts w:ascii="Times New Roman" w:hAnsi="Times New Roman" w:cs="Times New Roman"/>
          <w:lang w:val="en-GB"/>
        </w:rPr>
        <w:t xml:space="preserve"> principal investigator</w:t>
      </w:r>
      <w:r w:rsidR="001701B0">
        <w:rPr>
          <w:rFonts w:ascii="Times New Roman" w:hAnsi="Times New Roman" w:cs="Times New Roman"/>
          <w:lang w:val="en-GB"/>
        </w:rPr>
        <w:t xml:space="preserve"> for the country.</w:t>
      </w:r>
      <w:r w:rsidR="001701B0" w:rsidRPr="007D4E5D">
        <w:rPr>
          <w:rFonts w:ascii="Times New Roman" w:hAnsi="Times New Roman" w:cs="Times New Roman"/>
          <w:lang w:val="en-GB"/>
        </w:rPr>
        <w:t xml:space="preserve"> </w:t>
      </w:r>
      <w:r w:rsidRPr="007D4E5D">
        <w:rPr>
          <w:rFonts w:ascii="Times New Roman" w:hAnsi="Times New Roman" w:cs="Times New Roman"/>
          <w:lang w:val="en-GB"/>
        </w:rPr>
        <w:t>The four languages covered the languages spoken across the countries in our sample.</w:t>
      </w:r>
    </w:p>
    <w:p w14:paraId="25A1DD11" w14:textId="4FCD2341" w:rsidR="00FF453A" w:rsidRPr="00B963D7" w:rsidRDefault="00FF453A" w:rsidP="00CF60A0">
      <w:pPr>
        <w:spacing w:line="360" w:lineRule="auto"/>
        <w:jc w:val="both"/>
        <w:rPr>
          <w:rFonts w:ascii="Times New Roman" w:hAnsi="Times New Roman" w:cs="Times New Roman"/>
          <w:b/>
          <w:bCs/>
          <w:lang w:val="en-GB"/>
        </w:rPr>
      </w:pPr>
      <w:r w:rsidRPr="00B963D7">
        <w:rPr>
          <w:rFonts w:ascii="Times New Roman" w:hAnsi="Times New Roman" w:cs="Times New Roman"/>
          <w:b/>
          <w:bCs/>
          <w:lang w:val="en-GB"/>
        </w:rPr>
        <w:t>Study population</w:t>
      </w:r>
      <w:r w:rsidR="0024313D">
        <w:rPr>
          <w:rFonts w:ascii="Times New Roman" w:hAnsi="Times New Roman" w:cs="Times New Roman"/>
          <w:b/>
          <w:bCs/>
          <w:lang w:val="en-GB"/>
        </w:rPr>
        <w:t xml:space="preserve"> and</w:t>
      </w:r>
      <w:r w:rsidRPr="00B963D7">
        <w:rPr>
          <w:rFonts w:ascii="Times New Roman" w:hAnsi="Times New Roman" w:cs="Times New Roman"/>
          <w:b/>
          <w:bCs/>
          <w:lang w:val="en-GB"/>
        </w:rPr>
        <w:t xml:space="preserve"> data collection and </w:t>
      </w:r>
      <w:r w:rsidR="0024313D">
        <w:rPr>
          <w:rFonts w:ascii="Times New Roman" w:hAnsi="Times New Roman" w:cs="Times New Roman"/>
          <w:b/>
          <w:bCs/>
          <w:lang w:val="en-GB"/>
        </w:rPr>
        <w:t>ethical approval</w:t>
      </w:r>
    </w:p>
    <w:p w14:paraId="34B4C4C0" w14:textId="4F00AAE2" w:rsidR="0023756B" w:rsidRDefault="00063890" w:rsidP="00CF60A0">
      <w:pPr>
        <w:spacing w:line="360" w:lineRule="auto"/>
        <w:jc w:val="both"/>
        <w:rPr>
          <w:rFonts w:ascii="Times New Roman" w:hAnsi="Times New Roman" w:cs="Times New Roman"/>
          <w:lang w:val="en-GB"/>
        </w:rPr>
      </w:pPr>
      <w:r w:rsidRPr="007D4E5D">
        <w:rPr>
          <w:rFonts w:ascii="Times New Roman" w:hAnsi="Times New Roman" w:cs="Times New Roman"/>
          <w:lang w:val="en-GB"/>
        </w:rPr>
        <w:t xml:space="preserve">The study was conducted in seven European countries </w:t>
      </w:r>
      <w:r w:rsidR="0024313D">
        <w:rPr>
          <w:rFonts w:ascii="Times New Roman" w:hAnsi="Times New Roman" w:cs="Times New Roman"/>
          <w:lang w:val="en-GB"/>
        </w:rPr>
        <w:t>(</w:t>
      </w:r>
      <w:r w:rsidRPr="007D4E5D">
        <w:rPr>
          <w:rFonts w:ascii="Times New Roman" w:hAnsi="Times New Roman" w:cs="Times New Roman"/>
          <w:lang w:val="en-GB"/>
        </w:rPr>
        <w:t>Belgium, France, Ireland, the Netherlands, Spain, Switzerland and United Kingdom</w:t>
      </w:r>
      <w:r w:rsidR="0024313D">
        <w:rPr>
          <w:rFonts w:ascii="Times New Roman" w:hAnsi="Times New Roman" w:cs="Times New Roman"/>
          <w:lang w:val="en-GB"/>
        </w:rPr>
        <w:t>)</w:t>
      </w:r>
      <w:r w:rsidR="007D2118">
        <w:rPr>
          <w:rFonts w:ascii="Times New Roman" w:hAnsi="Times New Roman" w:cs="Times New Roman"/>
          <w:lang w:val="en-GB"/>
        </w:rPr>
        <w:t xml:space="preserve"> between March and October 2012</w:t>
      </w:r>
      <w:r w:rsidR="0024313D">
        <w:rPr>
          <w:rFonts w:ascii="Times New Roman" w:hAnsi="Times New Roman" w:cs="Times New Roman"/>
          <w:lang w:val="en-GB"/>
        </w:rPr>
        <w:t>.</w:t>
      </w:r>
      <w:r w:rsidRPr="007D4E5D">
        <w:rPr>
          <w:rFonts w:ascii="Times New Roman" w:hAnsi="Times New Roman" w:cs="Times New Roman"/>
          <w:lang w:val="en-GB"/>
        </w:rPr>
        <w:t xml:space="preserve"> Patients with or at risk </w:t>
      </w:r>
      <w:r w:rsidR="001701B0">
        <w:rPr>
          <w:rFonts w:ascii="Times New Roman" w:hAnsi="Times New Roman" w:cs="Times New Roman"/>
          <w:lang w:val="en-GB"/>
        </w:rPr>
        <w:t xml:space="preserve">of </w:t>
      </w:r>
      <w:r w:rsidRPr="007D4E5D">
        <w:rPr>
          <w:rFonts w:ascii="Times New Roman" w:hAnsi="Times New Roman" w:cs="Times New Roman"/>
          <w:lang w:val="en-GB"/>
        </w:rPr>
        <w:t xml:space="preserve">osteoporosis to whom medication (or lifestyle </w:t>
      </w:r>
      <w:r w:rsidR="00C63E0D">
        <w:rPr>
          <w:rFonts w:ascii="Times New Roman" w:hAnsi="Times New Roman" w:cs="Times New Roman"/>
          <w:lang w:val="en-GB"/>
        </w:rPr>
        <w:t>behaviours</w:t>
      </w:r>
      <w:r w:rsidRPr="007D4E5D">
        <w:rPr>
          <w:rFonts w:ascii="Times New Roman" w:hAnsi="Times New Roman" w:cs="Times New Roman"/>
          <w:lang w:val="en-GB"/>
        </w:rPr>
        <w:t xml:space="preserve">) was at least proposed were consecutively recruited during outpatients’ clinics. The questionnaire was completed by the patient at the clinic, or at home and returned in a postage-paid envelope. </w:t>
      </w:r>
    </w:p>
    <w:p w14:paraId="5AB03A8C" w14:textId="67A87033" w:rsidR="00063890" w:rsidRDefault="00063890" w:rsidP="00CF60A0">
      <w:pPr>
        <w:spacing w:line="360" w:lineRule="auto"/>
        <w:jc w:val="both"/>
        <w:rPr>
          <w:rFonts w:ascii="Times New Roman" w:hAnsi="Times New Roman" w:cs="Times New Roman"/>
          <w:lang w:val="en-GB"/>
        </w:rPr>
      </w:pPr>
      <w:r w:rsidRPr="007D4E5D">
        <w:rPr>
          <w:rFonts w:ascii="Times New Roman" w:hAnsi="Times New Roman" w:cs="Times New Roman"/>
          <w:lang w:val="en-GB"/>
        </w:rPr>
        <w:t xml:space="preserve">Approval for this study was obtained from the Medical Ethics Committee of the Academic Hospital Maastricht and Maastricht University. A team from this university coordinated the project. Participants gave informed written consent according to the 1964 Helsinki declaration. Additional local ethics approval was obtained from those participating </w:t>
      </w:r>
      <w:r w:rsidR="00192C55" w:rsidRPr="007D4E5D">
        <w:rPr>
          <w:rFonts w:ascii="Times New Roman" w:hAnsi="Times New Roman" w:cs="Times New Roman"/>
          <w:lang w:val="en-GB"/>
        </w:rPr>
        <w:t>centres</w:t>
      </w:r>
      <w:r w:rsidRPr="007D4E5D">
        <w:rPr>
          <w:rFonts w:ascii="Times New Roman" w:hAnsi="Times New Roman" w:cs="Times New Roman"/>
          <w:lang w:val="en-GB"/>
        </w:rPr>
        <w:t xml:space="preserve"> that required ethics approval for a DCE study, i.e.</w:t>
      </w:r>
      <w:r w:rsidR="00192C55">
        <w:rPr>
          <w:rFonts w:ascii="Times New Roman" w:hAnsi="Times New Roman" w:cs="Times New Roman"/>
          <w:lang w:val="en-GB"/>
        </w:rPr>
        <w:t>,</w:t>
      </w:r>
      <w:r w:rsidRPr="007D4E5D">
        <w:rPr>
          <w:rFonts w:ascii="Times New Roman" w:hAnsi="Times New Roman" w:cs="Times New Roman"/>
          <w:lang w:val="en-GB"/>
        </w:rPr>
        <w:t xml:space="preserve"> the Research Ethics Committee of Sligo University Hospital, the Southampton Joint Ethics Committee, the CEIC-Parc de Salut Mar (Committee of Ethics and Clinical Investigation) and the 'Commission cantonale d'éthique de la recherche' (CCER) of Geneva.</w:t>
      </w:r>
    </w:p>
    <w:p w14:paraId="5B339A6B" w14:textId="05250B77" w:rsidR="0024313D" w:rsidRPr="0024313D" w:rsidRDefault="0024313D" w:rsidP="00CF60A0">
      <w:pPr>
        <w:spacing w:line="360" w:lineRule="auto"/>
        <w:jc w:val="both"/>
        <w:rPr>
          <w:rFonts w:ascii="Times New Roman" w:hAnsi="Times New Roman" w:cs="Times New Roman"/>
          <w:b/>
          <w:bCs/>
          <w:lang w:val="en-GB"/>
        </w:rPr>
      </w:pPr>
      <w:r w:rsidRPr="0024313D">
        <w:rPr>
          <w:rFonts w:ascii="Times New Roman" w:hAnsi="Times New Roman" w:cs="Times New Roman"/>
          <w:b/>
          <w:bCs/>
          <w:lang w:val="en-GB"/>
        </w:rPr>
        <w:t>Sample size</w:t>
      </w:r>
    </w:p>
    <w:p w14:paraId="3E2C8422" w14:textId="4B30724F" w:rsidR="0024313D" w:rsidRPr="00B512B8" w:rsidRDefault="008F2297" w:rsidP="00CF60A0">
      <w:pPr>
        <w:spacing w:line="360" w:lineRule="auto"/>
        <w:jc w:val="both"/>
        <w:rPr>
          <w:rFonts w:ascii="Times New Roman" w:hAnsi="Times New Roman" w:cs="Times New Roman"/>
          <w:lang w:val="en-GB"/>
        </w:rPr>
      </w:pPr>
      <w:r w:rsidRPr="00D841E8">
        <w:rPr>
          <w:rFonts w:ascii="Times New Roman" w:hAnsi="Times New Roman" w:cs="Times New Roman"/>
          <w:lang w:val="en-GB"/>
        </w:rPr>
        <w:t>Optimal sample size requirements for DCEs depend</w:t>
      </w:r>
      <w:r w:rsidR="00F044DB">
        <w:rPr>
          <w:rFonts w:ascii="Times New Roman" w:hAnsi="Times New Roman" w:cs="Times New Roman"/>
          <w:lang w:val="en-GB"/>
        </w:rPr>
        <w:t xml:space="preserve">s </w:t>
      </w:r>
      <w:r w:rsidRPr="00D841E8">
        <w:rPr>
          <w:rFonts w:ascii="Times New Roman" w:hAnsi="Times New Roman" w:cs="Times New Roman"/>
          <w:lang w:val="en-GB"/>
        </w:rPr>
        <w:t xml:space="preserve">on </w:t>
      </w:r>
      <w:r w:rsidR="00D841E8" w:rsidRPr="00D841E8">
        <w:rPr>
          <w:rFonts w:ascii="Times New Roman" w:hAnsi="Times New Roman" w:cs="Times New Roman"/>
          <w:lang w:val="en-GB"/>
        </w:rPr>
        <w:t>the true value of the parameters estimated in the DCE,</w:t>
      </w:r>
      <w:r w:rsidRPr="00D841E8">
        <w:rPr>
          <w:rFonts w:ascii="Times New Roman" w:hAnsi="Times New Roman" w:cs="Times New Roman"/>
          <w:lang w:val="en-GB"/>
        </w:rPr>
        <w:t xml:space="preserve"> which are not known prior to undertaking the research</w:t>
      </w:r>
      <w:r w:rsidR="001F68D0">
        <w:rPr>
          <w:rFonts w:ascii="Times New Roman" w:hAnsi="Times New Roman" w:cs="Times New Roman"/>
          <w:lang w:val="en-GB"/>
        </w:rPr>
        <w:t xml:space="preserve"> </w:t>
      </w:r>
      <w:r w:rsidR="00B512B8">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{"citationItems":[{"id":"ITEM-1","itemData":{"DOI":"10.2165/00019053-200826080-00004","ISSN":"1170-7690","PMID":"18620460","abstract":"Discrete choice experiments (DCEs) are regularly used in health economics to elicit preferences for healthcare products and programmes. There is growing recognition that DCEs can provide more than information on preferences and, in particular, they have the potential to contribute more directly to outcome measurement for use in economic evaluation. Almost uniquely, DCEs could potentially contribute to outcome measurement for use in both cost-benefit and cost-utility analysis. Within this expanding remit, our intention is to provide a resource for current practitioners as well as those considering undertaking a DCE, using DCE results in a policy/commercial context, or reviewing a DCE. We present the fundamental principles and theory underlying DCEs. To aid in undertaking and assessing the quality of DCEs, we discuss the process of carrying out a choice study and have developed a checklist covering conceptualizing the choice process, selecting attributes and levels, experimental design, questionnaire design, pilot testing, sampling and sample size, data collection, coding of data, econometric analysis, validity, interpretation and welfare and policy analysis. In this fast-moving area, a number of issues remain on the research frontier. We therefore outline potentially fruitful areas for future research associated both with DCEs in general, and with health applications specifically, paying attention to how the results of DCEs can be used in economic evaluation. We also discuss emerging research trends. We conclude that if appropriately designed, implemented, analysed and interpreted, DCEs offer several advantages in the health sector, the most important of which is that they provide rich data sources for economic evaluation and decision making, allowing investigation of many types of questions, some of which otherwise would be intractable analytically. Thus, they offer viable alternatives and complements to existing methods of valuation and preference elicitation.","author":[{"dropping-particle":"","family":"Lancsar","given":"Emily","non-dropping-particle":"","parse-names":false,"suffix":""},{"dropping-particle":"","family":"Louviere","given":"Jordan","non-dropping-particle":"","parse-names":false,"suffix":""}],"container-title":"PharmacoEconomics","id":"ITEM-1","issue":"8","issued":{"date-parts":[["2008"]]},"page":"661-677","title":"Conducting Discrete Choice Experiments to Inform Healthcare Decision Making","type":"article-journal","volume":"26"},"uris":["http://www.mendeley.com/documents/?uuid=e53afe73-b49d-3feb-8d81-962dccb7683c"]}],"mendeley":{"formattedCitation":"[25]","plainTextFormattedCitation":"[25]","previouslyFormattedCitation":"[25]"},"properties":{"noteIndex":0},"schema":"https://github.com/citation-style-language/schema/raw/master/csl-citation.json"}</w:instrText>
      </w:r>
      <w:r w:rsidR="00B512B8">
        <w:rPr>
          <w:rFonts w:ascii="Times New Roman" w:hAnsi="Times New Roman" w:cs="Times New Roman"/>
          <w:lang w:val="en-GB"/>
        </w:rPr>
        <w:fldChar w:fldCharType="separate"/>
      </w:r>
      <w:r w:rsidR="003066E4" w:rsidRPr="003066E4">
        <w:rPr>
          <w:rFonts w:ascii="Times New Roman" w:hAnsi="Times New Roman" w:cs="Times New Roman"/>
          <w:noProof/>
          <w:lang w:val="en-GB"/>
        </w:rPr>
        <w:t>[25]</w:t>
      </w:r>
      <w:r w:rsidR="00B512B8">
        <w:rPr>
          <w:rFonts w:ascii="Times New Roman" w:hAnsi="Times New Roman" w:cs="Times New Roman"/>
          <w:lang w:val="en-GB"/>
        </w:rPr>
        <w:fldChar w:fldCharType="end"/>
      </w:r>
      <w:r w:rsidRPr="00D841E8">
        <w:rPr>
          <w:rFonts w:ascii="Times New Roman" w:hAnsi="Times New Roman" w:cs="Times New Roman"/>
          <w:lang w:val="en-GB"/>
        </w:rPr>
        <w:t xml:space="preserve">. For this reason, DCE sample size estimates are generally based on previous research, rule-of-thumb and budget constraints. Given the number of attributes included in the DCE, </w:t>
      </w:r>
      <w:r w:rsidR="00D841E8" w:rsidRPr="007D4E5D">
        <w:rPr>
          <w:rFonts w:ascii="Times New Roman" w:hAnsi="Times New Roman" w:cs="Times New Roman"/>
          <w:lang w:val="en-GB"/>
        </w:rPr>
        <w:t>a minimum of 100 patients per country was targeted, which was sufficient based on common rule-of-thumb for minimum sample size</w:t>
      </w:r>
      <w:r w:rsidR="001F68D0">
        <w:rPr>
          <w:rFonts w:ascii="Times New Roman" w:hAnsi="Times New Roman" w:cs="Times New Roman"/>
          <w:lang w:val="en-GB"/>
        </w:rPr>
        <w:t xml:space="preserve"> </w:t>
      </w:r>
      <w:r w:rsidR="00B512B8">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{"citationItems":[{"id":"ITEM-1","itemData":{"DOI":"10.1007/s40271-015-0118-z","ISSN":"1178-1653","PMID":"25726010","abstract":"Discrete-choice experiments (DCEs) have become a commonly used instrument in health economics and patient-preference analysis, addressing a wide range of policy questions. An important question when setting up a DCE is the size of the sample needed to answer the research question of interest. Although theory exists as to the calculation of sample size requirements for stated choice data, it does not address the issue of minimum sample size requirements in terms of the statistical power of hypothesis tests on the estimated coefficients. The purpose of this paper is threefold: (1) to provide insight into whether and how researchers have dealt with sample size calculations for healthcare-related DCE studies; (2) to introduce and explain the required sample size for parameter estimates in DCEs; and (3) to provide a step-by-step guide for the calculation of the minimum sample size requirements for DCEs in health care.","author":[{"dropping-particle":"","family":"Bekker-Grob","given":"Esther W.","non-dropping-particle":"de","parse-names":false,"suffix":""},{"dropping-particle":"","family":"Donkers","given":"Bas","non-dropping-particle":"","parse-names":false,"suffix":""},{"dropping-particle":"","family":"Jonker","given":"Marcel F.","non-dropping-particle":"","parse-names":false,"suffix":""},{"dropping-particle":"","family":"Stolk","given":"Elly A.","non-dropping-particle":"","parse-names":false,"suffix":""}],"container-title":"The Patient - Patient-Centered Outcomes Research","id":"ITEM-1","issue":"5","issued":{"date-parts":[["2015","10","1"]]},"page":"373-384","publisher":"Springer","title":"Sample Size Requirements for Discrete-Choice Experiments in Healthcare: a Practical Guide","type":"article-journal","volume":"8"},"uris":["http://www.mendeley.com/documents/?uuid=8c0a245f-435e-400f-91b2-a602a31c3ae4"]}],"mendeley":{"formattedCitation":"[26]","plainTextFormattedCitation":"[26]","previouslyFormattedCitation":"[26]"},"properties":{"noteIndex":0},"schema":"https://github.com/citation-style-language/schema/raw/master/csl-citation.json"}</w:instrText>
      </w:r>
      <w:r w:rsidR="00B512B8">
        <w:rPr>
          <w:rFonts w:ascii="Times New Roman" w:hAnsi="Times New Roman" w:cs="Times New Roman"/>
          <w:lang w:val="en-GB"/>
        </w:rPr>
        <w:fldChar w:fldCharType="separate"/>
      </w:r>
      <w:r w:rsidR="003066E4" w:rsidRPr="003066E4">
        <w:rPr>
          <w:rFonts w:ascii="Times New Roman" w:hAnsi="Times New Roman" w:cs="Times New Roman"/>
          <w:noProof/>
          <w:lang w:val="en-GB"/>
        </w:rPr>
        <w:t>[26]</w:t>
      </w:r>
      <w:r w:rsidR="00B512B8">
        <w:rPr>
          <w:rFonts w:ascii="Times New Roman" w:hAnsi="Times New Roman" w:cs="Times New Roman"/>
          <w:lang w:val="en-GB"/>
        </w:rPr>
        <w:fldChar w:fldCharType="end"/>
      </w:r>
      <w:r w:rsidR="00B512B8">
        <w:rPr>
          <w:rFonts w:ascii="Times New Roman" w:hAnsi="Times New Roman" w:cs="Times New Roman"/>
          <w:lang w:val="en-GB"/>
        </w:rPr>
        <w:t>.</w:t>
      </w:r>
    </w:p>
    <w:p w14:paraId="1DCCF33E" w14:textId="05B8E668" w:rsidR="00FF453A" w:rsidRDefault="00FF453A" w:rsidP="00CF60A0">
      <w:pPr>
        <w:spacing w:line="360" w:lineRule="auto"/>
        <w:jc w:val="both"/>
        <w:rPr>
          <w:rFonts w:ascii="Times New Roman" w:hAnsi="Times New Roman" w:cs="Times New Roman"/>
          <w:b/>
          <w:bCs/>
          <w:lang w:val="en-GB"/>
        </w:rPr>
      </w:pPr>
      <w:r w:rsidRPr="007D4E5D">
        <w:rPr>
          <w:rFonts w:ascii="Times New Roman" w:hAnsi="Times New Roman" w:cs="Times New Roman"/>
          <w:b/>
          <w:bCs/>
          <w:lang w:val="en-GB"/>
        </w:rPr>
        <w:t>Statistical analyses</w:t>
      </w:r>
    </w:p>
    <w:p w14:paraId="5AFCA8BF" w14:textId="57571CB7" w:rsidR="0023756B" w:rsidRPr="00BE6BC9" w:rsidRDefault="0023756B" w:rsidP="00BE6BC9">
      <w:pPr>
        <w:spacing w:line="360" w:lineRule="auto"/>
        <w:jc w:val="both"/>
        <w:rPr>
          <w:rFonts w:ascii="Times New Roman" w:hAnsi="Times New Roman" w:cs="Times New Roman"/>
          <w:lang w:val="en-GB"/>
        </w:rPr>
      </w:pPr>
      <w:r w:rsidRPr="00BE6BC9">
        <w:rPr>
          <w:rFonts w:ascii="Times New Roman" w:hAnsi="Times New Roman" w:cs="Times New Roman"/>
          <w:lang w:val="en-GB"/>
        </w:rPr>
        <w:t xml:space="preserve">Questionnaires were included in the analysis if a respondent completed all choice tasks. Respondent characteristics were analysed using descriptive statistics. </w:t>
      </w:r>
      <w:r w:rsidR="00BE6BC9" w:rsidRPr="00BE6BC9">
        <w:rPr>
          <w:rFonts w:ascii="Times New Roman" w:hAnsi="Times New Roman" w:cs="Times New Roman"/>
          <w:lang w:val="en-GB"/>
        </w:rPr>
        <w:t xml:space="preserve">The normality of the distribution of the quantitative parameters was investigated using the mean-median comparison, the histogram and Quantile-Quantile plot and tested with the Shapiro-Wilk hypothesis test. </w:t>
      </w:r>
      <w:r w:rsidRPr="00BE6BC9">
        <w:rPr>
          <w:rFonts w:ascii="Times New Roman" w:hAnsi="Times New Roman" w:cs="Times New Roman"/>
          <w:lang w:val="en-GB"/>
        </w:rPr>
        <w:t xml:space="preserve">Results were expressed as numbers and frequencies for qualitative </w:t>
      </w:r>
      <w:r w:rsidR="00BE6BC9">
        <w:rPr>
          <w:rFonts w:ascii="Times New Roman" w:hAnsi="Times New Roman" w:cs="Times New Roman"/>
          <w:lang w:val="en-GB"/>
        </w:rPr>
        <w:t>variables</w:t>
      </w:r>
      <w:r w:rsidRPr="00BE6BC9">
        <w:rPr>
          <w:rFonts w:ascii="Times New Roman" w:hAnsi="Times New Roman" w:cs="Times New Roman"/>
          <w:lang w:val="en-GB"/>
        </w:rPr>
        <w:t xml:space="preserve"> and as mean and standard deviation (SD)</w:t>
      </w:r>
      <w:r w:rsidR="00BE6BC9">
        <w:rPr>
          <w:rFonts w:ascii="Times New Roman" w:hAnsi="Times New Roman" w:cs="Times New Roman"/>
          <w:lang w:val="en-GB"/>
        </w:rPr>
        <w:t xml:space="preserve"> or</w:t>
      </w:r>
      <w:r w:rsidRPr="00BE6BC9">
        <w:rPr>
          <w:rFonts w:ascii="Times New Roman" w:hAnsi="Times New Roman" w:cs="Times New Roman"/>
          <w:lang w:val="en-GB"/>
        </w:rPr>
        <w:t xml:space="preserve"> median and interquartile range (IQR, P25-P75) for quantitative </w:t>
      </w:r>
      <w:r w:rsidR="00BE6BC9">
        <w:rPr>
          <w:rFonts w:ascii="Times New Roman" w:hAnsi="Times New Roman" w:cs="Times New Roman"/>
          <w:lang w:val="en-GB"/>
        </w:rPr>
        <w:t xml:space="preserve">variables. </w:t>
      </w:r>
      <w:r w:rsidRPr="00BE6BC9">
        <w:rPr>
          <w:rFonts w:ascii="Times New Roman" w:hAnsi="Times New Roman" w:cs="Times New Roman"/>
          <w:lang w:val="en-GB"/>
        </w:rPr>
        <w:t xml:space="preserve"> </w:t>
      </w:r>
    </w:p>
    <w:p w14:paraId="5B0DE22C" w14:textId="7A7F1B45" w:rsidR="00B512B8" w:rsidRDefault="00BE6BC9" w:rsidP="00B001C6">
      <w:pPr>
        <w:spacing w:line="360" w:lineRule="auto"/>
        <w:jc w:val="both"/>
        <w:rPr>
          <w:rFonts w:ascii="Times New Roman" w:hAnsi="Times New Roman" w:cs="Times New Roman"/>
          <w:lang w:val="en-GB"/>
        </w:rPr>
      </w:pPr>
      <w:r>
        <w:rPr>
          <w:rFonts w:ascii="Times New Roman" w:hAnsi="Times New Roman" w:cs="Times New Roman"/>
          <w:lang w:val="en-GB"/>
        </w:rPr>
        <w:t>D</w:t>
      </w:r>
      <w:r w:rsidR="0023756B" w:rsidRPr="00BE6BC9">
        <w:rPr>
          <w:rFonts w:ascii="Times New Roman" w:hAnsi="Times New Roman" w:cs="Times New Roman"/>
          <w:lang w:val="en-GB"/>
        </w:rPr>
        <w:t xml:space="preserve">ata derived from the choice tasks were analysed using Nlogit software (version </w:t>
      </w:r>
      <w:r>
        <w:rPr>
          <w:rFonts w:ascii="Times New Roman" w:hAnsi="Times New Roman" w:cs="Times New Roman"/>
          <w:lang w:val="en-GB"/>
        </w:rPr>
        <w:t>5</w:t>
      </w:r>
      <w:r w:rsidR="0023756B" w:rsidRPr="00BE6BC9">
        <w:rPr>
          <w:rFonts w:ascii="Times New Roman" w:hAnsi="Times New Roman" w:cs="Times New Roman"/>
          <w:lang w:val="en-GB"/>
        </w:rPr>
        <w:t>) to assess preferences for attributes and levels</w:t>
      </w:r>
      <w:r w:rsidR="006F7B9A">
        <w:rPr>
          <w:rFonts w:ascii="Times New Roman" w:hAnsi="Times New Roman" w:cs="Times New Roman"/>
          <w:lang w:val="en-GB"/>
        </w:rPr>
        <w:t xml:space="preserve">. </w:t>
      </w:r>
      <w:r w:rsidR="008F2297" w:rsidRPr="00B001C6">
        <w:rPr>
          <w:rFonts w:ascii="Times New Roman" w:hAnsi="Times New Roman" w:cs="Times New Roman"/>
          <w:lang w:val="en-GB"/>
        </w:rPr>
        <w:t>A conditional logit regression model (i.e.</w:t>
      </w:r>
      <w:r w:rsidR="00192C55">
        <w:rPr>
          <w:rFonts w:ascii="Times New Roman" w:hAnsi="Times New Roman" w:cs="Times New Roman"/>
          <w:lang w:val="en-GB"/>
        </w:rPr>
        <w:t>,</w:t>
      </w:r>
      <w:r w:rsidR="008F2297" w:rsidRPr="00B001C6">
        <w:rPr>
          <w:rFonts w:ascii="Times New Roman" w:hAnsi="Times New Roman" w:cs="Times New Roman"/>
          <w:lang w:val="en-GB"/>
        </w:rPr>
        <w:t xml:space="preserve"> multinomial model) was used to </w:t>
      </w:r>
      <w:r w:rsidR="00B001C6" w:rsidRPr="00BE6BC9">
        <w:rPr>
          <w:rFonts w:ascii="Times New Roman" w:hAnsi="Times New Roman" w:cs="Times New Roman"/>
          <w:lang w:val="en-GB"/>
        </w:rPr>
        <w:t>estimate patient preferences</w:t>
      </w:r>
      <w:r w:rsidR="007309F7">
        <w:rPr>
          <w:rFonts w:ascii="Times New Roman" w:hAnsi="Times New Roman" w:cs="Times New Roman"/>
          <w:lang w:val="en-GB"/>
        </w:rPr>
        <w:t>.</w:t>
      </w:r>
      <w:r w:rsidR="00B001C6">
        <w:rPr>
          <w:rFonts w:ascii="Times New Roman" w:hAnsi="Times New Roman" w:cs="Times New Roman"/>
          <w:lang w:val="en-GB"/>
        </w:rPr>
        <w:t xml:space="preserve"> </w:t>
      </w:r>
      <w:r w:rsidR="003A3A52">
        <w:rPr>
          <w:rFonts w:ascii="Times New Roman" w:hAnsi="Times New Roman" w:cs="Times New Roman"/>
          <w:lang w:val="en-GB"/>
        </w:rPr>
        <w:t xml:space="preserve">We considered an attribute significant if a difference between </w:t>
      </w:r>
      <w:r w:rsidR="00017BB2">
        <w:rPr>
          <w:rFonts w:ascii="Times New Roman" w:hAnsi="Times New Roman" w:cs="Times New Roman"/>
          <w:lang w:val="en-GB"/>
        </w:rPr>
        <w:t xml:space="preserve">at least </w:t>
      </w:r>
      <w:r w:rsidR="003A3A52">
        <w:rPr>
          <w:rFonts w:ascii="Times New Roman" w:hAnsi="Times New Roman" w:cs="Times New Roman"/>
          <w:lang w:val="en-GB"/>
        </w:rPr>
        <w:t xml:space="preserve">two levels was significant. </w:t>
      </w:r>
      <w:r w:rsidR="008F2297" w:rsidRPr="00B001C6">
        <w:rPr>
          <w:rFonts w:ascii="Times New Roman" w:hAnsi="Times New Roman" w:cs="Times New Roman"/>
          <w:lang w:val="en-GB"/>
        </w:rPr>
        <w:t xml:space="preserve">The model was run on the full study sample and </w:t>
      </w:r>
      <w:r w:rsidR="00B001C6" w:rsidRPr="00B001C6">
        <w:rPr>
          <w:rFonts w:ascii="Times New Roman" w:hAnsi="Times New Roman" w:cs="Times New Roman"/>
          <w:lang w:val="en-GB"/>
        </w:rPr>
        <w:t>per country</w:t>
      </w:r>
      <w:r w:rsidR="008F2297" w:rsidRPr="00B001C6">
        <w:rPr>
          <w:rFonts w:ascii="Times New Roman" w:hAnsi="Times New Roman" w:cs="Times New Roman"/>
          <w:lang w:val="en-GB"/>
        </w:rPr>
        <w:t xml:space="preserve">. </w:t>
      </w:r>
      <w:r w:rsidR="009D698E">
        <w:rPr>
          <w:rFonts w:ascii="Times New Roman" w:hAnsi="Times New Roman" w:cs="Times New Roman"/>
          <w:lang w:val="en-GB"/>
        </w:rPr>
        <w:t>Subgroup analyses were also</w:t>
      </w:r>
      <w:r w:rsidR="003C1235">
        <w:rPr>
          <w:rFonts w:ascii="Times New Roman" w:hAnsi="Times New Roman" w:cs="Times New Roman"/>
          <w:lang w:val="en-GB"/>
        </w:rPr>
        <w:t xml:space="preserve"> performed on </w:t>
      </w:r>
      <w:r w:rsidR="00017BB2">
        <w:rPr>
          <w:rFonts w:ascii="Times New Roman" w:hAnsi="Times New Roman" w:cs="Times New Roman"/>
          <w:lang w:val="en-GB"/>
        </w:rPr>
        <w:t>gender</w:t>
      </w:r>
      <w:r w:rsidR="003C1235">
        <w:rPr>
          <w:rFonts w:ascii="Times New Roman" w:hAnsi="Times New Roman" w:cs="Times New Roman"/>
          <w:lang w:val="en-GB"/>
        </w:rPr>
        <w:t xml:space="preserve"> (men versus women), age (&lt; 65 years vs ≥ 65 years), diagnosis of osteoporosis (yes</w:t>
      </w:r>
      <w:r w:rsidR="00131FB3">
        <w:rPr>
          <w:rFonts w:ascii="Times New Roman" w:hAnsi="Times New Roman" w:cs="Times New Roman"/>
          <w:lang w:val="en-GB"/>
        </w:rPr>
        <w:t xml:space="preserve"> vs </w:t>
      </w:r>
      <w:r w:rsidR="003C1235">
        <w:rPr>
          <w:rFonts w:ascii="Times New Roman" w:hAnsi="Times New Roman" w:cs="Times New Roman"/>
          <w:lang w:val="en-GB"/>
        </w:rPr>
        <w:t>no), fracture (yes</w:t>
      </w:r>
      <w:r w:rsidR="00131FB3">
        <w:rPr>
          <w:rFonts w:ascii="Times New Roman" w:hAnsi="Times New Roman" w:cs="Times New Roman"/>
          <w:lang w:val="en-GB"/>
        </w:rPr>
        <w:t xml:space="preserve"> vs </w:t>
      </w:r>
      <w:r w:rsidR="003C1235">
        <w:rPr>
          <w:rFonts w:ascii="Times New Roman" w:hAnsi="Times New Roman" w:cs="Times New Roman"/>
          <w:lang w:val="en-GB"/>
        </w:rPr>
        <w:t>no), treatment for osteoporosis (yes</w:t>
      </w:r>
      <w:r w:rsidR="00131FB3">
        <w:rPr>
          <w:rFonts w:ascii="Times New Roman" w:hAnsi="Times New Roman" w:cs="Times New Roman"/>
          <w:lang w:val="en-GB"/>
        </w:rPr>
        <w:t xml:space="preserve"> vs </w:t>
      </w:r>
      <w:r w:rsidR="003C1235">
        <w:rPr>
          <w:rFonts w:ascii="Times New Roman" w:hAnsi="Times New Roman" w:cs="Times New Roman"/>
          <w:lang w:val="en-GB"/>
        </w:rPr>
        <w:t xml:space="preserve">no). </w:t>
      </w:r>
      <w:r w:rsidR="007D2118">
        <w:rPr>
          <w:rFonts w:ascii="Times New Roman" w:hAnsi="Times New Roman" w:cs="Times New Roman"/>
          <w:lang w:val="en-GB"/>
        </w:rPr>
        <w:t>Effect</w:t>
      </w:r>
      <w:r w:rsidR="007D2118" w:rsidRPr="00B001C6">
        <w:rPr>
          <w:rFonts w:ascii="Times New Roman" w:hAnsi="Times New Roman" w:cs="Times New Roman"/>
          <w:lang w:val="en-GB"/>
        </w:rPr>
        <w:t xml:space="preserve"> </w:t>
      </w:r>
      <w:r w:rsidR="008F2297" w:rsidRPr="00B001C6">
        <w:rPr>
          <w:rFonts w:ascii="Times New Roman" w:hAnsi="Times New Roman" w:cs="Times New Roman"/>
          <w:lang w:val="en-GB"/>
        </w:rPr>
        <w:t xml:space="preserve">coding was </w:t>
      </w:r>
      <w:r w:rsidR="003E4157">
        <w:rPr>
          <w:rFonts w:ascii="Times New Roman" w:hAnsi="Times New Roman" w:cs="Times New Roman"/>
          <w:lang w:val="en-GB"/>
        </w:rPr>
        <w:t xml:space="preserve">used to describe </w:t>
      </w:r>
      <w:r w:rsidR="00F95DE4">
        <w:rPr>
          <w:rFonts w:ascii="Times New Roman" w:hAnsi="Times New Roman" w:cs="Times New Roman"/>
          <w:lang w:val="en-GB"/>
        </w:rPr>
        <w:t>the levels within an attribute</w:t>
      </w:r>
      <w:r w:rsidR="003E4157">
        <w:rPr>
          <w:rFonts w:ascii="Times New Roman" w:hAnsi="Times New Roman" w:cs="Times New Roman"/>
          <w:lang w:val="en-GB"/>
        </w:rPr>
        <w:t xml:space="preserve">. </w:t>
      </w:r>
      <w:r w:rsidR="00017BB2">
        <w:rPr>
          <w:rFonts w:ascii="Times New Roman" w:hAnsi="Times New Roman" w:cs="Times New Roman"/>
          <w:lang w:val="en-GB"/>
        </w:rPr>
        <w:t>In u</w:t>
      </w:r>
      <w:r w:rsidR="003E4157">
        <w:rPr>
          <w:rFonts w:ascii="Times New Roman" w:hAnsi="Times New Roman" w:cs="Times New Roman"/>
          <w:lang w:val="en-GB"/>
        </w:rPr>
        <w:t>sing effect coding, mean attributes are normalized to zero and preference weights are relative to the mean effect of the different levels of the attribute.</w:t>
      </w:r>
      <w:r w:rsidR="00B001C6" w:rsidRPr="00B001C6">
        <w:rPr>
          <w:rFonts w:ascii="Times New Roman" w:hAnsi="Times New Roman" w:cs="Times New Roman"/>
          <w:lang w:val="en-GB"/>
        </w:rPr>
        <w:t xml:space="preserve"> </w:t>
      </w:r>
      <w:r w:rsidR="00D841E8" w:rsidRPr="00D841E8">
        <w:rPr>
          <w:rFonts w:ascii="Times New Roman" w:hAnsi="Times New Roman" w:cs="Times New Roman"/>
          <w:lang w:val="en-GB"/>
        </w:rPr>
        <w:t>The model assumed that all attributes have an independent influence on patient preference(s).</w:t>
      </w:r>
      <w:r w:rsidR="006F7B9A">
        <w:rPr>
          <w:rFonts w:ascii="Times New Roman" w:hAnsi="Times New Roman" w:cs="Times New Roman"/>
          <w:lang w:val="en-GB"/>
        </w:rPr>
        <w:t xml:space="preserve"> </w:t>
      </w:r>
      <w:r w:rsidR="00B001C6" w:rsidRPr="00B001C6">
        <w:rPr>
          <w:rFonts w:ascii="Times New Roman" w:hAnsi="Times New Roman" w:cs="Times New Roman"/>
          <w:lang w:val="en-GB"/>
        </w:rPr>
        <w:t xml:space="preserve">A positive (negative) sign for a given level indicates </w:t>
      </w:r>
      <w:r w:rsidR="00017BB2">
        <w:rPr>
          <w:rFonts w:ascii="Times New Roman" w:hAnsi="Times New Roman" w:cs="Times New Roman"/>
          <w:lang w:val="en-GB"/>
        </w:rPr>
        <w:t xml:space="preserve">that </w:t>
      </w:r>
      <w:r w:rsidR="00B001C6" w:rsidRPr="00B001C6">
        <w:rPr>
          <w:rFonts w:ascii="Times New Roman" w:hAnsi="Times New Roman" w:cs="Times New Roman"/>
          <w:lang w:val="en-GB"/>
        </w:rPr>
        <w:t>a level has a positive (negative) effect on utility compared to the mean effect of the attribute</w:t>
      </w:r>
      <w:r w:rsidR="00B512B8">
        <w:rPr>
          <w:rFonts w:ascii="Times New Roman" w:hAnsi="Times New Roman" w:cs="Times New Roman"/>
          <w:lang w:val="en-GB"/>
        </w:rPr>
        <w:t>.</w:t>
      </w:r>
      <w:r w:rsidR="003E4157" w:rsidRPr="003E4157">
        <w:rPr>
          <w:rFonts w:ascii="Times New Roman" w:hAnsi="Times New Roman" w:cs="Times New Roman"/>
          <w:lang w:val="en-GB"/>
        </w:rPr>
        <w:t xml:space="preserve"> </w:t>
      </w:r>
      <w:r w:rsidR="00AF666C" w:rsidRPr="00AF666C">
        <w:rPr>
          <w:rFonts w:ascii="Times New Roman" w:hAnsi="Times New Roman" w:cs="Times New Roman"/>
          <w:lang w:val="en-GB"/>
        </w:rPr>
        <w:t>The higher the coefficient, the more effect the coefficient</w:t>
      </w:r>
      <w:r w:rsidR="00017BB2">
        <w:rPr>
          <w:rFonts w:ascii="Times New Roman" w:hAnsi="Times New Roman" w:cs="Times New Roman"/>
          <w:lang w:val="en-GB"/>
        </w:rPr>
        <w:t xml:space="preserve"> has</w:t>
      </w:r>
      <w:r w:rsidR="00AF666C" w:rsidRPr="00AF666C">
        <w:rPr>
          <w:rFonts w:ascii="Times New Roman" w:hAnsi="Times New Roman" w:cs="Times New Roman"/>
          <w:lang w:val="en-GB"/>
        </w:rPr>
        <w:t xml:space="preserve">. </w:t>
      </w:r>
      <w:r w:rsidR="003E4157" w:rsidRPr="003E4157">
        <w:rPr>
          <w:rFonts w:ascii="Times New Roman" w:hAnsi="Times New Roman" w:cs="Times New Roman"/>
          <w:lang w:val="en-GB"/>
        </w:rPr>
        <w:t>A 95% CI around two levels that did not overlap indicated that the difference</w:t>
      </w:r>
      <w:r w:rsidR="00E52BAE">
        <w:rPr>
          <w:rFonts w:ascii="Times New Roman" w:hAnsi="Times New Roman" w:cs="Times New Roman"/>
          <w:lang w:val="en-GB"/>
        </w:rPr>
        <w:t>s</w:t>
      </w:r>
      <w:r w:rsidR="003E4157" w:rsidRPr="003E4157">
        <w:rPr>
          <w:rFonts w:ascii="Times New Roman" w:hAnsi="Times New Roman" w:cs="Times New Roman"/>
          <w:lang w:val="en-GB"/>
        </w:rPr>
        <w:t xml:space="preserve"> between the preference weights w</w:t>
      </w:r>
      <w:r w:rsidR="00E52BAE">
        <w:rPr>
          <w:rFonts w:ascii="Times New Roman" w:hAnsi="Times New Roman" w:cs="Times New Roman"/>
          <w:lang w:val="en-GB"/>
        </w:rPr>
        <w:t>ere</w:t>
      </w:r>
      <w:r w:rsidR="003E4157" w:rsidRPr="003E4157">
        <w:rPr>
          <w:rFonts w:ascii="Times New Roman" w:hAnsi="Times New Roman" w:cs="Times New Roman"/>
          <w:lang w:val="en-GB"/>
        </w:rPr>
        <w:t xml:space="preserve"> statistically different.</w:t>
      </w:r>
      <w:r w:rsidR="003E4157">
        <w:rPr>
          <w:rFonts w:ascii="AdvP47DFC8" w:hAnsi="AdvP47DFC8" w:cs="AdvP47DFC8"/>
          <w:sz w:val="17"/>
          <w:szCs w:val="17"/>
          <w:lang w:val="en-US"/>
        </w:rPr>
        <w:t xml:space="preserve"> </w:t>
      </w:r>
    </w:p>
    <w:p w14:paraId="549BC20D" w14:textId="1281DEE4" w:rsidR="0060105D" w:rsidRDefault="00017BB2" w:rsidP="00B001C6">
      <w:pPr>
        <w:spacing w:line="360" w:lineRule="auto"/>
        <w:jc w:val="both"/>
        <w:rPr>
          <w:rFonts w:ascii="Times New Roman" w:hAnsi="Times New Roman" w:cs="Times New Roman"/>
          <w:lang w:val="en-GB"/>
        </w:rPr>
      </w:pPr>
      <w:r>
        <w:rPr>
          <w:rFonts w:ascii="Times New Roman" w:hAnsi="Times New Roman" w:cs="Times New Roman"/>
          <w:lang w:val="en-GB"/>
        </w:rPr>
        <w:t>In a</w:t>
      </w:r>
      <w:r w:rsidR="0060105D" w:rsidRPr="007D4E5D">
        <w:rPr>
          <w:rFonts w:ascii="Times New Roman" w:hAnsi="Times New Roman" w:cs="Times New Roman"/>
          <w:lang w:val="en-GB"/>
        </w:rPr>
        <w:t xml:space="preserve">ddition, </w:t>
      </w:r>
      <w:r>
        <w:rPr>
          <w:rFonts w:ascii="Times New Roman" w:hAnsi="Times New Roman" w:cs="Times New Roman"/>
          <w:lang w:val="en-GB"/>
        </w:rPr>
        <w:t xml:space="preserve">the </w:t>
      </w:r>
      <w:r w:rsidR="0060105D" w:rsidRPr="007D4E5D">
        <w:rPr>
          <w:rFonts w:ascii="Times New Roman" w:hAnsi="Times New Roman" w:cs="Times New Roman"/>
          <w:lang w:val="en-GB"/>
        </w:rPr>
        <w:t>relative importance of attributes (in percentage) w</w:t>
      </w:r>
      <w:r w:rsidR="00192C55">
        <w:rPr>
          <w:rFonts w:ascii="Times New Roman" w:hAnsi="Times New Roman" w:cs="Times New Roman"/>
          <w:lang w:val="en-GB"/>
        </w:rPr>
        <w:t>as</w:t>
      </w:r>
      <w:r w:rsidR="0060105D" w:rsidRPr="007D4E5D">
        <w:rPr>
          <w:rFonts w:ascii="Times New Roman" w:hAnsi="Times New Roman" w:cs="Times New Roman"/>
          <w:lang w:val="en-GB"/>
        </w:rPr>
        <w:t xml:space="preserve"> calculated</w:t>
      </w:r>
      <w:r>
        <w:rPr>
          <w:rFonts w:ascii="Times New Roman" w:hAnsi="Times New Roman" w:cs="Times New Roman"/>
          <w:lang w:val="en-GB"/>
        </w:rPr>
        <w:t>,</w:t>
      </w:r>
      <w:r w:rsidR="0060105D" w:rsidRPr="007D4E5D">
        <w:rPr>
          <w:rFonts w:ascii="Times New Roman" w:hAnsi="Times New Roman" w:cs="Times New Roman"/>
          <w:lang w:val="en-GB"/>
        </w:rPr>
        <w:t xml:space="preserve"> </w:t>
      </w:r>
      <w:r w:rsidR="00824F4C">
        <w:rPr>
          <w:rFonts w:ascii="Times New Roman" w:hAnsi="Times New Roman" w:cs="Times New Roman"/>
          <w:lang w:val="en-GB"/>
        </w:rPr>
        <w:t xml:space="preserve">using the range method </w:t>
      </w:r>
      <w:r w:rsidR="0060105D" w:rsidRPr="007D4E5D">
        <w:rPr>
          <w:rFonts w:ascii="Times New Roman" w:hAnsi="Times New Roman" w:cs="Times New Roman"/>
          <w:lang w:val="en-GB"/>
        </w:rPr>
        <w:t>for all participants and for</w:t>
      </w:r>
      <w:r>
        <w:rPr>
          <w:rFonts w:ascii="Times New Roman" w:hAnsi="Times New Roman" w:cs="Times New Roman"/>
          <w:lang w:val="en-GB"/>
        </w:rPr>
        <w:t xml:space="preserve"> the</w:t>
      </w:r>
      <w:r w:rsidR="0060105D" w:rsidRPr="007D4E5D">
        <w:rPr>
          <w:rFonts w:ascii="Times New Roman" w:hAnsi="Times New Roman" w:cs="Times New Roman"/>
          <w:lang w:val="en-GB"/>
        </w:rPr>
        <w:t xml:space="preserve"> participants in each countr</w:t>
      </w:r>
      <w:r w:rsidR="000A62AA">
        <w:rPr>
          <w:rFonts w:ascii="Times New Roman" w:hAnsi="Times New Roman" w:cs="Times New Roman"/>
          <w:lang w:val="en-GB"/>
        </w:rPr>
        <w:t>y</w:t>
      </w:r>
      <w:r w:rsidR="0060105D">
        <w:rPr>
          <w:rFonts w:ascii="Times New Roman" w:hAnsi="Times New Roman" w:cs="Times New Roman"/>
          <w:lang w:val="en-GB"/>
        </w:rPr>
        <w:t>.</w:t>
      </w:r>
      <w:r w:rsidR="00824F4C">
        <w:rPr>
          <w:rFonts w:ascii="Times New Roman" w:hAnsi="Times New Roman" w:cs="Times New Roman"/>
          <w:lang w:val="en-GB"/>
        </w:rPr>
        <w:t xml:space="preserve"> </w:t>
      </w:r>
      <w:r w:rsidR="00824F4C" w:rsidRPr="00824F4C">
        <w:rPr>
          <w:rFonts w:ascii="Times New Roman" w:hAnsi="Times New Roman" w:cs="Times New Roman"/>
          <w:lang w:val="en-GB"/>
        </w:rPr>
        <w:t>T</w:t>
      </w:r>
      <w:r w:rsidR="006B06A4">
        <w:rPr>
          <w:rFonts w:ascii="Times New Roman" w:hAnsi="Times New Roman" w:cs="Times New Roman"/>
          <w:lang w:val="en-GB"/>
        </w:rPr>
        <w:t>o calculate t</w:t>
      </w:r>
      <w:r w:rsidR="00824F4C" w:rsidRPr="00824F4C">
        <w:rPr>
          <w:rFonts w:ascii="Times New Roman" w:hAnsi="Times New Roman" w:cs="Times New Roman"/>
          <w:lang w:val="en-GB"/>
        </w:rPr>
        <w:t xml:space="preserve">he relative importance of </w:t>
      </w:r>
      <w:r w:rsidR="006B06A4">
        <w:rPr>
          <w:rFonts w:ascii="Times New Roman" w:hAnsi="Times New Roman" w:cs="Times New Roman"/>
          <w:lang w:val="en-GB"/>
        </w:rPr>
        <w:t xml:space="preserve">each </w:t>
      </w:r>
      <w:r w:rsidR="00824F4C" w:rsidRPr="00824F4C">
        <w:rPr>
          <w:rFonts w:ascii="Times New Roman" w:hAnsi="Times New Roman" w:cs="Times New Roman"/>
          <w:lang w:val="en-GB"/>
        </w:rPr>
        <w:t>attribute</w:t>
      </w:r>
      <w:r w:rsidR="006B06A4">
        <w:rPr>
          <w:rFonts w:ascii="Times New Roman" w:hAnsi="Times New Roman" w:cs="Times New Roman"/>
          <w:lang w:val="en-GB"/>
        </w:rPr>
        <w:t>,</w:t>
      </w:r>
      <w:r w:rsidR="00E75E40">
        <w:rPr>
          <w:rFonts w:ascii="Times New Roman" w:hAnsi="Times New Roman" w:cs="Times New Roman"/>
          <w:lang w:val="en-GB"/>
        </w:rPr>
        <w:t xml:space="preserve"> the</w:t>
      </w:r>
      <w:r w:rsidR="006B06A4">
        <w:rPr>
          <w:rFonts w:ascii="Times New Roman" w:hAnsi="Times New Roman" w:cs="Times New Roman"/>
          <w:lang w:val="en-GB"/>
        </w:rPr>
        <w:t xml:space="preserve"> </w:t>
      </w:r>
      <w:r w:rsidR="00824F4C" w:rsidRPr="00824F4C">
        <w:rPr>
          <w:rFonts w:ascii="Times New Roman" w:hAnsi="Times New Roman" w:cs="Times New Roman"/>
          <w:lang w:val="en-GB"/>
        </w:rPr>
        <w:t xml:space="preserve">difference between the highest and the lowest coefficient for the levels of </w:t>
      </w:r>
      <w:r w:rsidR="00E52BAE">
        <w:rPr>
          <w:rFonts w:ascii="Times New Roman" w:hAnsi="Times New Roman" w:cs="Times New Roman"/>
          <w:lang w:val="en-GB"/>
        </w:rPr>
        <w:t>each</w:t>
      </w:r>
      <w:r w:rsidR="00824F4C" w:rsidRPr="00824F4C">
        <w:rPr>
          <w:rFonts w:ascii="Times New Roman" w:hAnsi="Times New Roman" w:cs="Times New Roman"/>
          <w:lang w:val="en-GB"/>
        </w:rPr>
        <w:t xml:space="preserve"> attribute</w:t>
      </w:r>
      <w:r w:rsidR="006B06A4">
        <w:rPr>
          <w:rFonts w:ascii="Times New Roman" w:hAnsi="Times New Roman" w:cs="Times New Roman"/>
          <w:lang w:val="en-GB"/>
        </w:rPr>
        <w:t xml:space="preserve"> was divided by the </w:t>
      </w:r>
      <w:r w:rsidR="00824F4C" w:rsidRPr="00824F4C">
        <w:rPr>
          <w:rFonts w:ascii="Times New Roman" w:hAnsi="Times New Roman" w:cs="Times New Roman"/>
          <w:lang w:val="en-GB"/>
        </w:rPr>
        <w:t>sum of all attributes’</w:t>
      </w:r>
      <w:r w:rsidR="006B06A4">
        <w:rPr>
          <w:rFonts w:ascii="Times New Roman" w:hAnsi="Times New Roman" w:cs="Times New Roman"/>
          <w:lang w:val="en-GB"/>
        </w:rPr>
        <w:t xml:space="preserve"> specific</w:t>
      </w:r>
      <w:r w:rsidR="00824F4C" w:rsidRPr="00824F4C">
        <w:rPr>
          <w:rFonts w:ascii="Times New Roman" w:hAnsi="Times New Roman" w:cs="Times New Roman"/>
          <w:lang w:val="en-GB"/>
        </w:rPr>
        <w:t xml:space="preserve"> level ranges.</w:t>
      </w:r>
      <w:r w:rsidR="00824F4C">
        <w:rPr>
          <w:rFonts w:ascii="AdvOT863180fb" w:hAnsi="AdvOT863180fb" w:cs="AdvOT863180fb"/>
          <w:color w:val="000000"/>
          <w:sz w:val="16"/>
          <w:szCs w:val="16"/>
          <w:lang w:val="en-US"/>
        </w:rPr>
        <w:t xml:space="preserve"> </w:t>
      </w:r>
    </w:p>
    <w:p w14:paraId="0EA6ED15" w14:textId="4B17E49C" w:rsidR="00915ACD" w:rsidRPr="008B40BF" w:rsidRDefault="00915ACD" w:rsidP="00D841E8">
      <w:pPr>
        <w:spacing w:line="360" w:lineRule="auto"/>
        <w:jc w:val="both"/>
        <w:rPr>
          <w:rFonts w:ascii="Times New Roman" w:hAnsi="Times New Roman" w:cs="Times New Roman"/>
          <w:lang w:val="en-GB"/>
        </w:rPr>
      </w:pPr>
      <w:r w:rsidRPr="008B40BF">
        <w:rPr>
          <w:rFonts w:ascii="Times New Roman" w:hAnsi="Times New Roman" w:cs="Times New Roman"/>
          <w:b/>
          <w:bCs/>
          <w:lang w:val="en-GB"/>
        </w:rPr>
        <w:br w:type="page"/>
      </w:r>
    </w:p>
    <w:p w14:paraId="109DBD15" w14:textId="77777777" w:rsidR="00915ACD" w:rsidRPr="003545EB" w:rsidRDefault="00915ACD" w:rsidP="007D4E5D">
      <w:pPr>
        <w:spacing w:line="360" w:lineRule="auto"/>
        <w:jc w:val="both"/>
        <w:rPr>
          <w:rFonts w:ascii="Times New Roman" w:hAnsi="Times New Roman" w:cs="Times New Roman"/>
          <w:b/>
          <w:bCs/>
          <w:smallCaps/>
          <w:lang w:val="en-GB"/>
        </w:rPr>
      </w:pPr>
      <w:r w:rsidRPr="003545EB">
        <w:rPr>
          <w:rFonts w:ascii="Times New Roman" w:hAnsi="Times New Roman" w:cs="Times New Roman"/>
          <w:b/>
          <w:bCs/>
          <w:smallCaps/>
          <w:lang w:val="en-GB"/>
        </w:rPr>
        <w:t>Results</w:t>
      </w:r>
    </w:p>
    <w:p w14:paraId="6F5494D6" w14:textId="77777777" w:rsidR="00CF60A0" w:rsidRPr="007D4E5D" w:rsidRDefault="00CF60A0" w:rsidP="00CF60A0">
      <w:pPr>
        <w:pStyle w:val="ListParagraph"/>
        <w:spacing w:after="0" w:line="360" w:lineRule="auto"/>
        <w:ind w:left="0"/>
        <w:rPr>
          <w:rFonts w:ascii="Times New Roman" w:hAnsi="Times New Roman" w:cs="Times New Roman"/>
          <w:b/>
          <w:bCs/>
          <w:iCs/>
          <w:lang w:val="en-GB"/>
        </w:rPr>
      </w:pPr>
      <w:r w:rsidRPr="007D4E5D">
        <w:rPr>
          <w:rFonts w:ascii="Times New Roman" w:hAnsi="Times New Roman" w:cs="Times New Roman"/>
          <w:b/>
          <w:bCs/>
          <w:iCs/>
          <w:lang w:val="en-GB"/>
        </w:rPr>
        <w:t>Patients’ characteristics</w:t>
      </w:r>
    </w:p>
    <w:p w14:paraId="3A12E89B" w14:textId="77D4BD74" w:rsidR="00886950" w:rsidRDefault="00CF60A0" w:rsidP="00CF60A0">
      <w:pPr>
        <w:pStyle w:val="ListParagraph"/>
        <w:spacing w:after="0" w:line="360" w:lineRule="auto"/>
        <w:ind w:left="0"/>
        <w:jc w:val="both"/>
        <w:rPr>
          <w:rFonts w:ascii="Times New Roman" w:hAnsi="Times New Roman" w:cs="Times New Roman"/>
          <w:lang w:val="en-GB"/>
        </w:rPr>
      </w:pPr>
      <w:r w:rsidRPr="007D4E5D">
        <w:rPr>
          <w:rFonts w:ascii="Times New Roman" w:hAnsi="Times New Roman" w:cs="Times New Roman"/>
          <w:bCs/>
          <w:iCs/>
          <w:lang w:val="en-GB"/>
        </w:rPr>
        <w:t>Globally, a total of 1</w:t>
      </w:r>
      <w:r w:rsidR="00C94A3B">
        <w:rPr>
          <w:rFonts w:ascii="Times New Roman" w:hAnsi="Times New Roman" w:cs="Times New Roman"/>
          <w:bCs/>
          <w:iCs/>
          <w:lang w:val="en-GB"/>
        </w:rPr>
        <w:t>,</w:t>
      </w:r>
      <w:r w:rsidRPr="007D4E5D">
        <w:rPr>
          <w:rFonts w:ascii="Times New Roman" w:hAnsi="Times New Roman" w:cs="Times New Roman"/>
          <w:bCs/>
          <w:iCs/>
          <w:lang w:val="en-GB"/>
        </w:rPr>
        <w:t xml:space="preserve">042 patients </w:t>
      </w:r>
      <w:r w:rsidR="000A62AA">
        <w:rPr>
          <w:rFonts w:ascii="Times New Roman" w:hAnsi="Times New Roman" w:cs="Times New Roman"/>
          <w:bCs/>
          <w:iCs/>
          <w:lang w:val="en-GB"/>
        </w:rPr>
        <w:t xml:space="preserve">fully </w:t>
      </w:r>
      <w:r w:rsidRPr="007D4E5D">
        <w:rPr>
          <w:rFonts w:ascii="Times New Roman" w:hAnsi="Times New Roman" w:cs="Times New Roman"/>
          <w:bCs/>
          <w:iCs/>
          <w:lang w:val="en-GB"/>
        </w:rPr>
        <w:t xml:space="preserve">completed the </w:t>
      </w:r>
      <w:r w:rsidRPr="007D4E5D">
        <w:rPr>
          <w:rFonts w:ascii="Times New Roman" w:hAnsi="Times New Roman" w:cs="Times New Roman"/>
          <w:lang w:val="en-GB"/>
        </w:rPr>
        <w:t xml:space="preserve">questionnaire and </w:t>
      </w:r>
      <w:r w:rsidR="000A62AA">
        <w:rPr>
          <w:rFonts w:ascii="Times New Roman" w:hAnsi="Times New Roman" w:cs="Times New Roman"/>
          <w:lang w:val="en-GB"/>
        </w:rPr>
        <w:t xml:space="preserve">were </w:t>
      </w:r>
      <w:r w:rsidRPr="007D4E5D">
        <w:rPr>
          <w:rFonts w:ascii="Times New Roman" w:hAnsi="Times New Roman" w:cs="Times New Roman"/>
          <w:lang w:val="en-GB"/>
        </w:rPr>
        <w:t xml:space="preserve">included in the analysis, with samples varying between 91 and 244 patients per country. Respondents’ </w:t>
      </w:r>
      <w:r w:rsidR="00192C55" w:rsidRPr="007D4E5D">
        <w:rPr>
          <w:rFonts w:ascii="Times New Roman" w:hAnsi="Times New Roman" w:cs="Times New Roman"/>
          <w:lang w:val="en-GB"/>
        </w:rPr>
        <w:t>sociodemographic</w:t>
      </w:r>
      <w:r w:rsidRPr="007D4E5D">
        <w:rPr>
          <w:rFonts w:ascii="Times New Roman" w:hAnsi="Times New Roman" w:cs="Times New Roman"/>
          <w:lang w:val="en-GB"/>
        </w:rPr>
        <w:t xml:space="preserve"> and health characteristics are presented in Table </w:t>
      </w:r>
      <w:r w:rsidR="00D01F9B">
        <w:rPr>
          <w:rFonts w:ascii="Times New Roman" w:hAnsi="Times New Roman" w:cs="Times New Roman"/>
          <w:lang w:val="en-GB"/>
        </w:rPr>
        <w:t>2</w:t>
      </w:r>
      <w:r w:rsidRPr="007D4E5D">
        <w:rPr>
          <w:rFonts w:ascii="Times New Roman" w:hAnsi="Times New Roman" w:cs="Times New Roman"/>
          <w:lang w:val="en-GB"/>
        </w:rPr>
        <w:t>. The respondents had a mean age of 64.9 years</w:t>
      </w:r>
      <w:r w:rsidR="009F466F">
        <w:rPr>
          <w:rFonts w:ascii="Times New Roman" w:hAnsi="Times New Roman" w:cs="Times New Roman"/>
          <w:lang w:val="en-GB"/>
        </w:rPr>
        <w:t>,</w:t>
      </w:r>
      <w:r w:rsidRPr="007D4E5D">
        <w:rPr>
          <w:rFonts w:ascii="Times New Roman" w:hAnsi="Times New Roman" w:cs="Times New Roman"/>
          <w:lang w:val="en-GB"/>
        </w:rPr>
        <w:t xml:space="preserve"> and 84.8% were female. Of all respondents, 73.3% were diagnosed with osteoporosis</w:t>
      </w:r>
      <w:r w:rsidR="00E67796">
        <w:rPr>
          <w:rFonts w:ascii="Times New Roman" w:hAnsi="Times New Roman" w:cs="Times New Roman"/>
          <w:lang w:val="en-GB"/>
        </w:rPr>
        <w:t xml:space="preserve">, 52.9% were </w:t>
      </w:r>
      <w:r w:rsidR="009F466F">
        <w:rPr>
          <w:rFonts w:ascii="Times New Roman" w:hAnsi="Times New Roman" w:cs="Times New Roman"/>
          <w:lang w:val="en-GB"/>
        </w:rPr>
        <w:t>in treatment for</w:t>
      </w:r>
      <w:r w:rsidR="00E67796">
        <w:rPr>
          <w:rFonts w:ascii="Times New Roman" w:hAnsi="Times New Roman" w:cs="Times New Roman"/>
          <w:lang w:val="en-GB"/>
        </w:rPr>
        <w:t xml:space="preserve"> osteoporosis</w:t>
      </w:r>
      <w:r w:rsidR="009F466F">
        <w:rPr>
          <w:rFonts w:ascii="Times New Roman" w:hAnsi="Times New Roman" w:cs="Times New Roman"/>
          <w:lang w:val="en-GB"/>
        </w:rPr>
        <w:t>,</w:t>
      </w:r>
      <w:r w:rsidR="00E67796">
        <w:rPr>
          <w:rFonts w:ascii="Times New Roman" w:hAnsi="Times New Roman" w:cs="Times New Roman"/>
          <w:lang w:val="en-GB"/>
        </w:rPr>
        <w:t xml:space="preserve"> and 48.2% reported a prevalent fracture</w:t>
      </w:r>
      <w:r w:rsidRPr="007D4E5D">
        <w:rPr>
          <w:rFonts w:ascii="Times New Roman" w:hAnsi="Times New Roman" w:cs="Times New Roman"/>
          <w:lang w:val="en-GB"/>
        </w:rPr>
        <w:t xml:space="preserve">. </w:t>
      </w:r>
      <w:r w:rsidR="00640857" w:rsidRPr="007D4E5D">
        <w:rPr>
          <w:rFonts w:ascii="Times New Roman" w:hAnsi="Times New Roman" w:cs="Times New Roman"/>
          <w:lang w:val="en-GB"/>
        </w:rPr>
        <w:t xml:space="preserve">Most respondents reported that their current level of physical activity was </w:t>
      </w:r>
      <w:r w:rsidR="00640857">
        <w:rPr>
          <w:rFonts w:ascii="Times New Roman" w:hAnsi="Times New Roman" w:cs="Times New Roman"/>
          <w:lang w:val="en-GB"/>
        </w:rPr>
        <w:t xml:space="preserve">high or </w:t>
      </w:r>
      <w:r w:rsidR="00640857" w:rsidRPr="007D4E5D">
        <w:rPr>
          <w:rFonts w:ascii="Times New Roman" w:hAnsi="Times New Roman" w:cs="Times New Roman"/>
          <w:lang w:val="en-GB"/>
        </w:rPr>
        <w:t>moderate</w:t>
      </w:r>
      <w:r w:rsidR="00640857">
        <w:rPr>
          <w:rFonts w:ascii="Times New Roman" w:hAnsi="Times New Roman" w:cs="Times New Roman"/>
          <w:lang w:val="en-GB"/>
        </w:rPr>
        <w:t xml:space="preserve"> (i.e., 76.4% vs 24.6% with low activity level)</w:t>
      </w:r>
      <w:r w:rsidR="00640857" w:rsidRPr="007D4E5D">
        <w:rPr>
          <w:rFonts w:ascii="Times New Roman" w:hAnsi="Times New Roman" w:cs="Times New Roman"/>
          <w:lang w:val="en-GB"/>
        </w:rPr>
        <w:t xml:space="preserve">, </w:t>
      </w:r>
      <w:r w:rsidR="00640857">
        <w:rPr>
          <w:rFonts w:ascii="Times New Roman" w:hAnsi="Times New Roman" w:cs="Times New Roman"/>
          <w:lang w:val="en-GB"/>
        </w:rPr>
        <w:t>that</w:t>
      </w:r>
      <w:r w:rsidR="00640857" w:rsidRPr="007D4E5D">
        <w:rPr>
          <w:rFonts w:ascii="Times New Roman" w:hAnsi="Times New Roman" w:cs="Times New Roman"/>
          <w:lang w:val="en-GB"/>
        </w:rPr>
        <w:t xml:space="preserve"> they </w:t>
      </w:r>
      <w:r w:rsidR="009F466F">
        <w:rPr>
          <w:rFonts w:ascii="Times New Roman" w:hAnsi="Times New Roman" w:cs="Times New Roman"/>
          <w:lang w:val="en-GB"/>
        </w:rPr>
        <w:t>were well-nourished</w:t>
      </w:r>
      <w:r w:rsidR="00640857" w:rsidRPr="007D4E5D">
        <w:rPr>
          <w:rFonts w:ascii="Times New Roman" w:hAnsi="Times New Roman" w:cs="Times New Roman"/>
          <w:lang w:val="en-GB"/>
        </w:rPr>
        <w:t xml:space="preserve"> and </w:t>
      </w:r>
      <w:r w:rsidR="00FE0B5B">
        <w:rPr>
          <w:rFonts w:ascii="Times New Roman" w:hAnsi="Times New Roman" w:cs="Times New Roman"/>
          <w:lang w:val="en-GB"/>
        </w:rPr>
        <w:t xml:space="preserve">had </w:t>
      </w:r>
      <w:r w:rsidR="009F466F">
        <w:rPr>
          <w:rFonts w:ascii="Times New Roman" w:hAnsi="Times New Roman" w:cs="Times New Roman"/>
          <w:lang w:val="en-GB"/>
        </w:rPr>
        <w:t xml:space="preserve">a </w:t>
      </w:r>
      <w:r w:rsidR="00640857" w:rsidRPr="007D4E5D">
        <w:rPr>
          <w:rFonts w:ascii="Times New Roman" w:hAnsi="Times New Roman" w:cs="Times New Roman"/>
          <w:lang w:val="en-GB"/>
        </w:rPr>
        <w:t>balanced diet</w:t>
      </w:r>
      <w:r w:rsidR="00640857">
        <w:rPr>
          <w:rFonts w:ascii="Times New Roman" w:hAnsi="Times New Roman" w:cs="Times New Roman"/>
          <w:lang w:val="en-GB"/>
        </w:rPr>
        <w:t xml:space="preserve"> (i.e., 65% vs 25% with a bad or very </w:t>
      </w:r>
      <w:r w:rsidR="009F466F">
        <w:rPr>
          <w:rFonts w:ascii="Times New Roman" w:hAnsi="Times New Roman" w:cs="Times New Roman"/>
          <w:lang w:val="en-GB"/>
        </w:rPr>
        <w:t>poorly</w:t>
      </w:r>
      <w:r w:rsidR="00640857">
        <w:rPr>
          <w:rFonts w:ascii="Times New Roman" w:hAnsi="Times New Roman" w:cs="Times New Roman"/>
          <w:lang w:val="en-GB"/>
        </w:rPr>
        <w:t xml:space="preserve"> balance</w:t>
      </w:r>
      <w:r w:rsidR="009F466F">
        <w:rPr>
          <w:rFonts w:ascii="Times New Roman" w:hAnsi="Times New Roman" w:cs="Times New Roman"/>
          <w:lang w:val="en-GB"/>
        </w:rPr>
        <w:t>d</w:t>
      </w:r>
      <w:r w:rsidR="00640857">
        <w:rPr>
          <w:rFonts w:ascii="Times New Roman" w:hAnsi="Times New Roman" w:cs="Times New Roman"/>
          <w:lang w:val="en-GB"/>
        </w:rPr>
        <w:t xml:space="preserve"> diet), that they did not smoke (i.e., 86.7% vs 13.3% </w:t>
      </w:r>
      <w:r w:rsidR="009F466F">
        <w:rPr>
          <w:rFonts w:ascii="Times New Roman" w:hAnsi="Times New Roman" w:cs="Times New Roman"/>
          <w:lang w:val="en-GB"/>
        </w:rPr>
        <w:t>were</w:t>
      </w:r>
      <w:r w:rsidR="00640857">
        <w:rPr>
          <w:rFonts w:ascii="Times New Roman" w:hAnsi="Times New Roman" w:cs="Times New Roman"/>
          <w:lang w:val="en-GB"/>
        </w:rPr>
        <w:t xml:space="preserve"> smokers) and that they d</w:t>
      </w:r>
      <w:r w:rsidR="009F466F">
        <w:rPr>
          <w:rFonts w:ascii="Times New Roman" w:hAnsi="Times New Roman" w:cs="Times New Roman"/>
          <w:lang w:val="en-GB"/>
        </w:rPr>
        <w:t>id</w:t>
      </w:r>
      <w:r w:rsidR="00640857">
        <w:rPr>
          <w:rFonts w:ascii="Times New Roman" w:hAnsi="Times New Roman" w:cs="Times New Roman"/>
          <w:lang w:val="en-GB"/>
        </w:rPr>
        <w:t xml:space="preserve"> not drink 3 or more unit</w:t>
      </w:r>
      <w:r w:rsidR="009F466F">
        <w:rPr>
          <w:rFonts w:ascii="Times New Roman" w:hAnsi="Times New Roman" w:cs="Times New Roman"/>
          <w:lang w:val="en-GB"/>
        </w:rPr>
        <w:t>s</w:t>
      </w:r>
      <w:r w:rsidR="00640857">
        <w:rPr>
          <w:rFonts w:ascii="Times New Roman" w:hAnsi="Times New Roman" w:cs="Times New Roman"/>
          <w:lang w:val="en-GB"/>
        </w:rPr>
        <w:t xml:space="preserve"> of alcohol per day (i.e., 93.8% vs 6.2% </w:t>
      </w:r>
      <w:r w:rsidR="009F466F">
        <w:rPr>
          <w:rFonts w:ascii="Times New Roman" w:hAnsi="Times New Roman" w:cs="Times New Roman"/>
          <w:lang w:val="en-GB"/>
        </w:rPr>
        <w:t>who drank more</w:t>
      </w:r>
      <w:r w:rsidR="00640857">
        <w:rPr>
          <w:rFonts w:ascii="Times New Roman" w:hAnsi="Times New Roman" w:cs="Times New Roman"/>
          <w:lang w:val="en-GB"/>
        </w:rPr>
        <w:t xml:space="preserve">). We investigated the </w:t>
      </w:r>
      <w:r w:rsidR="009F466F">
        <w:rPr>
          <w:rFonts w:ascii="Times New Roman" w:hAnsi="Times New Roman" w:cs="Times New Roman"/>
          <w:lang w:val="en-GB"/>
        </w:rPr>
        <w:t xml:space="preserve">participants’ </w:t>
      </w:r>
      <w:r w:rsidR="00640857">
        <w:rPr>
          <w:rFonts w:ascii="Times New Roman" w:hAnsi="Times New Roman" w:cs="Times New Roman"/>
          <w:lang w:val="en-GB"/>
        </w:rPr>
        <w:t xml:space="preserve">readiness to change and, among patients with a low level of physical activity, 21% were not ready to change; among patients with a </w:t>
      </w:r>
      <w:r w:rsidR="009F466F">
        <w:rPr>
          <w:rFonts w:ascii="Times New Roman" w:hAnsi="Times New Roman" w:cs="Times New Roman"/>
          <w:lang w:val="en-GB"/>
        </w:rPr>
        <w:t xml:space="preserve">poorly </w:t>
      </w:r>
      <w:r w:rsidR="00640857">
        <w:rPr>
          <w:rFonts w:ascii="Times New Roman" w:hAnsi="Times New Roman" w:cs="Times New Roman"/>
          <w:lang w:val="en-GB"/>
        </w:rPr>
        <w:t>balance</w:t>
      </w:r>
      <w:r w:rsidR="009F466F">
        <w:rPr>
          <w:rFonts w:ascii="Times New Roman" w:hAnsi="Times New Roman" w:cs="Times New Roman"/>
          <w:lang w:val="en-GB"/>
        </w:rPr>
        <w:t>d</w:t>
      </w:r>
      <w:r w:rsidR="00640857">
        <w:rPr>
          <w:rFonts w:ascii="Times New Roman" w:hAnsi="Times New Roman" w:cs="Times New Roman"/>
          <w:lang w:val="en-GB"/>
        </w:rPr>
        <w:t xml:space="preserve"> diet, 22.1% were not ready to change; among smokers, 28.1% were not ready to change; and among drinkers, 28.8% were not ready to change (data not shown)</w:t>
      </w:r>
      <w:r w:rsidR="00640857" w:rsidRPr="007D4E5D">
        <w:rPr>
          <w:rFonts w:ascii="Times New Roman" w:hAnsi="Times New Roman" w:cs="Times New Roman"/>
          <w:lang w:val="en-GB"/>
        </w:rPr>
        <w:t xml:space="preserve">. </w:t>
      </w:r>
    </w:p>
    <w:p w14:paraId="1ADEC397" w14:textId="3774F3F7" w:rsidR="00CF60A0" w:rsidRDefault="00762022" w:rsidP="00CF60A0">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The average score of difficulty of the task was </w:t>
      </w:r>
      <w:r w:rsidR="00CF60A0" w:rsidRPr="007D4E5D">
        <w:rPr>
          <w:rFonts w:ascii="Times New Roman" w:hAnsi="Times New Roman" w:cs="Times New Roman"/>
          <w:lang w:val="en-GB"/>
        </w:rPr>
        <w:t xml:space="preserve">3.08 (country range: 2.43-3.64). A total of 91.3% </w:t>
      </w:r>
      <w:r w:rsidR="009F466F">
        <w:rPr>
          <w:rFonts w:ascii="Times New Roman" w:hAnsi="Times New Roman" w:cs="Times New Roman"/>
          <w:lang w:val="en-GB"/>
        </w:rPr>
        <w:t xml:space="preserve">of </w:t>
      </w:r>
      <w:r w:rsidR="00CF60A0" w:rsidRPr="007D4E5D">
        <w:rPr>
          <w:rFonts w:ascii="Times New Roman" w:hAnsi="Times New Roman" w:cs="Times New Roman"/>
          <w:lang w:val="en-GB"/>
        </w:rPr>
        <w:t>respondents (country range: 87.0%-97.0%) chose the same alternative in the test-retest exercise.</w:t>
      </w:r>
    </w:p>
    <w:p w14:paraId="090B25EA" w14:textId="77777777" w:rsidR="009B1BD9" w:rsidRPr="007D4E5D" w:rsidRDefault="009B1BD9" w:rsidP="00CF60A0">
      <w:pPr>
        <w:pStyle w:val="ListParagraph"/>
        <w:spacing w:after="0" w:line="360" w:lineRule="auto"/>
        <w:ind w:left="0"/>
        <w:jc w:val="both"/>
        <w:rPr>
          <w:rFonts w:ascii="Times New Roman" w:hAnsi="Times New Roman" w:cs="Times New Roman"/>
          <w:lang w:val="en-GB"/>
        </w:rPr>
      </w:pPr>
    </w:p>
    <w:p w14:paraId="6F02366B" w14:textId="77777777" w:rsidR="00CF60A0" w:rsidRPr="007D4E5D" w:rsidRDefault="00CF60A0" w:rsidP="00CF60A0">
      <w:pPr>
        <w:pStyle w:val="ListParagraph"/>
        <w:spacing w:after="0" w:line="360" w:lineRule="auto"/>
        <w:ind w:left="0"/>
        <w:rPr>
          <w:rFonts w:ascii="Times New Roman" w:hAnsi="Times New Roman" w:cs="Times New Roman"/>
          <w:b/>
          <w:bCs/>
          <w:iCs/>
          <w:lang w:val="en-GB"/>
        </w:rPr>
      </w:pPr>
      <w:r w:rsidRPr="007D4E5D">
        <w:rPr>
          <w:rFonts w:ascii="Times New Roman" w:hAnsi="Times New Roman" w:cs="Times New Roman"/>
          <w:b/>
          <w:bCs/>
          <w:iCs/>
          <w:lang w:val="en-GB"/>
        </w:rPr>
        <w:t>Patients’ preferences</w:t>
      </w:r>
    </w:p>
    <w:p w14:paraId="42EE9A69" w14:textId="4081B317" w:rsidR="00CF60A0" w:rsidRPr="007D4E5D" w:rsidRDefault="00CF60A0" w:rsidP="00CF60A0">
      <w:pPr>
        <w:pStyle w:val="ListParagraph"/>
        <w:spacing w:after="0" w:line="360" w:lineRule="auto"/>
        <w:ind w:left="0"/>
        <w:jc w:val="both"/>
        <w:rPr>
          <w:rFonts w:ascii="Times New Roman" w:hAnsi="Times New Roman" w:cs="Times New Roman"/>
          <w:lang w:val="en-GB"/>
        </w:rPr>
      </w:pPr>
      <w:r w:rsidRPr="007D4E5D">
        <w:rPr>
          <w:rFonts w:ascii="Times New Roman" w:hAnsi="Times New Roman" w:cs="Times New Roman"/>
          <w:bCs/>
          <w:iCs/>
          <w:lang w:val="en-GB"/>
        </w:rPr>
        <w:t>The results of the conditional logit model are presented in Table 3.</w:t>
      </w:r>
      <w:r w:rsidR="00B16F62">
        <w:rPr>
          <w:rFonts w:ascii="Times New Roman" w:hAnsi="Times New Roman" w:cs="Times New Roman"/>
          <w:bCs/>
          <w:iCs/>
          <w:lang w:val="en-GB"/>
        </w:rPr>
        <w:t xml:space="preserve"> Figure 2 displays </w:t>
      </w:r>
      <w:r w:rsidR="00686CC0">
        <w:rPr>
          <w:rFonts w:ascii="Times New Roman" w:hAnsi="Times New Roman" w:cs="Times New Roman"/>
          <w:bCs/>
          <w:iCs/>
          <w:lang w:val="en-GB"/>
        </w:rPr>
        <w:t xml:space="preserve">estimates of </w:t>
      </w:r>
      <w:r w:rsidR="00B16F62">
        <w:rPr>
          <w:rFonts w:ascii="Times New Roman" w:hAnsi="Times New Roman" w:cs="Times New Roman"/>
          <w:bCs/>
          <w:iCs/>
          <w:lang w:val="en-GB"/>
        </w:rPr>
        <w:t>patient preferences for the global model</w:t>
      </w:r>
      <w:r w:rsidR="00C41045">
        <w:rPr>
          <w:rFonts w:ascii="Times New Roman" w:hAnsi="Times New Roman" w:cs="Times New Roman"/>
          <w:bCs/>
          <w:iCs/>
          <w:lang w:val="en-GB"/>
        </w:rPr>
        <w:t xml:space="preserve">. </w:t>
      </w:r>
      <w:r w:rsidRPr="007D4E5D">
        <w:rPr>
          <w:rFonts w:ascii="Times New Roman" w:hAnsi="Times New Roman" w:cs="Times New Roman"/>
          <w:lang w:val="en-GB"/>
        </w:rPr>
        <w:t xml:space="preserve">Overall, patients </w:t>
      </w:r>
      <w:r w:rsidR="00686CC0">
        <w:rPr>
          <w:rFonts w:ascii="Times New Roman" w:hAnsi="Times New Roman" w:cs="Times New Roman"/>
          <w:lang w:val="en-GB"/>
        </w:rPr>
        <w:t>felt positively</w:t>
      </w:r>
      <w:r w:rsidRPr="007D4E5D">
        <w:rPr>
          <w:rFonts w:ascii="Times New Roman" w:hAnsi="Times New Roman" w:cs="Times New Roman"/>
          <w:lang w:val="en-GB"/>
        </w:rPr>
        <w:t xml:space="preserve"> </w:t>
      </w:r>
      <w:r w:rsidR="00686CC0">
        <w:rPr>
          <w:rFonts w:ascii="Times New Roman" w:hAnsi="Times New Roman" w:cs="Times New Roman"/>
          <w:lang w:val="en-GB"/>
        </w:rPr>
        <w:t>about</w:t>
      </w:r>
      <w:r w:rsidRPr="007D4E5D">
        <w:rPr>
          <w:rFonts w:ascii="Times New Roman" w:hAnsi="Times New Roman" w:cs="Times New Roman"/>
          <w:lang w:val="en-GB"/>
        </w:rPr>
        <w:t xml:space="preserve"> lifestyle </w:t>
      </w:r>
      <w:r w:rsidR="00C63E0D">
        <w:rPr>
          <w:rFonts w:ascii="Times New Roman" w:hAnsi="Times New Roman" w:cs="Times New Roman"/>
          <w:lang w:val="en-GB"/>
        </w:rPr>
        <w:t>behaviours</w:t>
      </w:r>
      <w:r w:rsidR="00C63E0D" w:rsidRPr="007D4E5D">
        <w:rPr>
          <w:rFonts w:ascii="Times New Roman" w:hAnsi="Times New Roman" w:cs="Times New Roman"/>
          <w:lang w:val="en-GB"/>
        </w:rPr>
        <w:t xml:space="preserve"> </w:t>
      </w:r>
      <w:r w:rsidRPr="007D4E5D">
        <w:rPr>
          <w:rFonts w:ascii="Times New Roman" w:hAnsi="Times New Roman" w:cs="Times New Roman"/>
          <w:lang w:val="en-GB"/>
        </w:rPr>
        <w:t xml:space="preserve">for preventing osteoporosis fractures (positive and significant coefficients of </w:t>
      </w:r>
      <w:r w:rsidR="006F7B9A">
        <w:rPr>
          <w:rFonts w:ascii="Times New Roman" w:hAnsi="Times New Roman" w:cs="Times New Roman"/>
          <w:lang w:val="en-GB"/>
        </w:rPr>
        <w:t xml:space="preserve">the </w:t>
      </w:r>
      <w:r w:rsidRPr="007D4E5D">
        <w:rPr>
          <w:rFonts w:ascii="Times New Roman" w:hAnsi="Times New Roman" w:cs="Times New Roman"/>
          <w:lang w:val="en-GB"/>
        </w:rPr>
        <w:t xml:space="preserve">constant in the global model as well as in all countries separately). </w:t>
      </w:r>
      <w:r w:rsidR="00192C55" w:rsidRPr="007D4E5D">
        <w:rPr>
          <w:rFonts w:ascii="Times New Roman" w:hAnsi="Times New Roman" w:cs="Times New Roman"/>
          <w:lang w:val="en-GB"/>
        </w:rPr>
        <w:t>Regarding</w:t>
      </w:r>
      <w:r w:rsidRPr="007D4E5D">
        <w:rPr>
          <w:rFonts w:ascii="Times New Roman" w:hAnsi="Times New Roman" w:cs="Times New Roman"/>
          <w:lang w:val="en-GB"/>
        </w:rPr>
        <w:t xml:space="preserve"> </w:t>
      </w:r>
      <w:r w:rsidR="00AE4AEF">
        <w:rPr>
          <w:rFonts w:ascii="Times New Roman" w:hAnsi="Times New Roman" w:cs="Times New Roman"/>
          <w:lang w:val="en-GB"/>
        </w:rPr>
        <w:t>specific</w:t>
      </w:r>
      <w:r w:rsidRPr="007D4E5D">
        <w:rPr>
          <w:rFonts w:ascii="Times New Roman" w:hAnsi="Times New Roman" w:cs="Times New Roman"/>
          <w:lang w:val="en-GB"/>
        </w:rPr>
        <w:t xml:space="preserve"> lifestyle</w:t>
      </w:r>
      <w:r w:rsidR="00AE4AEF">
        <w:rPr>
          <w:rFonts w:ascii="Times New Roman" w:hAnsi="Times New Roman" w:cs="Times New Roman"/>
          <w:lang w:val="en-GB"/>
        </w:rPr>
        <w:t xml:space="preserve"> behaviours</w:t>
      </w:r>
      <w:r w:rsidRPr="007D4E5D">
        <w:rPr>
          <w:rFonts w:ascii="Times New Roman" w:hAnsi="Times New Roman" w:cs="Times New Roman"/>
          <w:lang w:val="en-GB"/>
        </w:rPr>
        <w:t xml:space="preserve"> in all countries, patients preferred moderate physical activity (i.e., </w:t>
      </w:r>
      <w:r w:rsidRPr="007D4E5D">
        <w:rPr>
          <w:rFonts w:ascii="Times New Roman" w:hAnsi="Times New Roman" w:cs="Times New Roman"/>
          <w:bCs/>
          <w:iCs/>
          <w:lang w:val="en-GB"/>
        </w:rPr>
        <w:t>walking for 15-20 minutes, 1-2 times per week</w:t>
      </w:r>
      <w:r w:rsidRPr="007D4E5D">
        <w:rPr>
          <w:rFonts w:ascii="Times New Roman" w:hAnsi="Times New Roman" w:cs="Times New Roman"/>
          <w:lang w:val="en-GB"/>
        </w:rPr>
        <w:t xml:space="preserve">) compared with not involving physical activity in </w:t>
      </w:r>
      <w:r w:rsidR="00144427">
        <w:rPr>
          <w:rFonts w:ascii="Times New Roman" w:hAnsi="Times New Roman" w:cs="Times New Roman"/>
          <w:lang w:val="en-GB"/>
        </w:rPr>
        <w:t xml:space="preserve">a </w:t>
      </w:r>
      <w:r w:rsidRPr="007D4E5D">
        <w:rPr>
          <w:rFonts w:ascii="Times New Roman" w:hAnsi="Times New Roman" w:cs="Times New Roman"/>
          <w:lang w:val="en-GB"/>
        </w:rPr>
        <w:t xml:space="preserve">lifestyle package. However, patients were not prone to engage in </w:t>
      </w:r>
      <w:r w:rsidR="00144427">
        <w:rPr>
          <w:rFonts w:ascii="Times New Roman" w:hAnsi="Times New Roman" w:cs="Times New Roman"/>
          <w:lang w:val="en-GB"/>
        </w:rPr>
        <w:t xml:space="preserve">a </w:t>
      </w:r>
      <w:r w:rsidRPr="007D4E5D">
        <w:rPr>
          <w:rFonts w:ascii="Times New Roman" w:hAnsi="Times New Roman" w:cs="Times New Roman"/>
          <w:lang w:val="en-GB"/>
        </w:rPr>
        <w:t xml:space="preserve">high </w:t>
      </w:r>
      <w:r w:rsidR="00144427">
        <w:rPr>
          <w:rFonts w:ascii="Times New Roman" w:hAnsi="Times New Roman" w:cs="Times New Roman"/>
          <w:lang w:val="en-GB"/>
        </w:rPr>
        <w:t xml:space="preserve">level of </w:t>
      </w:r>
      <w:r w:rsidRPr="007D4E5D">
        <w:rPr>
          <w:rFonts w:ascii="Times New Roman" w:hAnsi="Times New Roman" w:cs="Times New Roman"/>
          <w:lang w:val="en-GB"/>
        </w:rPr>
        <w:t>physical activity (i.e.</w:t>
      </w:r>
      <w:r w:rsidR="00192C55">
        <w:rPr>
          <w:rFonts w:ascii="Times New Roman" w:hAnsi="Times New Roman" w:cs="Times New Roman"/>
          <w:lang w:val="en-GB"/>
        </w:rPr>
        <w:t>,</w:t>
      </w:r>
      <w:r w:rsidRPr="007D4E5D">
        <w:rPr>
          <w:rFonts w:ascii="Times New Roman" w:hAnsi="Times New Roman" w:cs="Times New Roman"/>
          <w:lang w:val="en-GB"/>
        </w:rPr>
        <w:t xml:space="preserve"> walking for 30-40 minutes, 3-4 times per week or equivalent). </w:t>
      </w:r>
      <w:r w:rsidR="00AE4AEF">
        <w:rPr>
          <w:rFonts w:ascii="Times New Roman" w:hAnsi="Times New Roman" w:cs="Times New Roman"/>
          <w:lang w:val="en-GB"/>
        </w:rPr>
        <w:t>Regarding dietary nutritional behaviour</w:t>
      </w:r>
      <w:r w:rsidRPr="007D4E5D">
        <w:rPr>
          <w:rFonts w:ascii="Times New Roman" w:hAnsi="Times New Roman" w:cs="Times New Roman"/>
          <w:lang w:val="en-GB"/>
        </w:rPr>
        <w:t>, patients in all countries preferred taking daily calcium and vitamin D tablets</w:t>
      </w:r>
      <w:r w:rsidR="000A62AA">
        <w:rPr>
          <w:rFonts w:ascii="Times New Roman" w:hAnsi="Times New Roman" w:cs="Times New Roman"/>
          <w:lang w:val="en-GB"/>
        </w:rPr>
        <w:t xml:space="preserve"> over </w:t>
      </w:r>
      <w:r w:rsidR="007D103C">
        <w:rPr>
          <w:rFonts w:ascii="Times New Roman" w:hAnsi="Times New Roman" w:cs="Times New Roman"/>
          <w:lang w:val="en-GB"/>
        </w:rPr>
        <w:t xml:space="preserve">ensuring </w:t>
      </w:r>
      <w:r w:rsidR="00144427">
        <w:rPr>
          <w:rFonts w:ascii="Times New Roman" w:hAnsi="Times New Roman" w:cs="Times New Roman"/>
          <w:lang w:val="en-GB"/>
        </w:rPr>
        <w:t>their diet was</w:t>
      </w:r>
      <w:r w:rsidR="007D103C">
        <w:rPr>
          <w:rFonts w:ascii="Times New Roman" w:hAnsi="Times New Roman" w:cs="Times New Roman"/>
          <w:lang w:val="en-GB"/>
        </w:rPr>
        <w:t xml:space="preserve"> rich in calcium and vitamin D. H</w:t>
      </w:r>
      <w:r w:rsidRPr="007D4E5D">
        <w:rPr>
          <w:rFonts w:ascii="Times New Roman" w:hAnsi="Times New Roman" w:cs="Times New Roman"/>
          <w:lang w:val="en-GB"/>
        </w:rPr>
        <w:t>owever, Irish, Belgian, Swiss, Dutch and Spanish patients were not prone to modify</w:t>
      </w:r>
      <w:r w:rsidR="00144427">
        <w:rPr>
          <w:rFonts w:ascii="Times New Roman" w:hAnsi="Times New Roman" w:cs="Times New Roman"/>
          <w:lang w:val="en-GB"/>
        </w:rPr>
        <w:t>ing</w:t>
      </w:r>
      <w:r w:rsidRPr="007D4E5D">
        <w:rPr>
          <w:rFonts w:ascii="Times New Roman" w:hAnsi="Times New Roman" w:cs="Times New Roman"/>
          <w:lang w:val="en-GB"/>
        </w:rPr>
        <w:t xml:space="preserve"> their nutrition (i.e.</w:t>
      </w:r>
      <w:r w:rsidR="00192C55">
        <w:rPr>
          <w:rFonts w:ascii="Times New Roman" w:hAnsi="Times New Roman" w:cs="Times New Roman"/>
          <w:lang w:val="en-GB"/>
        </w:rPr>
        <w:t>,</w:t>
      </w:r>
      <w:r w:rsidR="00144427">
        <w:rPr>
          <w:rFonts w:ascii="Times New Roman" w:hAnsi="Times New Roman" w:cs="Times New Roman"/>
          <w:lang w:val="en-GB"/>
        </w:rPr>
        <w:t xml:space="preserve"> a</w:t>
      </w:r>
      <w:r w:rsidRPr="007D4E5D">
        <w:rPr>
          <w:rFonts w:ascii="Times New Roman" w:hAnsi="Times New Roman" w:cs="Times New Roman"/>
          <w:lang w:val="en-GB"/>
        </w:rPr>
        <w:t xml:space="preserve"> diet rich in calcium and consumption of fish at least twice a week) </w:t>
      </w:r>
      <w:r w:rsidR="00144427">
        <w:rPr>
          <w:rFonts w:ascii="Times New Roman" w:hAnsi="Times New Roman" w:cs="Times New Roman"/>
          <w:lang w:val="en-GB"/>
        </w:rPr>
        <w:t xml:space="preserve">or to </w:t>
      </w:r>
      <w:r w:rsidRPr="007D4E5D">
        <w:rPr>
          <w:rFonts w:ascii="Times New Roman" w:hAnsi="Times New Roman" w:cs="Times New Roman"/>
          <w:lang w:val="en-GB"/>
        </w:rPr>
        <w:t>ensure</w:t>
      </w:r>
      <w:r w:rsidR="00144427">
        <w:rPr>
          <w:rFonts w:ascii="Times New Roman" w:hAnsi="Times New Roman" w:cs="Times New Roman"/>
          <w:lang w:val="en-GB"/>
        </w:rPr>
        <w:t xml:space="preserve"> exposure to sunlight</w:t>
      </w:r>
      <w:r w:rsidRPr="007D4E5D">
        <w:rPr>
          <w:rFonts w:ascii="Times New Roman" w:hAnsi="Times New Roman" w:cs="Times New Roman"/>
          <w:lang w:val="en-GB"/>
        </w:rPr>
        <w:t xml:space="preserve"> </w:t>
      </w:r>
      <w:r w:rsidR="00144427">
        <w:rPr>
          <w:rFonts w:ascii="Times New Roman" w:hAnsi="Times New Roman" w:cs="Times New Roman"/>
          <w:lang w:val="en-GB"/>
        </w:rPr>
        <w:t xml:space="preserve">for </w:t>
      </w:r>
      <w:r w:rsidR="00192C55" w:rsidRPr="007D4E5D">
        <w:rPr>
          <w:rFonts w:ascii="Times New Roman" w:hAnsi="Times New Roman" w:cs="Times New Roman"/>
          <w:lang w:val="en-GB"/>
        </w:rPr>
        <w:t>10–15-minute</w:t>
      </w:r>
      <w:r w:rsidR="00144427">
        <w:rPr>
          <w:rFonts w:ascii="Times New Roman" w:hAnsi="Times New Roman" w:cs="Times New Roman"/>
          <w:lang w:val="en-GB"/>
        </w:rPr>
        <w:t>s</w:t>
      </w:r>
      <w:r w:rsidRPr="007D4E5D">
        <w:rPr>
          <w:rFonts w:ascii="Times New Roman" w:hAnsi="Times New Roman" w:cs="Times New Roman"/>
          <w:lang w:val="en-GB"/>
        </w:rPr>
        <w:t xml:space="preserve"> daily. In </w:t>
      </w:r>
      <w:r w:rsidR="00144427">
        <w:rPr>
          <w:rFonts w:ascii="Times New Roman" w:hAnsi="Times New Roman" w:cs="Times New Roman"/>
          <w:lang w:val="en-GB"/>
        </w:rPr>
        <w:t>the UK</w:t>
      </w:r>
      <w:r w:rsidRPr="007D4E5D">
        <w:rPr>
          <w:rFonts w:ascii="Times New Roman" w:hAnsi="Times New Roman" w:cs="Times New Roman"/>
          <w:lang w:val="en-GB"/>
        </w:rPr>
        <w:t xml:space="preserve">, Belgium, and the Netherlands, we observed </w:t>
      </w:r>
      <w:r w:rsidR="00144427">
        <w:rPr>
          <w:rFonts w:ascii="Times New Roman" w:hAnsi="Times New Roman" w:cs="Times New Roman"/>
          <w:lang w:val="en-GB"/>
        </w:rPr>
        <w:t>that patients</w:t>
      </w:r>
      <w:r w:rsidRPr="007D4E5D">
        <w:rPr>
          <w:rFonts w:ascii="Times New Roman" w:hAnsi="Times New Roman" w:cs="Times New Roman"/>
          <w:lang w:val="en-GB"/>
        </w:rPr>
        <w:t xml:space="preserve"> inten</w:t>
      </w:r>
      <w:r w:rsidR="00144427">
        <w:rPr>
          <w:rFonts w:ascii="Times New Roman" w:hAnsi="Times New Roman" w:cs="Times New Roman"/>
          <w:lang w:val="en-GB"/>
        </w:rPr>
        <w:t>ded</w:t>
      </w:r>
      <w:r w:rsidRPr="007D4E5D">
        <w:rPr>
          <w:rFonts w:ascii="Times New Roman" w:hAnsi="Times New Roman" w:cs="Times New Roman"/>
          <w:lang w:val="en-GB"/>
        </w:rPr>
        <w:t xml:space="preserve"> to reduce their alcohol consumption and quit smoking. </w:t>
      </w:r>
      <w:r w:rsidR="00AE4AEF">
        <w:rPr>
          <w:rFonts w:ascii="Times New Roman" w:hAnsi="Times New Roman" w:cs="Times New Roman"/>
          <w:lang w:val="en-GB"/>
        </w:rPr>
        <w:t>As for healthy weight</w:t>
      </w:r>
      <w:r w:rsidRPr="007D4E5D">
        <w:rPr>
          <w:rFonts w:ascii="Times New Roman" w:hAnsi="Times New Roman" w:cs="Times New Roman"/>
          <w:lang w:val="en-GB"/>
        </w:rPr>
        <w:t xml:space="preserve">, patients in all countries showed their preference </w:t>
      </w:r>
      <w:r w:rsidR="00144427">
        <w:rPr>
          <w:rFonts w:ascii="Times New Roman" w:hAnsi="Times New Roman" w:cs="Times New Roman"/>
          <w:lang w:val="en-GB"/>
        </w:rPr>
        <w:t>for</w:t>
      </w:r>
      <w:r w:rsidRPr="007D4E5D">
        <w:rPr>
          <w:rFonts w:ascii="Times New Roman" w:hAnsi="Times New Roman" w:cs="Times New Roman"/>
          <w:lang w:val="en-GB"/>
        </w:rPr>
        <w:t xml:space="preserve"> </w:t>
      </w:r>
      <w:r w:rsidR="0073103E">
        <w:rPr>
          <w:rFonts w:ascii="Times New Roman" w:hAnsi="Times New Roman" w:cs="Times New Roman"/>
          <w:lang w:val="en-GB"/>
        </w:rPr>
        <w:t>maintaining</w:t>
      </w:r>
      <w:r w:rsidRPr="007D4E5D">
        <w:rPr>
          <w:rFonts w:ascii="Times New Roman" w:hAnsi="Times New Roman" w:cs="Times New Roman"/>
          <w:lang w:val="en-GB"/>
        </w:rPr>
        <w:t xml:space="preserve"> healthy body weight and avoid</w:t>
      </w:r>
      <w:r w:rsidR="0073103E">
        <w:rPr>
          <w:rFonts w:ascii="Times New Roman" w:hAnsi="Times New Roman" w:cs="Times New Roman"/>
          <w:lang w:val="en-GB"/>
        </w:rPr>
        <w:t>ing</w:t>
      </w:r>
      <w:r w:rsidRPr="007D4E5D">
        <w:rPr>
          <w:rFonts w:ascii="Times New Roman" w:hAnsi="Times New Roman" w:cs="Times New Roman"/>
          <w:lang w:val="en-GB"/>
        </w:rPr>
        <w:t xml:space="preserve"> becoming overweight or underweight. </w:t>
      </w:r>
      <w:r w:rsidR="00AE4AEF">
        <w:rPr>
          <w:rFonts w:ascii="Times New Roman" w:hAnsi="Times New Roman" w:cs="Times New Roman"/>
          <w:lang w:val="en-GB"/>
        </w:rPr>
        <w:t>Finally</w:t>
      </w:r>
      <w:r w:rsidRPr="007D4E5D">
        <w:rPr>
          <w:rFonts w:ascii="Times New Roman" w:hAnsi="Times New Roman" w:cs="Times New Roman"/>
          <w:lang w:val="en-GB"/>
        </w:rPr>
        <w:t xml:space="preserve">, patients </w:t>
      </w:r>
      <w:r w:rsidR="000A62AA">
        <w:rPr>
          <w:rFonts w:ascii="Times New Roman" w:hAnsi="Times New Roman" w:cs="Times New Roman"/>
          <w:lang w:val="en-GB"/>
        </w:rPr>
        <w:t>from</w:t>
      </w:r>
      <w:r w:rsidR="000A62AA" w:rsidRPr="007D4E5D">
        <w:rPr>
          <w:rFonts w:ascii="Times New Roman" w:hAnsi="Times New Roman" w:cs="Times New Roman"/>
          <w:lang w:val="en-GB"/>
        </w:rPr>
        <w:t xml:space="preserve"> Belgium, the Netherlands, Spain and Switzerland </w:t>
      </w:r>
      <w:r w:rsidRPr="007D4E5D">
        <w:rPr>
          <w:rFonts w:ascii="Times New Roman" w:hAnsi="Times New Roman" w:cs="Times New Roman"/>
          <w:lang w:val="en-GB"/>
        </w:rPr>
        <w:t xml:space="preserve">were </w:t>
      </w:r>
      <w:r w:rsidR="000A62AA">
        <w:rPr>
          <w:rFonts w:ascii="Times New Roman" w:hAnsi="Times New Roman" w:cs="Times New Roman"/>
          <w:lang w:val="en-GB"/>
        </w:rPr>
        <w:t>n</w:t>
      </w:r>
      <w:r w:rsidR="0073103E">
        <w:rPr>
          <w:rFonts w:ascii="Times New Roman" w:hAnsi="Times New Roman" w:cs="Times New Roman"/>
          <w:lang w:val="en-GB"/>
        </w:rPr>
        <w:t>ot</w:t>
      </w:r>
      <w:r w:rsidR="000A62AA">
        <w:rPr>
          <w:rFonts w:ascii="Times New Roman" w:hAnsi="Times New Roman" w:cs="Times New Roman"/>
          <w:lang w:val="en-GB"/>
        </w:rPr>
        <w:t xml:space="preserve"> </w:t>
      </w:r>
      <w:r w:rsidR="0073103E">
        <w:rPr>
          <w:rFonts w:ascii="Times New Roman" w:hAnsi="Times New Roman" w:cs="Times New Roman"/>
          <w:lang w:val="en-GB"/>
        </w:rPr>
        <w:t>willing</w:t>
      </w:r>
      <w:r w:rsidRPr="007D4E5D">
        <w:rPr>
          <w:rFonts w:ascii="Times New Roman" w:hAnsi="Times New Roman" w:cs="Times New Roman"/>
          <w:lang w:val="en-GB"/>
        </w:rPr>
        <w:t xml:space="preserve"> to receive a leaflet with general advice on avoiding falls nor to </w:t>
      </w:r>
      <w:r w:rsidR="0073103E">
        <w:rPr>
          <w:rFonts w:ascii="Times New Roman" w:hAnsi="Times New Roman" w:cs="Times New Roman"/>
          <w:lang w:val="en-GB"/>
        </w:rPr>
        <w:t>participate</w:t>
      </w:r>
      <w:r w:rsidR="000A1724">
        <w:rPr>
          <w:rFonts w:ascii="Times New Roman" w:hAnsi="Times New Roman" w:cs="Times New Roman"/>
          <w:lang w:val="en-GB"/>
        </w:rPr>
        <w:t xml:space="preserve"> </w:t>
      </w:r>
      <w:r w:rsidR="0073103E">
        <w:rPr>
          <w:rFonts w:ascii="Times New Roman" w:hAnsi="Times New Roman" w:cs="Times New Roman"/>
          <w:lang w:val="en-GB"/>
        </w:rPr>
        <w:t>in</w:t>
      </w:r>
      <w:r w:rsidR="000A1724" w:rsidRPr="007D4E5D">
        <w:rPr>
          <w:rFonts w:ascii="Times New Roman" w:hAnsi="Times New Roman" w:cs="Times New Roman"/>
          <w:lang w:val="en-GB"/>
        </w:rPr>
        <w:t xml:space="preserve"> </w:t>
      </w:r>
      <w:r w:rsidRPr="007D4E5D">
        <w:rPr>
          <w:rFonts w:ascii="Times New Roman" w:hAnsi="Times New Roman" w:cs="Times New Roman"/>
          <w:lang w:val="en-GB"/>
        </w:rPr>
        <w:t xml:space="preserve">a falls prevention program. </w:t>
      </w:r>
    </w:p>
    <w:p w14:paraId="0BDE9920" w14:textId="4AC05FDB" w:rsidR="00CF60A0" w:rsidRDefault="000A62AA" w:rsidP="00CF60A0">
      <w:pPr>
        <w:pStyle w:val="ListParagraph"/>
        <w:spacing w:after="0" w:line="360" w:lineRule="auto"/>
        <w:ind w:left="0"/>
        <w:jc w:val="both"/>
        <w:rPr>
          <w:rFonts w:ascii="Times New Roman" w:hAnsi="Times New Roman" w:cs="Times New Roman"/>
          <w:lang w:val="en-GB"/>
        </w:rPr>
      </w:pPr>
      <w:r>
        <w:rPr>
          <w:rFonts w:ascii="Times New Roman" w:hAnsi="Times New Roman" w:cs="Times New Roman"/>
          <w:lang w:val="en-GB"/>
        </w:rPr>
        <w:t xml:space="preserve">The relative importance of each attribute </w:t>
      </w:r>
      <w:r w:rsidR="00D6223E">
        <w:rPr>
          <w:rFonts w:ascii="Times New Roman" w:hAnsi="Times New Roman" w:cs="Times New Roman"/>
          <w:lang w:val="en-GB"/>
        </w:rPr>
        <w:t>is</w:t>
      </w:r>
      <w:r>
        <w:rPr>
          <w:rFonts w:ascii="Times New Roman" w:hAnsi="Times New Roman" w:cs="Times New Roman"/>
          <w:lang w:val="en-GB"/>
        </w:rPr>
        <w:t xml:space="preserve"> reported in </w:t>
      </w:r>
      <w:r w:rsidR="00FE0B5B">
        <w:rPr>
          <w:rFonts w:ascii="Times New Roman" w:hAnsi="Times New Roman" w:cs="Times New Roman"/>
          <w:lang w:val="en-GB"/>
        </w:rPr>
        <w:t>F</w:t>
      </w:r>
      <w:r w:rsidR="0060105D">
        <w:rPr>
          <w:rFonts w:ascii="Times New Roman" w:hAnsi="Times New Roman" w:cs="Times New Roman"/>
          <w:lang w:val="en-GB"/>
        </w:rPr>
        <w:t xml:space="preserve">igure </w:t>
      </w:r>
      <w:r w:rsidR="00B16F62">
        <w:rPr>
          <w:rFonts w:ascii="Times New Roman" w:hAnsi="Times New Roman" w:cs="Times New Roman"/>
          <w:lang w:val="en-GB"/>
        </w:rPr>
        <w:t>3</w:t>
      </w:r>
      <w:r w:rsidR="0060105D">
        <w:rPr>
          <w:rFonts w:ascii="Times New Roman" w:hAnsi="Times New Roman" w:cs="Times New Roman"/>
          <w:lang w:val="en-GB"/>
        </w:rPr>
        <w:t xml:space="preserve"> </w:t>
      </w:r>
      <w:r w:rsidR="00D6223E">
        <w:rPr>
          <w:rFonts w:ascii="Times New Roman" w:hAnsi="Times New Roman" w:cs="Times New Roman"/>
          <w:lang w:val="en-GB"/>
        </w:rPr>
        <w:t xml:space="preserve">overall and </w:t>
      </w:r>
      <w:r w:rsidR="00CF60A0" w:rsidRPr="007D4E5D">
        <w:rPr>
          <w:rFonts w:ascii="Times New Roman" w:hAnsi="Times New Roman" w:cs="Times New Roman"/>
          <w:lang w:val="en-GB"/>
        </w:rPr>
        <w:t>by country</w:t>
      </w:r>
      <w:r w:rsidR="00C245C7">
        <w:rPr>
          <w:rFonts w:ascii="Times New Roman" w:hAnsi="Times New Roman" w:cs="Times New Roman"/>
          <w:lang w:val="en-GB"/>
        </w:rPr>
        <w:t>,</w:t>
      </w:r>
      <w:r w:rsidR="00CF60A0" w:rsidRPr="007D4E5D">
        <w:rPr>
          <w:rFonts w:ascii="Times New Roman" w:hAnsi="Times New Roman" w:cs="Times New Roman"/>
          <w:lang w:val="en-GB"/>
        </w:rPr>
        <w:t xml:space="preserve"> </w:t>
      </w:r>
      <w:r w:rsidR="00D6223E">
        <w:rPr>
          <w:rFonts w:ascii="Times New Roman" w:hAnsi="Times New Roman" w:cs="Times New Roman"/>
          <w:lang w:val="en-GB"/>
        </w:rPr>
        <w:t>where</w:t>
      </w:r>
      <w:r w:rsidR="00C245C7">
        <w:rPr>
          <w:rFonts w:ascii="Times New Roman" w:hAnsi="Times New Roman" w:cs="Times New Roman"/>
          <w:lang w:val="en-GB"/>
        </w:rPr>
        <w:t xml:space="preserve"> </w:t>
      </w:r>
      <w:r w:rsidR="00D6223E">
        <w:rPr>
          <w:rFonts w:ascii="Times New Roman" w:hAnsi="Times New Roman" w:cs="Times New Roman"/>
          <w:lang w:val="en-GB"/>
        </w:rPr>
        <w:t>in all countries except Ireland,</w:t>
      </w:r>
      <w:r w:rsidR="0060105D">
        <w:rPr>
          <w:rFonts w:ascii="Times New Roman" w:hAnsi="Times New Roman" w:cs="Times New Roman"/>
          <w:lang w:val="en-GB"/>
        </w:rPr>
        <w:t xml:space="preserve"> </w:t>
      </w:r>
      <w:r w:rsidR="00CF60A0" w:rsidRPr="007D4E5D">
        <w:rPr>
          <w:rFonts w:ascii="Times New Roman" w:hAnsi="Times New Roman" w:cs="Times New Roman"/>
          <w:lang w:val="en-GB"/>
        </w:rPr>
        <w:t>physical activity, fall prevention and calcium/vitamin D status were the top three important attributes.</w:t>
      </w:r>
    </w:p>
    <w:p w14:paraId="0D9772A4" w14:textId="77777777" w:rsidR="00C245C7" w:rsidRPr="007D4E5D" w:rsidRDefault="00C245C7" w:rsidP="00CF60A0">
      <w:pPr>
        <w:pStyle w:val="ListParagraph"/>
        <w:spacing w:after="0" w:line="360" w:lineRule="auto"/>
        <w:ind w:left="0"/>
        <w:jc w:val="both"/>
        <w:rPr>
          <w:rFonts w:ascii="Times New Roman" w:hAnsi="Times New Roman" w:cs="Times New Roman"/>
          <w:lang w:val="en-GB"/>
        </w:rPr>
      </w:pPr>
    </w:p>
    <w:p w14:paraId="709E9ED7" w14:textId="77777777" w:rsidR="004E45AB" w:rsidRDefault="004E45AB">
      <w:pPr>
        <w:rPr>
          <w:rFonts w:ascii="Times New Roman" w:hAnsi="Times New Roman" w:cs="Times New Roman"/>
          <w:b/>
          <w:bCs/>
          <w:lang w:val="en-GB"/>
        </w:rPr>
      </w:pPr>
      <w:r>
        <w:rPr>
          <w:rFonts w:ascii="Times New Roman" w:hAnsi="Times New Roman" w:cs="Times New Roman"/>
          <w:b/>
          <w:bCs/>
          <w:lang w:val="en-GB"/>
        </w:rPr>
        <w:t>Subgroup analyses</w:t>
      </w:r>
    </w:p>
    <w:p w14:paraId="0A2226CD" w14:textId="183F85E2" w:rsidR="0038590D" w:rsidRPr="007D4E5D" w:rsidRDefault="0038590D" w:rsidP="0038590D">
      <w:pPr>
        <w:pStyle w:val="ListParagraph"/>
        <w:spacing w:after="0" w:line="360" w:lineRule="auto"/>
        <w:ind w:left="0"/>
        <w:jc w:val="both"/>
        <w:rPr>
          <w:rFonts w:ascii="Times New Roman" w:hAnsi="Times New Roman" w:cs="Times New Roman"/>
          <w:lang w:val="en-GB"/>
        </w:rPr>
      </w:pPr>
      <w:r w:rsidRPr="0038590D">
        <w:rPr>
          <w:rFonts w:ascii="Times New Roman" w:hAnsi="Times New Roman" w:cs="Times New Roman"/>
          <w:lang w:val="en-GB"/>
        </w:rPr>
        <w:t xml:space="preserve">Subgroup analyses revealed no significant influence of </w:t>
      </w:r>
      <w:r w:rsidR="00C245C7">
        <w:rPr>
          <w:rFonts w:ascii="Times New Roman" w:hAnsi="Times New Roman" w:cs="Times New Roman"/>
          <w:lang w:val="en-GB"/>
        </w:rPr>
        <w:t>gender</w:t>
      </w:r>
      <w:r w:rsidRPr="0038590D">
        <w:rPr>
          <w:rFonts w:ascii="Times New Roman" w:hAnsi="Times New Roman" w:cs="Times New Roman"/>
          <w:lang w:val="en-GB"/>
        </w:rPr>
        <w:t xml:space="preserve">, history of fracture and treatment of osteoporosis on </w:t>
      </w:r>
      <w:r w:rsidRPr="007D4E5D">
        <w:rPr>
          <w:rFonts w:ascii="Times New Roman" w:hAnsi="Times New Roman" w:cs="Times New Roman"/>
          <w:lang w:val="en-GB"/>
        </w:rPr>
        <w:t xml:space="preserve">patient preference </w:t>
      </w:r>
      <w:r w:rsidR="00C245C7">
        <w:rPr>
          <w:rFonts w:ascii="Times New Roman" w:hAnsi="Times New Roman" w:cs="Times New Roman"/>
          <w:lang w:val="en-GB"/>
        </w:rPr>
        <w:t>f</w:t>
      </w:r>
      <w:r w:rsidRPr="007D4E5D">
        <w:rPr>
          <w:rFonts w:ascii="Times New Roman" w:hAnsi="Times New Roman" w:cs="Times New Roman"/>
          <w:lang w:val="en-GB"/>
        </w:rPr>
        <w:t>o</w:t>
      </w:r>
      <w:r w:rsidR="00C245C7">
        <w:rPr>
          <w:rFonts w:ascii="Times New Roman" w:hAnsi="Times New Roman" w:cs="Times New Roman"/>
          <w:lang w:val="en-GB"/>
        </w:rPr>
        <w:t>r</w:t>
      </w:r>
      <w:r w:rsidRPr="007D4E5D">
        <w:rPr>
          <w:rFonts w:ascii="Times New Roman" w:hAnsi="Times New Roman" w:cs="Times New Roman"/>
          <w:lang w:val="en-GB"/>
        </w:rPr>
        <w:t xml:space="preserve"> adopt</w:t>
      </w:r>
      <w:r w:rsidR="00C245C7">
        <w:rPr>
          <w:rFonts w:ascii="Times New Roman" w:hAnsi="Times New Roman" w:cs="Times New Roman"/>
          <w:lang w:val="en-GB"/>
        </w:rPr>
        <w:t>ing</w:t>
      </w:r>
      <w:r w:rsidRPr="007D4E5D">
        <w:rPr>
          <w:rFonts w:ascii="Times New Roman" w:hAnsi="Times New Roman" w:cs="Times New Roman"/>
          <w:lang w:val="en-GB"/>
        </w:rPr>
        <w:t xml:space="preserve"> lifestyle changes to prevent osteoporotic fractures. </w:t>
      </w:r>
      <w:r>
        <w:rPr>
          <w:rFonts w:ascii="Times New Roman" w:hAnsi="Times New Roman" w:cs="Times New Roman"/>
          <w:lang w:val="en-GB"/>
        </w:rPr>
        <w:t xml:space="preserve">However, patients with a </w:t>
      </w:r>
      <w:r w:rsidR="00C245C7">
        <w:rPr>
          <w:rFonts w:ascii="Times New Roman" w:hAnsi="Times New Roman" w:cs="Times New Roman"/>
          <w:lang w:val="en-GB"/>
        </w:rPr>
        <w:t xml:space="preserve">diagnosis </w:t>
      </w:r>
      <w:r>
        <w:rPr>
          <w:rFonts w:ascii="Times New Roman" w:hAnsi="Times New Roman" w:cs="Times New Roman"/>
          <w:lang w:val="en-GB"/>
        </w:rPr>
        <w:t xml:space="preserve">of osteoporosis and patients aged 65 years or older were less prone to follow a lifestyle program </w:t>
      </w:r>
      <w:r w:rsidR="00B5039A">
        <w:rPr>
          <w:rFonts w:ascii="Times New Roman" w:hAnsi="Times New Roman" w:cs="Times New Roman"/>
          <w:lang w:val="en-GB"/>
        </w:rPr>
        <w:t xml:space="preserve">(p=0.03 and p&lt;0.001 respectively) </w:t>
      </w:r>
      <w:r>
        <w:rPr>
          <w:rFonts w:ascii="Times New Roman" w:hAnsi="Times New Roman" w:cs="Times New Roman"/>
          <w:lang w:val="en-GB"/>
        </w:rPr>
        <w:t xml:space="preserve">(Appendix 2). </w:t>
      </w:r>
    </w:p>
    <w:p w14:paraId="4AA0189D" w14:textId="11EAB7A4" w:rsidR="007D4E5D" w:rsidRPr="0038590D" w:rsidRDefault="007D4E5D">
      <w:pPr>
        <w:rPr>
          <w:rFonts w:ascii="Times New Roman" w:hAnsi="Times New Roman" w:cs="Times New Roman"/>
          <w:b/>
          <w:bCs/>
          <w:lang w:val="en-US"/>
        </w:rPr>
      </w:pPr>
      <w:r w:rsidRPr="0038590D">
        <w:rPr>
          <w:rFonts w:ascii="Times New Roman" w:hAnsi="Times New Roman" w:cs="Times New Roman"/>
          <w:b/>
          <w:bCs/>
          <w:lang w:val="en-US"/>
        </w:rPr>
        <w:br w:type="page"/>
      </w:r>
    </w:p>
    <w:p w14:paraId="75A515F9" w14:textId="712F5EFD" w:rsidR="00CF60A0" w:rsidRDefault="00CF60A0" w:rsidP="007D4E5D">
      <w:pPr>
        <w:spacing w:line="360" w:lineRule="auto"/>
        <w:jc w:val="both"/>
        <w:rPr>
          <w:rFonts w:ascii="Times New Roman" w:hAnsi="Times New Roman" w:cs="Times New Roman"/>
          <w:b/>
          <w:bCs/>
          <w:smallCaps/>
          <w:lang w:val="en-GB"/>
        </w:rPr>
      </w:pPr>
      <w:r w:rsidRPr="007D4E5D">
        <w:rPr>
          <w:rFonts w:ascii="Times New Roman" w:hAnsi="Times New Roman" w:cs="Times New Roman"/>
          <w:b/>
          <w:bCs/>
          <w:smallCaps/>
          <w:lang w:val="en-GB"/>
        </w:rPr>
        <w:t>Discussion</w:t>
      </w:r>
    </w:p>
    <w:p w14:paraId="51236049" w14:textId="44E50B22" w:rsidR="002F60FB" w:rsidRDefault="002F60FB" w:rsidP="002F60FB">
      <w:pPr>
        <w:spacing w:line="360" w:lineRule="auto"/>
        <w:jc w:val="both"/>
        <w:rPr>
          <w:rFonts w:ascii="Times New Roman" w:hAnsi="Times New Roman" w:cs="Times New Roman"/>
          <w:lang w:val="en-GB"/>
        </w:rPr>
      </w:pPr>
      <w:r>
        <w:rPr>
          <w:rFonts w:ascii="Times New Roman" w:hAnsi="Times New Roman" w:cs="Times New Roman"/>
          <w:lang w:val="en-GB"/>
        </w:rPr>
        <w:t xml:space="preserve">With this study, we show that globally, patients with or at risk </w:t>
      </w:r>
      <w:r w:rsidR="00B602C9">
        <w:rPr>
          <w:rFonts w:ascii="Times New Roman" w:hAnsi="Times New Roman" w:cs="Times New Roman"/>
          <w:lang w:val="en-GB"/>
        </w:rPr>
        <w:t>of</w:t>
      </w:r>
      <w:r>
        <w:rPr>
          <w:rFonts w:ascii="Times New Roman" w:hAnsi="Times New Roman" w:cs="Times New Roman"/>
          <w:lang w:val="en-GB"/>
        </w:rPr>
        <w:t xml:space="preserve"> osteoporosis </w:t>
      </w:r>
      <w:r w:rsidR="00B602C9">
        <w:rPr>
          <w:rFonts w:ascii="Times New Roman" w:hAnsi="Times New Roman" w:cs="Times New Roman"/>
          <w:lang w:val="en-GB"/>
        </w:rPr>
        <w:t>feel</w:t>
      </w:r>
      <w:r>
        <w:rPr>
          <w:rFonts w:ascii="Times New Roman" w:hAnsi="Times New Roman" w:cs="Times New Roman"/>
          <w:lang w:val="en-GB"/>
        </w:rPr>
        <w:t xml:space="preserve"> </w:t>
      </w:r>
      <w:r w:rsidR="00382585">
        <w:rPr>
          <w:rFonts w:ascii="Times New Roman" w:hAnsi="Times New Roman" w:cs="Times New Roman"/>
          <w:lang w:val="en-GB"/>
        </w:rPr>
        <w:t>positive</w:t>
      </w:r>
      <w:r w:rsidR="00B602C9">
        <w:rPr>
          <w:rFonts w:ascii="Times New Roman" w:hAnsi="Times New Roman" w:cs="Times New Roman"/>
          <w:lang w:val="en-GB"/>
        </w:rPr>
        <w:t>ly</w:t>
      </w:r>
      <w:r w:rsidR="00D73628">
        <w:rPr>
          <w:rFonts w:ascii="Times New Roman" w:hAnsi="Times New Roman" w:cs="Times New Roman"/>
          <w:lang w:val="en-GB"/>
        </w:rPr>
        <w:t>, in theory,</w:t>
      </w:r>
      <w:r>
        <w:rPr>
          <w:rFonts w:ascii="Times New Roman" w:hAnsi="Times New Roman" w:cs="Times New Roman"/>
          <w:lang w:val="en-GB"/>
        </w:rPr>
        <w:t xml:space="preserve"> to</w:t>
      </w:r>
      <w:r w:rsidR="00B602C9">
        <w:rPr>
          <w:rFonts w:ascii="Times New Roman" w:hAnsi="Times New Roman" w:cs="Times New Roman"/>
          <w:lang w:val="en-GB"/>
        </w:rPr>
        <w:t>ward</w:t>
      </w:r>
      <w:r>
        <w:rPr>
          <w:rFonts w:ascii="Times New Roman" w:hAnsi="Times New Roman" w:cs="Times New Roman"/>
          <w:lang w:val="en-GB"/>
        </w:rPr>
        <w:t xml:space="preserve"> undertak</w:t>
      </w:r>
      <w:r w:rsidR="00B602C9">
        <w:rPr>
          <w:rFonts w:ascii="Times New Roman" w:hAnsi="Times New Roman" w:cs="Times New Roman"/>
          <w:lang w:val="en-GB"/>
        </w:rPr>
        <w:t>ing</w:t>
      </w:r>
      <w:r>
        <w:rPr>
          <w:rFonts w:ascii="Times New Roman" w:hAnsi="Times New Roman" w:cs="Times New Roman"/>
          <w:lang w:val="en-GB"/>
        </w:rPr>
        <w:t xml:space="preserve"> lifestyle behaviour </w:t>
      </w:r>
      <w:r w:rsidR="00D6223E">
        <w:rPr>
          <w:rFonts w:ascii="Times New Roman" w:hAnsi="Times New Roman" w:cs="Times New Roman"/>
          <w:lang w:val="en-GB"/>
        </w:rPr>
        <w:t xml:space="preserve">actions </w:t>
      </w:r>
      <w:r w:rsidR="00B602C9">
        <w:rPr>
          <w:rFonts w:ascii="Times New Roman" w:hAnsi="Times New Roman" w:cs="Times New Roman"/>
          <w:lang w:val="en-GB"/>
        </w:rPr>
        <w:t>to</w:t>
      </w:r>
      <w:r>
        <w:rPr>
          <w:rFonts w:ascii="Times New Roman" w:hAnsi="Times New Roman" w:cs="Times New Roman"/>
          <w:lang w:val="en-GB"/>
        </w:rPr>
        <w:t xml:space="preserve"> prevent osteoporotic fracture. They are particularly </w:t>
      </w:r>
      <w:r w:rsidR="000830AC">
        <w:rPr>
          <w:rFonts w:ascii="Times New Roman" w:hAnsi="Times New Roman" w:cs="Times New Roman"/>
          <w:lang w:val="en-GB"/>
        </w:rPr>
        <w:t>positive about</w:t>
      </w:r>
      <w:r>
        <w:rPr>
          <w:rFonts w:ascii="Times New Roman" w:hAnsi="Times New Roman" w:cs="Times New Roman"/>
          <w:lang w:val="en-GB"/>
        </w:rPr>
        <w:t xml:space="preserve"> engag</w:t>
      </w:r>
      <w:r w:rsidR="000830AC">
        <w:rPr>
          <w:rFonts w:ascii="Times New Roman" w:hAnsi="Times New Roman" w:cs="Times New Roman"/>
          <w:lang w:val="en-GB"/>
        </w:rPr>
        <w:t>ing</w:t>
      </w:r>
      <w:r>
        <w:rPr>
          <w:rFonts w:ascii="Times New Roman" w:hAnsi="Times New Roman" w:cs="Times New Roman"/>
          <w:lang w:val="en-GB"/>
        </w:rPr>
        <w:t xml:space="preserve"> in </w:t>
      </w:r>
      <w:r w:rsidR="00D73628">
        <w:rPr>
          <w:rFonts w:ascii="Times New Roman" w:hAnsi="Times New Roman" w:cs="Times New Roman"/>
          <w:lang w:val="en-GB"/>
        </w:rPr>
        <w:t xml:space="preserve">light to </w:t>
      </w:r>
      <w:r>
        <w:rPr>
          <w:rFonts w:ascii="Times New Roman" w:hAnsi="Times New Roman" w:cs="Times New Roman"/>
          <w:lang w:val="en-GB"/>
        </w:rPr>
        <w:t>moderate physical activity, tak</w:t>
      </w:r>
      <w:r w:rsidR="000830AC">
        <w:rPr>
          <w:rFonts w:ascii="Times New Roman" w:hAnsi="Times New Roman" w:cs="Times New Roman"/>
          <w:lang w:val="en-GB"/>
        </w:rPr>
        <w:t>ing</w:t>
      </w:r>
      <w:r>
        <w:rPr>
          <w:rFonts w:ascii="Times New Roman" w:hAnsi="Times New Roman" w:cs="Times New Roman"/>
          <w:lang w:val="en-GB"/>
        </w:rPr>
        <w:t xml:space="preserve"> supplements of calcium or/and vitamin D</w:t>
      </w:r>
      <w:r w:rsidR="00D6223E">
        <w:rPr>
          <w:rFonts w:ascii="Times New Roman" w:hAnsi="Times New Roman" w:cs="Times New Roman"/>
          <w:lang w:val="en-GB"/>
        </w:rPr>
        <w:t>, reduc</w:t>
      </w:r>
      <w:r w:rsidR="000830AC">
        <w:rPr>
          <w:rFonts w:ascii="Times New Roman" w:hAnsi="Times New Roman" w:cs="Times New Roman"/>
          <w:lang w:val="en-GB"/>
        </w:rPr>
        <w:t>ing</w:t>
      </w:r>
      <w:r w:rsidR="00D6223E">
        <w:rPr>
          <w:rFonts w:ascii="Times New Roman" w:hAnsi="Times New Roman" w:cs="Times New Roman"/>
          <w:lang w:val="en-GB"/>
        </w:rPr>
        <w:t xml:space="preserve"> their alcohol consumption, </w:t>
      </w:r>
      <w:r>
        <w:rPr>
          <w:rFonts w:ascii="Times New Roman" w:hAnsi="Times New Roman" w:cs="Times New Roman"/>
          <w:lang w:val="en-GB"/>
        </w:rPr>
        <w:t>and maintain</w:t>
      </w:r>
      <w:r w:rsidR="000830AC">
        <w:rPr>
          <w:rFonts w:ascii="Times New Roman" w:hAnsi="Times New Roman" w:cs="Times New Roman"/>
          <w:lang w:val="en-GB"/>
        </w:rPr>
        <w:t>ing</w:t>
      </w:r>
      <w:r>
        <w:rPr>
          <w:rFonts w:ascii="Times New Roman" w:hAnsi="Times New Roman" w:cs="Times New Roman"/>
          <w:lang w:val="en-GB"/>
        </w:rPr>
        <w:t>/ensur</w:t>
      </w:r>
      <w:r w:rsidR="000830AC">
        <w:rPr>
          <w:rFonts w:ascii="Times New Roman" w:hAnsi="Times New Roman" w:cs="Times New Roman"/>
          <w:lang w:val="en-GB"/>
        </w:rPr>
        <w:t>ing</w:t>
      </w:r>
      <w:r>
        <w:rPr>
          <w:rFonts w:ascii="Times New Roman" w:hAnsi="Times New Roman" w:cs="Times New Roman"/>
          <w:lang w:val="en-GB"/>
        </w:rPr>
        <w:t xml:space="preserve"> a healthy body weight. However, they </w:t>
      </w:r>
      <w:r w:rsidR="00D73628">
        <w:rPr>
          <w:rFonts w:ascii="Times New Roman" w:hAnsi="Times New Roman" w:cs="Times New Roman"/>
          <w:lang w:val="en-GB"/>
        </w:rPr>
        <w:t>seem</w:t>
      </w:r>
      <w:r>
        <w:rPr>
          <w:rFonts w:ascii="Times New Roman" w:hAnsi="Times New Roman" w:cs="Times New Roman"/>
          <w:lang w:val="en-GB"/>
        </w:rPr>
        <w:t xml:space="preserve"> more recalcitrant </w:t>
      </w:r>
      <w:r w:rsidR="000830AC">
        <w:rPr>
          <w:rFonts w:ascii="Times New Roman" w:hAnsi="Times New Roman" w:cs="Times New Roman"/>
          <w:lang w:val="en-GB"/>
        </w:rPr>
        <w:t>about</w:t>
      </w:r>
      <w:r>
        <w:rPr>
          <w:rFonts w:ascii="Times New Roman" w:hAnsi="Times New Roman" w:cs="Times New Roman"/>
          <w:lang w:val="en-GB"/>
        </w:rPr>
        <w:t xml:space="preserve"> engag</w:t>
      </w:r>
      <w:r w:rsidR="000830AC">
        <w:rPr>
          <w:rFonts w:ascii="Times New Roman" w:hAnsi="Times New Roman" w:cs="Times New Roman"/>
          <w:lang w:val="en-GB"/>
        </w:rPr>
        <w:t>ing</w:t>
      </w:r>
      <w:r>
        <w:rPr>
          <w:rFonts w:ascii="Times New Roman" w:hAnsi="Times New Roman" w:cs="Times New Roman"/>
          <w:lang w:val="en-GB"/>
        </w:rPr>
        <w:t xml:space="preserve"> in </w:t>
      </w:r>
      <w:r w:rsidR="000830AC">
        <w:rPr>
          <w:rFonts w:ascii="Times New Roman" w:hAnsi="Times New Roman" w:cs="Times New Roman"/>
          <w:lang w:val="en-GB"/>
        </w:rPr>
        <w:t xml:space="preserve">a </w:t>
      </w:r>
      <w:r>
        <w:rPr>
          <w:rFonts w:ascii="Times New Roman" w:hAnsi="Times New Roman" w:cs="Times New Roman"/>
          <w:lang w:val="en-GB"/>
        </w:rPr>
        <w:t>higher level of physical activity (i.e.</w:t>
      </w:r>
      <w:r w:rsidR="00192C55">
        <w:rPr>
          <w:rFonts w:ascii="Times New Roman" w:hAnsi="Times New Roman" w:cs="Times New Roman"/>
          <w:lang w:val="en-GB"/>
        </w:rPr>
        <w:t>,</w:t>
      </w:r>
      <w:r>
        <w:rPr>
          <w:rFonts w:ascii="Times New Roman" w:hAnsi="Times New Roman" w:cs="Times New Roman"/>
          <w:lang w:val="en-GB"/>
        </w:rPr>
        <w:t xml:space="preserve"> walking for 30-40 minutes, 3-4 times per week),  </w:t>
      </w:r>
      <w:r w:rsidR="000A1724">
        <w:rPr>
          <w:rFonts w:ascii="Times New Roman" w:hAnsi="Times New Roman" w:cs="Times New Roman"/>
          <w:lang w:val="en-GB"/>
        </w:rPr>
        <w:t>adher</w:t>
      </w:r>
      <w:r w:rsidR="000830AC">
        <w:rPr>
          <w:rFonts w:ascii="Times New Roman" w:hAnsi="Times New Roman" w:cs="Times New Roman"/>
          <w:lang w:val="en-GB"/>
        </w:rPr>
        <w:t>ing</w:t>
      </w:r>
      <w:r w:rsidR="000A1724">
        <w:rPr>
          <w:rFonts w:ascii="Times New Roman" w:hAnsi="Times New Roman" w:cs="Times New Roman"/>
          <w:lang w:val="en-GB"/>
        </w:rPr>
        <w:t xml:space="preserve"> to </w:t>
      </w:r>
      <w:r>
        <w:rPr>
          <w:rFonts w:ascii="Times New Roman" w:hAnsi="Times New Roman" w:cs="Times New Roman"/>
          <w:lang w:val="en-GB"/>
        </w:rPr>
        <w:t>a diet rich in dairy products</w:t>
      </w:r>
      <w:r w:rsidR="00192DDF">
        <w:rPr>
          <w:rFonts w:ascii="Times New Roman" w:hAnsi="Times New Roman" w:cs="Times New Roman"/>
          <w:lang w:val="en-GB"/>
        </w:rPr>
        <w:t>,</w:t>
      </w:r>
      <w:r>
        <w:rPr>
          <w:rFonts w:ascii="Times New Roman" w:hAnsi="Times New Roman" w:cs="Times New Roman"/>
          <w:lang w:val="en-GB"/>
        </w:rPr>
        <w:t xml:space="preserve"> consum</w:t>
      </w:r>
      <w:r w:rsidR="000830AC">
        <w:rPr>
          <w:rFonts w:ascii="Times New Roman" w:hAnsi="Times New Roman" w:cs="Times New Roman"/>
          <w:lang w:val="en-GB"/>
        </w:rPr>
        <w:t>ing fish</w:t>
      </w:r>
      <w:r>
        <w:rPr>
          <w:rFonts w:ascii="Times New Roman" w:hAnsi="Times New Roman" w:cs="Times New Roman"/>
          <w:lang w:val="en-GB"/>
        </w:rPr>
        <w:t xml:space="preserve"> at least twice </w:t>
      </w:r>
      <w:r w:rsidR="000830AC">
        <w:rPr>
          <w:rFonts w:ascii="Times New Roman" w:hAnsi="Times New Roman" w:cs="Times New Roman"/>
          <w:lang w:val="en-GB"/>
        </w:rPr>
        <w:t>a</w:t>
      </w:r>
      <w:r>
        <w:rPr>
          <w:rFonts w:ascii="Times New Roman" w:hAnsi="Times New Roman" w:cs="Times New Roman"/>
          <w:lang w:val="en-GB"/>
        </w:rPr>
        <w:t xml:space="preserve"> week</w:t>
      </w:r>
      <w:r w:rsidR="00192DDF">
        <w:rPr>
          <w:rFonts w:ascii="Times New Roman" w:hAnsi="Times New Roman" w:cs="Times New Roman"/>
          <w:lang w:val="en-GB"/>
        </w:rPr>
        <w:t xml:space="preserve"> and ensur</w:t>
      </w:r>
      <w:r w:rsidR="000830AC">
        <w:rPr>
          <w:rFonts w:ascii="Times New Roman" w:hAnsi="Times New Roman" w:cs="Times New Roman"/>
          <w:lang w:val="en-GB"/>
        </w:rPr>
        <w:t>ing exposure to</w:t>
      </w:r>
      <w:r w:rsidR="00192DDF">
        <w:rPr>
          <w:rFonts w:ascii="Times New Roman" w:hAnsi="Times New Roman" w:cs="Times New Roman"/>
          <w:lang w:val="en-GB"/>
        </w:rPr>
        <w:t xml:space="preserve"> sunlight</w:t>
      </w:r>
      <w:r w:rsidR="000830AC">
        <w:rPr>
          <w:rFonts w:ascii="Times New Roman" w:hAnsi="Times New Roman" w:cs="Times New Roman"/>
          <w:lang w:val="en-GB"/>
        </w:rPr>
        <w:t xml:space="preserve"> for</w:t>
      </w:r>
      <w:r w:rsidR="00192DDF">
        <w:rPr>
          <w:rFonts w:ascii="Times New Roman" w:hAnsi="Times New Roman" w:cs="Times New Roman"/>
          <w:lang w:val="en-GB"/>
        </w:rPr>
        <w:t xml:space="preserve"> at least 15 minutes per day</w:t>
      </w:r>
      <w:r w:rsidR="000830AC">
        <w:rPr>
          <w:rFonts w:ascii="Times New Roman" w:hAnsi="Times New Roman" w:cs="Times New Roman"/>
          <w:lang w:val="en-GB"/>
        </w:rPr>
        <w:t>,</w:t>
      </w:r>
      <w:r w:rsidR="00192DDF">
        <w:rPr>
          <w:rFonts w:ascii="Times New Roman" w:hAnsi="Times New Roman" w:cs="Times New Roman"/>
          <w:lang w:val="en-GB"/>
        </w:rPr>
        <w:t xml:space="preserve"> as well as to </w:t>
      </w:r>
      <w:r w:rsidR="000830AC">
        <w:rPr>
          <w:rFonts w:ascii="Times New Roman" w:hAnsi="Times New Roman" w:cs="Times New Roman"/>
          <w:lang w:val="en-GB"/>
        </w:rPr>
        <w:t>participating in</w:t>
      </w:r>
      <w:r w:rsidR="000A1724">
        <w:rPr>
          <w:rFonts w:ascii="Times New Roman" w:hAnsi="Times New Roman" w:cs="Times New Roman"/>
          <w:lang w:val="en-GB"/>
        </w:rPr>
        <w:t xml:space="preserve"> </w:t>
      </w:r>
      <w:r w:rsidR="00192DDF">
        <w:rPr>
          <w:rFonts w:ascii="Times New Roman" w:hAnsi="Times New Roman" w:cs="Times New Roman"/>
          <w:lang w:val="en-GB"/>
        </w:rPr>
        <w:t xml:space="preserve">a one-day fall prevention program. </w:t>
      </w:r>
    </w:p>
    <w:p w14:paraId="415C07B9" w14:textId="30DE65F2" w:rsidR="002F60FB" w:rsidRDefault="001B2F33" w:rsidP="007D4E5D">
      <w:pPr>
        <w:spacing w:line="360" w:lineRule="auto"/>
        <w:jc w:val="both"/>
        <w:rPr>
          <w:rFonts w:ascii="Times New Roman" w:hAnsi="Times New Roman" w:cs="Times New Roman"/>
          <w:lang w:val="en-GB"/>
        </w:rPr>
      </w:pPr>
      <w:r>
        <w:rPr>
          <w:rFonts w:ascii="Times New Roman" w:hAnsi="Times New Roman" w:cs="Times New Roman"/>
          <w:lang w:val="en-GB"/>
        </w:rPr>
        <w:t>In international guidelines and recommendations for osteoporosis management</w:t>
      </w:r>
      <w:r w:rsidR="00404EF3">
        <w:rPr>
          <w:rFonts w:ascii="Times New Roman" w:hAnsi="Times New Roman" w:cs="Times New Roman"/>
          <w:lang w:val="en-GB"/>
        </w:rPr>
        <w:t xml:space="preserve"> </w:t>
      </w:r>
      <w:r w:rsidR="00D73628">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{"citationItems":[{"id":"ITEM-1","itemData":{"DOI":"10.1007/s00198-019-05104-5","ISSN":"14332965","PMID":"31388696","abstract":"Summary: Many patients at increased risk of fractures do not take their medication appropriately, resulting in a substantial decrease in the benefits of drug therapy. Improving medication adherence is urgently needed but remains laborious, given the numerous and multidimensional reasons for non-adherence, suggesting the need for measurement-guided, multifactorial and individualized solutions. Introduction: Poor adherence to medications is a major challenge in the treatment of osteoporosis. This paper aimed to provide an overview of the consequences, determinants and potential solutions to poor adherence and persistence to osteoporosis medication. Methods: A working group was organized by the European Society on Clinical and Economic Aspects of Osteoporosis, Osteoarthritis and Musculoskeletal diseases (ESCEO) to review consequences, determinants and potential solutions to adherence and to make recommendations for practice and further research. A systematic literature review and a face-to-face experts meeting were undertaken. Results: Medication non-adherence is associated with increased risk of fractures, leading to a substantial decrease in the clinical and economic benefits of drug therapy. Reasons for non-adherence are numerous and multidimensional for each patient, depending on the interplay of multiple factors, suggesting the need for multifactorial and individualized solutions. Few interventions have been shown to improve adherence or persistence to osteoporosis treatment. Promising actions include patient education with counselling, adherence monitoring with feedback and dose simplification including flexible dosing regimen. Recommendations for practice and further research were also provided. To adequately manage adherence, it is important to (1) understand the problem (initiation, implementation and/or persistence), (2) to measure adherence and (3) to identify the reason of non-adherence and fix it. Conclusion: These recommendations are intended for clinicians to manage adherence of their patients and to researchers and policy makers to design, facilitate and appropriately use adherence interventions.","author":[{"dropping-particle":"","family":"Hiligsmann","given":"M.","non-dropping-particle":"","parse-names":false,"suffix":""},{"dropping-particle":"","family":"Cornelissen","given":"D.","non-dropping-particle":"","parse-names":false,"suffix":""},{"dropping-particle":"","family":"Vrijens","given":"B.","non-dropping-particle":"","parse-names":false,"suffix":""},{"dropping-particle":"","family":"Abrahamsen","given":"B.","non-dropping-particle":"","parse-names":false,"suffix":""},{"dropping-particle":"","family":"Al-Daghri","given":"N.","non-dropping-particle":"","parse-names":false,"suffix":""},{"dropping-particle":"","family":"Biver","given":"E.","non-dropping-particle":"","parse-names":false,"suffix":""},{"dropping-particle":"","family":"Brandi","given":"M. L.","non-dropping-particle":"","parse-names":false,"suffix":""},{"dropping-particle":"","family":"Bruyère","given":"O.","non-dropping-particle":"","parse-names":false,"suffix":""},{"dropping-particle":"","family":"Burlet","given":"N.","non-dropping-particle":"","parse-names":false,"suffix":""},{"dropping-particle":"","family":"Cooper","given":"C.","non-dropping-particle":"","parse-names":false,"suffix":""},{"dropping-particle":"","family":"Cortet","given":"B.","non-dropping-particle":"","parse-names":false,"suffix":""},{"dropping-particle":"","family":"Dennison","given":"E.","non-dropping-particle":"","parse-names":false,"suffix":""},{"dropping-particle":"","family":"Diez-Perez","given":"A.","non-dropping-particle":"","parse-names":false,"suffix":""},{"dropping-particle":"","family":"Gasparik","given":"A.","non-dropping-particle":"","parse-names":false,"suffix":""},{"dropping-particle":"","family":"Grosso","given":"A.","non-dropping-particle":"","parse-names":false,"suffix":""},{"dropping-particle":"","family":"Hadji","given":"P.","non-dropping-particle":"","parse-names":false,"suffix":""},{"dropping-particle":"","family":"Halbout","given":"P.","non-dropping-particle":"","parse-names":false,"suffix":""},{"dropping-particle":"","family":"Kanis","given":"J. A.","non-dropping-particle":"","parse-names":false,"suffix":""},{"dropping-particle":"","family":"Kaufman","given":"J. M.","non-dropping-particle":"","parse-names":false,"suffix":""},{"dropping-particle":"","family":"Laslop","given":"A.","non-dropping-particle":"","parse-names":false,"suffix":""},{"dropping-particle":"","family":"Maggi","given":"S.","non-dropping-particle":"","parse-names":false,"suffix":""},{"dropping-particle":"","family":"Rizzoli","given":"R.","non-dropping-particle":"","parse-names":false,"suffix":""},{"dropping-particle":"","family":"Thomas","given":"T.","non-dropping-particle":"","parse-names":false,"suffix":""},{"dropping-particle":"","family":"Tuzun","given":"S.","non-dropping-particle":"","parse-names":false,"suffix":""},{"dropping-particle":"","family":"Vlaskovska","given":"M.","non-dropping-particle":"","parse-names":false,"suffix":""},{"dropping-particle":"","family":"Reginster","given":"J. Y.","non-dropping-particle":"","parse-names":false,"suffix":""}],"container-title":"Osteoporosis International","id":"ITEM-1","issue":"11","issued":{"date-parts":[["2019"]]},"page":"2155-2165","publisher":"Osteoporosis International","title":"Determinants, consequences and potential solutions to poor adherence to anti-osteoporosis treatment: results of an expert group meeting organized by the European Society for Clinical and Economic Aspects of Osteoporosis, Osteoarthritis and Musculoskeletal","type":"article-journal","volume":"30"},"uris":["http://www.mendeley.com/documents/?uuid=2eaa5d90-2660-4973-b65e-3ae1a260fa7a"]},{"id":"ITEM-2","itemData":{"DOI":"10.1007/s00198-018-4704-5","ISSN":"14332965","PMID":"30324412","abstract":"Summary: Guidance is provided in a European setting on the assessment and treatment of postmenopausal women at risk from fractures due to osteoporosis. Introduction: The International Osteoporosis Foundation and European Society for Clinical and Economic Aspects of Osteoporosis and Osteoarthritis published guidance for the diagnosis and management of osteoporosis in 2013. This manuscript updates these in a European setting. Methods: Systematic reviews were updated. Results: The following areas are reviewed: the role of bone mineral density measurement for the diagnosis of osteoporosis and assessment of fracture risk; general and pharmacological management of osteoporosis; monitoring of treatment; assessment of fracture risk; case-finding strategies; investigation of patients; health economics of treatment. The update includes new information on the evaluation of bone microstructure evaluation in facture risk assessment, the role of FRAX® and Fracture Liaison Services in secondary fracture prevention, long-term effects on fracture risk of dietary intakes, and increased fracture risk on stopping drug treatment. Conclusions: A platform is provided on which specific guidelines can be developed for national use.","author":[{"dropping-particle":"","family":"Kanis","given":"J. A.","non-dropping-particle":"","parse-names":false,"suffix":""},{"dropping-particle":"","family":"Cooper","given":"C.","non-dropping-particle":"","parse-names":false,"suffix":""},{"dropping-particle":"","family":"Rizzoli","given":"R.","non-dropping-particle":"","parse-names":false,"suffix":""},{"dropping-particle":"","family":"Reginster","given":"J. Y.","non-dropping-particle":"","parse-names":false,"suffix":""}],"container-title":"Osteoporosis International","id":"ITEM-2","issue":"1","issued":{"date-parts":[["2019","1","18"]]},"page":"3-44","publisher":"Osteoporos Int","title":"European guidance for the diagnosis and management of osteoporosis in postmenopausal women","type":"article-journal","volume":"30"},"uris":["http://www.mendeley.com/documents/?uuid=2fdb04cc-11f0-3463-96d7-62f99b18013b"]},{"id":"ITEM-3","itemData":{"DOI":"10.1007/s00223-018-00512-x","ISSN":"14320827","PMID":"30796490","abstract":"A guidance on the assessment and treatment of postmenopausal women at risk from fractures due to osteoporosis was recently published in Osteoporosis International as a joint effort of the International Osteoporosis Foundation and European Society for Clinical and Economic Aspects of Osteoporosis and Osteoarthritis (Kanis et al. in Osteoporos Int https://doi.org/10.1007/s00198-018-4704-5, 2018). This manuscript updates the previous guidelines document, published in 2013 (Kanis et al. in Osteoporos Int 24:23–57, 2013) and is written in a European perspective. The present article reports and summarizes the main recommendations included in this 2018 guidance document.","author":[{"dropping-particle":"","family":"Kanis","given":"J. A.","non-dropping-particle":"","parse-names":false,"suffix":""},{"dropping-particle":"","family":"Cooper","given":"C.","non-dropping-particle":"","parse-names":false,"suffix":""},{"dropping-particle":"","family":"Rizzoli","given":"R.","non-dropping-particle":"","parse-names":false,"suffix":""},{"dropping-particle":"","family":"Reginster","given":"J. Y.","non-dropping-particle":"","parse-names":false,"suffix":""}],"container-title":"Calcified Tissue International","id":"ITEM-3","issue":"3","issued":{"date-parts":[["2019","3","15"]]},"page":"235-238","publisher":"Calcif Tissue Int","title":"Executive summary of the European guidance for the diagnosis and management of osteoporosis in postmenopausal women","type":"article","volume":"104"},"uris":["http://www.mendeley.com/documents/?uuid=7c6597f8-a123-3ff8-9e88-347d7cc0a974"]},{"id":"ITEM-4","itemData":{"DOI":"10.4158/GL-2020-0524SUPPL","ISSN":"19342403","PMID":"32339028","abstract":"Objective: The development of these guidelines is sponsored by the American Association of Clinical Endocrinologists (AACE) Board of Directors and American College of Endocrinology (ACE) Board of Trustees and adheres with published AACE protocols for the standardized production of clinical practice guidelines (CPGs). Methods: Recommendations are based on diligent reviews of the clinical evidence with transparent incorporation of subjective factors, according to established AACE/ACE guidelines for guidelines protocols. Results: The Executive Summary of this 2020 updated guideline contains 52 recommendations: 21 Grade A (40%), 24 Grade B (46%), 7 Grade C (14%), and no Grade D (0%). These detailed, evidence-based recommendations allow for nuance-based clinical decision-making that addresses multiple aspects of real-world care of patients. The evidence base presented in the subsequent Appendix provides relevant supporting information for the Executive Summary recommendations. This update contains 368 citations: 123 (33.5%) evidence level (EL) 1 (highest), 132 (36%) EL 2 (intermediate), 20 (5.5%) EL 3 (weak), and 93 (25%) EL 4 (lowest). New or updated topics in this CPG include: clarifcation of the diagnosis of osteoporosis, stratifcation of the patient according to high-risk and veryhigh-risk features, a new dual-action therapy option, and transitions from therapeutic options. Conclusion: This guideline is a practical tool for endocrinologists, physicians in general, regulatory bodies, health-related organizations, and interested laypersons regarding the diagnosis, evaluation, and treatment of postmenopausal osteoporosis.","author":[{"dropping-particle":"","family":"Camacho","given":"Pauline M.","non-dropping-particle":"","parse-names":false,"suffix":""},{"dropping-particle":"","family":"Petak","given":"Steven M.","non-dropping-particle":"","parse-names":false,"suffix":""},{"dropping-particle":"","family":"Binkley","given":"Neil","non-dropping-particle":"","parse-names":false,"suffix":""},{"dropping-particle":"","family":"Diab","given":"Dima L.","non-dropping-particle":"","parse-names":false,"suffix":""},{"dropping-particle":"","family":"Eldeiry","given":"Leslie S.","non-dropping-particle":"","parse-names":false,"suffix":""},{"dropping-particle":"","family":"Farooki","given":"Azeez","non-dropping-particle":"","parse-names":false,"suffix":""},{"dropping-particle":"","family":"Harris","given":"Steven T.","non-dropping-particle":"","parse-names":false,"suffix":""},{"dropping-particle":"","family":"Hurley","given":"Daniel L.","non-dropping-particle":"","parse-names":false,"suffix":""},{"dropping-particle":"","family":"Kelly","given":"Jennifer","non-dropping-particle":"","parse-names":false,"suffix":""},{"dropping-particle":"","family":"Michael Lewiecki","given":"E.","non-dropping-particle":"","parse-names":false,"suffix":""},{"dropping-particle":"","family":"Pessah-Pollack","given":"Rachel","non-dropping-particle":"","parse-names":false,"suffix":""},{"dropping-particle":"","family":"McClung","given":"Michael","non-dropping-particle":"","parse-names":false,"suffix":""},{"dropping-particle":"","family":"Wimalawansa","given":"Sunil J.","non-dropping-particle":"","parse-names":false,"suffix":""},{"dropping-particle":"","family":"Watts","given":"Nelson B.","non-dropping-particle":"","parse-names":false,"suffix":""}],"container-title":"Endocrine Practice","id":"ITEM-4","issue":"s1","issued":{"date-parts":[["2020","5","15"]]},"page":"1-46","publisher":"Endocr Pract","title":"American association of clinical endocrinologists/American college of endocrinology clinical practice guidelines for the diagnosis and treatment of postmenopausal osteoporosis-2020 update","type":"article","volume":"26"},"uris":["http://www.mendeley.com/documents/?uuid=c4f597ec-9a94-35a0-9e86-6d36aa08d3ca"]},{"id":"ITEM-5","itemData":{"DOI":"10.1002/jbmr.3039","ISSN":"15234681","PMID":"27864889","abstract":"The American Society for Bone and Mineral Research and the United States National Osteoporosis Foundation (NOF) formed a working group to develop principles of goal-directed treatment and identify gaps that need to be filled to implement this approach. With goal-directed treatment, a treatment goal would first be established and choice of treatment determined by the probability of achieving that goal. Goals of treatment would be freedom from fracture, a T-score &gt; –2.5, which is above the NOF threshold for initiating treatment, or achievement of an estimated risk level below the threshold for initiating treatment. Progress toward reaching the patient's goal would be periodically and systematically assessed by estimating the patient's compliance with treatment, reviewing fracture history, repeating vertebral imaging when indicated, and repeating measurement of bone mineral density (BMD). Using these data, a decision would be made to stop, continue, or change therapy. Some of these approaches can now be applied to clinical practice. However, the application of goal-directed treatment cannot be fully achieved until medications are available that provide greater increases in BMD and greater reduction in fracture risk than those that are currently approved; only then can patients with very high fracture risk and very low BMD achieve such goals. Furthermore, assessing future fracture risk in patients on treatment requires a new assessment tool that accurately captures the change in fracture risk associated with treatment and should also be sensitive to the importance of recent fractures as predictors of imminent fracture risk. Lastly, evidence is needed to confirm that selecting and switching treatments to achieve goals reduces fracture risk more effectively than current standard care. © 2016 American Society for Bone and Mineral Research.","author":[{"dropping-particle":"","family":"Cummings","given":"Steven R.","non-dropping-particle":"","parse-names":false,"suffix":""},{"dropping-particle":"","family":"Cosman","given":"Felicia","non-dropping-particle":"","parse-names":false,"suffix":""},{"dropping-particle":"","family":"Lewiecki","given":"E. Michael","non-dropping-particle":"","parse-names":false,"suffix":""},{"dropping-particle":"","family":"Schousboe","given":"John T.","non-dropping-particle":"","parse-names":false,"suffix":""},{"dropping-particle":"","family":"Bauer","given":"Douglas C.","non-dropping-particle":"","parse-names":false,"suffix":""},{"dropping-particle":"","family":"Black","given":"Dennis M.","non-dropping-particle":"","parse-names":false,"suffix":""},{"dropping-particle":"","family":"Brown","given":"Thomas D.","non-dropping-particle":"","parse-names":false,"suffix":""},{"dropping-particle":"","family":"Cheung","given":"Angela M.","non-dropping-particle":"","parse-names":false,"suffix":""},{"dropping-particle":"","family":"Cody","given":"Kathleen","non-dropping-particle":"","parse-names":false,"suffix":""},{"dropping-particle":"","family":"Cooper","given":"Cyrus","non-dropping-particle":"","parse-names":false,"suffix":""},{"dropping-particle":"","family":"Diez-Perez","given":"Adolfo","non-dropping-particle":"","parse-names":false,"suffix":""},{"dropping-particle":"","family":"Eastell","given":"Richard","non-dropping-particle":"","parse-names":false,"suffix":""},{"dropping-particle":"","family":"Hadji","given":"Peyman","non-dropping-particle":"","parse-names":false,"suffix":""},{"dropping-particle":"","family":"Hosoi","given":"Takayuki","non-dropping-particle":"","parse-names":false,"suffix":""},{"dropping-particle":"","family":"Jan De Beur","given":"Suzanne","non-dropping-particle":"","parse-names":false,"suffix":""},{"dropping-particle":"","family":"Kagan","given":"Risa","non-dropping-particle":"","parse-names":false,"suffix":""},{"dropping-particle":"","family":"Kiel","given":"Douglas P.","non-dropping-particle":"","parse-names":false,"suffix":""},{"dropping-particle":"","family":"Reid","given":"Ian R.","non-dropping-particle":"","parse-names":false,"suffix":""},{"dropping-particle":"","family":"Solomon","given":"Daniel H.","non-dropping-particle":"","parse-names":false,"suffix":""},{"dropping-particle":"","family":"Randall","given":"Susan","non-dropping-particle":"","parse-names":false,"suffix":""}],"container-title":"Journal of Bone and Mineral Research","id":"ITEM-5","issue":"1","issued":{"date-parts":[["2017","1","1"]]},"page":"3-10","publisher":"J Bone Miner Res","title":"Goal-Directed Treatment for Osteoporosis: A Progress Report From the ASBMR-NOF Working Group on Goal-Directed Treatment for Osteoporosis","type":"article-journal","volume":"32"},"uris":["http://www.mendeley.com/documents/?uuid=f535c5da-6eb6-3c2a-9c91-112a2fbe6a9d"]},{"id":"ITEM-6","itemData":{"DOI":"10.1002/acr.23279","ISSN":"21514658","PMID":"28585410","abstract":"Objective: To develop recommendations for prevention and treatment of glucocorticoid-induced osteoporosis (GIOP). Methods: We conducted a systematic review to synthesize the evidence for the benefits and harms of GIOP prevention and treatment options. The Grading of Recommendations Assessment, Development and Evaluation methodology was used to rate the quality of evidence. We used a group consensus process to determine the final recommendations and grade their strength. The guideline addresses initial assessment and reassessment in patients beginning or continuing long-term (≥3 months) glucocorticoid (GC) treatment, as well as the relative benefits and harms of lifestyle modification and of calcium, vitamin D, bisphosphonate, raloxifene, teriparatide, and denosumab treatment in the general adult population receiving long-term GC treatment, as well as in special populations of long-term GC users. Results: Because of limited evidence regarding the benefits and harms of interventions in GC users, most recommendations in this guideline are conditional (uncertain balance between benefits and harms). Recommendations include treating only with calcium and vitamin D in adults at low fracture risk, treating with calcium and vitamin D plus an additional osteoporosis medication (oral bisphosphonate preferred) in adults at moderate-to-high fracture risk, continuing calcium plus vitamin D but switching from an oral bisphosphonate to another antifracture medication in adults in whom oral bisphosphonate treatment is not appropriate, and continuing oral bisphosphonate treatment or switching to another antifracture medication in adults who complete a planned oral bisphosphonate regimen but continue to receive GC treatment. Recommendations for special populations, including children, people with organ transplants, women of childbearing potential, and people receiving very high-dose GC treatment, are also made. Conclusion: This guideline provides direction for clinicians and patients making treatment decisions. Clinicians and patients should use a shared decision-making process that accounts for patients' values, preferences, and comorbidities. These recommendations should not be used to limit or deny access to therapies.","author":[{"dropping-particle":"","family":"Buckley","given":"Lenore","non-dropping-particle":"","parse-names":false,"suffix":""},{"dropping-particle":"","family":"Guyatt","given":"Gordon","non-dropping-particle":"","parse-names":false,"suffix":""},{"dropping-particle":"","family":"Fink","given":"Howard A.","non-dropping-particle":"","parse-names":false,"suffix":""},{"dropping-particle":"","family":"Cannon","given":"Michael","non-dropping-particle":"","parse-names":false,"suffix":""},{"dropping-particle":"","family":"Grossman","given":"Jennifer","non-dropping-particle":"","parse-names":false,"suffix":""},{"dropping-particle":"","family":"Hansen","given":"Karen E.","non-dropping-particle":"","parse-names":false,"suffix":""},{"dropping-particle":"","family":"Humphrey","given":"Mary Beth","non-dropping-particle":"","parse-names":false,"suffix":""},{"dropping-particle":"","family":"Lane","given":"Nancy E.","non-dropping-particle":"","parse-names":false,"suffix":""},{"dropping-particle":"","family":"Magrey","given":"Marina","non-dropping-particle":"","parse-names":false,"suffix":""},{"dropping-particle":"","family":"Miller","given":"Marc","non-dropping-particle":"","parse-names":false,"suffix":""},{"dropping-particle":"","family":"Morrison","given":"Lake","non-dropping-particle":"","parse-names":false,"suffix":""},{"dropping-particle":"","family":"Rao","given":"Madhumathi","non-dropping-particle":"","parse-names":false,"suffix":""},{"dropping-particle":"","family":"Byun Robinson","given":"Angela","non-dropping-particle":"","parse-names":false,"suffix":""},{"dropping-particle":"","family":"Saha","given":"Sumona","non-dropping-particle":"","parse-names":false,"suffix":""},{"dropping-particle":"","family":"Wolver","given":"Susan","non-dropping-particle":"","parse-names":false,"suffix":""},{"dropping-particle":"","family":"Bannuru","given":"Raveendhara R.","non-dropping-particle":"","parse-names":false,"suffix":""},{"dropping-particle":"","family":"Vaysbrot","given":"Elizaveta","non-dropping-particle":"","parse-names":false,"suffix":""},{"dropping-particle":"","family":"Osani","given":"Mikala","non-dropping-particle":"","parse-names":false,"suffix":""},{"dropping-particle":"","family":"Turgunbaev","given":"Marat","non-dropping-particle":"","parse-names":false,"suffix":""},{"dropping-particle":"","family":"Miller","given":"Amy S.","non-dropping-particle":"","parse-names":false,"suffix":""},{"dropping-particle":"","family":"McAlindon","given":"Timothy","non-dropping-particle":"","parse-names":false,"suffix":""}],"container-title":"Arthritis Care and Research","id":"ITEM-6","issue":"8","issued":{"date-parts":[["2017","8","1"]]},"page":"1095-1110","publisher":"Arthritis Care Res (Hoboken)","title":"2017 American College of Rheumatology Guideline for the Prevention and Treatment of Glucocorticoid-Induced Osteoporosis","type":"article-journal","volume":"69"},"uris":["http://www.mendeley.com/documents/?uuid=dfc5f89f-ad71-3466-88f0-0588603b3a32"]},{"id":"ITEM-7","itemData":{"DOI":"10.1007/s40520-021-01853-8","ISSN":"17208319","PMID":"33880736","abstract":"Aging and menopause are associated with morphological and functional changes which may lead to loss of muscle mass and therefore quality of life. Resistance training (RT) is an effective training mode to increase muscle mass. We reviewed the existing literature to identify studies implementing RT protocols and evaluating muscle hypertrophy exclusively in healthy, postmenopausal and elderly women. Participants’ age range was comprised between 50 and 80 years. The primary outcome observed was muscle hypertrophy. Fat mass was also evaluated, if available. PubMed and Web of Science were the screened database, and original articles written in English and published from 2000 up to 2020 were included. 26 articles were considered eligible and included. Quality assessment revealed a “moderate quality” of the included studies, however the majority of studies was able to reach level 4 of evidence and on overall grade of recommendation C. In total, data from 745 female participants subjected to different forms of resistance training were considered. Heterogeneity across studies was present regarding study design, intervention length (mean 16 weeks), training frequency (3 d/w), no. of exercises (n = 7.4) and participants’ age (65.8 ± 4.9 years). Small-to-moderate significant increases (k = 43; SMD = 0.44; 95% CI 0.28; 0.60; p &lt; 0.0001) of lean body mass were observed in post-menopausal and elderly women, regardless of age, intervention period, weekly training frequency and no. of exercises. No effects were noted for fat mass (k = 17; SMD = 0.27; 95% CI − 0.02; 0.55; p = 0.07). Studies need to concentrate on providing information regarding training parameters to more effectively counteract the effects of aging and menopause on skeletal muscle mass.","author":[{"dropping-particle":"","family":"Thomas","given":"Ewan","non-dropping-particle":"","parse-names":false,"suffix":""},{"dropping-particle":"","family":"Gentile","given":"Ambra","non-dropping-particle":"","parse-names":false,"suffix":""},{"dropping-particle":"","family":"Lakicevic","given":"Nemanja","non-dropping-particle":"","parse-names":false,"suffix":""},{"dropping-particle":"","family":"Moro","given":"Tatiana","non-dropping-particle":"","parse-names":false,"suffix":""},{"dropping-particle":"","family":"Bellafiore","given":"Marianna","non-dropping-particle":"","parse-names":false,"suffix":""},{"dropping-particle":"","family":"Paoli","given":"Antonio","non-dropping-particle":"","parse-names":false,"suffix":""},{"dropping-particle":"","family":"Drid","given":"Patrik","non-dropping-particle":"","parse-names":false,"suffix":""},{"dropping-particle":"","family":"Palma","given":"Antonio","non-dropping-particle":"","parse-names":false,"suffix":""},{"dropping-particle":"","family":"Bianco","given":"Antonino","non-dropping-particle":"","parse-names":false,"suffix":""}],"container-title":"Aging Clinical and Experimental Research","id":"ITEM-7","issued":{"date-parts":[["2021"]]},"publisher":"Aging Clin Exp Res","title":"The effect of resistance training programs on lean body mass in postmenopausal and elderly women: a meta-analysis of observational studies","type":"article"},"uris":["http://www.mendeley.com/documents/?uuid=a7976339-54cc-389c-9234-d52b521f7d66"]}],"mendeley":{"formattedCitation":"[6, 8–11, 27, 28]","plainTextFormattedCitation":"[6, 8–11, 27, 28]","previouslyFormattedCitation":"[6, 8–11, 27, 28]"},"properties":{"noteIndex":0},"schema":"https://github.com/citation-style-language/schema/raw/master/csl-citation.json"}</w:instrText>
      </w:r>
      <w:r w:rsidR="00D73628">
        <w:rPr>
          <w:rFonts w:ascii="Times New Roman" w:hAnsi="Times New Roman" w:cs="Times New Roman"/>
          <w:lang w:val="en-GB"/>
        </w:rPr>
        <w:fldChar w:fldCharType="separate"/>
      </w:r>
      <w:r w:rsidR="003066E4" w:rsidRPr="003066E4">
        <w:rPr>
          <w:rFonts w:ascii="Times New Roman" w:hAnsi="Times New Roman" w:cs="Times New Roman"/>
          <w:noProof/>
          <w:lang w:val="en-GB"/>
        </w:rPr>
        <w:t>[6, 8–11, 27, 28]</w:t>
      </w:r>
      <w:r w:rsidR="00D73628">
        <w:rPr>
          <w:rFonts w:ascii="Times New Roman" w:hAnsi="Times New Roman" w:cs="Times New Roman"/>
          <w:lang w:val="en-GB"/>
        </w:rPr>
        <w:fldChar w:fldCharType="end"/>
      </w:r>
      <w:r>
        <w:rPr>
          <w:rFonts w:ascii="Times New Roman" w:hAnsi="Times New Roman" w:cs="Times New Roman"/>
          <w:lang w:val="en-GB"/>
        </w:rPr>
        <w:t xml:space="preserve">, exercising is </w:t>
      </w:r>
      <w:r w:rsidR="00CC05E5">
        <w:rPr>
          <w:rFonts w:ascii="Times New Roman" w:hAnsi="Times New Roman" w:cs="Times New Roman"/>
          <w:lang w:val="en-GB"/>
        </w:rPr>
        <w:t xml:space="preserve">considered </w:t>
      </w:r>
      <w:r w:rsidR="00404EF3">
        <w:rPr>
          <w:rFonts w:ascii="Times New Roman" w:hAnsi="Times New Roman" w:cs="Times New Roman"/>
          <w:lang w:val="en-GB"/>
        </w:rPr>
        <w:t>to be</w:t>
      </w:r>
      <w:r w:rsidR="00CC05E5">
        <w:rPr>
          <w:rFonts w:ascii="Times New Roman" w:hAnsi="Times New Roman" w:cs="Times New Roman"/>
          <w:lang w:val="en-GB"/>
        </w:rPr>
        <w:t xml:space="preserve"> one of</w:t>
      </w:r>
      <w:r>
        <w:rPr>
          <w:rFonts w:ascii="Times New Roman" w:hAnsi="Times New Roman" w:cs="Times New Roman"/>
          <w:lang w:val="en-GB"/>
        </w:rPr>
        <w:t xml:space="preserve"> the best </w:t>
      </w:r>
      <w:r w:rsidR="001051F9">
        <w:rPr>
          <w:rFonts w:ascii="Times New Roman" w:hAnsi="Times New Roman" w:cs="Times New Roman"/>
          <w:lang w:val="en-GB"/>
        </w:rPr>
        <w:t>practices</w:t>
      </w:r>
      <w:r>
        <w:rPr>
          <w:rFonts w:ascii="Times New Roman" w:hAnsi="Times New Roman" w:cs="Times New Roman"/>
          <w:lang w:val="en-GB"/>
        </w:rPr>
        <w:t xml:space="preserve"> for managing osteoporosis</w:t>
      </w:r>
      <w:r w:rsidR="0060288C">
        <w:rPr>
          <w:rFonts w:ascii="Times New Roman" w:hAnsi="Times New Roman" w:cs="Times New Roman"/>
          <w:lang w:val="en-GB"/>
        </w:rPr>
        <w:t xml:space="preserve"> and preventing fractures</w:t>
      </w:r>
      <w:r>
        <w:rPr>
          <w:rFonts w:ascii="Times New Roman" w:hAnsi="Times New Roman" w:cs="Times New Roman"/>
          <w:lang w:val="en-GB"/>
        </w:rPr>
        <w:t xml:space="preserve">. </w:t>
      </w:r>
      <w:r w:rsidR="0021130D">
        <w:rPr>
          <w:rFonts w:ascii="Times New Roman" w:hAnsi="Times New Roman" w:cs="Times New Roman"/>
          <w:lang w:val="en-GB"/>
        </w:rPr>
        <w:t>A</w:t>
      </w:r>
      <w:r w:rsidR="005F684E">
        <w:rPr>
          <w:rFonts w:ascii="Times New Roman" w:hAnsi="Times New Roman" w:cs="Times New Roman"/>
          <w:lang w:val="en-GB"/>
        </w:rPr>
        <w:t>lthough</w:t>
      </w:r>
      <w:r w:rsidR="0021130D">
        <w:rPr>
          <w:rFonts w:ascii="Times New Roman" w:hAnsi="Times New Roman" w:cs="Times New Roman"/>
          <w:lang w:val="en-GB"/>
        </w:rPr>
        <w:t xml:space="preserve"> the benefits of exercising </w:t>
      </w:r>
      <w:r w:rsidR="00404EF3">
        <w:rPr>
          <w:rFonts w:ascii="Times New Roman" w:hAnsi="Times New Roman" w:cs="Times New Roman"/>
          <w:lang w:val="en-GB"/>
        </w:rPr>
        <w:t>are clear with regard to</w:t>
      </w:r>
      <w:r w:rsidR="00CC05E5">
        <w:rPr>
          <w:rFonts w:ascii="Times New Roman" w:hAnsi="Times New Roman" w:cs="Times New Roman"/>
          <w:lang w:val="en-GB"/>
        </w:rPr>
        <w:t xml:space="preserve"> osteoporosis</w:t>
      </w:r>
      <w:r w:rsidR="0021130D">
        <w:rPr>
          <w:rFonts w:ascii="Times New Roman" w:hAnsi="Times New Roman" w:cs="Times New Roman"/>
          <w:lang w:val="en-GB"/>
        </w:rPr>
        <w:t>, i</w:t>
      </w:r>
      <w:r>
        <w:rPr>
          <w:rFonts w:ascii="Times New Roman" w:hAnsi="Times New Roman" w:cs="Times New Roman"/>
          <w:lang w:val="en-GB"/>
        </w:rPr>
        <w:t xml:space="preserve">t is not surprising to </w:t>
      </w:r>
      <w:r w:rsidR="0021130D">
        <w:rPr>
          <w:rFonts w:ascii="Times New Roman" w:hAnsi="Times New Roman" w:cs="Times New Roman"/>
          <w:lang w:val="en-GB"/>
        </w:rPr>
        <w:t>observe, in our preference study,</w:t>
      </w:r>
      <w:r>
        <w:rPr>
          <w:rFonts w:ascii="Times New Roman" w:hAnsi="Times New Roman" w:cs="Times New Roman"/>
          <w:lang w:val="en-GB"/>
        </w:rPr>
        <w:t xml:space="preserve"> a positive intention </w:t>
      </w:r>
      <w:r w:rsidR="00CC05E5">
        <w:rPr>
          <w:rFonts w:ascii="Times New Roman" w:hAnsi="Times New Roman" w:cs="Times New Roman"/>
          <w:lang w:val="en-GB"/>
        </w:rPr>
        <w:t xml:space="preserve">from patients </w:t>
      </w:r>
      <w:r w:rsidR="00404EF3">
        <w:rPr>
          <w:rFonts w:ascii="Times New Roman" w:hAnsi="Times New Roman" w:cs="Times New Roman"/>
          <w:lang w:val="en-GB"/>
        </w:rPr>
        <w:t>to engage in</w:t>
      </w:r>
      <w:r>
        <w:rPr>
          <w:rFonts w:ascii="Times New Roman" w:hAnsi="Times New Roman" w:cs="Times New Roman"/>
          <w:lang w:val="en-GB"/>
        </w:rPr>
        <w:t xml:space="preserve"> light to moderate physical activity and a more negative intention </w:t>
      </w:r>
      <w:r w:rsidR="00404EF3">
        <w:rPr>
          <w:rFonts w:ascii="Times New Roman" w:hAnsi="Times New Roman" w:cs="Times New Roman"/>
          <w:lang w:val="en-GB"/>
        </w:rPr>
        <w:t>regarding a</w:t>
      </w:r>
      <w:r>
        <w:rPr>
          <w:rFonts w:ascii="Times New Roman" w:hAnsi="Times New Roman" w:cs="Times New Roman"/>
          <w:lang w:val="en-GB"/>
        </w:rPr>
        <w:t xml:space="preserve"> higher level of physical activity. Indeed, it</w:t>
      </w:r>
      <w:r w:rsidRPr="001B2F33">
        <w:rPr>
          <w:rFonts w:ascii="Times New Roman" w:hAnsi="Times New Roman" w:cs="Times New Roman"/>
          <w:lang w:val="en-GB"/>
        </w:rPr>
        <w:t xml:space="preserve"> is challenging for many people with </w:t>
      </w:r>
      <w:r w:rsidR="0060288C">
        <w:rPr>
          <w:rFonts w:ascii="Times New Roman" w:hAnsi="Times New Roman" w:cs="Times New Roman"/>
          <w:lang w:val="en-GB"/>
        </w:rPr>
        <w:t xml:space="preserve">or at risk of </w:t>
      </w:r>
      <w:r w:rsidRPr="001B2F33">
        <w:rPr>
          <w:rFonts w:ascii="Times New Roman" w:hAnsi="Times New Roman" w:cs="Times New Roman"/>
          <w:lang w:val="en-GB"/>
        </w:rPr>
        <w:t>osteoporosis to initiate and adhere to an exercise program</w:t>
      </w:r>
      <w:r w:rsidR="00404EF3">
        <w:rPr>
          <w:rFonts w:ascii="Times New Roman" w:hAnsi="Times New Roman" w:cs="Times New Roman"/>
          <w:lang w:val="en-GB"/>
        </w:rPr>
        <w:t xml:space="preserve"> </w:t>
      </w:r>
      <w:r w:rsidR="0021130D">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{"citationItems":[{"id":"ITEM-1","itemData":{"DOI":"10.1016/j.bone.2016.04.019","ISSN":"87563282","PMID":"27108341","abstract":"Due to older people's low sports participation rates, exercise frequency may be the most critical component for designing exercise protocols that address bone. The aims of the present article were to determine the independent effect of exercise frequency (ExFreq) and its corresponding changes on bone mineral density (BMD) and to identify the minimum effective dose that just relevantly affects bone.Based on the 16-year follow-up of the intense, consistently supervised Erlangen Fitness and Osteoporosis Prevention-Study, ExFreq was retrospectively determined in the exercise-group of 55 initially early-postmenopausal females with osteopenia. Linear mixed-effect regression analysis was conducted to determine the independent effect of ExFreq on BMD changes at lumbar spine and total hip. Minimum effective dose of ExFreq based on BMD changes less than the 90% quantile of the sedentary control-group (n = 43). Cut-offs were determined after 4, 8, 12 and 16 years using bootstrap with 5000 replications.After 16 years, average ExFreq ranged between 1.02 and 2.96 sessions/week (2.28 ± 0.40 sessions/week). ExFreq has an independent effect on LS-BMD (p &lt; .001) and hip-BMD (p = .005) changes. Bootstrap analysis detected a minimum effective dose at about 2 sessions/week/16 years (cut-off LS-BMD: 2.11, 95% CI: 2.06-2.12; total hip-BMD: 2.22, 95% CI: 2.00-2.78 sessions/week/16 years).In summary, the minimum effective dose of exercise frequency that relevantly addresses BMD is quite high, at least compared with the low sport participation rate of older adults. This result might not be generalizable across all exercise types, protocols and cohorts, but it does indicate at least that even when applying high impact/high intensity programs, exercise frequency and its maintenance play a key role in bone adaptation.","author":[{"dropping-particle":"","family":"Kemmler","given":"Wolfgang","non-dropping-particle":"","parse-names":false,"suffix":""},{"dropping-particle":"","family":"Stengel","given":"Simon","non-dropping-particle":"von","parse-names":false,"suffix":""},{"dropping-particle":"","family":"Kohl","given":"Matthias","non-dropping-particle":"","parse-names":false,"suffix":""}],"container-title":"Bone","id":"ITEM-1","issued":{"date-parts":[["2016","8","1"]]},"page":"1-6","publisher":"Bone","title":"Exercise frequency and bone mineral density development in exercising postmenopausal osteopenic women. Is there a critical dose of exercise for affecting bone? Results of the Erlangen Fitness and Osteoporosis Prevention Study","type":"article-journal","volume":"89"},"uris":["http://www.mendeley.com/documents/?uuid=fc0c2093-2007-3b8e-962d-6e7a6b072d0c"]},{"id":"ITEM-2","itemData":{"DOI":"10.1007/s11914-017-0407-7","ISSN":"15442241","PMID":"28975497","abstract":"Purpose of Review: Due to older people’s low sports participation rates, exercise frequency may be the most critical component for designing exercise protocols that address fracture risk. The aims of the present article were to review and summarize the independent effect of exercise frequency (ExFreq) on the main determinants of fracture prevention, i.e., bone strength, fall frequency, and fall impact in older adults. Recent Findings: Evidence collected last year suggests that there is a critical dose of ExFreq that just affects bone (i.e., BMD). Corresponding data for fall-related fracture risk are still sparse and inconsistent, however. Summary: The minimum effective dose (MED) of ExFreq that just favorably affects BMD at the lumbar spine and femoral neck has been found to vary between 2.1 and 2.5 sessions/week. Although this MED cannot necessarily be generalized to other cohorts, we speculate that this “critical exercise frequency” might not significantly vary among adult cohorts.","author":[{"dropping-particle":"","family":"Kemmler","given":"Wolfgang","non-dropping-particle":"","parse-names":false,"suffix":""},{"dropping-particle":"","family":"Stengel","given":"Simon","non-dropping-particle":"von","parse-names":false,"suffix":""},{"dropping-particle":"","family":"Kohl","given":"Matthias","non-dropping-particle":"","parse-names":false,"suffix":""}],"container-title":"Current Osteoporosis Reports","id":"ITEM-2","issue":"6","issued":{"date-parts":[["2017","12","1"]]},"page":"564-570","publisher":"Curr Osteoporos Rep","title":"Exercise Frequency and Fracture Risk in Older Adults—How Often Is Enough?","type":"article","volume":"15"},"uris":["http://www.mendeley.com/documents/?uuid=9cdd052f-6b89-3e01-8560-475889588088"]}],"mendeley":{"formattedCitation":"[29, 30]","plainTextFormattedCitation":"[29, 30]","previouslyFormattedCitation":"[29, 30]"},"properties":{"noteIndex":0},"schema":"https://github.com/citation-style-language/schema/raw/master/csl-citation.json"}</w:instrText>
      </w:r>
      <w:r w:rsidR="0021130D">
        <w:rPr>
          <w:rFonts w:ascii="Times New Roman" w:hAnsi="Times New Roman" w:cs="Times New Roman"/>
          <w:lang w:val="en-GB"/>
        </w:rPr>
        <w:fldChar w:fldCharType="separate"/>
      </w:r>
      <w:r w:rsidR="003066E4" w:rsidRPr="003066E4">
        <w:rPr>
          <w:rFonts w:ascii="Times New Roman" w:hAnsi="Times New Roman" w:cs="Times New Roman"/>
          <w:noProof/>
          <w:lang w:val="en-GB"/>
        </w:rPr>
        <w:t>[29, 30]</w:t>
      </w:r>
      <w:r w:rsidR="0021130D">
        <w:rPr>
          <w:rFonts w:ascii="Times New Roman" w:hAnsi="Times New Roman" w:cs="Times New Roman"/>
          <w:lang w:val="en-GB"/>
        </w:rPr>
        <w:fldChar w:fldCharType="end"/>
      </w:r>
      <w:r>
        <w:rPr>
          <w:rFonts w:ascii="Times New Roman" w:hAnsi="Times New Roman" w:cs="Times New Roman"/>
          <w:lang w:val="en-GB"/>
        </w:rPr>
        <w:t xml:space="preserve">. A recent survey investigated exercise preferences for people with osteoporosis </w:t>
      </w:r>
      <w:r w:rsidR="00CC05E5">
        <w:rPr>
          <w:rFonts w:ascii="Times New Roman" w:hAnsi="Times New Roman" w:cs="Times New Roman"/>
          <w:lang w:val="en-GB"/>
        </w:rPr>
        <w:t>and identified</w:t>
      </w:r>
      <w:r>
        <w:rPr>
          <w:rFonts w:ascii="Times New Roman" w:hAnsi="Times New Roman" w:cs="Times New Roman"/>
          <w:lang w:val="en-GB"/>
        </w:rPr>
        <w:t xml:space="preserve"> barriers and facilitators for such  preventive behaviours </w:t>
      </w:r>
      <w:r w:rsidR="00404EF3">
        <w:rPr>
          <w:rFonts w:ascii="Times New Roman" w:hAnsi="Times New Roman" w:cs="Times New Roman"/>
          <w:lang w:val="en-GB"/>
        </w:rPr>
        <w:t>with</w:t>
      </w:r>
      <w:r>
        <w:rPr>
          <w:rFonts w:ascii="Times New Roman" w:hAnsi="Times New Roman" w:cs="Times New Roman"/>
          <w:lang w:val="en-GB"/>
        </w:rPr>
        <w:t xml:space="preserve"> regard </w:t>
      </w:r>
      <w:r w:rsidR="00404EF3">
        <w:rPr>
          <w:rFonts w:ascii="Times New Roman" w:hAnsi="Times New Roman" w:cs="Times New Roman"/>
          <w:lang w:val="en-GB"/>
        </w:rPr>
        <w:t xml:space="preserve">to </w:t>
      </w:r>
      <w:r>
        <w:rPr>
          <w:rFonts w:ascii="Times New Roman" w:hAnsi="Times New Roman" w:cs="Times New Roman"/>
          <w:lang w:val="en-GB"/>
        </w:rPr>
        <w:t>osteoporotic fracture</w:t>
      </w:r>
      <w:r w:rsidR="00404EF3">
        <w:rPr>
          <w:rFonts w:ascii="Times New Roman" w:hAnsi="Times New Roman" w:cs="Times New Roman"/>
          <w:lang w:val="en-GB"/>
        </w:rPr>
        <w:t xml:space="preserve"> </w:t>
      </w:r>
      <w:r w:rsidR="009D5BE2">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{"citationItems":[{"id":"ITEM-1","itemData":{"DOI":"10.1249/01.mss.0000678400.39345.e8","ISSN":"0195-9131","abstract":"Purpose: It is challenging for many people with osteoporosis to initiate and adhere to an exercise program. Currently there is little evidence on exercise preferences of people with osteoporosis, yet these factors may contribute to improved exercise adherence. Therefore, this project surveyed patients with osteoporosis to understand their exercise preferences, barriers, needs, and goals. Methods: The Personalized Exercise Questionnaire (PEQ) was used to gain insight into the barriers, facilitators, and goals related to exercise. Participants were recruited from a subspecialty metabolic bone disorder clinic, within the Greater Toronto Area, in Ontario, with a large population of osteoporotic patients. Data collection took place, inside the clinic, Results: Data on a total of 287 surveys were collected. The sample was 90% female with a mean age of 67 (SD: 10.7) years. Most participants preferred to exercise in the morning (n=208, 75%), on their own time (n=180, 65%), with exercise that were easy to perform (n=151, 55%), slow paced (n=133, 48%), and easy to remember (n=117, 43%). Home (n=171, 62%) was the most preferred location to exercise. The most important goal for the participants was to improve strength (n=241, 84%) and the least important goal was to reduce falls (n=129, 45%). Time was the most common barrier reported in 30% of participants and followed by pain in 23% of the participants. Conclusion: This study provides insight into participant preferences for exercise. The major finding was between men and women were where they preferred to exercise. Men preferred to exercise at home or at the gym, and women preferred to exercise at home or outdoors.","author":[{"dropping-particle":"","family":"Ziebart","given":"Christina","non-dropping-particle":"","parse-names":false,"suffix":""},{"dropping-particle":"","family":"MacDermid","given":"Joy","non-dropping-particle":"","parse-names":false,"suffix":""},{"dropping-particle":"","family":"Szekeres","given":"Mike","non-dropping-particle":"","parse-names":false,"suffix":""},{"dropping-particle":"","family":"Suh","given":"Nina","non-dropping-particle":"","parse-names":false,"suffix":""},{"dropping-particle":"","family":"Khan","given":"Aliya","non-dropping-particle":"","parse-names":false,"suffix":""}],"container-title":"Medicine &amp; Science in Sports &amp; Exercise","id":"ITEM-1","issue":"7S","issued":{"date-parts":[["2020"]]},"page":"417-417","title":"Barriers, Facilitators, Needs And Goals Of Exercise For People With Osteoporosis","type":"article-journal","volume":"52"},"uris":["http://www.mendeley.com/documents/?uuid=345f34f0-8c9e-32d3-823b-4bf4ee716b49"]}],"mendeley":{"formattedCitation":"[31]","plainTextFormattedCitation":"[31]","previouslyFormattedCitation":"[31]"},"properties":{"noteIndex":0},"schema":"https://github.com/citation-style-language/schema/raw/master/csl-citation.json"}</w:instrText>
      </w:r>
      <w:r w:rsidR="009D5BE2">
        <w:rPr>
          <w:rFonts w:ascii="Times New Roman" w:hAnsi="Times New Roman" w:cs="Times New Roman"/>
          <w:lang w:val="en-GB"/>
        </w:rPr>
        <w:fldChar w:fldCharType="separate"/>
      </w:r>
      <w:r w:rsidR="003066E4" w:rsidRPr="003066E4">
        <w:rPr>
          <w:rFonts w:ascii="Times New Roman" w:hAnsi="Times New Roman" w:cs="Times New Roman"/>
          <w:noProof/>
          <w:lang w:val="en-GB"/>
        </w:rPr>
        <w:t>[31]</w:t>
      </w:r>
      <w:r w:rsidR="009D5BE2">
        <w:rPr>
          <w:rFonts w:ascii="Times New Roman" w:hAnsi="Times New Roman" w:cs="Times New Roman"/>
          <w:lang w:val="en-GB"/>
        </w:rPr>
        <w:fldChar w:fldCharType="end"/>
      </w:r>
      <w:r>
        <w:rPr>
          <w:rFonts w:ascii="Times New Roman" w:hAnsi="Times New Roman" w:cs="Times New Roman"/>
          <w:lang w:val="en-GB"/>
        </w:rPr>
        <w:t xml:space="preserve">. </w:t>
      </w:r>
      <w:r w:rsidR="009D5BE2">
        <w:rPr>
          <w:rFonts w:ascii="Times New Roman" w:hAnsi="Times New Roman" w:cs="Times New Roman"/>
          <w:lang w:val="en-GB"/>
        </w:rPr>
        <w:t>Among the most common reasons for not being able to exercise and maintain an exercise program, patients cited pain when exercising, not liking exercise, fear of injuries</w:t>
      </w:r>
      <w:r w:rsidR="00B30DBF">
        <w:rPr>
          <w:rFonts w:ascii="Times New Roman" w:hAnsi="Times New Roman" w:cs="Times New Roman"/>
          <w:lang w:val="en-GB"/>
        </w:rPr>
        <w:t xml:space="preserve"> but also the weather or the presence </w:t>
      </w:r>
      <w:r w:rsidR="00CD36A4">
        <w:rPr>
          <w:rFonts w:ascii="Times New Roman" w:hAnsi="Times New Roman" w:cs="Times New Roman"/>
          <w:lang w:val="en-GB"/>
        </w:rPr>
        <w:t xml:space="preserve">of </w:t>
      </w:r>
      <w:r w:rsidR="00B30DBF">
        <w:rPr>
          <w:rFonts w:ascii="Times New Roman" w:hAnsi="Times New Roman" w:cs="Times New Roman"/>
          <w:lang w:val="en-GB"/>
        </w:rPr>
        <w:t>concomitant</w:t>
      </w:r>
      <w:r w:rsidR="009D5BE2">
        <w:rPr>
          <w:rFonts w:ascii="Times New Roman" w:hAnsi="Times New Roman" w:cs="Times New Roman"/>
          <w:lang w:val="en-GB"/>
        </w:rPr>
        <w:t xml:space="preserve"> disease</w:t>
      </w:r>
      <w:r w:rsidR="00B30DBF">
        <w:rPr>
          <w:rFonts w:ascii="Times New Roman" w:hAnsi="Times New Roman" w:cs="Times New Roman"/>
          <w:lang w:val="en-GB"/>
        </w:rPr>
        <w:t>s</w:t>
      </w:r>
      <w:r w:rsidR="009D5BE2">
        <w:rPr>
          <w:rFonts w:ascii="Times New Roman" w:hAnsi="Times New Roman" w:cs="Times New Roman"/>
          <w:lang w:val="en-GB"/>
        </w:rPr>
        <w:t xml:space="preserve"> besides their osteoporosis</w:t>
      </w:r>
      <w:r w:rsidR="00CB2FF0">
        <w:rPr>
          <w:rFonts w:ascii="Times New Roman" w:hAnsi="Times New Roman" w:cs="Times New Roman"/>
          <w:lang w:val="en-GB"/>
        </w:rPr>
        <w:t xml:space="preserve"> tha</w:t>
      </w:r>
      <w:r w:rsidR="00CD36A4">
        <w:rPr>
          <w:rFonts w:ascii="Times New Roman" w:hAnsi="Times New Roman" w:cs="Times New Roman"/>
          <w:lang w:val="en-GB"/>
        </w:rPr>
        <w:t>t</w:t>
      </w:r>
      <w:r w:rsidR="00CB2FF0">
        <w:rPr>
          <w:rFonts w:ascii="Times New Roman" w:hAnsi="Times New Roman" w:cs="Times New Roman"/>
          <w:lang w:val="en-GB"/>
        </w:rPr>
        <w:t xml:space="preserve"> prevent them </w:t>
      </w:r>
      <w:r w:rsidR="0019042E">
        <w:rPr>
          <w:rFonts w:ascii="Times New Roman" w:hAnsi="Times New Roman" w:cs="Times New Roman"/>
          <w:lang w:val="en-GB"/>
        </w:rPr>
        <w:t>from</w:t>
      </w:r>
      <w:r w:rsidR="00CB2FF0">
        <w:rPr>
          <w:rFonts w:ascii="Times New Roman" w:hAnsi="Times New Roman" w:cs="Times New Roman"/>
          <w:lang w:val="en-GB"/>
        </w:rPr>
        <w:t xml:space="preserve"> exercis</w:t>
      </w:r>
      <w:r w:rsidR="0019042E">
        <w:rPr>
          <w:rFonts w:ascii="Times New Roman" w:hAnsi="Times New Roman" w:cs="Times New Roman"/>
          <w:lang w:val="en-GB"/>
        </w:rPr>
        <w:t>ing</w:t>
      </w:r>
      <w:r w:rsidR="009D5BE2">
        <w:rPr>
          <w:rFonts w:ascii="Times New Roman" w:hAnsi="Times New Roman" w:cs="Times New Roman"/>
          <w:lang w:val="en-GB"/>
        </w:rPr>
        <w:t xml:space="preserve">. </w:t>
      </w:r>
      <w:r w:rsidR="00CB2FF0">
        <w:rPr>
          <w:rFonts w:ascii="Times New Roman" w:hAnsi="Times New Roman" w:cs="Times New Roman"/>
          <w:lang w:val="en-GB"/>
        </w:rPr>
        <w:t xml:space="preserve">This </w:t>
      </w:r>
      <w:r w:rsidR="00CD36A4">
        <w:rPr>
          <w:rFonts w:ascii="Times New Roman" w:hAnsi="Times New Roman" w:cs="Times New Roman"/>
          <w:lang w:val="en-GB"/>
        </w:rPr>
        <w:t xml:space="preserve">same </w:t>
      </w:r>
      <w:r w:rsidR="00CB2FF0">
        <w:rPr>
          <w:rFonts w:ascii="Times New Roman" w:hAnsi="Times New Roman" w:cs="Times New Roman"/>
          <w:lang w:val="en-GB"/>
        </w:rPr>
        <w:t>study, on patient’s preferences,</w:t>
      </w:r>
      <w:r w:rsidR="00B30DBF">
        <w:rPr>
          <w:rFonts w:ascii="Times New Roman" w:hAnsi="Times New Roman" w:cs="Times New Roman"/>
          <w:lang w:val="en-GB"/>
        </w:rPr>
        <w:t xml:space="preserve"> underlined </w:t>
      </w:r>
      <w:r w:rsidR="00CC05E5">
        <w:rPr>
          <w:rFonts w:ascii="Times New Roman" w:hAnsi="Times New Roman" w:cs="Times New Roman"/>
          <w:lang w:val="en-GB"/>
        </w:rPr>
        <w:t>that participant</w:t>
      </w:r>
      <w:r w:rsidR="0019042E">
        <w:rPr>
          <w:rFonts w:ascii="Times New Roman" w:hAnsi="Times New Roman" w:cs="Times New Roman"/>
          <w:lang w:val="en-GB"/>
        </w:rPr>
        <w:t>s</w:t>
      </w:r>
      <w:r w:rsidR="00B30DBF">
        <w:rPr>
          <w:rFonts w:ascii="Times New Roman" w:hAnsi="Times New Roman" w:cs="Times New Roman"/>
          <w:lang w:val="en-GB"/>
        </w:rPr>
        <w:t xml:space="preserve"> preferred </w:t>
      </w:r>
      <w:r w:rsidR="0019042E">
        <w:rPr>
          <w:rFonts w:ascii="Times New Roman" w:hAnsi="Times New Roman" w:cs="Times New Roman"/>
          <w:lang w:val="en-GB"/>
        </w:rPr>
        <w:t xml:space="preserve">exercising at </w:t>
      </w:r>
      <w:r w:rsidR="00B30DBF">
        <w:rPr>
          <w:rFonts w:ascii="Times New Roman" w:hAnsi="Times New Roman" w:cs="Times New Roman"/>
          <w:lang w:val="en-GB"/>
        </w:rPr>
        <w:t xml:space="preserve">home in the morning, </w:t>
      </w:r>
      <w:r w:rsidR="0019042E">
        <w:rPr>
          <w:rFonts w:ascii="Times New Roman" w:hAnsi="Times New Roman" w:cs="Times New Roman"/>
          <w:lang w:val="en-GB"/>
        </w:rPr>
        <w:t>on</w:t>
      </w:r>
      <w:r w:rsidR="00B30DBF">
        <w:rPr>
          <w:rFonts w:ascii="Times New Roman" w:hAnsi="Times New Roman" w:cs="Times New Roman"/>
          <w:lang w:val="en-GB"/>
        </w:rPr>
        <w:t xml:space="preserve"> their own </w:t>
      </w:r>
      <w:r w:rsidR="0019042E">
        <w:rPr>
          <w:rFonts w:ascii="Times New Roman" w:hAnsi="Times New Roman" w:cs="Times New Roman"/>
          <w:lang w:val="en-GB"/>
        </w:rPr>
        <w:t>schedule</w:t>
      </w:r>
      <w:r w:rsidR="00B30DBF">
        <w:rPr>
          <w:rFonts w:ascii="Times New Roman" w:hAnsi="Times New Roman" w:cs="Times New Roman"/>
          <w:lang w:val="en-GB"/>
        </w:rPr>
        <w:t>, with easy to perform</w:t>
      </w:r>
      <w:r w:rsidR="0019042E">
        <w:rPr>
          <w:rFonts w:ascii="Times New Roman" w:hAnsi="Times New Roman" w:cs="Times New Roman"/>
          <w:lang w:val="en-GB"/>
        </w:rPr>
        <w:t xml:space="preserve"> exercise</w:t>
      </w:r>
      <w:r w:rsidR="00B30DBF">
        <w:rPr>
          <w:rFonts w:ascii="Times New Roman" w:hAnsi="Times New Roman" w:cs="Times New Roman"/>
          <w:lang w:val="en-GB"/>
        </w:rPr>
        <w:t xml:space="preserve">, slow paced and easy to remember. Patients also reported the importance of social support, even if they preferred exercising alone. Taking </w:t>
      </w:r>
      <w:r w:rsidR="00192C55">
        <w:rPr>
          <w:rFonts w:ascii="Times New Roman" w:hAnsi="Times New Roman" w:cs="Times New Roman"/>
          <w:lang w:val="en-GB"/>
        </w:rPr>
        <w:t>all</w:t>
      </w:r>
      <w:r w:rsidR="00B30DBF">
        <w:rPr>
          <w:rFonts w:ascii="Times New Roman" w:hAnsi="Times New Roman" w:cs="Times New Roman"/>
          <w:lang w:val="en-GB"/>
        </w:rPr>
        <w:t xml:space="preserve"> those </w:t>
      </w:r>
      <w:r w:rsidR="0019042E">
        <w:rPr>
          <w:rFonts w:ascii="Times New Roman" w:hAnsi="Times New Roman" w:cs="Times New Roman"/>
          <w:lang w:val="en-GB"/>
        </w:rPr>
        <w:t xml:space="preserve">patient </w:t>
      </w:r>
      <w:r w:rsidR="00B30DBF">
        <w:rPr>
          <w:rFonts w:ascii="Times New Roman" w:hAnsi="Times New Roman" w:cs="Times New Roman"/>
          <w:lang w:val="en-GB"/>
        </w:rPr>
        <w:t xml:space="preserve">preferences </w:t>
      </w:r>
      <w:r w:rsidR="0019042E">
        <w:rPr>
          <w:rFonts w:ascii="Times New Roman" w:hAnsi="Times New Roman" w:cs="Times New Roman"/>
          <w:lang w:val="en-GB"/>
        </w:rPr>
        <w:t>into account</w:t>
      </w:r>
      <w:r w:rsidR="00B30DBF">
        <w:rPr>
          <w:rFonts w:ascii="Times New Roman" w:hAnsi="Times New Roman" w:cs="Times New Roman"/>
          <w:lang w:val="en-GB"/>
        </w:rPr>
        <w:t xml:space="preserve"> when proposing exercises </w:t>
      </w:r>
      <w:r w:rsidR="0019042E">
        <w:rPr>
          <w:rFonts w:ascii="Times New Roman" w:hAnsi="Times New Roman" w:cs="Times New Roman"/>
          <w:lang w:val="en-GB"/>
        </w:rPr>
        <w:t>to</w:t>
      </w:r>
      <w:r w:rsidR="00B30DBF">
        <w:rPr>
          <w:rFonts w:ascii="Times New Roman" w:hAnsi="Times New Roman" w:cs="Times New Roman"/>
          <w:lang w:val="en-GB"/>
        </w:rPr>
        <w:t xml:space="preserve"> pr</w:t>
      </w:r>
      <w:r w:rsidR="0019042E">
        <w:rPr>
          <w:rFonts w:ascii="Times New Roman" w:hAnsi="Times New Roman" w:cs="Times New Roman"/>
          <w:lang w:val="en-GB"/>
        </w:rPr>
        <w:t>otect</w:t>
      </w:r>
      <w:r w:rsidR="00B30DBF">
        <w:rPr>
          <w:rFonts w:ascii="Times New Roman" w:hAnsi="Times New Roman" w:cs="Times New Roman"/>
          <w:lang w:val="en-GB"/>
        </w:rPr>
        <w:t xml:space="preserve"> their bone health could le</w:t>
      </w:r>
      <w:r w:rsidR="0019042E">
        <w:rPr>
          <w:rFonts w:ascii="Times New Roman" w:hAnsi="Times New Roman" w:cs="Times New Roman"/>
          <w:lang w:val="en-GB"/>
        </w:rPr>
        <w:t>a</w:t>
      </w:r>
      <w:r w:rsidR="00B30DBF">
        <w:rPr>
          <w:rFonts w:ascii="Times New Roman" w:hAnsi="Times New Roman" w:cs="Times New Roman"/>
          <w:lang w:val="en-GB"/>
        </w:rPr>
        <w:t xml:space="preserve">d to higher initiation </w:t>
      </w:r>
      <w:r w:rsidR="0019042E">
        <w:rPr>
          <w:rFonts w:ascii="Times New Roman" w:hAnsi="Times New Roman" w:cs="Times New Roman"/>
          <w:lang w:val="en-GB"/>
        </w:rPr>
        <w:t xml:space="preserve">of </w:t>
      </w:r>
      <w:r w:rsidR="00B30DBF">
        <w:rPr>
          <w:rFonts w:ascii="Times New Roman" w:hAnsi="Times New Roman" w:cs="Times New Roman"/>
          <w:lang w:val="en-GB"/>
        </w:rPr>
        <w:t xml:space="preserve">and adherence to a physical activity program. </w:t>
      </w:r>
    </w:p>
    <w:p w14:paraId="003F11D6" w14:textId="1B8632F9" w:rsidR="00B30DBF" w:rsidRDefault="00296DF6" w:rsidP="007D4E5D">
      <w:pPr>
        <w:spacing w:line="360" w:lineRule="auto"/>
        <w:jc w:val="both"/>
        <w:rPr>
          <w:rFonts w:ascii="Times New Roman" w:hAnsi="Times New Roman" w:cs="Times New Roman"/>
          <w:lang w:val="en-GB"/>
        </w:rPr>
      </w:pPr>
      <w:r>
        <w:rPr>
          <w:rFonts w:ascii="Times New Roman" w:hAnsi="Times New Roman" w:cs="Times New Roman"/>
          <w:lang w:val="en-GB"/>
        </w:rPr>
        <w:t xml:space="preserve">In addition to </w:t>
      </w:r>
      <w:r w:rsidR="00CC05E5">
        <w:rPr>
          <w:rFonts w:ascii="Times New Roman" w:hAnsi="Times New Roman" w:cs="Times New Roman"/>
          <w:lang w:val="en-GB"/>
        </w:rPr>
        <w:t xml:space="preserve">exercising, </w:t>
      </w:r>
      <w:r w:rsidR="001051F9">
        <w:rPr>
          <w:rFonts w:ascii="Times New Roman" w:hAnsi="Times New Roman" w:cs="Times New Roman"/>
          <w:lang w:val="en-GB"/>
        </w:rPr>
        <w:t xml:space="preserve">dietary measures should also be </w:t>
      </w:r>
      <w:r>
        <w:rPr>
          <w:rFonts w:ascii="Times New Roman" w:hAnsi="Times New Roman" w:cs="Times New Roman"/>
          <w:lang w:val="en-GB"/>
        </w:rPr>
        <w:t>conside</w:t>
      </w:r>
      <w:r w:rsidR="001051F9">
        <w:rPr>
          <w:rFonts w:ascii="Times New Roman" w:hAnsi="Times New Roman" w:cs="Times New Roman"/>
          <w:lang w:val="en-GB"/>
        </w:rPr>
        <w:t xml:space="preserve">red for any patients suffering from </w:t>
      </w:r>
      <w:r w:rsidR="00D6223E">
        <w:rPr>
          <w:rFonts w:ascii="Times New Roman" w:hAnsi="Times New Roman" w:cs="Times New Roman"/>
          <w:lang w:val="en-GB"/>
        </w:rPr>
        <w:t xml:space="preserve">or at risk of </w:t>
      </w:r>
      <w:r w:rsidR="001051F9">
        <w:rPr>
          <w:rFonts w:ascii="Times New Roman" w:hAnsi="Times New Roman" w:cs="Times New Roman"/>
          <w:lang w:val="en-GB"/>
        </w:rPr>
        <w:t>osteoporosis. Recommendations include a daily calcium intake of between 800 and 1200 mg and sufficient dietary proteins, ideally achieved through dairy products</w:t>
      </w:r>
      <w:r>
        <w:rPr>
          <w:rFonts w:ascii="Times New Roman" w:hAnsi="Times New Roman" w:cs="Times New Roman"/>
          <w:lang w:val="en-GB"/>
        </w:rPr>
        <w:t xml:space="preserve"> </w:t>
      </w:r>
      <w:r w:rsidR="009865D3">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{"citationItems":[{"id":"ITEM-1","itemData":{"DOI":"10.1007/s00223-018-00512-x","ISSN":"14320827","PMID":"30796490","abstract":"A guidance on the assessment and treatment of postmenopausal women at risk from fractures due to osteoporosis was recently published in Osteoporosis International as a joint effort of the International Osteoporosis Foundation and European Society for Clinical and Economic Aspects of Osteoporosis and Osteoarthritis (Kanis et al. in Osteoporos Int https://doi.org/10.1007/s00198-018-4704-5, 2018). This manuscript updates the previous guidelines document, published in 2013 (Kanis et al. in Osteoporos Int 24:23–57, 2013) and is written in a European perspective. The present article reports and summarizes the main recommendations included in this 2018 guidance document.","author":[{"dropping-particle":"","family":"Kanis","given":"J. A.","non-dropping-particle":"","parse-names":false,"suffix":""},{"dropping-particle":"","family":"Cooper","given":"C.","non-dropping-particle":"","parse-names":false,"suffix":""},{"dropping-particle":"","family":"Rizzoli","given":"R.","non-dropping-particle":"","parse-names":false,"suffix":""},{"dropping-particle":"","family":"Reginster","given":"J. Y.","non-dropping-particle":"","parse-names":false,"suffix":""}],"container-title":"Calcified Tissue International","id":"ITEM-1","issue":"3","issued":{"date-parts":[["2019","3","15"]]},"page":"235-238","publisher":"Calcif Tissue Int","title":"Executive summary of the European guidance for the diagnosis and management of osteoporosis in postmenopausal women","type":"article","volume":"104"},"uris":["http://www.mendeley.com/documents/?uuid=7c6597f8-a123-3ff8-9e88-347d7cc0a974"]},{"id":"ITEM-2","itemData":{"DOI":"10.1185/03007995.2013.766162","ISSN":"1473-4877","PMID":"23320612","abstract":"BACKGROUND: Vitamin D insufficiency has deleterious consequences on health outcomes. In elderly or postmenopausal women, it may exacerbate osteoporosis.\n\nSCOPE: There is currently no clear consensus on definitions of vitamin D insufficiency or minimal targets for vitamin D concentrations and proposed targets vary with the population. In view of the potential confusion for practitioners on when to treat and what to achieve, the European Society for Clinical and Economic Aspects of Osteoporosis and Osteoarthritis (ESCEO) convened a meeting to provide recommendations for clinical practice, to ensure the optimal management of elderly and postmenopausal women with regard to vitamin D supplementation.\n\nFINDINGS: Vitamin D has both skeletal and extra-skeletal benefits. Patients with serum 25-hydroxyvitamin D (25-(OH)D) levels &lt;50 nmol/L have increased bone turnover, bone loss, and possibly mineralization defects compared with patients with levels &gt;50 nmol/L. Similar relationships have been reported for frailty, nonvertebral and hip fracture, and all-cause mortality, with poorer outcomes at &lt;50 nmol/L.\n\nCONCLUSION: The ESCEO recommends that 50 nmol/L (i.e. 20 ng/mL) should be the minimal serum 25-(OH)D concentration at the population level and in patients with osteoporosis to ensure optimal bone health. Below this threshold, supplementation is recommended at 800 to 1000 IU/day. Vitamin D supplementation is safe up to 10,000 IU/day (upper limit of safety) resulting in an upper limit of adequacy of 125 nmol/L 25-(OH)D. Daily consumption of calcium- and vitamin-D-fortified food products (e.g. yoghurt or milk) can help improve vitamin D intake. Above the threshold of 50 nmol/L, there is no clear evidence for additional benefits of supplementation. On the other hand, in fragile elderly subjects who are at elevated risk for falls and fracture, the ESCEO recommends a minimal serum 25-(OH)D level of 75 nmol/L (i.e. 30 ng/mL), for the greatest impact on fracture.","author":[{"dropping-particle":"","family":"Rizzoli","given":"R","non-dropping-particle":"","parse-names":false,"suffix":""},{"dropping-particle":"","family":"Boonen","given":"S","non-dropping-particle":"","parse-names":false,"suffix":""},{"dropping-particle":"","family":"Brandi","given":"M-L","non-dropping-particle":"","parse-names":false,"suffix":""},{"dropping-particle":"","family":"Bruyère","given":"O","non-dropping-particle":"","parse-names":false,"suffix":""},{"dropping-particle":"","family":"Cooper","given":"C","non-dropping-particle":"","parse-names":false,"suffix":""},{"dropping-particle":"","family":"Kanis","given":"J A","non-dropping-particle":"","parse-names":false,"suffix":""},{"dropping-particle":"","family":"Kaufman","given":"J-M","non-dropping-particle":"","parse-names":false,"suffix":""},{"dropping-particle":"","family":"Ringe","given":"J D","non-dropping-particle":"","parse-names":false,"suffix":""},{"dropping-particle":"","family":"Weryha","given":"G","non-dropping-particle":"","parse-names":false,"suffix":""},{"dropping-particle":"","family":"Reginster","given":"J-Y","non-dropping-particle":"","parse-names":false,"suffix":""}],"container-title":"Current medical research and opinion","id":"ITEM-2","issue":"4","issued":{"date-parts":[["2013","4"]]},"page":"305-13","title":"Vitamin D supplementation in elderly or postmenopausal women: a 2013 update of the 2008 recommendations from the European Society for Clinical and Economic Aspects of Osteoporosis and Osteoarthritis (ESCEO).","type":"article-journal","volume":"29"},"uris":["http://www.mendeley.com/documents/?uuid=cad63ce5-6d57-49ba-8dc2-4003cc8bf275"]},{"id":"ITEM-3","itemData":{"DOI":"10.1007/s00198-018-4704-5","ISSN":"14332965","PMID":"30324412","abstract":"Summary: Guidance is provided in a European setting on the assessment and treatment of postmenopausal women at risk from fractures due to osteoporosis. Introduction: The International Osteoporosis Foundation and European Society for Clinical and Economic Aspects of Osteoporosis and Osteoarthritis published guidance for the diagnosis and management of osteoporosis in 2013. This manuscript updates these in a European setting. Methods: Systematic reviews were updated. Results: The following areas are reviewed: the role of bone mineral density measurement for the diagnosis of osteoporosis and assessment of fracture risk; general and pharmacological management of osteoporosis; monitoring of treatment; assessment of fracture risk; case-finding strategies; investigation of patients; health economics of treatment. The update includes new information on the evaluation of bone microstructure evaluation in facture risk assessment, the role of FRAX® and Fracture Liaison Services in secondary fracture prevention, long-term effects on fracture risk of dietary intakes, and increased fracture risk on stopping drug treatment. Conclusions: A platform is provided on which specific guidelines can be developed for national use.","author":[{"dropping-particle":"","family":"Kanis","given":"J. A.","non-dropping-particle":"","parse-names":false,"suffix":""},{"dropping-particle":"","family":"Cooper","given":"C.","non-dropping-particle":"","parse-names":false,"suffix":""},{"dropping-particle":"","family":"Rizzoli","given":"R.","non-dropping-particle":"","parse-names":false,"suffix":""},{"dropping-particle":"","family":"Reginster","given":"J. Y.","non-dropping-particle":"","parse-names":false,"suffix":""}],"container-title":"Osteoporosis International","id":"ITEM-3","issue":"1","issued":{"date-parts":[["2019","1","18"]]},"page":"3-44","publisher":"Osteoporos Int","title":"European guidance for the diagnosis and management of osteoporosis in postmenopausal women","type":"article-journal","volume":"30"},"uris":["http://www.mendeley.com/documents/?uuid=2fdb04cc-11f0-3463-96d7-62f99b18013b"]}],"mendeley":{"formattedCitation":"[6, 8, 32]","plainTextFormattedCitation":"[6, 8, 32]","previouslyFormattedCitation":"[6, 8, 32]"},"properties":{"noteIndex":0},"schema":"https://github.com/citation-style-language/schema/raw/master/csl-citation.json"}</w:instrText>
      </w:r>
      <w:r w:rsidR="009865D3">
        <w:rPr>
          <w:rFonts w:ascii="Times New Roman" w:hAnsi="Times New Roman" w:cs="Times New Roman"/>
          <w:lang w:val="en-GB"/>
        </w:rPr>
        <w:fldChar w:fldCharType="separate"/>
      </w:r>
      <w:r w:rsidR="003066E4" w:rsidRPr="003066E4">
        <w:rPr>
          <w:rFonts w:ascii="Times New Roman" w:hAnsi="Times New Roman" w:cs="Times New Roman"/>
          <w:noProof/>
          <w:lang w:val="en-GB"/>
        </w:rPr>
        <w:t>[6, 8, 32]</w:t>
      </w:r>
      <w:r w:rsidR="009865D3">
        <w:rPr>
          <w:rFonts w:ascii="Times New Roman" w:hAnsi="Times New Roman" w:cs="Times New Roman"/>
          <w:lang w:val="en-GB"/>
        </w:rPr>
        <w:fldChar w:fldCharType="end"/>
      </w:r>
      <w:r w:rsidR="001051F9">
        <w:rPr>
          <w:rFonts w:ascii="Times New Roman" w:hAnsi="Times New Roman" w:cs="Times New Roman"/>
          <w:lang w:val="en-GB"/>
        </w:rPr>
        <w:t xml:space="preserve">. </w:t>
      </w:r>
      <w:r w:rsidR="00B61446">
        <w:rPr>
          <w:rFonts w:ascii="Times New Roman" w:hAnsi="Times New Roman" w:cs="Times New Roman"/>
          <w:lang w:val="en-GB"/>
        </w:rPr>
        <w:t>Consumption of cheese and yogurt, for example, has been shown to reduce risk of hip fracture</w:t>
      </w:r>
      <w:r>
        <w:rPr>
          <w:rFonts w:ascii="Times New Roman" w:hAnsi="Times New Roman" w:cs="Times New Roman"/>
          <w:lang w:val="en-GB"/>
        </w:rPr>
        <w:t>,</w:t>
      </w:r>
      <w:r w:rsidR="00B61446">
        <w:rPr>
          <w:rFonts w:ascii="Times New Roman" w:hAnsi="Times New Roman" w:cs="Times New Roman"/>
          <w:lang w:val="en-GB"/>
        </w:rPr>
        <w:t xml:space="preserve"> through a recent meta-analysis pooling data from 18 individual studies</w:t>
      </w:r>
      <w:r>
        <w:rPr>
          <w:rFonts w:ascii="Times New Roman" w:hAnsi="Times New Roman" w:cs="Times New Roman"/>
          <w:lang w:val="en-GB"/>
        </w:rPr>
        <w:t xml:space="preserve"> </w:t>
      </w:r>
      <w:r w:rsidR="00B61446">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{"citationItems":[{"id":"ITEM-1","itemData":{"DOI":"10.1186/s12889-018-5041-5","ISSN":"14712458","PMID":"29357845","abstract":"Background: Dairy product consumption may affect the risk of hip fracture, but previous studies have reported inconsistent findings. The primary aim of our meta-analysis was to examine and quantify the potential association of dairy product consumption with risk of hip fracture. Methods: We searched the databases of PubMed and EMBASE for relevant articles from their inception through April 17, 2017. The final analysis included 10 cohort studies and 8 case-control studies. Random-effects models were used to estimate the pooled risk. Subgroup and dose-response analyses were conducted to explore the relationships between the consumption of milk and the risk of hip fracture. Results: After pooling the data from the included studies, the summary relative risk (RR) for hip fracture for highest versus lowest consumption were 0.91 (95% CI: 0.74-1.12), 0.75 (95% CI: 0.66-0.86), 0.68 (95% CI: 0.61-0. 77), 1.02 (95% CI: 0.93-1.12) for milk, yogurt, cheese, and total dairy products in cohort studies, respectively. Higher milk consumption [Odds ratio (OR), 0.71, 95% CI: 0.55-0. 91] was associated with lower risk of hip fracture for highest versus lowest consumption in case-control studies. After quantifying the specific dose of milk, the summary RR/OR for an increased milk consumption of 200 g/day was 1.00 (95% CI: 0.94-1.07), and 0.89 (95%CI: 0.64-1.24) with significant heterogeneity for cohort and case-control studies, respectively; There was a nonlinear association between milk consumption and hip fracture risk in cohort, and case-control studies. Conclusions: Our findings indicate that consumption of yogurt and cheese was associated with lower risk of hip fracture in cohort studies. However, the consumption of total dairy products and cream was not significantly associated with the risk of hip fracture. There was insufficient evidence to deduce the association between milk consumption and risk of hip fracture. A lower threshold of 200 g/day milk intake may have beneficial effects, whereas the effects of a higher threshold of milk intake are unclear.","author":[{"dropping-particle":"","family":"Bian","given":"Shanshan","non-dropping-particle":"","parse-names":false,"suffix":""},{"dropping-particle":"","family":"Hu","given":"Jingmin","non-dropping-particle":"","parse-names":false,"suffix":""},{"dropping-particle":"","family":"Zhang","given":"Kai","non-dropping-particle":"","parse-names":false,"suffix":""},{"dropping-particle":"","family":"Wang","given":"Yunguo","non-dropping-particle":"","parse-names":false,"suffix":""},{"dropping-particle":"","family":"Yu","given":"Miaohui","non-dropping-particle":"","parse-names":false,"suffix":""},{"dropping-particle":"","family":"Ma","given":"Jie","non-dropping-particle":"","parse-names":false,"suffix":""}],"container-title":"BMC Public Health","id":"ITEM-1","issue":"1","issued":{"date-parts":[["2018","1","22"]]},"publisher":"BMC Public Health","title":"Dairy product consumption and risk of hip fracture: A systematic review and meta-analysis","type":"article","volume":"18"},"uris":["http://www.mendeley.com/documents/?uuid=d99ea065-1a85-3fb0-a40d-4ce235833c01"]}],"mendeley":{"formattedCitation":"[33]","plainTextFormattedCitation":"[33]","previouslyFormattedCitation":"[33]"},"properties":{"noteIndex":0},"schema":"https://github.com/citation-style-language/schema/raw/master/csl-citation.json"}</w:instrText>
      </w:r>
      <w:r w:rsidR="00B61446">
        <w:rPr>
          <w:rFonts w:ascii="Times New Roman" w:hAnsi="Times New Roman" w:cs="Times New Roman"/>
          <w:lang w:val="en-GB"/>
        </w:rPr>
        <w:fldChar w:fldCharType="separate"/>
      </w:r>
      <w:r w:rsidR="003066E4" w:rsidRPr="003066E4">
        <w:rPr>
          <w:rFonts w:ascii="Times New Roman" w:hAnsi="Times New Roman" w:cs="Times New Roman"/>
          <w:noProof/>
          <w:lang w:val="en-GB"/>
        </w:rPr>
        <w:t>[33]</w:t>
      </w:r>
      <w:r w:rsidR="00B61446">
        <w:rPr>
          <w:rFonts w:ascii="Times New Roman" w:hAnsi="Times New Roman" w:cs="Times New Roman"/>
          <w:lang w:val="en-GB"/>
        </w:rPr>
        <w:fldChar w:fldCharType="end"/>
      </w:r>
      <w:r w:rsidR="009865D3" w:rsidRPr="009865D3">
        <w:rPr>
          <w:rFonts w:ascii="Times New Roman" w:hAnsi="Times New Roman" w:cs="Times New Roman"/>
          <w:lang w:val="en-GB"/>
        </w:rPr>
        <w:t>.</w:t>
      </w:r>
      <w:r w:rsidR="009865D3">
        <w:rPr>
          <w:rFonts w:ascii="Times New Roman" w:hAnsi="Times New Roman" w:cs="Times New Roman"/>
          <w:lang w:val="en-GB"/>
        </w:rPr>
        <w:t xml:space="preserve"> </w:t>
      </w:r>
      <w:r w:rsidR="00B61446">
        <w:rPr>
          <w:rFonts w:ascii="Times New Roman" w:hAnsi="Times New Roman" w:cs="Times New Roman"/>
          <w:lang w:val="en-GB"/>
        </w:rPr>
        <w:t>Calcium and vitamin D supplementation is appropriate if dietary intake is insufficient</w:t>
      </w:r>
      <w:r w:rsidR="008F068E">
        <w:rPr>
          <w:rFonts w:ascii="Times New Roman" w:hAnsi="Times New Roman" w:cs="Times New Roman"/>
          <w:lang w:val="en-GB"/>
        </w:rPr>
        <w:t xml:space="preserve"> </w:t>
      </w:r>
      <w:r w:rsidR="00B61446">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{"citationItems":[{"id":"ITEM-1","itemData":{"DOI":"10.1007/s00223-018-00512-x","ISSN":"14320827","PMID":"30796490","abstract":"A guidance on the assessment and treatment of postmenopausal women at risk from fractures due to osteoporosis was recently published in Osteoporosis International as a joint effort of the International Osteoporosis Foundation and European Society for Clinical and Economic Aspects of Osteoporosis and Osteoarthritis (Kanis et al. in Osteoporos Int https://doi.org/10.1007/s00198-018-4704-5, 2018). This manuscript updates the previous guidelines document, published in 2013 (Kanis et al. in Osteoporos Int 24:23–57, 2013) and is written in a European perspective. The present article reports and summarizes the main recommendations included in this 2018 guidance document.","author":[{"dropping-particle":"","family":"Kanis","given":"J. A.","non-dropping-particle":"","parse-names":false,"suffix":""},{"dropping-particle":"","family":"Cooper","given":"C.","non-dropping-particle":"","parse-names":false,"suffix":""},{"dropping-particle":"","family":"Rizzoli","given":"R.","non-dropping-particle":"","parse-names":false,"suffix":""},{"dropping-particle":"","family":"Reginster","given":"J. Y.","non-dropping-particle":"","parse-names":false,"suffix":""}],"container-title":"Calcified Tissue International","id":"ITEM-1","issue":"3","issued":{"date-parts":[["2019","3","15"]]},"page":"235-238","publisher":"Calcif Tissue Int","title":"Executive summary of the European guidance for the diagnosis and management of osteoporosis in postmenopausal women","type":"article","volume":"104"},"uris":["http://www.mendeley.com/documents/?uuid=7c6597f8-a123-3ff8-9e88-347d7cc0a974"]},{"id":"ITEM-2","itemData":{"DOI":"10.1185/03007995.2013.766162","ISSN":"1473-4877","PMID":"23320612","abstract":"BACKGROUND: Vitamin D insufficiency has deleterious consequences on health outcomes. In elderly or postmenopausal women, it may exacerbate osteoporosis.\n\nSCOPE: There is currently no clear consensus on definitions of vitamin D insufficiency or minimal targets for vitamin D concentrations and proposed targets vary with the population. In view of the potential confusion for practitioners on when to treat and what to achieve, the European Society for Clinical and Economic Aspects of Osteoporosis and Osteoarthritis (ESCEO) convened a meeting to provide recommendations for clinical practice, to ensure the optimal management of elderly and postmenopausal women with regard to vitamin D supplementation.\n\nFINDINGS: Vitamin D has both skeletal and extra-skeletal benefits. Patients with serum 25-hydroxyvitamin D (25-(OH)D) levels &lt;50 nmol/L have increased bone turnover, bone loss, and possibly mineralization defects compared with patients with levels &gt;50 nmol/L. Similar relationships have been reported for frailty, nonvertebral and hip fracture, and all-cause mortality, with poorer outcomes at &lt;50 nmol/L.\n\nCONCLUSION: The ESCEO recommends that 50 nmol/L (i.e. 20 ng/mL) should be the minimal serum 25-(OH)D concentration at the population level and in patients with osteoporosis to ensure optimal bone health. Below this threshold, supplementation is recommended at 800 to 1000 IU/day. Vitamin D supplementation is safe up to 10,000 IU/day (upper limit of safety) resulting in an upper limit of adequacy of 125 nmol/L 25-(OH)D. Daily consumption of calcium- and vitamin-D-fortified food products (e.g. yoghurt or milk) can help improve vitamin D intake. Above the threshold of 50 nmol/L, there is no clear evidence for additional benefits of supplementation. On the other hand, in fragile elderly subjects who are at elevated risk for falls and fracture, the ESCEO recommends a minimal serum 25-(OH)D level of 75 nmol/L (i.e. 30 ng/mL), for the greatest impact on fracture.","author":[{"dropping-particle":"","family":"Rizzoli","given":"R","non-dropping-particle":"","parse-names":false,"suffix":""},{"dropping-particle":"","family":"Boonen","given":"S","non-dropping-particle":"","parse-names":false,"suffix":""},{"dropping-particle":"","family":"Brandi","given":"M-L","non-dropping-particle":"","parse-names":false,"suffix":""},{"dropping-particle":"","family":"Bruyère","given":"O","non-dropping-particle":"","parse-names":false,"suffix":""},{"dropping-particle":"","family":"Cooper","given":"C","non-dropping-particle":"","parse-names":false,"suffix":""},{"dropping-particle":"","family":"Kanis","given":"J A","non-dropping-particle":"","parse-names":false,"suffix":""},{"dropping-particle":"","family":"Kaufman","given":"J-M","non-dropping-particle":"","parse-names":false,"suffix":""},{"dropping-particle":"","family":"Ringe","given":"J D","non-dropping-particle":"","parse-names":false,"suffix":""},{"dropping-particle":"","family":"Weryha","given":"G","non-dropping-particle":"","parse-names":false,"suffix":""},{"dropping-particle":"","family":"Reginster","given":"J-Y","non-dropping-particle":"","parse-names":false,"suffix":""}],"container-title":"Current medical research and opinion","id":"ITEM-2","issue":"4","issued":{"date-parts":[["2013","4"]]},"page":"305-13","title":"Vitamin D supplementation in elderly or postmenopausal women: a 2013 update of the 2008 recommendations from the European Society for Clinical and Economic Aspects of Osteoporosis and Osteoarthritis (ESCEO).","type":"article-journal","volume":"29"},"uris":["http://www.mendeley.com/documents/?uuid=cad63ce5-6d57-49ba-8dc2-4003cc8bf275"]},{"id":"ITEM-3","itemData":{"DOI":"10.1007/s00198-018-4704-5","ISSN":"14332965","PMID":"30324412","abstract":"Summary: Guidance is provided in a European setting on the assessment and treatment of postmenopausal women at risk from fractures due to osteoporosis. Introduction: The International Osteoporosis Foundation and European Society for Clinical and Economic Aspects of Osteoporosis and Osteoarthritis published guidance for the diagnosis and management of osteoporosis in 2013. This manuscript updates these in a European setting. Methods: Systematic reviews were updated. Results: The following areas are reviewed: the role of bone mineral density measurement for the diagnosis of osteoporosis and assessment of fracture risk; general and pharmacological management of osteoporosis; monitoring of treatment; assessment of fracture risk; case-finding strategies; investigation of patients; health economics of treatment. The update includes new information on the evaluation of bone microstructure evaluation in facture risk assessment, the role of FRAX® and Fracture Liaison Services in secondary fracture prevention, long-term effects on fracture risk of dietary intakes, and increased fracture risk on stopping drug treatment. Conclusions: A platform is provided on which specific guidelines can be developed for national use.","author":[{"dropping-particle":"","family":"Kanis","given":"J. A.","non-dropping-particle":"","parse-names":false,"suffix":""},{"dropping-particle":"","family":"Cooper","given":"C.","non-dropping-particle":"","parse-names":false,"suffix":""},{"dropping-particle":"","family":"Rizzoli","given":"R.","non-dropping-particle":"","parse-names":false,"suffix":""},{"dropping-particle":"","family":"Reginster","given":"J. Y.","non-dropping-particle":"","parse-names":false,"suffix":""}],"container-title":"Osteoporosis International","id":"ITEM-3","issue":"1","issued":{"date-parts":[["2019","1","18"]]},"page":"3-44","publisher":"Osteoporos Int","title":"European guidance for the diagnosis and management of osteoporosis in postmenopausal women","type":"article-journal","volume":"30"},"uris":["http://www.mendeley.com/documents/?uuid=2fdb04cc-11f0-3463-96d7-62f99b18013b"]},{"id":"ITEM-4","itemData":{"DOI":"10.1007/s40520-020-01678-x","ISSN":"17208319","PMID":"32857334","abstract":"Vitamin D overdosing includes hypercalcemia, hypercalciuria, and mineral deposits in soft tissues. A safety upper limit of 4000 IU/day, which is consistently accepted, has been challenged, since the risk of adverse events in other systems than calcium-phosphate homeostasis may depend not only on the dose, but on the outcome, the treatment regimen, and possibly the age, sex and vitamin D status. The therapeutic window of vitamin D supplementation may be narrower than hitherto recognized. The prevention and/or correction of vitamin D deficiency/insufficiency with 800–1000 IU/daily of vitamin D or 10 µg/day of calcifediol are safe. Because of their potential harm, larger doses given on the long term or in intermittent regimens should not be selected.","author":[{"dropping-particle":"","family":"Rizzoli","given":"René","non-dropping-particle":"","parse-names":false,"suffix":""}],"container-title":"Aging Clinical and Experimental Research","id":"ITEM-4","issue":"1","issued":{"date-parts":[["2021","1","1"]]},"page":"19-24","publisher":"Aging Clin Exp Res","title":"Vitamin D supplementation: upper limit for safety revisited?","type":"article","volume":"33"},"uris":["http://www.mendeley.com/documents/?uuid=fd5e22d7-05d0-385b-9958-151dbc76b073"]}],"mendeley":{"formattedCitation":"[6, 8, 32, 35]","plainTextFormattedCitation":"[6, 8, 32, 35]","previouslyFormattedCitation":"[6, 8, 32, 35]"},"properties":{"noteIndex":0},"schema":"https://github.com/citation-style-language/schema/raw/master/csl-citation.json"}</w:instrText>
      </w:r>
      <w:r w:rsidR="00B61446">
        <w:rPr>
          <w:rFonts w:ascii="Times New Roman" w:hAnsi="Times New Roman" w:cs="Times New Roman"/>
          <w:lang w:val="en-GB"/>
        </w:rPr>
        <w:fldChar w:fldCharType="separate"/>
      </w:r>
      <w:r w:rsidR="003066E4" w:rsidRPr="003066E4">
        <w:rPr>
          <w:rFonts w:ascii="Times New Roman" w:hAnsi="Times New Roman" w:cs="Times New Roman"/>
          <w:noProof/>
          <w:lang w:val="en-GB"/>
        </w:rPr>
        <w:t>[6, 8, 32, 35]</w:t>
      </w:r>
      <w:r w:rsidR="00B61446">
        <w:rPr>
          <w:rFonts w:ascii="Times New Roman" w:hAnsi="Times New Roman" w:cs="Times New Roman"/>
          <w:lang w:val="en-GB"/>
        </w:rPr>
        <w:fldChar w:fldCharType="end"/>
      </w:r>
      <w:r w:rsidR="00B61446">
        <w:rPr>
          <w:rFonts w:ascii="Times New Roman" w:hAnsi="Times New Roman" w:cs="Times New Roman"/>
          <w:lang w:val="en-GB"/>
        </w:rPr>
        <w:t>.</w:t>
      </w:r>
      <w:r w:rsidR="009865D3" w:rsidRPr="009865D3">
        <w:rPr>
          <w:lang w:val="en-GB"/>
        </w:rPr>
        <w:t xml:space="preserve"> </w:t>
      </w:r>
      <w:r w:rsidR="009865D3">
        <w:rPr>
          <w:lang w:val="en-GB"/>
        </w:rPr>
        <w:t xml:space="preserve"> </w:t>
      </w:r>
      <w:r w:rsidR="009865D3" w:rsidRPr="009865D3">
        <w:rPr>
          <w:rFonts w:ascii="Times New Roman" w:hAnsi="Times New Roman" w:cs="Times New Roman"/>
          <w:lang w:val="en-GB"/>
        </w:rPr>
        <w:t>The present study show</w:t>
      </w:r>
      <w:r>
        <w:rPr>
          <w:rFonts w:ascii="Times New Roman" w:hAnsi="Times New Roman" w:cs="Times New Roman"/>
          <w:lang w:val="en-GB"/>
        </w:rPr>
        <w:t>s</w:t>
      </w:r>
      <w:r w:rsidR="009865D3" w:rsidRPr="009865D3">
        <w:rPr>
          <w:rFonts w:ascii="Times New Roman" w:hAnsi="Times New Roman" w:cs="Times New Roman"/>
          <w:lang w:val="en-GB"/>
        </w:rPr>
        <w:t xml:space="preserve"> that patients seem more favourable</w:t>
      </w:r>
      <w:r w:rsidR="009865D3">
        <w:rPr>
          <w:rFonts w:ascii="Times New Roman" w:hAnsi="Times New Roman" w:cs="Times New Roman"/>
          <w:lang w:val="en-GB"/>
        </w:rPr>
        <w:t xml:space="preserve"> to tak</w:t>
      </w:r>
      <w:r>
        <w:rPr>
          <w:rFonts w:ascii="Times New Roman" w:hAnsi="Times New Roman" w:cs="Times New Roman"/>
          <w:lang w:val="en-GB"/>
        </w:rPr>
        <w:t>ing</w:t>
      </w:r>
      <w:r w:rsidR="009865D3">
        <w:rPr>
          <w:rFonts w:ascii="Times New Roman" w:hAnsi="Times New Roman" w:cs="Times New Roman"/>
          <w:lang w:val="en-GB"/>
        </w:rPr>
        <w:t xml:space="preserve"> vitamin D and </w:t>
      </w:r>
      <w:r w:rsidR="00164886">
        <w:rPr>
          <w:rFonts w:ascii="Times New Roman" w:hAnsi="Times New Roman" w:cs="Times New Roman"/>
          <w:lang w:val="en-GB"/>
        </w:rPr>
        <w:t xml:space="preserve">calcium </w:t>
      </w:r>
      <w:r w:rsidR="009865D3">
        <w:rPr>
          <w:rFonts w:ascii="Times New Roman" w:hAnsi="Times New Roman" w:cs="Times New Roman"/>
          <w:lang w:val="en-GB"/>
        </w:rPr>
        <w:t xml:space="preserve">supplements over ensuring </w:t>
      </w:r>
      <w:r w:rsidR="00F57627">
        <w:rPr>
          <w:rFonts w:ascii="Times New Roman" w:hAnsi="Times New Roman" w:cs="Times New Roman"/>
          <w:lang w:val="en-GB"/>
        </w:rPr>
        <w:t xml:space="preserve">that </w:t>
      </w:r>
      <w:r>
        <w:rPr>
          <w:rFonts w:ascii="Times New Roman" w:hAnsi="Times New Roman" w:cs="Times New Roman"/>
          <w:lang w:val="en-GB"/>
        </w:rPr>
        <w:t xml:space="preserve">their </w:t>
      </w:r>
      <w:r w:rsidR="009865D3">
        <w:rPr>
          <w:rFonts w:ascii="Times New Roman" w:hAnsi="Times New Roman" w:cs="Times New Roman"/>
          <w:lang w:val="en-GB"/>
        </w:rPr>
        <w:t xml:space="preserve">diet </w:t>
      </w:r>
      <w:r>
        <w:rPr>
          <w:rFonts w:ascii="Times New Roman" w:hAnsi="Times New Roman" w:cs="Times New Roman"/>
          <w:lang w:val="en-GB"/>
        </w:rPr>
        <w:t xml:space="preserve">is </w:t>
      </w:r>
      <w:r w:rsidR="009865D3">
        <w:rPr>
          <w:rFonts w:ascii="Times New Roman" w:hAnsi="Times New Roman" w:cs="Times New Roman"/>
          <w:lang w:val="en-GB"/>
        </w:rPr>
        <w:t xml:space="preserve">rich in </w:t>
      </w:r>
      <w:r w:rsidR="00F95DE4">
        <w:rPr>
          <w:rFonts w:ascii="Times New Roman" w:hAnsi="Times New Roman" w:cs="Times New Roman"/>
          <w:lang w:val="en-GB"/>
        </w:rPr>
        <w:t>c</w:t>
      </w:r>
      <w:r w:rsidR="009865D3">
        <w:rPr>
          <w:rFonts w:ascii="Times New Roman" w:hAnsi="Times New Roman" w:cs="Times New Roman"/>
          <w:lang w:val="en-GB"/>
        </w:rPr>
        <w:t xml:space="preserve">alcium and </w:t>
      </w:r>
      <w:r w:rsidR="00F95DE4">
        <w:rPr>
          <w:rFonts w:ascii="Times New Roman" w:hAnsi="Times New Roman" w:cs="Times New Roman"/>
          <w:lang w:val="en-GB"/>
        </w:rPr>
        <w:t>v</w:t>
      </w:r>
      <w:r w:rsidR="009865D3">
        <w:rPr>
          <w:rFonts w:ascii="Times New Roman" w:hAnsi="Times New Roman" w:cs="Times New Roman"/>
          <w:lang w:val="en-GB"/>
        </w:rPr>
        <w:t>itamin D, through the consumption</w:t>
      </w:r>
      <w:r>
        <w:rPr>
          <w:rFonts w:ascii="Times New Roman" w:hAnsi="Times New Roman" w:cs="Times New Roman"/>
          <w:lang w:val="en-GB"/>
        </w:rPr>
        <w:t xml:space="preserve"> </w:t>
      </w:r>
      <w:r w:rsidR="009865D3">
        <w:rPr>
          <w:rFonts w:ascii="Times New Roman" w:hAnsi="Times New Roman" w:cs="Times New Roman"/>
          <w:lang w:val="en-GB"/>
        </w:rPr>
        <w:t>o</w:t>
      </w:r>
      <w:r>
        <w:rPr>
          <w:rFonts w:ascii="Times New Roman" w:hAnsi="Times New Roman" w:cs="Times New Roman"/>
          <w:lang w:val="en-GB"/>
        </w:rPr>
        <w:t>f dairy pro</w:t>
      </w:r>
      <w:r w:rsidR="009865D3">
        <w:rPr>
          <w:rFonts w:ascii="Times New Roman" w:hAnsi="Times New Roman" w:cs="Times New Roman"/>
          <w:lang w:val="en-GB"/>
        </w:rPr>
        <w:t>ducts and fish.</w:t>
      </w:r>
      <w:r w:rsidR="00CB2FF0">
        <w:rPr>
          <w:rFonts w:ascii="Times New Roman" w:hAnsi="Times New Roman" w:cs="Times New Roman"/>
          <w:lang w:val="en-GB"/>
        </w:rPr>
        <w:t xml:space="preserve"> </w:t>
      </w:r>
      <w:r w:rsidR="00164886">
        <w:rPr>
          <w:rFonts w:ascii="Times New Roman" w:hAnsi="Times New Roman" w:cs="Times New Roman"/>
          <w:lang w:val="en-GB"/>
        </w:rPr>
        <w:t>Literature reveal</w:t>
      </w:r>
      <w:r>
        <w:rPr>
          <w:rFonts w:ascii="Times New Roman" w:hAnsi="Times New Roman" w:cs="Times New Roman"/>
          <w:lang w:val="en-GB"/>
        </w:rPr>
        <w:t>s</w:t>
      </w:r>
      <w:r w:rsidR="00164886">
        <w:rPr>
          <w:rFonts w:ascii="Times New Roman" w:hAnsi="Times New Roman" w:cs="Times New Roman"/>
          <w:lang w:val="en-GB"/>
        </w:rPr>
        <w:t xml:space="preserve"> contrasting views on that</w:t>
      </w:r>
      <w:r w:rsidR="00876F83">
        <w:rPr>
          <w:rFonts w:ascii="Times New Roman" w:hAnsi="Times New Roman" w:cs="Times New Roman"/>
          <w:lang w:val="en-GB"/>
        </w:rPr>
        <w:t xml:space="preserve">. </w:t>
      </w:r>
      <w:r w:rsidR="00164886">
        <w:rPr>
          <w:rFonts w:ascii="Times New Roman" w:hAnsi="Times New Roman" w:cs="Times New Roman"/>
          <w:lang w:val="en-GB"/>
        </w:rPr>
        <w:t>On one hand</w:t>
      </w:r>
      <w:r w:rsidR="00876F83">
        <w:rPr>
          <w:rFonts w:ascii="Times New Roman" w:hAnsi="Times New Roman" w:cs="Times New Roman"/>
          <w:lang w:val="en-GB"/>
        </w:rPr>
        <w:t>,</w:t>
      </w:r>
      <w:r w:rsidR="00CB2FF0">
        <w:rPr>
          <w:rFonts w:ascii="Times New Roman" w:hAnsi="Times New Roman" w:cs="Times New Roman"/>
          <w:lang w:val="en-GB"/>
        </w:rPr>
        <w:t xml:space="preserve"> </w:t>
      </w:r>
      <w:r w:rsidR="00D10A0A">
        <w:rPr>
          <w:rFonts w:ascii="Times New Roman" w:hAnsi="Times New Roman" w:cs="Times New Roman"/>
          <w:lang w:val="en-GB"/>
        </w:rPr>
        <w:t>a recent population-based survey</w:t>
      </w:r>
      <w:r w:rsidR="0070749B">
        <w:rPr>
          <w:rFonts w:ascii="Times New Roman" w:hAnsi="Times New Roman" w:cs="Times New Roman"/>
          <w:lang w:val="en-GB"/>
        </w:rPr>
        <w:t xml:space="preserve"> ha</w:t>
      </w:r>
      <w:r>
        <w:rPr>
          <w:rFonts w:ascii="Times New Roman" w:hAnsi="Times New Roman" w:cs="Times New Roman"/>
          <w:lang w:val="en-GB"/>
        </w:rPr>
        <w:t>s</w:t>
      </w:r>
      <w:r w:rsidR="0070749B">
        <w:rPr>
          <w:rFonts w:ascii="Times New Roman" w:hAnsi="Times New Roman" w:cs="Times New Roman"/>
          <w:lang w:val="en-GB"/>
        </w:rPr>
        <w:t xml:space="preserve"> </w:t>
      </w:r>
      <w:r w:rsidR="00D10A0A">
        <w:rPr>
          <w:rFonts w:ascii="Times New Roman" w:hAnsi="Times New Roman" w:cs="Times New Roman"/>
          <w:lang w:val="en-GB"/>
        </w:rPr>
        <w:t xml:space="preserve">accurately </w:t>
      </w:r>
      <w:r w:rsidR="0070749B">
        <w:rPr>
          <w:rFonts w:ascii="Times New Roman" w:hAnsi="Times New Roman" w:cs="Times New Roman"/>
          <w:lang w:val="en-GB"/>
        </w:rPr>
        <w:t xml:space="preserve">underlined a preference for lifestyle </w:t>
      </w:r>
      <w:r w:rsidR="00C63E0D">
        <w:rPr>
          <w:rFonts w:ascii="Times New Roman" w:hAnsi="Times New Roman" w:cs="Times New Roman"/>
          <w:lang w:val="en-GB"/>
        </w:rPr>
        <w:t xml:space="preserve">behaviours </w:t>
      </w:r>
      <w:r w:rsidR="0070749B">
        <w:rPr>
          <w:rFonts w:ascii="Times New Roman" w:hAnsi="Times New Roman" w:cs="Times New Roman"/>
          <w:lang w:val="en-GB"/>
        </w:rPr>
        <w:t>over medications for patients, especially for women, non-smokers and physically active participants</w:t>
      </w:r>
      <w:r>
        <w:rPr>
          <w:rFonts w:ascii="Times New Roman" w:hAnsi="Times New Roman" w:cs="Times New Roman"/>
          <w:lang w:val="en-GB"/>
        </w:rPr>
        <w:t xml:space="preserve"> </w:t>
      </w:r>
      <w:r w:rsidR="0070749B">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{"citationItems":[{"id":"ITEM-1","itemData":{"DOI":"10.1016/j.pmedr.2017.02.010","ISSN":"22113355","abstract":"Preferences for medication treatment versus lifestyle changes are of major importance in the management of chronic diseases. This study aims to investigate determinants of preference for lifestyle changes versus medication for prevention of cardiovascular disease as well as determinants of respondents' beliefs in their ability to maintain lifestyle changes. A representative sample of 40–60-year old Danish inhabitants was in 2012 invited to a survey and were asked to imagine that they had been diagnosed as being at increased risk of heart disease. Subsequently they were presented with a choice between a preventive medical intervention versus lifestyle change. The study population for the present paper comprises 1069 participants. A total of 962 participants preferred lifestyle changes to medication treatment. Significant determinants for preferring lifestyle changes were female gender and high level of physical activity. Significant determinants for not opting for lifestyle changes were being self-employed, poor self-rated health and smoking. Low educational attainment, lifestyle risk factors, self-reported health-related challenges and prior experience with heart disease were associated with a low belief in ability to maintain lifestyle changes. For conclusion we found a pervasive preference for lifestyle changes over medical treatment when individuals were promised the same benefits. Lifestyle risk factors and socioeconomic characteristics were associated with preference for lifestyle changes as well as belief in ability to maintain lifestyle changes. For health professionals risk communication should not only focus on patient preferences but also on patients' beliefs in their own ability to initiate lifestyle changes and possible barriers against maintaining changes.","author":[{"dropping-particle":"","family":"Jarbøl","given":"Dorte Ejg","non-dropping-particle":"","parse-names":false,"suffix":""},{"dropping-particle":"","family":"Larsen","given":"Pia Veldt","non-dropping-particle":"","parse-names":false,"suffix":""},{"dropping-particle":"","family":"Gyrd-Hansen","given":"Dorte","non-dropping-particle":"","parse-names":false,"suffix":""},{"dropping-particle":"","family":"Søndergaard","given":"Jens","non-dropping-particle":"","parse-names":false,"suffix":""},{"dropping-particle":"","family":"Brandt","given":"Carl","non-dropping-particle":"","parse-names":false,"suffix":""},{"dropping-particle":"","family":"Leppin","given":"Anja","non-dropping-particle":"","parse-names":false,"suffix":""},{"dropping-particle":"","family":"Barfoed","given":"Benedicte Lind","non-dropping-particle":"","parse-names":false,"suffix":""},{"dropping-particle":"","family":"Nielsen","given":"Jesper Bo","non-dropping-particle":"","parse-names":false,"suffix":""}],"container-title":"Preventive Medicine Reports","id":"ITEM-1","issued":{"date-parts":[["2017","6","1"]]},"page":"66-73","publisher":"Elsevier","title":"Determinants of preferences for lifestyle changes versus medication and beliefs in ability to maintain lifestyle changes. A population-based survey","type":"article-journal","volume":"6"},"uris":["http://www.mendeley.com/documents/?uuid=89d5979f-2326-3b5a-8e63-9386f08f904c"]}],"mendeley":{"formattedCitation":"[36]","plainTextFormattedCitation":"[36]","previouslyFormattedCitation":"[36]"},"properties":{"noteIndex":0},"schema":"https://github.com/citation-style-language/schema/raw/master/csl-citation.json"}</w:instrText>
      </w:r>
      <w:r w:rsidR="0070749B">
        <w:rPr>
          <w:rFonts w:ascii="Times New Roman" w:hAnsi="Times New Roman" w:cs="Times New Roman"/>
          <w:lang w:val="en-GB"/>
        </w:rPr>
        <w:fldChar w:fldCharType="separate"/>
      </w:r>
      <w:r w:rsidR="003066E4" w:rsidRPr="003066E4">
        <w:rPr>
          <w:rFonts w:ascii="Times New Roman" w:hAnsi="Times New Roman" w:cs="Times New Roman"/>
          <w:noProof/>
          <w:lang w:val="en-GB"/>
        </w:rPr>
        <w:t>[36]</w:t>
      </w:r>
      <w:r w:rsidR="0070749B">
        <w:rPr>
          <w:rFonts w:ascii="Times New Roman" w:hAnsi="Times New Roman" w:cs="Times New Roman"/>
          <w:lang w:val="en-GB"/>
        </w:rPr>
        <w:fldChar w:fldCharType="end"/>
      </w:r>
      <w:r w:rsidR="0070749B">
        <w:rPr>
          <w:rFonts w:ascii="Times New Roman" w:hAnsi="Times New Roman" w:cs="Times New Roman"/>
          <w:lang w:val="en-GB"/>
        </w:rPr>
        <w:t xml:space="preserve">. Taking medicines or supplements may be considered as intrusive in daily living, </w:t>
      </w:r>
      <w:r>
        <w:rPr>
          <w:rFonts w:ascii="Times New Roman" w:hAnsi="Times New Roman" w:cs="Times New Roman"/>
          <w:lang w:val="en-GB"/>
        </w:rPr>
        <w:t xml:space="preserve">and </w:t>
      </w:r>
      <w:r w:rsidR="0070749B">
        <w:rPr>
          <w:rFonts w:ascii="Times New Roman" w:hAnsi="Times New Roman" w:cs="Times New Roman"/>
          <w:lang w:val="en-GB"/>
        </w:rPr>
        <w:t>is accompanied with the fear of side effects, a</w:t>
      </w:r>
      <w:r>
        <w:rPr>
          <w:rFonts w:ascii="Times New Roman" w:hAnsi="Times New Roman" w:cs="Times New Roman"/>
          <w:lang w:val="en-GB"/>
        </w:rPr>
        <w:t>s well as</w:t>
      </w:r>
      <w:r w:rsidR="0070749B">
        <w:rPr>
          <w:rFonts w:ascii="Times New Roman" w:hAnsi="Times New Roman" w:cs="Times New Roman"/>
          <w:lang w:val="en-GB"/>
        </w:rPr>
        <w:t xml:space="preserve"> changing the </w:t>
      </w:r>
      <w:r>
        <w:rPr>
          <w:rFonts w:ascii="Times New Roman" w:hAnsi="Times New Roman" w:cs="Times New Roman"/>
          <w:lang w:val="en-GB"/>
        </w:rPr>
        <w:t xml:space="preserve">subject’s </w:t>
      </w:r>
      <w:r w:rsidR="0070749B">
        <w:rPr>
          <w:rFonts w:ascii="Times New Roman" w:hAnsi="Times New Roman" w:cs="Times New Roman"/>
          <w:lang w:val="en-GB"/>
        </w:rPr>
        <w:t>self-concept f</w:t>
      </w:r>
      <w:r>
        <w:rPr>
          <w:rFonts w:ascii="Times New Roman" w:hAnsi="Times New Roman" w:cs="Times New Roman"/>
          <w:lang w:val="en-GB"/>
        </w:rPr>
        <w:t>r</w:t>
      </w:r>
      <w:r w:rsidR="0070749B">
        <w:rPr>
          <w:rFonts w:ascii="Times New Roman" w:hAnsi="Times New Roman" w:cs="Times New Roman"/>
          <w:lang w:val="en-GB"/>
        </w:rPr>
        <w:t>om that of a healthy person to a sick person</w:t>
      </w:r>
      <w:r w:rsidR="001137C0">
        <w:rPr>
          <w:rFonts w:ascii="Times New Roman" w:hAnsi="Times New Roman" w:cs="Times New Roman"/>
          <w:lang w:val="en-GB"/>
        </w:rPr>
        <w:t xml:space="preserve"> </w:t>
      </w:r>
      <w:r w:rsidR="0070749B">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{"citationItems":[{"id":"ITEM-1","itemData":{"DOI":"10.1016/S0022-3999(99)00057-4","ISSN":"00223999","PMID":"10661603","abstract":"The aim of this cross-sectional study was to quantify patients' personal beliefs about the necessity of their prescribed medication and their concerns about taking it and to assess relations between beliefs and reported adherence among 324 patients from four chronic illness groups (asthma, renal, cardiac, and oncology). The findings revealed considerable variation in reported adherence and beliefs about medicines within and between illness groups. Most patients (89%) believed that their prescribed medication was necessary for maintaining health. However, over a third had strong concerns about their medication based on beliefs about the dangers of dependence or long-term effects. Beliefs about medicines were related to reported adherence: higher necessity scores correlated with higher reported adherence (r=0.21, n=324, p&lt;0.01) and higher concerns correlated with lower reported adherence (r=0.33, n=324, p&lt;0.01). For 17% of the total sample, concerns scores exceeded necessity scores and these patients reported significantly lower adherence rates (t=-4.28, p&lt;0.001). Stepwise multiple linear regression analysis showed that higher reported adherence rates were associated with higher necessity-concerns difference scores (β=0.35, p&lt;0.001), a diagnosis of asthma (β=-0.31, p&lt;0.001), a diagnosis of heart disease (β=0.19, p&lt;0.001), and age (β=0.22, p&lt;0.001). Gender, educational experience, or the number of prescribed medicines did not predict reported adherence. Medication beliefs were more powerful predictors of reported adherence than the clinical and sociodemographic factors, accounting for 19% of the explained variance in adherence. These data were consistent with the hypothesis that many patients engage in an implicit cost-benefit analysis in which beliefs about the necessity of their medication are weighed against concerns about the potential adverse effects of taking it and that these beliefs are related to medication adherence.","author":[{"dropping-particle":"","family":"Horne","given":"Robert","non-dropping-particle":"","parse-names":false,"suffix":""},{"dropping-particle":"","family":"Weinman","given":"John","non-dropping-particle":"","parse-names":false,"suffix":""}],"container-title":"Journal of Psychosomatic Research","id":"ITEM-1","issue":"6","issued":{"date-parts":[["1999","12"]]},"page":"555-567","publisher":"J Psychosom Res","title":"Patients' beliefs about prescribed medicines and their role in adherence to treatment in chronic physical illness","type":"article-journal","volume":"47"},"uris":["http://www.mendeley.com/documents/?uuid=15570ddf-510f-379b-899f-3ea6af12814b"]}],"mendeley":{"formattedCitation":"[37]","plainTextFormattedCitation":"[37]","previouslyFormattedCitation":"[37]"},"properties":{"noteIndex":0},"schema":"https://github.com/citation-style-language/schema/raw/master/csl-citation.json"}</w:instrText>
      </w:r>
      <w:r w:rsidR="0070749B">
        <w:rPr>
          <w:rFonts w:ascii="Times New Roman" w:hAnsi="Times New Roman" w:cs="Times New Roman"/>
          <w:lang w:val="en-GB"/>
        </w:rPr>
        <w:fldChar w:fldCharType="separate"/>
      </w:r>
      <w:r w:rsidR="003066E4" w:rsidRPr="003066E4">
        <w:rPr>
          <w:rFonts w:ascii="Times New Roman" w:hAnsi="Times New Roman" w:cs="Times New Roman"/>
          <w:noProof/>
          <w:lang w:val="en-GB"/>
        </w:rPr>
        <w:t>[37]</w:t>
      </w:r>
      <w:r w:rsidR="0070749B">
        <w:rPr>
          <w:rFonts w:ascii="Times New Roman" w:hAnsi="Times New Roman" w:cs="Times New Roman"/>
          <w:lang w:val="en-GB"/>
        </w:rPr>
        <w:fldChar w:fldCharType="end"/>
      </w:r>
      <w:r w:rsidR="0070749B">
        <w:rPr>
          <w:rFonts w:ascii="Times New Roman" w:hAnsi="Times New Roman" w:cs="Times New Roman"/>
          <w:lang w:val="en-GB"/>
        </w:rPr>
        <w:t xml:space="preserve">. All of these reasons </w:t>
      </w:r>
      <w:r w:rsidR="001137C0">
        <w:rPr>
          <w:rFonts w:ascii="Times New Roman" w:hAnsi="Times New Roman" w:cs="Times New Roman"/>
          <w:lang w:val="en-GB"/>
        </w:rPr>
        <w:t>usually impede</w:t>
      </w:r>
      <w:r w:rsidR="0070749B">
        <w:rPr>
          <w:rFonts w:ascii="Times New Roman" w:hAnsi="Times New Roman" w:cs="Times New Roman"/>
          <w:lang w:val="en-GB"/>
        </w:rPr>
        <w:t xml:space="preserve"> initiation to treatment. </w:t>
      </w:r>
      <w:r w:rsidR="00164886">
        <w:rPr>
          <w:rFonts w:ascii="Times New Roman" w:hAnsi="Times New Roman" w:cs="Times New Roman"/>
          <w:lang w:val="en-GB"/>
        </w:rPr>
        <w:t>On the other hand,</w:t>
      </w:r>
      <w:r w:rsidR="00CB2FF0">
        <w:rPr>
          <w:rFonts w:ascii="Times New Roman" w:hAnsi="Times New Roman" w:cs="Times New Roman"/>
          <w:lang w:val="en-GB"/>
        </w:rPr>
        <w:t xml:space="preserve"> </w:t>
      </w:r>
      <w:r w:rsidR="00A73DB5">
        <w:rPr>
          <w:rFonts w:ascii="Times New Roman" w:hAnsi="Times New Roman" w:cs="Times New Roman"/>
          <w:lang w:val="en-GB"/>
        </w:rPr>
        <w:t xml:space="preserve">diet modification </w:t>
      </w:r>
      <w:r w:rsidR="00CD36A4">
        <w:rPr>
          <w:rFonts w:ascii="Times New Roman" w:hAnsi="Times New Roman" w:cs="Times New Roman"/>
          <w:lang w:val="en-GB"/>
        </w:rPr>
        <w:t xml:space="preserve">has always been considered </w:t>
      </w:r>
      <w:r w:rsidR="001137C0">
        <w:rPr>
          <w:rFonts w:ascii="Times New Roman" w:hAnsi="Times New Roman" w:cs="Times New Roman"/>
          <w:lang w:val="en-GB"/>
        </w:rPr>
        <w:t>to be</w:t>
      </w:r>
      <w:r w:rsidR="00CD36A4">
        <w:rPr>
          <w:rFonts w:ascii="Times New Roman" w:hAnsi="Times New Roman" w:cs="Times New Roman"/>
          <w:lang w:val="en-GB"/>
        </w:rPr>
        <w:t xml:space="preserve"> challenging for</w:t>
      </w:r>
      <w:r w:rsidR="00A73DB5">
        <w:rPr>
          <w:rFonts w:ascii="Times New Roman" w:hAnsi="Times New Roman" w:cs="Times New Roman"/>
          <w:lang w:val="en-GB"/>
        </w:rPr>
        <w:t xml:space="preserve"> humans</w:t>
      </w:r>
      <w:r w:rsidR="00CD36A4">
        <w:rPr>
          <w:rFonts w:ascii="Times New Roman" w:hAnsi="Times New Roman" w:cs="Times New Roman"/>
          <w:lang w:val="en-GB"/>
        </w:rPr>
        <w:t>. Moreover, ageing</w:t>
      </w:r>
      <w:r w:rsidR="00A73DB5">
        <w:rPr>
          <w:rFonts w:ascii="Times New Roman" w:hAnsi="Times New Roman" w:cs="Times New Roman"/>
          <w:lang w:val="en-GB"/>
        </w:rPr>
        <w:t xml:space="preserve"> is also </w:t>
      </w:r>
      <w:r w:rsidR="00D37F96" w:rsidRPr="00D37F96">
        <w:rPr>
          <w:rFonts w:ascii="Times New Roman" w:hAnsi="Times New Roman" w:cs="Times New Roman"/>
          <w:lang w:val="en-GB"/>
        </w:rPr>
        <w:t xml:space="preserve">associated with a </w:t>
      </w:r>
      <w:r w:rsidR="00CD36A4">
        <w:rPr>
          <w:rFonts w:ascii="Times New Roman" w:hAnsi="Times New Roman" w:cs="Times New Roman"/>
          <w:lang w:val="en-GB"/>
        </w:rPr>
        <w:t xml:space="preserve">certain </w:t>
      </w:r>
      <w:r w:rsidR="00D37F96" w:rsidRPr="00D37F96">
        <w:rPr>
          <w:rFonts w:ascii="Times New Roman" w:hAnsi="Times New Roman" w:cs="Times New Roman"/>
          <w:lang w:val="en-GB"/>
        </w:rPr>
        <w:t xml:space="preserve">decline in food intake, </w:t>
      </w:r>
      <w:r w:rsidR="00A82ACF">
        <w:rPr>
          <w:rFonts w:ascii="Times New Roman" w:hAnsi="Times New Roman" w:cs="Times New Roman"/>
          <w:lang w:val="en-GB"/>
        </w:rPr>
        <w:t>loss of appetite/</w:t>
      </w:r>
      <w:r w:rsidR="00D37F96" w:rsidRPr="00D37F96">
        <w:rPr>
          <w:rFonts w:ascii="Times New Roman" w:hAnsi="Times New Roman" w:cs="Times New Roman"/>
          <w:lang w:val="en-GB"/>
        </w:rPr>
        <w:t>anorexia and loss of the motivation to eat</w:t>
      </w:r>
      <w:r w:rsidR="001137C0">
        <w:rPr>
          <w:rFonts w:ascii="Times New Roman" w:hAnsi="Times New Roman" w:cs="Times New Roman"/>
          <w:lang w:val="en-GB"/>
        </w:rPr>
        <w:t xml:space="preserve"> </w:t>
      </w:r>
      <w:r w:rsidR="00A82ACF">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{"citationItems":[{"id":"ITEM-1","itemData":{"DOI":"10.1017/S1041610203008779","ISSN":"10416102","PMID":"12834202","abstract":"Although a high prevalence of overweight is present in elderly people, the main concern in the elderly is the reported decline in food intake and the loss of the motivation to eat. This suggests the presence of problems associated with the regulation of energy balance and the control of food intake. A reduced energy intake causing body weight loss may be caused by social or physiological factors, or a combination of both. Poverty, loneliness, and social isolation are the predominant social factors that contribute to decreased food intake in the elderly. Depression, often associated with loss or deterioration of social networks, is a common psychological problem in the elderly and a significant cause of loss of appetite. The reduction in food intake may be due to the reduced drive to eat (hunger) resulting from a lower need state, or it arises because of more rapidly acting or more potent inhibitory (satiety) signals. The early satiation appears to be predominantly due to a decrease in adaptive relaxation of the stomach fundus resulting in early antral filling, while increased levels and effectiveness of cholecystokinin play a role in the anorexia of aging. The central feeding drive (both the opioid and the neuropeptide Y effects) appears to decline with age. Physical factors such as poor dentition and ill-fitting dentures or age-associated changes in taste and smell may influence food choice and limit the type and quantity of food eaten in older people. Common medical conditions in the elderly such as gastrointestinal disease, malabsorption syndromes, acute and chronic infections, and hypermetabolism often cause anorexia, micronutrient deficiencies, and increased energy and protein requirements. Furthermore, the elderly are major users of prescription medications, a number of which can cause malabsorption of nutrients, gastrointestinal symptoms, and loss of appetite. There is now good evidence that, although age-related reduction in energy intake is largely a physiologic effect of healthy aging, it may predispose to the harmful anorectic effects of psychological, social, and physical problems that become increasingly frequent with aging. Poor nutritional status has been implicated in the development and progression of chronic diseases commonly affecting the elderly. Protein-energy malnutrition is associated with impaired muscle function, decreased bone mass, immune dysfunction, anemia, reduced cognitive function, poor wound healing, delayed recovery fro…","author":[{"dropping-particle":"","family":"Donini","given":"Lorenzo M.","non-dropping-particle":"","parse-names":false,"suffix":""},{"dropping-particle":"","family":"Savina","given":"Claudia","non-dropping-particle":"","parse-names":false,"suffix":""},{"dropping-particle":"","family":"Cannella","given":"Carlo","non-dropping-particle":"","parse-names":false,"suffix":""}],"container-title":"International Psychogeriatrics","id":"ITEM-1","issue":"1","issued":{"date-parts":[["2003","3"]]},"page":"73-87","publisher":"Int Psychogeriatr","title":"Eating habits and appetite control in the elderly: The anorexia of aging","type":"article","volume":"15"},"uris":["http://www.mendeley.com/documents/?uuid=af546293-24a3-3a1b-919c-73f65e5d49f0"]},{"id":"ITEM-2","itemData":{"DOI":"10.3390/nu8010028","ISSN":"20726643","PMID":"26751475","abstract":"It is not well recognized that in the elderly weight loss is more common than weight gain. The aim of this analysis was to determine the effect of ageing on appetite (hunger/fullness) and energy intake, after overnight fasting and in a postprandial state, by meta-analyses of trials that included at least two age groups (&gt;18 years). We hypothesized that appetite and energy intake would be less in healthy older compared with younger adults. Following a PubMed-database systematic search up to 30 June 2015, 59 studies were included in the random-effects-model meta-analyses. Energy intake was 16%-20% lower in older (n = 3574/~70 years/~71 kg/~25 kg/m2) than younger (n = 4111/~26 years/~69 kg/~23 kg/m2) adults (standardized mean difference: -0.77 (95% confidence interval —0.90 to —0.64)). Hunger was 25% (after overnight fasting; weighted mean difference (WMD): —17 (—22 to —13) mm) to 39% (in a postprandial state; WMD: —14 (—19 to —9) mm) lower, and fullness 37% (after overnight fasting; WMD: 6 mm (95% CI: 1 to 11 mm)) greater in older than younger adults. In conclusion, appetite and energy intake are less in healthy older than younger adults, suggesting that ageing per se affects food intake.","author":[{"dropping-particle":"","family":"Giezenaar","given":"Caroline","non-dropping-particle":"","parse-names":false,"suffix":""},{"dropping-particle":"","family":"Chapman","given":"Ian","non-dropping-particle":"","parse-names":false,"suffix":""},{"dropping-particle":"","family":"Luscombe-Marsh","given":"Natalie","non-dropping-particle":"","parse-names":false,"suffix":""},{"dropping-particle":"","family":"Feinle-Bisset","given":"Christine","non-dropping-particle":"","parse-names":false,"suffix":""},{"dropping-particle":"","family":"Horowitz","given":"Michael","non-dropping-particle":"","parse-names":false,"suffix":""},{"dropping-particle":"","family":"Soenen","given":"Stijn","non-dropping-particle":"","parse-names":false,"suffix":""}],"container-title":"Nutrients","id":"ITEM-2","issue":"1","issued":{"date-parts":[["2016","1","7"]]},"publisher":"Multidisciplinary Digital Publishing Institute (MDPI)","title":"Ageing is associated with decreases in appetite and energy intake— A meta-analysis in healthy adults","type":"article-journal","volume":"8"},"uris":["http://www.mendeley.com/documents/?uuid=bc6b97cb-fb86-3586-8802-f4215a62553b"]}],"mendeley":{"formattedCitation":"[38, 39]","plainTextFormattedCitation":"[38, 39]","previouslyFormattedCitation":"[38, 39]"},"properties":{"noteIndex":0},"schema":"https://github.com/citation-style-language/schema/raw/master/csl-citation.json"}</w:instrText>
      </w:r>
      <w:r w:rsidR="00A82ACF">
        <w:rPr>
          <w:rFonts w:ascii="Times New Roman" w:hAnsi="Times New Roman" w:cs="Times New Roman"/>
          <w:lang w:val="en-GB"/>
        </w:rPr>
        <w:fldChar w:fldCharType="separate"/>
      </w:r>
      <w:r w:rsidR="003066E4" w:rsidRPr="003066E4">
        <w:rPr>
          <w:rFonts w:ascii="Times New Roman" w:hAnsi="Times New Roman" w:cs="Times New Roman"/>
          <w:noProof/>
          <w:lang w:val="en-GB"/>
        </w:rPr>
        <w:t>[38, 39]</w:t>
      </w:r>
      <w:r w:rsidR="00A82ACF">
        <w:rPr>
          <w:rFonts w:ascii="Times New Roman" w:hAnsi="Times New Roman" w:cs="Times New Roman"/>
          <w:lang w:val="en-GB"/>
        </w:rPr>
        <w:fldChar w:fldCharType="end"/>
      </w:r>
      <w:r w:rsidR="00D37F96" w:rsidRPr="00D37F96">
        <w:rPr>
          <w:rFonts w:ascii="Times New Roman" w:hAnsi="Times New Roman" w:cs="Times New Roman"/>
          <w:lang w:val="en-GB"/>
        </w:rPr>
        <w:t>. The source of this anorexia is multifactorial and include</w:t>
      </w:r>
      <w:r w:rsidR="001137C0">
        <w:rPr>
          <w:rFonts w:ascii="Times New Roman" w:hAnsi="Times New Roman" w:cs="Times New Roman"/>
          <w:lang w:val="en-GB"/>
        </w:rPr>
        <w:t>s</w:t>
      </w:r>
      <w:r w:rsidR="00D37F96" w:rsidRPr="00D37F96">
        <w:rPr>
          <w:rFonts w:ascii="Times New Roman" w:hAnsi="Times New Roman" w:cs="Times New Roman"/>
          <w:lang w:val="en-GB"/>
        </w:rPr>
        <w:t xml:space="preserve"> physiological changes but also</w:t>
      </w:r>
      <w:r w:rsidR="001137C0">
        <w:rPr>
          <w:rFonts w:ascii="Times New Roman" w:hAnsi="Times New Roman" w:cs="Times New Roman"/>
          <w:lang w:val="en-GB"/>
        </w:rPr>
        <w:t xml:space="preserve"> the </w:t>
      </w:r>
      <w:r w:rsidR="00D37F96" w:rsidRPr="00D37F96">
        <w:rPr>
          <w:rFonts w:ascii="Times New Roman" w:hAnsi="Times New Roman" w:cs="Times New Roman"/>
          <w:lang w:val="en-GB"/>
        </w:rPr>
        <w:t>environmental and social modifications</w:t>
      </w:r>
      <w:r w:rsidR="00CD36A4">
        <w:rPr>
          <w:rFonts w:ascii="Times New Roman" w:hAnsi="Times New Roman" w:cs="Times New Roman"/>
          <w:lang w:val="en-GB"/>
        </w:rPr>
        <w:t xml:space="preserve"> </w:t>
      </w:r>
      <w:r w:rsidR="001137C0">
        <w:rPr>
          <w:rFonts w:ascii="Times New Roman" w:hAnsi="Times New Roman" w:cs="Times New Roman"/>
          <w:lang w:val="en-GB"/>
        </w:rPr>
        <w:t xml:space="preserve">that come </w:t>
      </w:r>
      <w:r w:rsidR="00CD36A4">
        <w:rPr>
          <w:rFonts w:ascii="Times New Roman" w:hAnsi="Times New Roman" w:cs="Times New Roman"/>
          <w:lang w:val="en-GB"/>
        </w:rPr>
        <w:t>with ageing</w:t>
      </w:r>
      <w:r w:rsidR="001137C0">
        <w:rPr>
          <w:rFonts w:ascii="Times New Roman" w:hAnsi="Times New Roman" w:cs="Times New Roman"/>
          <w:lang w:val="en-GB"/>
        </w:rPr>
        <w:t xml:space="preserve"> </w:t>
      </w:r>
      <w:r w:rsidR="00D10A0A">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{"citationItems":[{"id":"ITEM-1","itemData":{"DOI":"10.1017/S1041610203008779","ISSN":"10416102","PMID":"12834202","abstract":"Although a high prevalence of overweight is present in elderly people, the main concern in the elderly is the reported decline in food intake and the loss of the motivation to eat. This suggests the presence of problems associated with the regulation of energy balance and the control of food intake. A reduced energy intake causing body weight loss may be caused by social or physiological factors, or a combination of both. Poverty, loneliness, and social isolation are the predominant social factors that contribute to decreased food intake in the elderly. Depression, often associated with loss or deterioration of social networks, is a common psychological problem in the elderly and a significant cause of loss of appetite. The reduction in food intake may be due to the reduced drive to eat (hunger) resulting from a lower need state, or it arises because of more rapidly acting or more potent inhibitory (satiety) signals. The early satiation appears to be predominantly due to a decrease in adaptive relaxation of the stomach fundus resulting in early antral filling, while increased levels and effectiveness of cholecystokinin play a role in the anorexia of aging. The central feeding drive (both the opioid and the neuropeptide Y effects) appears to decline with age. Physical factors such as poor dentition and ill-fitting dentures or age-associated changes in taste and smell may influence food choice and limit the type and quantity of food eaten in older people. Common medical conditions in the elderly such as gastrointestinal disease, malabsorption syndromes, acute and chronic infections, and hypermetabolism often cause anorexia, micronutrient deficiencies, and increased energy and protein requirements. Furthermore, the elderly are major users of prescription medications, a number of which can cause malabsorption of nutrients, gastrointestinal symptoms, and loss of appetite. There is now good evidence that, although age-related reduction in energy intake is largely a physiologic effect of healthy aging, it may predispose to the harmful anorectic effects of psychological, social, and physical problems that become increasingly frequent with aging. Poor nutritional status has been implicated in the development and progression of chronic diseases commonly affecting the elderly. Protein-energy malnutrition is associated with impaired muscle function, decreased bone mass, immune dysfunction, anemia, reduced cognitive function, poor wound healing, delayed recovery fro…","author":[{"dropping-particle":"","family":"Donini","given":"Lorenzo M.","non-dropping-particle":"","parse-names":false,"suffix":""},{"dropping-particle":"","family":"Savina","given":"Claudia","non-dropping-particle":"","parse-names":false,"suffix":""},{"dropping-particle":"","family":"Cannella","given":"Carlo","non-dropping-particle":"","parse-names":false,"suffix":""}],"container-title":"International Psychogeriatrics","id":"ITEM-1","issue":"1","issued":{"date-parts":[["2003","3"]]},"page":"73-87","publisher":"Int Psychogeriatr","title":"Eating habits and appetite control in the elderly: The anorexia of aging","type":"article","volume":"15"},"uris":["http://www.mendeley.com/documents/?uuid=af546293-24a3-3a1b-919c-73f65e5d49f0"]},{"id":"ITEM-2","itemData":{"DOI":"10.3390/nu8010028","ISSN":"20726643","PMID":"26751475","abstract":"It is not well recognized that in the elderly weight loss is more common than weight gain. The aim of this analysis was to determine the effect of ageing on appetite (hunger/fullness) and energy intake, after overnight fasting and in a postprandial state, by meta-analyses of trials that included at least two age groups (&gt;18 years). We hypothesized that appetite and energy intake would be less in healthy older compared with younger adults. Following a PubMed-database systematic search up to 30 June 2015, 59 studies were included in the random-effects-model meta-analyses. Energy intake was 16%-20% lower in older (n = 3574/~70 years/~71 kg/~25 kg/m2) than younger (n = 4111/~26 years/~69 kg/~23 kg/m2) adults (standardized mean difference: -0.77 (95% confidence interval —0.90 to —0.64)). Hunger was 25% (after overnight fasting; weighted mean difference (WMD): —17 (—22 to —13) mm) to 39% (in a postprandial state; WMD: —14 (—19 to —9) mm) lower, and fullness 37% (after overnight fasting; WMD: 6 mm (95% CI: 1 to 11 mm)) greater in older than younger adults. In conclusion, appetite and energy intake are less in healthy older than younger adults, suggesting that ageing per se affects food intake.","author":[{"dropping-particle":"","family":"Giezenaar","given":"Caroline","non-dropping-particle":"","parse-names":false,"suffix":""},{"dropping-particle":"","family":"Chapman","given":"Ian","non-dropping-particle":"","parse-names":false,"suffix":""},{"dropping-particle":"","family":"Luscombe-Marsh","given":"Natalie","non-dropping-particle":"","parse-names":false,"suffix":""},{"dropping-particle":"","family":"Feinle-Bisset","given":"Christine","non-dropping-particle":"","parse-names":false,"suffix":""},{"dropping-particle":"","family":"Horowitz","given":"Michael","non-dropping-particle":"","parse-names":false,"suffix":""},{"dropping-particle":"","family":"Soenen","given":"Stijn","non-dropping-particle":"","parse-names":false,"suffix":""}],"container-title":"Nutrients","id":"ITEM-2","issue":"1","issued":{"date-parts":[["2016","1","7"]]},"publisher":"Multidisciplinary Digital Publishing Institute (MDPI)","title":"Ageing is associated with decreases in appetite and energy intake— A meta-analysis in healthy adults","type":"article-journal","volume":"8"},"uris":["http://www.mendeley.com/documents/?uuid=bc6b97cb-fb86-3586-8802-f4215a62553b"]}],"mendeley":{"formattedCitation":"[38, 39]","plainTextFormattedCitation":"[38, 39]","previouslyFormattedCitation":"[38, 39]"},"properties":{"noteIndex":0},"schema":"https://github.com/citation-style-language/schema/raw/master/csl-citation.json"}</w:instrText>
      </w:r>
      <w:r w:rsidR="00D10A0A">
        <w:rPr>
          <w:rFonts w:ascii="Times New Roman" w:hAnsi="Times New Roman" w:cs="Times New Roman"/>
          <w:lang w:val="en-GB"/>
        </w:rPr>
        <w:fldChar w:fldCharType="separate"/>
      </w:r>
      <w:r w:rsidR="003066E4" w:rsidRPr="003066E4">
        <w:rPr>
          <w:rFonts w:ascii="Times New Roman" w:hAnsi="Times New Roman" w:cs="Times New Roman"/>
          <w:noProof/>
          <w:lang w:val="en-GB"/>
        </w:rPr>
        <w:t>[38, 39]</w:t>
      </w:r>
      <w:r w:rsidR="00D10A0A">
        <w:rPr>
          <w:rFonts w:ascii="Times New Roman" w:hAnsi="Times New Roman" w:cs="Times New Roman"/>
          <w:lang w:val="en-GB"/>
        </w:rPr>
        <w:fldChar w:fldCharType="end"/>
      </w:r>
      <w:r w:rsidR="00D37F96" w:rsidRPr="00D37F96">
        <w:rPr>
          <w:rFonts w:ascii="Times New Roman" w:hAnsi="Times New Roman" w:cs="Times New Roman"/>
          <w:lang w:val="en-GB"/>
        </w:rPr>
        <w:t xml:space="preserve">. </w:t>
      </w:r>
      <w:r w:rsidR="001137C0">
        <w:rPr>
          <w:rFonts w:ascii="Times New Roman" w:hAnsi="Times New Roman" w:cs="Times New Roman"/>
          <w:lang w:val="en-GB"/>
        </w:rPr>
        <w:t>Moreover</w:t>
      </w:r>
      <w:r w:rsidR="00D37F96" w:rsidRPr="00CD36A4">
        <w:rPr>
          <w:rFonts w:ascii="Times New Roman" w:hAnsi="Times New Roman" w:cs="Times New Roman"/>
          <w:lang w:val="en-GB"/>
        </w:rPr>
        <w:t>, ageing</w:t>
      </w:r>
      <w:r w:rsidR="00A73DB5">
        <w:rPr>
          <w:rFonts w:ascii="Times New Roman" w:hAnsi="Times New Roman" w:cs="Times New Roman"/>
          <w:lang w:val="en-GB"/>
        </w:rPr>
        <w:t xml:space="preserve"> has</w:t>
      </w:r>
      <w:r w:rsidR="00CD36A4">
        <w:rPr>
          <w:rFonts w:ascii="Times New Roman" w:hAnsi="Times New Roman" w:cs="Times New Roman"/>
          <w:lang w:val="en-GB"/>
        </w:rPr>
        <w:t xml:space="preserve"> </w:t>
      </w:r>
      <w:r w:rsidR="00A73DB5">
        <w:rPr>
          <w:rFonts w:ascii="Times New Roman" w:hAnsi="Times New Roman" w:cs="Times New Roman"/>
          <w:lang w:val="en-GB"/>
        </w:rPr>
        <w:t>a negative effect on calcium and vitamin D absorption</w:t>
      </w:r>
      <w:r w:rsidR="001137C0">
        <w:rPr>
          <w:rFonts w:ascii="Times New Roman" w:hAnsi="Times New Roman" w:cs="Times New Roman"/>
          <w:lang w:val="en-GB"/>
        </w:rPr>
        <w:t xml:space="preserve"> </w:t>
      </w:r>
      <w:r w:rsidR="00D37F96">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{"citationItems":[{"id":"ITEM-1","itemData":{"DOI":"10.1016/S0140-6736(70)91344-9","ISSN":"01406736","PMID":"4195202","abstract":"Calcium absorption was measured by plasma radioactivity after oral calcium isotopes in seventy-five men and one hundred and fifteen women aged 20-95 years. Absorption of calcium fell with age after about 60 years and everyone over 80 had significant malabsorption. This malabsorption of calcium in the elderly may well be due to vitamin-D deficiency, and could play a significant role in the pathogenesis of fractures in old people. © 1970.","author":[{"dropping-particle":"","family":"Bullamore","given":"J. R.","non-dropping-particle":"","parse-names":false,"suffix":""},{"dropping-particle":"","family":"Wilkinson","given":"R.","non-dropping-particle":"","parse-names":false,"suffix":""},{"dropping-particle":"","family":"Gallagher","given":"J. C.","non-dropping-particle":"","parse-names":false,"suffix":""},{"dropping-particle":"","family":"Nordin","given":"B. E.C.","non-dropping-particle":"","parse-names":false,"suffix":""},{"dropping-particle":"","family":"Marshall","given":"D. H.","non-dropping-particle":"","parse-names":false,"suffix":""}],"container-title":"The Lancet","id":"ITEM-1","issue":"7672","issued":{"date-parts":[["1970","9","12"]]},"page":"535-537","publisher":"Elsevier","title":"EFFECT OF AGE ON CALCIUM ABSORPTION","type":"article-journal","volume":"296"},"uris":["http://www.mendeley.com/documents/?uuid=71983f25-b723-3bf5-8b60-d5cbbc8276f9"]}],"mendeley":{"formattedCitation":"[40]","plainTextFormattedCitation":"[40]","previouslyFormattedCitation":"[40]"},"properties":{"noteIndex":0},"schema":"https://github.com/citation-style-language/schema/raw/master/csl-citation.json"}</w:instrText>
      </w:r>
      <w:r w:rsidR="00D37F96">
        <w:rPr>
          <w:rFonts w:ascii="Times New Roman" w:hAnsi="Times New Roman" w:cs="Times New Roman"/>
          <w:lang w:val="en-GB"/>
        </w:rPr>
        <w:fldChar w:fldCharType="separate"/>
      </w:r>
      <w:r w:rsidR="003066E4" w:rsidRPr="003066E4">
        <w:rPr>
          <w:rFonts w:ascii="Times New Roman" w:hAnsi="Times New Roman" w:cs="Times New Roman"/>
          <w:noProof/>
          <w:lang w:val="en-GB"/>
        </w:rPr>
        <w:t>[40]</w:t>
      </w:r>
      <w:r w:rsidR="00D37F96">
        <w:rPr>
          <w:rFonts w:ascii="Times New Roman" w:hAnsi="Times New Roman" w:cs="Times New Roman"/>
          <w:lang w:val="en-GB"/>
        </w:rPr>
        <w:fldChar w:fldCharType="end"/>
      </w:r>
      <w:r w:rsidR="00A73DB5">
        <w:rPr>
          <w:rFonts w:ascii="Times New Roman" w:hAnsi="Times New Roman" w:cs="Times New Roman"/>
          <w:lang w:val="en-GB"/>
        </w:rPr>
        <w:t xml:space="preserve"> </w:t>
      </w:r>
      <w:r w:rsidR="00D37F96">
        <w:rPr>
          <w:rFonts w:ascii="Times New Roman" w:hAnsi="Times New Roman" w:cs="Times New Roman"/>
          <w:lang w:val="en-GB"/>
        </w:rPr>
        <w:t>and higher consumption of</w:t>
      </w:r>
      <w:r w:rsidR="00A73DB5">
        <w:rPr>
          <w:rFonts w:ascii="Times New Roman" w:hAnsi="Times New Roman" w:cs="Times New Roman"/>
          <w:lang w:val="en-GB"/>
        </w:rPr>
        <w:t xml:space="preserve"> dairy products and fish</w:t>
      </w:r>
      <w:r w:rsidR="00D37F96">
        <w:rPr>
          <w:rFonts w:ascii="Times New Roman" w:hAnsi="Times New Roman" w:cs="Times New Roman"/>
          <w:lang w:val="en-GB"/>
        </w:rPr>
        <w:t xml:space="preserve"> is </w:t>
      </w:r>
      <w:r w:rsidR="00CD36A4">
        <w:rPr>
          <w:rFonts w:ascii="Times New Roman" w:hAnsi="Times New Roman" w:cs="Times New Roman"/>
          <w:lang w:val="en-GB"/>
        </w:rPr>
        <w:t xml:space="preserve">therefore </w:t>
      </w:r>
      <w:r w:rsidR="00D37F96">
        <w:rPr>
          <w:rFonts w:ascii="Times New Roman" w:hAnsi="Times New Roman" w:cs="Times New Roman"/>
          <w:lang w:val="en-GB"/>
        </w:rPr>
        <w:t>necessary</w:t>
      </w:r>
      <w:r w:rsidR="00CD36A4">
        <w:rPr>
          <w:rFonts w:ascii="Times New Roman" w:hAnsi="Times New Roman" w:cs="Times New Roman"/>
          <w:lang w:val="en-GB"/>
        </w:rPr>
        <w:t xml:space="preserve"> for this population</w:t>
      </w:r>
      <w:r w:rsidR="00D37F96">
        <w:rPr>
          <w:rFonts w:ascii="Times New Roman" w:hAnsi="Times New Roman" w:cs="Times New Roman"/>
          <w:lang w:val="en-GB"/>
        </w:rPr>
        <w:t xml:space="preserve"> to achieve the recommended levels</w:t>
      </w:r>
      <w:r w:rsidR="00A73DB5">
        <w:rPr>
          <w:rFonts w:ascii="Times New Roman" w:hAnsi="Times New Roman" w:cs="Times New Roman"/>
          <w:lang w:val="en-GB"/>
        </w:rPr>
        <w:t xml:space="preserve">, </w:t>
      </w:r>
      <w:r w:rsidR="001137C0">
        <w:rPr>
          <w:rFonts w:ascii="Times New Roman" w:hAnsi="Times New Roman" w:cs="Times New Roman"/>
          <w:lang w:val="en-GB"/>
        </w:rPr>
        <w:t xml:space="preserve">a course </w:t>
      </w:r>
      <w:r w:rsidR="00A73DB5">
        <w:rPr>
          <w:rFonts w:ascii="Times New Roman" w:hAnsi="Times New Roman" w:cs="Times New Roman"/>
          <w:lang w:val="en-GB"/>
        </w:rPr>
        <w:t>which is not always acceptable for patients. Therefore</w:t>
      </w:r>
      <w:r w:rsidR="00A82ACF">
        <w:rPr>
          <w:rFonts w:ascii="Times New Roman" w:hAnsi="Times New Roman" w:cs="Times New Roman"/>
          <w:lang w:val="en-GB"/>
        </w:rPr>
        <w:t>,</w:t>
      </w:r>
      <w:r w:rsidR="00A73DB5">
        <w:rPr>
          <w:rFonts w:ascii="Times New Roman" w:hAnsi="Times New Roman" w:cs="Times New Roman"/>
          <w:lang w:val="en-GB"/>
        </w:rPr>
        <w:t xml:space="preserve"> it seems “easier” and a</w:t>
      </w:r>
      <w:r w:rsidR="00E62B95">
        <w:rPr>
          <w:rFonts w:ascii="Times New Roman" w:hAnsi="Times New Roman" w:cs="Times New Roman"/>
          <w:lang w:val="en-GB"/>
        </w:rPr>
        <w:t>n</w:t>
      </w:r>
      <w:r w:rsidR="00A73DB5">
        <w:rPr>
          <w:rFonts w:ascii="Times New Roman" w:hAnsi="Times New Roman" w:cs="Times New Roman"/>
          <w:lang w:val="en-GB"/>
        </w:rPr>
        <w:t xml:space="preserve"> acceptable alternative to take daily supplements. </w:t>
      </w:r>
      <w:r w:rsidR="00303834">
        <w:rPr>
          <w:rFonts w:ascii="Times New Roman" w:hAnsi="Times New Roman" w:cs="Times New Roman"/>
          <w:lang w:val="en-GB"/>
        </w:rPr>
        <w:t xml:space="preserve">In our study, we found that patients in every country preferred taking vitamin D and calcium </w:t>
      </w:r>
      <w:r w:rsidR="001137C0">
        <w:rPr>
          <w:rFonts w:ascii="Times New Roman" w:hAnsi="Times New Roman" w:cs="Times New Roman"/>
          <w:lang w:val="en-GB"/>
        </w:rPr>
        <w:t>supple</w:t>
      </w:r>
      <w:r w:rsidR="00A246B1">
        <w:rPr>
          <w:rFonts w:ascii="Times New Roman" w:hAnsi="Times New Roman" w:cs="Times New Roman"/>
          <w:lang w:val="en-GB"/>
        </w:rPr>
        <w:t>ments</w:t>
      </w:r>
      <w:r w:rsidR="00303834">
        <w:rPr>
          <w:rFonts w:ascii="Times New Roman" w:hAnsi="Times New Roman" w:cs="Times New Roman"/>
          <w:lang w:val="en-GB"/>
        </w:rPr>
        <w:t xml:space="preserve"> over ensuring their appropriate dietary consumption</w:t>
      </w:r>
      <w:r w:rsidR="00A246B1">
        <w:rPr>
          <w:rFonts w:ascii="Times New Roman" w:hAnsi="Times New Roman" w:cs="Times New Roman"/>
          <w:lang w:val="en-GB"/>
        </w:rPr>
        <w:t>,</w:t>
      </w:r>
      <w:r w:rsidR="00303834">
        <w:rPr>
          <w:rFonts w:ascii="Times New Roman" w:hAnsi="Times New Roman" w:cs="Times New Roman"/>
          <w:lang w:val="en-GB"/>
        </w:rPr>
        <w:t xml:space="preserve"> </w:t>
      </w:r>
      <w:r w:rsidR="00A246B1">
        <w:rPr>
          <w:rFonts w:ascii="Times New Roman" w:hAnsi="Times New Roman" w:cs="Times New Roman"/>
          <w:lang w:val="en-GB"/>
        </w:rPr>
        <w:t>with</w:t>
      </w:r>
      <w:r w:rsidR="00303834">
        <w:rPr>
          <w:rFonts w:ascii="Times New Roman" w:hAnsi="Times New Roman" w:cs="Times New Roman"/>
          <w:lang w:val="en-GB"/>
        </w:rPr>
        <w:t xml:space="preserve"> the exception of </w:t>
      </w:r>
      <w:r w:rsidR="00A246B1">
        <w:rPr>
          <w:rFonts w:ascii="Times New Roman" w:hAnsi="Times New Roman" w:cs="Times New Roman"/>
          <w:lang w:val="en-GB"/>
        </w:rPr>
        <w:t xml:space="preserve">the </w:t>
      </w:r>
      <w:r w:rsidR="00303834">
        <w:rPr>
          <w:rFonts w:ascii="Times New Roman" w:hAnsi="Times New Roman" w:cs="Times New Roman"/>
          <w:lang w:val="en-GB"/>
        </w:rPr>
        <w:t xml:space="preserve">UK. </w:t>
      </w:r>
      <w:r w:rsidR="00675763">
        <w:rPr>
          <w:rFonts w:ascii="Times New Roman" w:hAnsi="Times New Roman" w:cs="Times New Roman"/>
          <w:lang w:val="en-GB"/>
        </w:rPr>
        <w:t>However, we</w:t>
      </w:r>
      <w:r w:rsidR="00303834">
        <w:rPr>
          <w:rFonts w:ascii="Times New Roman" w:hAnsi="Times New Roman" w:cs="Times New Roman"/>
          <w:lang w:val="en-GB"/>
        </w:rPr>
        <w:t xml:space="preserve"> do not have </w:t>
      </w:r>
      <w:r w:rsidR="00A246B1">
        <w:rPr>
          <w:rFonts w:ascii="Times New Roman" w:hAnsi="Times New Roman" w:cs="Times New Roman"/>
          <w:lang w:val="en-GB"/>
        </w:rPr>
        <w:t xml:space="preserve">a </w:t>
      </w:r>
      <w:r w:rsidR="00303834">
        <w:rPr>
          <w:rFonts w:ascii="Times New Roman" w:hAnsi="Times New Roman" w:cs="Times New Roman"/>
          <w:lang w:val="en-GB"/>
        </w:rPr>
        <w:t xml:space="preserve">strong hypothesis to explain that UK participants </w:t>
      </w:r>
      <w:r w:rsidR="00675763">
        <w:rPr>
          <w:rFonts w:ascii="Times New Roman" w:hAnsi="Times New Roman" w:cs="Times New Roman"/>
          <w:lang w:val="en-GB"/>
        </w:rPr>
        <w:t>seem more favourable t</w:t>
      </w:r>
      <w:r w:rsidR="00A246B1">
        <w:rPr>
          <w:rFonts w:ascii="Times New Roman" w:hAnsi="Times New Roman" w:cs="Times New Roman"/>
          <w:lang w:val="en-GB"/>
        </w:rPr>
        <w:t>han</w:t>
      </w:r>
      <w:r w:rsidR="00675763">
        <w:rPr>
          <w:rFonts w:ascii="Times New Roman" w:hAnsi="Times New Roman" w:cs="Times New Roman"/>
          <w:lang w:val="en-GB"/>
        </w:rPr>
        <w:t xml:space="preserve"> participants from other countries to ensure a</w:t>
      </w:r>
      <w:r w:rsidR="00A246B1">
        <w:rPr>
          <w:rFonts w:ascii="Times New Roman" w:hAnsi="Times New Roman" w:cs="Times New Roman"/>
          <w:lang w:val="en-GB"/>
        </w:rPr>
        <w:t>dequate</w:t>
      </w:r>
      <w:r w:rsidR="00675763">
        <w:rPr>
          <w:rFonts w:ascii="Times New Roman" w:hAnsi="Times New Roman" w:cs="Times New Roman"/>
          <w:lang w:val="en-GB"/>
        </w:rPr>
        <w:t xml:space="preserve"> consumption of vitamin D and </w:t>
      </w:r>
      <w:r w:rsidR="00A246B1">
        <w:rPr>
          <w:rFonts w:ascii="Times New Roman" w:hAnsi="Times New Roman" w:cs="Times New Roman"/>
          <w:lang w:val="en-GB"/>
        </w:rPr>
        <w:t>c</w:t>
      </w:r>
      <w:r w:rsidR="00675763">
        <w:rPr>
          <w:rFonts w:ascii="Times New Roman" w:hAnsi="Times New Roman" w:cs="Times New Roman"/>
          <w:lang w:val="en-GB"/>
        </w:rPr>
        <w:t xml:space="preserve">alcium via diet. </w:t>
      </w:r>
    </w:p>
    <w:p w14:paraId="48DDB211" w14:textId="73F19465" w:rsidR="00A6584C" w:rsidRDefault="00667135" w:rsidP="00A6584C">
      <w:pPr>
        <w:spacing w:line="360" w:lineRule="auto"/>
        <w:jc w:val="both"/>
        <w:rPr>
          <w:rFonts w:ascii="Times New Roman" w:hAnsi="Times New Roman" w:cs="Times New Roman"/>
          <w:lang w:val="en-GB"/>
        </w:rPr>
      </w:pPr>
      <w:r>
        <w:rPr>
          <w:rFonts w:ascii="Times New Roman" w:hAnsi="Times New Roman" w:cs="Times New Roman"/>
          <w:lang w:val="en-GB"/>
        </w:rPr>
        <w:t xml:space="preserve">Among the lifestyle behaviours investigated in our study, we also </w:t>
      </w:r>
      <w:r w:rsidR="00586E5B">
        <w:rPr>
          <w:rFonts w:ascii="Times New Roman" w:hAnsi="Times New Roman" w:cs="Times New Roman"/>
          <w:lang w:val="en-GB"/>
        </w:rPr>
        <w:t>investigated</w:t>
      </w:r>
      <w:r w:rsidR="004E1067">
        <w:rPr>
          <w:rFonts w:ascii="Times New Roman" w:hAnsi="Times New Roman" w:cs="Times New Roman"/>
          <w:lang w:val="en-GB"/>
        </w:rPr>
        <w:t xml:space="preserve"> </w:t>
      </w:r>
      <w:r w:rsidR="00A246B1">
        <w:rPr>
          <w:rFonts w:ascii="Times New Roman" w:hAnsi="Times New Roman" w:cs="Times New Roman"/>
          <w:lang w:val="en-GB"/>
        </w:rPr>
        <w:t>whether partic</w:t>
      </w:r>
      <w:r w:rsidR="00B357AA">
        <w:rPr>
          <w:rFonts w:ascii="Times New Roman" w:hAnsi="Times New Roman" w:cs="Times New Roman"/>
          <w:lang w:val="en-GB"/>
        </w:rPr>
        <w:t>i</w:t>
      </w:r>
      <w:r w:rsidR="00A246B1">
        <w:rPr>
          <w:rFonts w:ascii="Times New Roman" w:hAnsi="Times New Roman" w:cs="Times New Roman"/>
          <w:lang w:val="en-GB"/>
        </w:rPr>
        <w:t>pants</w:t>
      </w:r>
      <w:r w:rsidR="004E1067">
        <w:rPr>
          <w:rFonts w:ascii="Times New Roman" w:hAnsi="Times New Roman" w:cs="Times New Roman"/>
          <w:lang w:val="en-GB"/>
        </w:rPr>
        <w:t xml:space="preserve"> were </w:t>
      </w:r>
      <w:r w:rsidR="00A246B1">
        <w:rPr>
          <w:rFonts w:ascii="Times New Roman" w:hAnsi="Times New Roman" w:cs="Times New Roman"/>
          <w:lang w:val="en-GB"/>
        </w:rPr>
        <w:t>willing</w:t>
      </w:r>
      <w:r w:rsidR="004E1067">
        <w:rPr>
          <w:rFonts w:ascii="Times New Roman" w:hAnsi="Times New Roman" w:cs="Times New Roman"/>
          <w:lang w:val="en-GB"/>
        </w:rPr>
        <w:t xml:space="preserve"> to receive either advice on fall prevention or to </w:t>
      </w:r>
      <w:r w:rsidR="00A246B1">
        <w:rPr>
          <w:rFonts w:ascii="Times New Roman" w:hAnsi="Times New Roman" w:cs="Times New Roman"/>
          <w:lang w:val="en-GB"/>
        </w:rPr>
        <w:t>participate in</w:t>
      </w:r>
      <w:r w:rsidR="000A1724">
        <w:rPr>
          <w:rFonts w:ascii="Times New Roman" w:hAnsi="Times New Roman" w:cs="Times New Roman"/>
          <w:lang w:val="en-GB"/>
        </w:rPr>
        <w:t xml:space="preserve"> </w:t>
      </w:r>
      <w:r w:rsidR="004E1067">
        <w:rPr>
          <w:rFonts w:ascii="Times New Roman" w:hAnsi="Times New Roman" w:cs="Times New Roman"/>
          <w:lang w:val="en-GB"/>
        </w:rPr>
        <w:t xml:space="preserve">a one-day fall prevention course. Consensually, all countries were not </w:t>
      </w:r>
      <w:r w:rsidR="00B357AA">
        <w:rPr>
          <w:rFonts w:ascii="Times New Roman" w:hAnsi="Times New Roman" w:cs="Times New Roman"/>
          <w:lang w:val="en-GB"/>
        </w:rPr>
        <w:t>willing</w:t>
      </w:r>
      <w:r w:rsidR="004E1067">
        <w:rPr>
          <w:rFonts w:ascii="Times New Roman" w:hAnsi="Times New Roman" w:cs="Times New Roman"/>
          <w:lang w:val="en-GB"/>
        </w:rPr>
        <w:t xml:space="preserve"> to </w:t>
      </w:r>
      <w:r w:rsidR="00B357AA">
        <w:rPr>
          <w:rFonts w:ascii="Times New Roman" w:hAnsi="Times New Roman" w:cs="Times New Roman"/>
          <w:lang w:val="en-GB"/>
        </w:rPr>
        <w:t>attend</w:t>
      </w:r>
      <w:r w:rsidR="000A1724">
        <w:rPr>
          <w:rFonts w:ascii="Times New Roman" w:hAnsi="Times New Roman" w:cs="Times New Roman"/>
          <w:lang w:val="en-GB"/>
        </w:rPr>
        <w:t xml:space="preserve"> </w:t>
      </w:r>
      <w:r w:rsidR="004E1067">
        <w:rPr>
          <w:rFonts w:ascii="Times New Roman" w:hAnsi="Times New Roman" w:cs="Times New Roman"/>
          <w:lang w:val="en-GB"/>
        </w:rPr>
        <w:t xml:space="preserve">a one-day fall prevention course. </w:t>
      </w:r>
      <w:r w:rsidR="00A6584C">
        <w:rPr>
          <w:rFonts w:ascii="Times New Roman" w:hAnsi="Times New Roman" w:cs="Times New Roman"/>
          <w:lang w:val="en-GB"/>
        </w:rPr>
        <w:t xml:space="preserve">It has already been shown that participation rates in </w:t>
      </w:r>
      <w:r w:rsidR="00B357AA">
        <w:rPr>
          <w:rFonts w:ascii="Times New Roman" w:hAnsi="Times New Roman" w:cs="Times New Roman"/>
          <w:lang w:val="en-GB"/>
        </w:rPr>
        <w:t xml:space="preserve">a </w:t>
      </w:r>
      <w:r w:rsidR="00A6584C">
        <w:rPr>
          <w:rFonts w:ascii="Times New Roman" w:hAnsi="Times New Roman" w:cs="Times New Roman"/>
          <w:lang w:val="en-GB"/>
        </w:rPr>
        <w:t>fall prevention program are usually low</w:t>
      </w:r>
      <w:r w:rsidR="00B357AA">
        <w:rPr>
          <w:rFonts w:ascii="Times New Roman" w:hAnsi="Times New Roman" w:cs="Times New Roman"/>
          <w:lang w:val="en-GB"/>
        </w:rPr>
        <w:t xml:space="preserve"> </w:t>
      </w:r>
      <w:r w:rsidR="00AB0921">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{"citationItems":[{"id":"ITEM-1","itemData":{"DOI":"10.1016/j.ypmed.2012.10.001","ISSN":"00917435","PMID":"23064022","abstract":"Objective: To examine older people's participation in fall prevention exercise/physical activities. Methods: Participants comprised 5,681 randomly selected older people (≥ 65. years) who took part in the 2009 New South Wales (Australia) Fall Prevention telephone survey (61% response-rate). The instrument consisted of 11 prompted activities including two separate questions on participation in strength and balance training. Tai chi, dance, team sports, golf, bowls and specific balance training were classified as balance-challenging activities. Correlates of low participation were examined using multivariable logistic regression. Results: One in eight older people (12.0%, 95% CI: 11.0-13.0) participated in strength training, 6.0% (95% CI: 5.2-6.7) participated in balance training and 21.8% (95% CI: 20.5-23.0) participated in balance-challenging activities. Adherence to public health recommendations (≥ 2. days/week) for strength or balance-challenging activities was reported by 21.0% (95% CI: 9.8-22.2) with 5.3% adhering to both forms. Engagements in strength or in balance-challenging activities were lower among those who had low education (&lt; high-school), lived in disadvantaged neighbourhoods, were obese, had fair/poor self-rated health, had problems with walking or used a walking aid or had fallen in the past year. Conclusion: Participation in best practice exercise to prevent falls is low. Population-based approaches and targeted strategies for high-risk group are needed. © 2012 Elsevier Inc..","author":[{"dropping-particle":"","family":"Merom","given":"Dafna","non-dropping-particle":"","parse-names":false,"suffix":""},{"dropping-particle":"","family":"Pye","given":"Victoria","non-dropping-particle":"","parse-names":false,"suffix":""},{"dropping-particle":"","family":"Macniven","given":"Rona","non-dropping-particle":"","parse-names":false,"suffix":""},{"dropping-particle":"","family":"Ploeg","given":"Hidde","non-dropping-particle":"van der","parse-names":false,"suffix":""},{"dropping-particle":"","family":"Milat","given":"Andrew","non-dropping-particle":"","parse-names":false,"suffix":""},{"dropping-particle":"","family":"Sherrington","given":"Catherine","non-dropping-particle":"","parse-names":false,"suffix":""},{"dropping-particle":"","family":"Lord","given":"Stephen","non-dropping-particle":"","parse-names":false,"suffix":""},{"dropping-particle":"","family":"Bauman","given":"Adrian","non-dropping-particle":"","parse-names":false,"suffix":""}],"container-title":"Preventive Medicine","id":"ITEM-1","issue":"6","issued":{"date-parts":[["2012","12"]]},"page":"613-617","publisher":"Prev Med","title":"Prevalence and correlates of participation in fall prevention exercise/physical activity by older adults","type":"article-journal","volume":"55"},"uris":["http://www.mendeley.com/documents/?uuid=e72483ad-46e5-37ef-b186-cc852528561d"]}],"mendeley":{"formattedCitation":"[41]","plainTextFormattedCitation":"[41]","previouslyFormattedCitation":"[41]"},"properties":{"noteIndex":0},"schema":"https://github.com/citation-style-language/schema/raw/master/csl-citation.json"}</w:instrText>
      </w:r>
      <w:r w:rsidR="00AB0921">
        <w:rPr>
          <w:rFonts w:ascii="Times New Roman" w:hAnsi="Times New Roman" w:cs="Times New Roman"/>
          <w:lang w:val="en-GB"/>
        </w:rPr>
        <w:fldChar w:fldCharType="separate"/>
      </w:r>
      <w:r w:rsidR="003066E4" w:rsidRPr="003066E4">
        <w:rPr>
          <w:rFonts w:ascii="Times New Roman" w:hAnsi="Times New Roman" w:cs="Times New Roman"/>
          <w:noProof/>
          <w:lang w:val="en-GB"/>
        </w:rPr>
        <w:t>[41]</w:t>
      </w:r>
      <w:r w:rsidR="00AB0921">
        <w:rPr>
          <w:rFonts w:ascii="Times New Roman" w:hAnsi="Times New Roman" w:cs="Times New Roman"/>
          <w:lang w:val="en-GB"/>
        </w:rPr>
        <w:fldChar w:fldCharType="end"/>
      </w:r>
      <w:r w:rsidR="00A6584C">
        <w:rPr>
          <w:rFonts w:ascii="Times New Roman" w:hAnsi="Times New Roman" w:cs="Times New Roman"/>
          <w:lang w:val="en-GB"/>
        </w:rPr>
        <w:t xml:space="preserve">. </w:t>
      </w:r>
      <w:r w:rsidR="00A6584C" w:rsidRPr="00A6584C">
        <w:rPr>
          <w:rFonts w:ascii="Times New Roman" w:hAnsi="Times New Roman" w:cs="Times New Roman"/>
          <w:lang w:val="en-GB"/>
        </w:rPr>
        <w:t xml:space="preserve">Older adults may be not aware of their </w:t>
      </w:r>
      <w:r w:rsidR="00B357AA">
        <w:rPr>
          <w:rFonts w:ascii="Times New Roman" w:hAnsi="Times New Roman" w:cs="Times New Roman"/>
          <w:lang w:val="en-GB"/>
        </w:rPr>
        <w:t xml:space="preserve">risk of </w:t>
      </w:r>
      <w:r w:rsidR="00A6584C" w:rsidRPr="00A6584C">
        <w:rPr>
          <w:rFonts w:ascii="Times New Roman" w:hAnsi="Times New Roman" w:cs="Times New Roman"/>
          <w:lang w:val="en-GB"/>
        </w:rPr>
        <w:t>fall</w:t>
      </w:r>
      <w:r w:rsidR="00B357AA">
        <w:rPr>
          <w:rFonts w:ascii="Times New Roman" w:hAnsi="Times New Roman" w:cs="Times New Roman"/>
          <w:lang w:val="en-GB"/>
        </w:rPr>
        <w:t>ing</w:t>
      </w:r>
      <w:r w:rsidR="00A6584C">
        <w:rPr>
          <w:rFonts w:ascii="Times New Roman" w:hAnsi="Times New Roman" w:cs="Times New Roman"/>
          <w:lang w:val="en-GB"/>
        </w:rPr>
        <w:t xml:space="preserve">, </w:t>
      </w:r>
      <w:r w:rsidR="00B357AA">
        <w:rPr>
          <w:rFonts w:ascii="Times New Roman" w:hAnsi="Times New Roman" w:cs="Times New Roman"/>
          <w:lang w:val="en-GB"/>
        </w:rPr>
        <w:t xml:space="preserve">may </w:t>
      </w:r>
      <w:r w:rsidR="00A6584C">
        <w:rPr>
          <w:rFonts w:ascii="Times New Roman" w:hAnsi="Times New Roman" w:cs="Times New Roman"/>
          <w:lang w:val="en-GB"/>
        </w:rPr>
        <w:t>perceive a</w:t>
      </w:r>
      <w:r w:rsidR="00B357AA">
        <w:rPr>
          <w:rFonts w:ascii="Times New Roman" w:hAnsi="Times New Roman" w:cs="Times New Roman"/>
          <w:lang w:val="en-GB"/>
        </w:rPr>
        <w:t xml:space="preserve"> </w:t>
      </w:r>
      <w:r w:rsidR="005771DA">
        <w:rPr>
          <w:rFonts w:ascii="Times New Roman" w:hAnsi="Times New Roman" w:cs="Times New Roman"/>
          <w:lang w:val="en-GB"/>
        </w:rPr>
        <w:t xml:space="preserve">fall prevention program </w:t>
      </w:r>
      <w:r w:rsidR="00B357AA">
        <w:rPr>
          <w:rFonts w:ascii="Times New Roman" w:hAnsi="Times New Roman" w:cs="Times New Roman"/>
          <w:lang w:val="en-GB"/>
        </w:rPr>
        <w:t xml:space="preserve">as being irrelevant, </w:t>
      </w:r>
      <w:r w:rsidR="00A6584C" w:rsidRPr="00A6584C">
        <w:rPr>
          <w:rFonts w:ascii="Times New Roman" w:hAnsi="Times New Roman" w:cs="Times New Roman"/>
          <w:lang w:val="en-GB"/>
        </w:rPr>
        <w:t xml:space="preserve">or </w:t>
      </w:r>
      <w:r w:rsidR="00B357AA">
        <w:rPr>
          <w:rFonts w:ascii="Times New Roman" w:hAnsi="Times New Roman" w:cs="Times New Roman"/>
          <w:lang w:val="en-GB"/>
        </w:rPr>
        <w:t xml:space="preserve">may </w:t>
      </w:r>
      <w:r w:rsidR="005771DA">
        <w:rPr>
          <w:rFonts w:ascii="Times New Roman" w:hAnsi="Times New Roman" w:cs="Times New Roman"/>
          <w:lang w:val="en-GB"/>
        </w:rPr>
        <w:t xml:space="preserve">simply </w:t>
      </w:r>
      <w:r w:rsidR="00A6584C" w:rsidRPr="00A6584C">
        <w:rPr>
          <w:rFonts w:ascii="Times New Roman" w:hAnsi="Times New Roman" w:cs="Times New Roman"/>
          <w:lang w:val="en-GB"/>
        </w:rPr>
        <w:t xml:space="preserve">not </w:t>
      </w:r>
      <w:r w:rsidR="00B357AA">
        <w:rPr>
          <w:rFonts w:ascii="Times New Roman" w:hAnsi="Times New Roman" w:cs="Times New Roman"/>
          <w:lang w:val="en-GB"/>
        </w:rPr>
        <w:t xml:space="preserve">be </w:t>
      </w:r>
      <w:r w:rsidR="00A6584C" w:rsidRPr="00A6584C">
        <w:rPr>
          <w:rFonts w:ascii="Times New Roman" w:hAnsi="Times New Roman" w:cs="Times New Roman"/>
          <w:lang w:val="en-GB"/>
        </w:rPr>
        <w:t xml:space="preserve">inclined to participate in </w:t>
      </w:r>
      <w:r w:rsidR="00B357AA">
        <w:rPr>
          <w:rFonts w:ascii="Times New Roman" w:hAnsi="Times New Roman" w:cs="Times New Roman"/>
          <w:lang w:val="en-GB"/>
        </w:rPr>
        <w:t xml:space="preserve">a </w:t>
      </w:r>
      <w:r w:rsidR="00A6584C" w:rsidRPr="00A6584C">
        <w:rPr>
          <w:rFonts w:ascii="Times New Roman" w:hAnsi="Times New Roman" w:cs="Times New Roman"/>
          <w:lang w:val="en-GB"/>
        </w:rPr>
        <w:t xml:space="preserve">fall prevention program </w:t>
      </w:r>
      <w:r w:rsidR="005771DA">
        <w:rPr>
          <w:rFonts w:ascii="Times New Roman" w:hAnsi="Times New Roman" w:cs="Times New Roman"/>
          <w:lang w:val="en-GB"/>
        </w:rPr>
        <w:t>due to personal factors (e.g.</w:t>
      </w:r>
      <w:r w:rsidR="00192C55">
        <w:rPr>
          <w:rFonts w:ascii="Times New Roman" w:hAnsi="Times New Roman" w:cs="Times New Roman"/>
          <w:lang w:val="en-GB"/>
        </w:rPr>
        <w:t>,</w:t>
      </w:r>
      <w:r w:rsidR="005771DA">
        <w:rPr>
          <w:rFonts w:ascii="Times New Roman" w:hAnsi="Times New Roman" w:cs="Times New Roman"/>
          <w:lang w:val="en-GB"/>
        </w:rPr>
        <w:t xml:space="preserve"> transportation, costs, etc.)</w:t>
      </w:r>
      <w:r w:rsidR="008E677A">
        <w:rPr>
          <w:rFonts w:ascii="Times New Roman" w:hAnsi="Times New Roman" w:cs="Times New Roman"/>
          <w:lang w:val="en-GB"/>
        </w:rPr>
        <w:t xml:space="preserve"> </w:t>
      </w:r>
      <w:r w:rsidR="00AB0921">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{"citationItems":[{"id":"ITEM-1","itemData":{"DOI":"10.1016/j.exger.2012.01.006","ISSN":"05315565","PMID":"22310657","abstract":"Background/Objectives: Falls are a major public health problem. Older persons are frequently underrepresented in trials, including falls prevention trials. Insight into possible reasons for non-participation could help to improve trial designs and participation rates among this age-group. The aim of this study was to explore reasons why older people refuse to participate in falls prevention trials. Setting: A qualitative study. Participants: Community-dwelling adults aged ≥ 65. years who attended the Emergency Department due to a fall and refused to participate in a falls prevention trial (IMPROveFALL-study). Measurements: A structured interview guide was used, and interview transcripts were subjected to an independent content analysis by two researchers. Results: 15 interviews were conducted. A main reason to refuse trial participation was mobility impairment. In contrast, younger and more \"active\" and mobile seniors considered themselves \"too healthy\" to participate. Persons with multiple comorbidities mentioned that they attended a hospital too often, or experienced adequate follow-up by their own physicians already. Transport problems, including distance to the hospital, parking facilities, and travel expenses were another issue. During the interviews it was emphasized by the patients, that they knew the reason for their fall. However, they were not familiar with the positive effects of falls prevention programmes. Conclusions: Older persons reported multiple reasons to refuse participation in a falls prevention study, such as health-related factors, several practical problems, and personal beliefs about the causes and preventability of falls. Anticipation of those issues might contribute to an improvement in participation rates of older fallers, shorter study duration, and a better generalizability of research findings. © 2012 Elsevier Inc.","author":[{"dropping-particle":"","family":"Elskamp","given":"Annemijn B.M.","non-dropping-particle":"","parse-names":false,"suffix":""},{"dropping-particle":"","family":"Hartholt","given":"Klaas A.","non-dropping-particle":"","parse-names":false,"suffix":""},{"dropping-particle":"","family":"Patka","given":"Peter","non-dropping-particle":"","parse-names":false,"suffix":""},{"dropping-particle":"","family":"Beeck","given":"Ed F.","non-dropping-particle":"van","parse-names":false,"suffix":""},{"dropping-particle":"","family":"Cammen","given":"Tischa J.M.","non-dropping-particle":"van der","parse-names":false,"suffix":""}],"container-title":"Experimental Gerontology","id":"ITEM-1","issue":"4","issued":{"date-parts":[["2012","4"]]},"page":"342-345","publisher":"Exp Gerontol","title":"Why older people refuse to participate in falls prevention trials: A qualitative study","type":"article-journal","volume":"47"},"uris":["http://www.mendeley.com/documents/?uuid=ca297ccc-9dff-3812-980e-a88f42380ec0"]}],"mendeley":{"formattedCitation":"[42]","plainTextFormattedCitation":"[42]","previouslyFormattedCitation":"[42]"},"properties":{"noteIndex":0},"schema":"https://github.com/citation-style-language/schema/raw/master/csl-citation.json"}</w:instrText>
      </w:r>
      <w:r w:rsidR="00AB0921">
        <w:rPr>
          <w:rFonts w:ascii="Times New Roman" w:hAnsi="Times New Roman" w:cs="Times New Roman"/>
          <w:lang w:val="en-GB"/>
        </w:rPr>
        <w:fldChar w:fldCharType="separate"/>
      </w:r>
      <w:r w:rsidR="003066E4" w:rsidRPr="003066E4">
        <w:rPr>
          <w:rFonts w:ascii="Times New Roman" w:hAnsi="Times New Roman" w:cs="Times New Roman"/>
          <w:noProof/>
          <w:lang w:val="en-GB"/>
        </w:rPr>
        <w:t>[42]</w:t>
      </w:r>
      <w:r w:rsidR="00AB0921">
        <w:rPr>
          <w:rFonts w:ascii="Times New Roman" w:hAnsi="Times New Roman" w:cs="Times New Roman"/>
          <w:lang w:val="en-GB"/>
        </w:rPr>
        <w:fldChar w:fldCharType="end"/>
      </w:r>
      <w:r w:rsidR="005771DA">
        <w:rPr>
          <w:rFonts w:ascii="Times New Roman" w:hAnsi="Times New Roman" w:cs="Times New Roman"/>
          <w:lang w:val="en-GB"/>
        </w:rPr>
        <w:t xml:space="preserve">. </w:t>
      </w:r>
      <w:r w:rsidR="00AF50F4">
        <w:rPr>
          <w:rFonts w:ascii="Times New Roman" w:hAnsi="Times New Roman" w:cs="Times New Roman"/>
          <w:lang w:val="en-GB"/>
        </w:rPr>
        <w:t>A</w:t>
      </w:r>
      <w:r w:rsidR="00D0127F">
        <w:rPr>
          <w:rFonts w:ascii="Times New Roman" w:hAnsi="Times New Roman" w:cs="Times New Roman"/>
          <w:lang w:val="en-GB"/>
        </w:rPr>
        <w:t xml:space="preserve"> good quality doctor-patient communication </w:t>
      </w:r>
      <w:r w:rsidR="00AF50F4">
        <w:rPr>
          <w:rFonts w:ascii="Times New Roman" w:hAnsi="Times New Roman" w:cs="Times New Roman"/>
          <w:lang w:val="en-GB"/>
        </w:rPr>
        <w:t>should be prioritized here to make patient</w:t>
      </w:r>
      <w:r w:rsidR="008E677A">
        <w:rPr>
          <w:rFonts w:ascii="Times New Roman" w:hAnsi="Times New Roman" w:cs="Times New Roman"/>
          <w:lang w:val="en-GB"/>
        </w:rPr>
        <w:t>s</w:t>
      </w:r>
      <w:r w:rsidR="00AF50F4">
        <w:rPr>
          <w:rFonts w:ascii="Times New Roman" w:hAnsi="Times New Roman" w:cs="Times New Roman"/>
          <w:lang w:val="en-GB"/>
        </w:rPr>
        <w:t xml:space="preserve"> aware of their individual risk of falls. </w:t>
      </w:r>
      <w:r w:rsidR="008E677A">
        <w:rPr>
          <w:rFonts w:ascii="Times New Roman" w:hAnsi="Times New Roman" w:cs="Times New Roman"/>
          <w:lang w:val="en-GB"/>
        </w:rPr>
        <w:t>Accordingly</w:t>
      </w:r>
      <w:r w:rsidR="00AF50F4">
        <w:rPr>
          <w:rFonts w:ascii="Times New Roman" w:hAnsi="Times New Roman" w:cs="Times New Roman"/>
          <w:lang w:val="en-GB"/>
        </w:rPr>
        <w:t xml:space="preserve">, </w:t>
      </w:r>
      <w:r w:rsidR="00586E5B">
        <w:rPr>
          <w:rFonts w:ascii="Times New Roman" w:hAnsi="Times New Roman" w:cs="Times New Roman"/>
          <w:lang w:val="en-GB"/>
        </w:rPr>
        <w:t xml:space="preserve">providing </w:t>
      </w:r>
      <w:r w:rsidR="008E677A">
        <w:rPr>
          <w:rFonts w:ascii="Times New Roman" w:hAnsi="Times New Roman" w:cs="Times New Roman"/>
          <w:lang w:val="en-GB"/>
        </w:rPr>
        <w:t>participants</w:t>
      </w:r>
      <w:r w:rsidR="00586E5B">
        <w:rPr>
          <w:rFonts w:ascii="Times New Roman" w:hAnsi="Times New Roman" w:cs="Times New Roman"/>
          <w:lang w:val="en-GB"/>
        </w:rPr>
        <w:t xml:space="preserve"> with </w:t>
      </w:r>
      <w:r w:rsidR="00AF50F4">
        <w:rPr>
          <w:rFonts w:ascii="Times New Roman" w:hAnsi="Times New Roman" w:cs="Times New Roman"/>
          <w:lang w:val="en-GB"/>
        </w:rPr>
        <w:t xml:space="preserve">advice </w:t>
      </w:r>
      <w:r w:rsidR="008E677A">
        <w:rPr>
          <w:rFonts w:ascii="Times New Roman" w:hAnsi="Times New Roman" w:cs="Times New Roman"/>
          <w:lang w:val="en-GB"/>
        </w:rPr>
        <w:t>on</w:t>
      </w:r>
      <w:r w:rsidR="00AF50F4">
        <w:rPr>
          <w:rFonts w:ascii="Times New Roman" w:hAnsi="Times New Roman" w:cs="Times New Roman"/>
          <w:lang w:val="en-GB"/>
        </w:rPr>
        <w:t xml:space="preserve"> reduc</w:t>
      </w:r>
      <w:r w:rsidR="008E677A">
        <w:rPr>
          <w:rFonts w:ascii="Times New Roman" w:hAnsi="Times New Roman" w:cs="Times New Roman"/>
          <w:lang w:val="en-GB"/>
        </w:rPr>
        <w:t>ing</w:t>
      </w:r>
      <w:r w:rsidR="00AF50F4">
        <w:rPr>
          <w:rFonts w:ascii="Times New Roman" w:hAnsi="Times New Roman" w:cs="Times New Roman"/>
          <w:lang w:val="en-GB"/>
        </w:rPr>
        <w:t xml:space="preserve"> the risk of fall</w:t>
      </w:r>
      <w:r w:rsidR="008E677A">
        <w:rPr>
          <w:rFonts w:ascii="Times New Roman" w:hAnsi="Times New Roman" w:cs="Times New Roman"/>
          <w:lang w:val="en-GB"/>
        </w:rPr>
        <w:t>ing</w:t>
      </w:r>
      <w:r w:rsidR="00AF50F4">
        <w:rPr>
          <w:rFonts w:ascii="Times New Roman" w:hAnsi="Times New Roman" w:cs="Times New Roman"/>
          <w:lang w:val="en-GB"/>
        </w:rPr>
        <w:t xml:space="preserve"> could be a good start</w:t>
      </w:r>
      <w:r w:rsidR="005F393E">
        <w:rPr>
          <w:rFonts w:ascii="Times New Roman" w:hAnsi="Times New Roman" w:cs="Times New Roman"/>
          <w:lang w:val="en-GB"/>
        </w:rPr>
        <w:t>.</w:t>
      </w:r>
      <w:r w:rsidR="008E677A">
        <w:rPr>
          <w:rFonts w:ascii="Times New Roman" w:hAnsi="Times New Roman" w:cs="Times New Roman"/>
          <w:lang w:val="en-GB"/>
        </w:rPr>
        <w:t xml:space="preserve"> </w:t>
      </w:r>
      <w:r w:rsidR="00136081">
        <w:rPr>
          <w:rFonts w:ascii="Times New Roman" w:hAnsi="Times New Roman" w:cs="Times New Roman"/>
          <w:lang w:val="en-GB"/>
        </w:rPr>
        <w:t xml:space="preserve">A </w:t>
      </w:r>
      <w:r w:rsidR="002459ED">
        <w:rPr>
          <w:rFonts w:ascii="Times New Roman" w:hAnsi="Times New Roman" w:cs="Times New Roman"/>
          <w:lang w:val="en-GB"/>
        </w:rPr>
        <w:t>former</w:t>
      </w:r>
      <w:r w:rsidR="00136081">
        <w:rPr>
          <w:rFonts w:ascii="Times New Roman" w:hAnsi="Times New Roman" w:cs="Times New Roman"/>
          <w:lang w:val="en-GB"/>
        </w:rPr>
        <w:t xml:space="preserve"> best-worst scaling performed with prostate cancer survivors h</w:t>
      </w:r>
      <w:r w:rsidR="008E677A">
        <w:rPr>
          <w:rFonts w:ascii="Times New Roman" w:hAnsi="Times New Roman" w:cs="Times New Roman"/>
          <w:lang w:val="en-GB"/>
        </w:rPr>
        <w:t>as</w:t>
      </w:r>
      <w:r w:rsidR="00136081">
        <w:rPr>
          <w:rFonts w:ascii="Times New Roman" w:hAnsi="Times New Roman" w:cs="Times New Roman"/>
          <w:lang w:val="en-GB"/>
        </w:rPr>
        <w:t xml:space="preserve"> indeed revealed that patients preferred receiv</w:t>
      </w:r>
      <w:r w:rsidR="008E677A">
        <w:rPr>
          <w:rFonts w:ascii="Times New Roman" w:hAnsi="Times New Roman" w:cs="Times New Roman"/>
          <w:lang w:val="en-GB"/>
        </w:rPr>
        <w:t>ing</w:t>
      </w:r>
      <w:r w:rsidR="00136081">
        <w:rPr>
          <w:rFonts w:ascii="Times New Roman" w:hAnsi="Times New Roman" w:cs="Times New Roman"/>
          <w:lang w:val="en-GB"/>
        </w:rPr>
        <w:t xml:space="preserve"> advice on health through one-to-one discussion with their healthcare professional over group discussion, email or telephone conversations</w:t>
      </w:r>
      <w:r w:rsidR="008E677A">
        <w:rPr>
          <w:rFonts w:ascii="Times New Roman" w:hAnsi="Times New Roman" w:cs="Times New Roman"/>
          <w:lang w:val="en-GB"/>
        </w:rPr>
        <w:t xml:space="preserve"> </w:t>
      </w:r>
      <w:r w:rsidR="00136081">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{"citationItems":[{"id":"ITEM-1","itemData":{"DOI":"10.1186/s40814-019-0549-8","ISSN":"20555784","PMID":"31921435","abstract":"Background : Lifestyle factors, including diet and physical activity, are associated with prostate cancer progression and mortality. However, it is unclear how men would like lifestyle information to be delivered following primary treatment. This study aimed to identify men's preferences for receiving lifestyle information. Methods: We conducted a cross-sectional pilot best-worst discrete choice experiment which was nested within a feasibility randomised controlled trial. Our aim was to explore men's preferences of receiving diet and physical activity advice following surgery for localised prostate cancer. Thirty-eight men with a mean age of 65 years completed best-worst scenarios based on four attributes: (1) how information is provided; (2) where information is provided; (3) who provides information; and (4) the indirect cost of receiving information. Data was analysed using conditional logistic regression. Men's willingness to pay (WTP) for aspects of the service was calculated using an out-of-pocket cost attribute. Results: The combined best-worst analysis suggested that men preferred information through one-to-one discussion β = 1.07, CI = 0.88 to 1.26) and not by email (β = - 1.02, CI = - 1.23 to - 0.80). They preferred information provided by specialist nurses followed by dietitians (β = 0.76, CI = 0.63 to 0.90 and - 0.16, CI = - 0.27 to - 0.05 respectively) then general nurses (β = - 0.60, CI = - 0.73 to - 0.48). Three groups were identified based on their preferences. The largest group preferred information through individual face-to-face or group discussions (β = 1.35, CI = 1.05 to 1.63 and 0.70, CI = 0.38 to 1.03 respectively). The second group wanted information via one-to-one discussions or telephone calls (β = 1.89, CI = 1.41 to 2.37 and 1.03, CI = 0.58 to 1.48 respectively), and did not want information at community centres (β = - 0.50, CI = - 0.88 to - 0.13). The final group preferred individual face-to-face discussions (β = 0.45, CI = 0.03 to 0.88) but had a lower WTP value (£17). Conclusions: Men mostly valued personalised methods of receiving diet and physical activity information over impersonal methods. The out-of-pocket value of receiving lifestyle information was important to some men. These findings could help inform future interventions using tailored dietary and physical activity advice given to men by clinicians following treatment for prostate cancer, such as mode of delivery, context, and person delivering the intervention. …","author":[{"dropping-particle":"","family":"Robles","given":"Luke A.","non-dropping-particle":"","parse-names":false,"suffix":""},{"dropping-particle":"","family":"Wright","given":"Stuart J.","non-dropping-particle":"","parse-names":false,"suffix":""},{"dropping-particle":"","family":"Hackshaw-Mcgeagh","given":"Lucy","non-dropping-particle":"","parse-names":false,"suffix":""},{"dropping-particle":"","family":"Shingler","given":"Ellie","non-dropping-particle":"","parse-names":false,"suffix":""},{"dropping-particle":"","family":"Shiridzinomwa","given":"Constance","non-dropping-particle":"","parse-names":false,"suffix":""},{"dropping-particle":"","family":"Lane","given":"J. Athene","non-dropping-particle":"","parse-names":false,"suffix":""},{"dropping-particle":"","family":"Martin","given":"Richard M.","non-dropping-particle":"","parse-names":false,"suffix":""},{"dropping-particle":"","family":"Burden","given":"Sorrel","non-dropping-particle":"","parse-names":false,"suffix":""}],"container-title":"Pilot and Feasibility Studies","id":"ITEM-1","issue":"1","issued":{"date-parts":[["2020","1","6"]]},"publisher":"Pilot Feasibility Stud","title":"Prostate cancer survivors' preferences on the delivery of diet and lifestyle advice: A pilot best-worst discrete choice experiment","type":"article-journal","volume":"6"},"uris":["http://www.mendeley.com/documents/?uuid=a0e17b94-04e7-36be-8c2a-84103c5a8540"]}],"mendeley":{"formattedCitation":"[43]","plainTextFormattedCitation":"[43]","previouslyFormattedCitation":"[43]"},"properties":{"noteIndex":0},"schema":"https://github.com/citation-style-language/schema/raw/master/csl-citation.json"}</w:instrText>
      </w:r>
      <w:r w:rsidR="00136081">
        <w:rPr>
          <w:rFonts w:ascii="Times New Roman" w:hAnsi="Times New Roman" w:cs="Times New Roman"/>
          <w:lang w:val="en-GB"/>
        </w:rPr>
        <w:fldChar w:fldCharType="separate"/>
      </w:r>
      <w:r w:rsidR="003066E4" w:rsidRPr="003066E4">
        <w:rPr>
          <w:rFonts w:ascii="Times New Roman" w:hAnsi="Times New Roman" w:cs="Times New Roman"/>
          <w:noProof/>
          <w:lang w:val="en-GB"/>
        </w:rPr>
        <w:t>[43]</w:t>
      </w:r>
      <w:r w:rsidR="00136081">
        <w:rPr>
          <w:rFonts w:ascii="Times New Roman" w:hAnsi="Times New Roman" w:cs="Times New Roman"/>
          <w:lang w:val="en-GB"/>
        </w:rPr>
        <w:fldChar w:fldCharType="end"/>
      </w:r>
      <w:r w:rsidR="00136081">
        <w:rPr>
          <w:rFonts w:ascii="Times New Roman" w:hAnsi="Times New Roman" w:cs="Times New Roman"/>
          <w:lang w:val="en-GB"/>
        </w:rPr>
        <w:t xml:space="preserve">. </w:t>
      </w:r>
    </w:p>
    <w:p w14:paraId="5A1CBF53" w14:textId="0C64D35D" w:rsidR="0031022A" w:rsidRDefault="00675763" w:rsidP="0031022A">
      <w:pPr>
        <w:spacing w:line="360" w:lineRule="auto"/>
        <w:jc w:val="both"/>
        <w:rPr>
          <w:rFonts w:ascii="Times New Roman" w:hAnsi="Times New Roman" w:cs="Times New Roman"/>
          <w:lang w:val="en-GB"/>
        </w:rPr>
      </w:pPr>
      <w:r>
        <w:rPr>
          <w:rFonts w:ascii="Times New Roman" w:hAnsi="Times New Roman" w:cs="Times New Roman"/>
          <w:lang w:val="en-GB"/>
        </w:rPr>
        <w:t>Other lifestyle behaviours have been investigated in the current study</w:t>
      </w:r>
      <w:r w:rsidR="008E677A">
        <w:rPr>
          <w:rFonts w:ascii="Times New Roman" w:hAnsi="Times New Roman" w:cs="Times New Roman"/>
          <w:lang w:val="en-GB"/>
        </w:rPr>
        <w:t>,</w:t>
      </w:r>
      <w:r w:rsidR="00883590">
        <w:rPr>
          <w:rFonts w:ascii="Times New Roman" w:hAnsi="Times New Roman" w:cs="Times New Roman"/>
          <w:lang w:val="en-GB"/>
        </w:rPr>
        <w:t xml:space="preserve"> such as reducing alcohol consumption, quit</w:t>
      </w:r>
      <w:r w:rsidR="008E677A">
        <w:rPr>
          <w:rFonts w:ascii="Times New Roman" w:hAnsi="Times New Roman" w:cs="Times New Roman"/>
          <w:lang w:val="en-GB"/>
        </w:rPr>
        <w:t>ting</w:t>
      </w:r>
      <w:r w:rsidR="00883590">
        <w:rPr>
          <w:rFonts w:ascii="Times New Roman" w:hAnsi="Times New Roman" w:cs="Times New Roman"/>
          <w:lang w:val="en-GB"/>
        </w:rPr>
        <w:t xml:space="preserve"> smoking and</w:t>
      </w:r>
      <w:r w:rsidR="008E677A">
        <w:rPr>
          <w:rFonts w:ascii="Times New Roman" w:hAnsi="Times New Roman" w:cs="Times New Roman"/>
          <w:lang w:val="en-GB"/>
        </w:rPr>
        <w:t xml:space="preserve"> ensuring </w:t>
      </w:r>
      <w:r w:rsidR="00883590">
        <w:rPr>
          <w:rFonts w:ascii="Times New Roman" w:hAnsi="Times New Roman" w:cs="Times New Roman"/>
          <w:lang w:val="en-GB"/>
        </w:rPr>
        <w:t>a healthy body weight. Globally, these recommendations were not considered as the most important ones for participants as their relative importance w</w:t>
      </w:r>
      <w:r w:rsidR="008E677A">
        <w:rPr>
          <w:rFonts w:ascii="Times New Roman" w:hAnsi="Times New Roman" w:cs="Times New Roman"/>
          <w:lang w:val="en-GB"/>
        </w:rPr>
        <w:t>as</w:t>
      </w:r>
      <w:r w:rsidR="00883590">
        <w:rPr>
          <w:rFonts w:ascii="Times New Roman" w:hAnsi="Times New Roman" w:cs="Times New Roman"/>
          <w:lang w:val="en-GB"/>
        </w:rPr>
        <w:t>, respectively</w:t>
      </w:r>
      <w:r w:rsidR="00C6687F">
        <w:rPr>
          <w:rFonts w:ascii="Times New Roman" w:hAnsi="Times New Roman" w:cs="Times New Roman"/>
          <w:lang w:val="en-GB"/>
        </w:rPr>
        <w:t>,</w:t>
      </w:r>
      <w:r w:rsidR="00883590">
        <w:rPr>
          <w:rFonts w:ascii="Times New Roman" w:hAnsi="Times New Roman" w:cs="Times New Roman"/>
          <w:lang w:val="en-GB"/>
        </w:rPr>
        <w:t xml:space="preserve"> 5.6%, 1.7% and 5.9% in the global model</w:t>
      </w:r>
      <w:r w:rsidR="007D103C">
        <w:rPr>
          <w:rFonts w:ascii="Times New Roman" w:hAnsi="Times New Roman" w:cs="Times New Roman"/>
          <w:lang w:val="en-GB"/>
        </w:rPr>
        <w:t xml:space="preserve">, </w:t>
      </w:r>
      <w:r w:rsidR="007D103C" w:rsidRPr="007D103C">
        <w:rPr>
          <w:rFonts w:ascii="Times New Roman" w:hAnsi="Times New Roman" w:cs="Times New Roman"/>
          <w:lang w:val="en-GB"/>
        </w:rPr>
        <w:t xml:space="preserve">partly resulting from the </w:t>
      </w:r>
      <w:r w:rsidR="00C6687F">
        <w:rPr>
          <w:rFonts w:ascii="Times New Roman" w:hAnsi="Times New Roman" w:cs="Times New Roman"/>
          <w:lang w:val="en-GB"/>
        </w:rPr>
        <w:t>small</w:t>
      </w:r>
      <w:r w:rsidR="007D103C" w:rsidRPr="007D103C">
        <w:rPr>
          <w:rFonts w:ascii="Times New Roman" w:hAnsi="Times New Roman" w:cs="Times New Roman"/>
          <w:lang w:val="en-GB"/>
        </w:rPr>
        <w:t xml:space="preserve"> percentage of smok</w:t>
      </w:r>
      <w:r w:rsidR="003060E1">
        <w:rPr>
          <w:rFonts w:ascii="Times New Roman" w:hAnsi="Times New Roman" w:cs="Times New Roman"/>
          <w:lang w:val="en-GB"/>
        </w:rPr>
        <w:t>ers</w:t>
      </w:r>
      <w:r w:rsidR="007D103C" w:rsidRPr="007D103C">
        <w:rPr>
          <w:rFonts w:ascii="Times New Roman" w:hAnsi="Times New Roman" w:cs="Times New Roman"/>
          <w:lang w:val="en-GB"/>
        </w:rPr>
        <w:t xml:space="preserve"> or with </w:t>
      </w:r>
      <w:r w:rsidR="00C6687F">
        <w:rPr>
          <w:rFonts w:ascii="Times New Roman" w:hAnsi="Times New Roman" w:cs="Times New Roman"/>
          <w:lang w:val="en-GB"/>
        </w:rPr>
        <w:t xml:space="preserve">the relative </w:t>
      </w:r>
      <w:r w:rsidR="007D103C" w:rsidRPr="007D103C">
        <w:rPr>
          <w:rFonts w:ascii="Times New Roman" w:hAnsi="Times New Roman" w:cs="Times New Roman"/>
          <w:lang w:val="en-GB"/>
        </w:rPr>
        <w:t>importan</w:t>
      </w:r>
      <w:r w:rsidR="00C6687F">
        <w:rPr>
          <w:rFonts w:ascii="Times New Roman" w:hAnsi="Times New Roman" w:cs="Times New Roman"/>
          <w:lang w:val="en-GB"/>
        </w:rPr>
        <w:t>ce of</w:t>
      </w:r>
      <w:r w:rsidR="007D103C" w:rsidRPr="007D103C">
        <w:rPr>
          <w:rFonts w:ascii="Times New Roman" w:hAnsi="Times New Roman" w:cs="Times New Roman"/>
          <w:lang w:val="en-GB"/>
        </w:rPr>
        <w:t xml:space="preserve"> alcohol consumption</w:t>
      </w:r>
      <w:r>
        <w:rPr>
          <w:rFonts w:ascii="Times New Roman" w:hAnsi="Times New Roman" w:cs="Times New Roman"/>
          <w:lang w:val="en-GB"/>
        </w:rPr>
        <w:t xml:space="preserve">. </w:t>
      </w:r>
      <w:r w:rsidR="00BB0B67">
        <w:rPr>
          <w:rFonts w:ascii="Times New Roman" w:hAnsi="Times New Roman" w:cs="Times New Roman"/>
          <w:lang w:val="en-GB"/>
        </w:rPr>
        <w:t xml:space="preserve">Reducing alcohol consumption seems </w:t>
      </w:r>
      <w:r w:rsidR="00C6687F">
        <w:rPr>
          <w:rFonts w:ascii="Times New Roman" w:hAnsi="Times New Roman" w:cs="Times New Roman"/>
          <w:lang w:val="en-GB"/>
        </w:rPr>
        <w:t xml:space="preserve">to be </w:t>
      </w:r>
      <w:r w:rsidR="00BB0B67">
        <w:rPr>
          <w:rFonts w:ascii="Times New Roman" w:hAnsi="Times New Roman" w:cs="Times New Roman"/>
          <w:lang w:val="en-GB"/>
        </w:rPr>
        <w:t xml:space="preserve">acceptable for most of the participants. </w:t>
      </w:r>
      <w:r w:rsidR="00C6687F">
        <w:rPr>
          <w:rFonts w:ascii="Times New Roman" w:hAnsi="Times New Roman" w:cs="Times New Roman"/>
          <w:lang w:val="en-GB"/>
        </w:rPr>
        <w:t>With</w:t>
      </w:r>
      <w:r w:rsidR="00BB0B67">
        <w:rPr>
          <w:rFonts w:ascii="Times New Roman" w:hAnsi="Times New Roman" w:cs="Times New Roman"/>
          <w:lang w:val="en-GB"/>
        </w:rPr>
        <w:t xml:space="preserve"> the exception of patients from Spain, all coefficients of other countries were positive. </w:t>
      </w:r>
      <w:r w:rsidR="00C6687F">
        <w:rPr>
          <w:rFonts w:ascii="Times New Roman" w:hAnsi="Times New Roman" w:cs="Times New Roman"/>
          <w:lang w:val="en-GB"/>
        </w:rPr>
        <w:t xml:space="preserve">Nor were </w:t>
      </w:r>
      <w:r w:rsidR="00BB0B67">
        <w:rPr>
          <w:rFonts w:ascii="Times New Roman" w:hAnsi="Times New Roman" w:cs="Times New Roman"/>
          <w:lang w:val="en-GB"/>
        </w:rPr>
        <w:t>Spa</w:t>
      </w:r>
      <w:r w:rsidR="00C6687F">
        <w:rPr>
          <w:rFonts w:ascii="Times New Roman" w:hAnsi="Times New Roman" w:cs="Times New Roman"/>
          <w:lang w:val="en-GB"/>
        </w:rPr>
        <w:t>nish</w:t>
      </w:r>
      <w:r w:rsidR="00BB0B67">
        <w:rPr>
          <w:rFonts w:ascii="Times New Roman" w:hAnsi="Times New Roman" w:cs="Times New Roman"/>
          <w:lang w:val="en-GB"/>
        </w:rPr>
        <w:t xml:space="preserve"> patient</w:t>
      </w:r>
      <w:r w:rsidR="00C6687F">
        <w:rPr>
          <w:rFonts w:ascii="Times New Roman" w:hAnsi="Times New Roman" w:cs="Times New Roman"/>
          <w:lang w:val="en-GB"/>
        </w:rPr>
        <w:t>s</w:t>
      </w:r>
      <w:r w:rsidR="00BB0B67">
        <w:rPr>
          <w:rFonts w:ascii="Times New Roman" w:hAnsi="Times New Roman" w:cs="Times New Roman"/>
          <w:lang w:val="en-GB"/>
        </w:rPr>
        <w:t xml:space="preserve"> prone  to quit smoking. </w:t>
      </w:r>
      <w:r>
        <w:rPr>
          <w:rFonts w:ascii="Times New Roman" w:hAnsi="Times New Roman" w:cs="Times New Roman"/>
          <w:lang w:val="en-GB"/>
        </w:rPr>
        <w:t xml:space="preserve"> </w:t>
      </w:r>
      <w:r w:rsidR="00BB0B67">
        <w:rPr>
          <w:rFonts w:ascii="Times New Roman" w:hAnsi="Times New Roman" w:cs="Times New Roman"/>
          <w:lang w:val="en-GB"/>
        </w:rPr>
        <w:t>I</w:t>
      </w:r>
      <w:r w:rsidR="00C6687F">
        <w:rPr>
          <w:rFonts w:ascii="Times New Roman" w:hAnsi="Times New Roman" w:cs="Times New Roman"/>
          <w:lang w:val="en-GB"/>
        </w:rPr>
        <w:t>n</w:t>
      </w:r>
      <w:r w:rsidR="00BB0B67">
        <w:rPr>
          <w:rFonts w:ascii="Times New Roman" w:hAnsi="Times New Roman" w:cs="Times New Roman"/>
          <w:lang w:val="en-GB"/>
        </w:rPr>
        <w:t xml:space="preserve"> Spain the prevalence of smokers is the highe</w:t>
      </w:r>
      <w:r w:rsidR="003060E1">
        <w:rPr>
          <w:rFonts w:ascii="Times New Roman" w:hAnsi="Times New Roman" w:cs="Times New Roman"/>
          <w:lang w:val="en-GB"/>
        </w:rPr>
        <w:t>st</w:t>
      </w:r>
      <w:r w:rsidR="00BB0B67">
        <w:rPr>
          <w:rFonts w:ascii="Times New Roman" w:hAnsi="Times New Roman" w:cs="Times New Roman"/>
          <w:lang w:val="en-GB"/>
        </w:rPr>
        <w:t xml:space="preserve"> (i.e.</w:t>
      </w:r>
      <w:r w:rsidR="00192C55">
        <w:rPr>
          <w:rFonts w:ascii="Times New Roman" w:hAnsi="Times New Roman" w:cs="Times New Roman"/>
          <w:lang w:val="en-GB"/>
        </w:rPr>
        <w:t>,</w:t>
      </w:r>
      <w:r w:rsidR="00BB0B67">
        <w:rPr>
          <w:rFonts w:ascii="Times New Roman" w:hAnsi="Times New Roman" w:cs="Times New Roman"/>
          <w:lang w:val="en-GB"/>
        </w:rPr>
        <w:t xml:space="preserve"> 25% of the sample) which ma</w:t>
      </w:r>
      <w:r w:rsidR="00602ED4">
        <w:rPr>
          <w:rFonts w:ascii="Times New Roman" w:hAnsi="Times New Roman" w:cs="Times New Roman"/>
          <w:lang w:val="en-GB"/>
        </w:rPr>
        <w:t>y</w:t>
      </w:r>
      <w:r w:rsidR="00BB0B67">
        <w:rPr>
          <w:rFonts w:ascii="Times New Roman" w:hAnsi="Times New Roman" w:cs="Times New Roman"/>
          <w:lang w:val="en-GB"/>
        </w:rPr>
        <w:t xml:space="preserve"> explain the higher non</w:t>
      </w:r>
      <w:r w:rsidR="003060E1">
        <w:rPr>
          <w:rFonts w:ascii="Times New Roman" w:hAnsi="Times New Roman" w:cs="Times New Roman"/>
          <w:lang w:val="en-GB"/>
        </w:rPr>
        <w:t>-</w:t>
      </w:r>
      <w:r w:rsidR="00BB0B67">
        <w:rPr>
          <w:rFonts w:ascii="Times New Roman" w:hAnsi="Times New Roman" w:cs="Times New Roman"/>
          <w:lang w:val="en-GB"/>
        </w:rPr>
        <w:t xml:space="preserve">acceptance for </w:t>
      </w:r>
      <w:r w:rsidR="003060E1">
        <w:rPr>
          <w:rFonts w:ascii="Times New Roman" w:hAnsi="Times New Roman" w:cs="Times New Roman"/>
          <w:lang w:val="en-GB"/>
        </w:rPr>
        <w:t xml:space="preserve">changing </w:t>
      </w:r>
      <w:r w:rsidR="00BB0B67">
        <w:rPr>
          <w:rFonts w:ascii="Times New Roman" w:hAnsi="Times New Roman" w:cs="Times New Roman"/>
          <w:lang w:val="en-GB"/>
        </w:rPr>
        <w:t xml:space="preserve">this lifestyle </w:t>
      </w:r>
      <w:r w:rsidR="00C63E0D">
        <w:rPr>
          <w:rFonts w:ascii="Times New Roman" w:hAnsi="Times New Roman" w:cs="Times New Roman"/>
          <w:lang w:val="en-GB"/>
        </w:rPr>
        <w:t>behaviour</w:t>
      </w:r>
      <w:r w:rsidR="00BB0B67">
        <w:rPr>
          <w:rFonts w:ascii="Times New Roman" w:hAnsi="Times New Roman" w:cs="Times New Roman"/>
          <w:lang w:val="en-GB"/>
        </w:rPr>
        <w:t xml:space="preserve">. </w:t>
      </w:r>
      <w:r w:rsidR="00BB0B67" w:rsidRPr="00D3628D">
        <w:rPr>
          <w:rFonts w:ascii="Times New Roman" w:hAnsi="Times New Roman" w:cs="Times New Roman"/>
          <w:lang w:val="en-GB"/>
        </w:rPr>
        <w:t>However, smoking cessation is important in osteoporosis</w:t>
      </w:r>
      <w:r w:rsidR="0060288C">
        <w:rPr>
          <w:rFonts w:ascii="Times New Roman" w:hAnsi="Times New Roman" w:cs="Times New Roman"/>
          <w:lang w:val="en-GB"/>
        </w:rPr>
        <w:t>/osteoporosis fracture</w:t>
      </w:r>
      <w:r w:rsidR="00BB0B67" w:rsidRPr="00D3628D">
        <w:rPr>
          <w:rFonts w:ascii="Times New Roman" w:hAnsi="Times New Roman" w:cs="Times New Roman"/>
          <w:lang w:val="en-GB"/>
        </w:rPr>
        <w:t xml:space="preserve"> prevention. </w:t>
      </w:r>
      <w:r w:rsidR="00D3628D" w:rsidRPr="00D3628D">
        <w:rPr>
          <w:rFonts w:ascii="Times New Roman" w:hAnsi="Times New Roman" w:cs="Times New Roman"/>
          <w:lang w:val="en-GB"/>
        </w:rPr>
        <w:t>Evidence</w:t>
      </w:r>
      <w:r w:rsidR="00BB0B67" w:rsidRPr="00D3628D">
        <w:rPr>
          <w:rFonts w:ascii="Times New Roman" w:hAnsi="Times New Roman" w:cs="Times New Roman"/>
          <w:lang w:val="en-GB"/>
        </w:rPr>
        <w:t xml:space="preserve"> ha</w:t>
      </w:r>
      <w:r w:rsidR="003060E1">
        <w:rPr>
          <w:rFonts w:ascii="Times New Roman" w:hAnsi="Times New Roman" w:cs="Times New Roman"/>
          <w:lang w:val="en-GB"/>
        </w:rPr>
        <w:t>s</w:t>
      </w:r>
      <w:r w:rsidR="00BB0B67" w:rsidRPr="00D3628D">
        <w:rPr>
          <w:rFonts w:ascii="Times New Roman" w:hAnsi="Times New Roman" w:cs="Times New Roman"/>
          <w:lang w:val="en-GB"/>
        </w:rPr>
        <w:t xml:space="preserve"> shown that tobacco may cause an imbalance in the mechanisms of bone turnover, reducing bone mass and bone mineral density</w:t>
      </w:r>
      <w:r w:rsidR="003060E1">
        <w:rPr>
          <w:rFonts w:ascii="Times New Roman" w:hAnsi="Times New Roman" w:cs="Times New Roman"/>
          <w:lang w:val="en-GB"/>
        </w:rPr>
        <w:t xml:space="preserve"> </w:t>
      </w:r>
      <w:r w:rsidR="00D3628D" w:rsidRPr="00D3628D">
        <w:rPr>
          <w:rFonts w:ascii="Times New Roman" w:hAnsi="Times New Roman" w:cs="Times New Roman"/>
          <w:vertAlign w:val="superscript"/>
          <w:lang w:val="en-GB"/>
        </w:rPr>
        <w:fldChar w:fldCharType="begin" w:fldLock="1"/>
      </w:r>
      <w:r w:rsidR="003066E4">
        <w:rPr>
          <w:rFonts w:ascii="Times New Roman" w:hAnsi="Times New Roman" w:cs="Times New Roman"/>
          <w:vertAlign w:val="superscript"/>
          <w:lang w:val="en-GB"/>
        </w:rPr>
        <w:instrText>ADDIN CSL_CITATION {"citationItems":[{"id":"ITEM-1","itemData":{"DOI":"10.1007/s11914-015-0278-8","ISSN":"15442241","PMID":"26205852","abstract":"Smoking is a leading cause of preventable death and disability. Smoking has long been identified as a risk factor for osteoporosis, with data showing that older smokers have decreased bone mineral density and increased fracture risk compared to nonsmokers, particularly at the hip. The increase in fracture risk in smokers is out of proportion to the effects on bone density, indicating deficits in bone quality. Advanced imaging techniques have demonstrated microarchitectural deterioration in smokers, particularly in the trabecular compartment. The mechanisms by which smoking affects skeletal health remain unclear, although multiple pathways have been proposed. Smoking cessation may at least partially reverse the adverse effects of smoking on the skeleton.","author":[{"dropping-particle":"","family":"Cusano","given":"Natalie E.","non-dropping-particle":"","parse-names":false,"suffix":""}],"container-title":"Current Osteoporosis Reports","id":"ITEM-1","issue":"5","issued":{"date-parts":[["2015","10","7"]]},"page":"302-309","publisher":"Curr Osteoporos Rep","title":"Skeletal Effects of Smoking","type":"article","volume":"13"},"uris":["http://www.mendeley.com/documents/?uuid=6f48e73b-0f7d-3a49-8b28-bbf78d4fd1a9"]},{"id":"ITEM-2","itemData":{"DOI":"10.1007/BF02390832","ISSN":"0171967X","PMID":"11683532","abstract":"To determine the magnitude and mediators of the association between cigarette smoking and bone mass in the epidemiologic literature we reviewed articles, published abstracts, and conference proceedings, identified through MEDLINE, psychological abstracts, conference proceedings, and article bibliographies. We studied cross-sectional and prospective human studies that provided a quantitative measure of bone mass (X-ray, absorptiometry, or computed tomography) as a function of cigarette smoking exposure. Effects were expressed as pooled standardized mean differences for categorical comparisons (e.g., bone mass in current versus nonsmokers), and as pooled correlation coefficients for continuous comparisons (e.g., correlation of bone mass and pack-years of smoking). Effects were derived for combined bone sites (all bone sites pooled within each study) and four specific sites (hip, lumbar spine, forearm, and os calcis), and were examined overall and as a function of subject and methodologic characteristics (gender, age, body weight, menopausal status, health status). Data were pooled across 86 studies, enrolling 40,753 subjects. Smokers had significantly reduced bone mass compared with nonsmokers (never and former smokers) at all bone sites, averaging a one-tenth standard deviation (SD) deficit for combined sites. Deficits were especially pronounced at the hip, where the bone mass of current smokers was one-third of a SD less than that of never smokers. Overall, effects were greatest in men and in the elderly, and were dose-dependent. In prospective studies, smokers had greater rates of bone loss over time compared with nonsmokers. Bone mass differences remained significant after controlling for age and body weight differences between the two groups. Absolute effect sizes at most bone sites were greatest for current smokers compared with never smokers, intermediate for current smokers compared with former smokers, and lowest for former smokers compared with never smokers, suggesting that smoking cessation may have a positive influence on bone mass. Based on these data, it is estimated that smoking increases the lifetime risk of developing a vertebral fracture by 13% in women and 32% in men. At the hip, smoking is estimated to increase lifetime fracture risk by 31% in women and 40% in men. It appears that smoking has an independent, dose-dependent effect on bone loss, which increases fracture risk, and may be partially reversed by smoking cessation. Given the…","author":[{"dropping-particle":"","family":"Ward","given":"K. D.","non-dropping-particle":"","parse-names":false,"suffix":""},{"dropping-particle":"","family":"Klesges","given":"R. C.","non-dropping-particle":"","parse-names":false,"suffix":""}],"container-title":"Calcified Tissue International","id":"ITEM-2","issue":"5","issued":{"date-parts":[["2001"]]},"page":"259-270","publisher":"Calcif Tissue Int","title":"A meta-analysis of the effects of cigarette smoking on bone mineral density","type":"article","volume":"68"},"uris":["http://www.mendeley.com/documents/?uuid=3b000ca6-cb36-3c44-a086-529be1cdf4db"]},{"id":"ITEM-3","itemData":{"DOI":"10.1155/2018/4184190","ISSN":"16879813","PMID":"30112011","abstract":"This systematic review explored associations between smoking and health outcomes involving the musculoskeletal system. AMSTAR criteria were followed. A comprehensive search of PubMed, Web of Science, and Science Direct returned 243 articles meeting inclusion criteria. A majority of studies found smoking has negative effects on the musculoskeletal system. In research on bones, smoking was associated with lower BMD, increased fracture risk, periodontitis, alveolar bone loss, and dental implant failure. In research on joints, smoking was associated with increased joint disease activity, poor functional outcomes, and poor therapeutic response. There was also evidence of adverse effects on muscles, tendons, cartilage, and ligaments. There were few studies on the musculoskeletal health outcomes of secondhand smoke, smoking cessation, or other modes of smoking, such as waterpipes or electronic cigarettes. This review found evidence that suggests tobacco smoking has negative effects on the health outcomes of the musculoskeletal system. There is a need for further research to understand mechanisms of action for the effects of smoking on the musculoskeletal system and to increase awareness of healthcare providers and community members of the adverse effects of smoking on the musculoskeletal system.","author":[{"dropping-particle":"","family":"Al-Bashaireh","given":"Ahmad M.","non-dropping-particle":"","parse-names":false,"suffix":""},{"dropping-particle":"","family":"Haddad","given":"Linda G.","non-dropping-particle":"","parse-names":false,"suffix":""},{"dropping-particle":"","family":"Weaver","given":"Michael","non-dropping-particle":"","parse-names":false,"suffix":""},{"dropping-particle":"","family":"Kelly","given":"Debra Lynch","non-dropping-particle":"","parse-names":false,"suffix":""},{"dropping-particle":"","family":"Chengguo","given":"Xing","non-dropping-particle":"","parse-names":false,"suffix":""},{"dropping-particle":"","family":"Yoon","given":"Saunjoo","non-dropping-particle":"","parse-names":false,"suffix":""}],"container-title":"Journal of Environmental and Public Health","id":"ITEM-3","issued":{"date-parts":[["2018"]]},"publisher":"Hindawi Limited","title":"The Effect of Tobacco Smoking on Musculoskeletal Health: A Systematic Review","type":"article","volume":"2018"},"uris":["http://www.mendeley.com/documents/?uuid=1ab0c339-ae1f-365f-9aae-e5dd80697afd"]}],"mendeley":{"formattedCitation":"[44–46]","plainTextFormattedCitation":"[44–46]","previouslyFormattedCitation":"[44–46]"},"properties":{"noteIndex":0},"schema":"https://github.com/citation-style-language/schema/raw/master/csl-citation.json"}</w:instrText>
      </w:r>
      <w:r w:rsidR="00D3628D" w:rsidRPr="00D3628D">
        <w:rPr>
          <w:rFonts w:ascii="Times New Roman" w:hAnsi="Times New Roman" w:cs="Times New Roman"/>
          <w:vertAlign w:val="superscript"/>
          <w:lang w:val="en-GB"/>
        </w:rPr>
        <w:fldChar w:fldCharType="separate"/>
      </w:r>
      <w:r w:rsidR="003066E4" w:rsidRPr="003066E4">
        <w:rPr>
          <w:rFonts w:ascii="Times New Roman" w:hAnsi="Times New Roman" w:cs="Times New Roman"/>
          <w:noProof/>
          <w:lang w:val="en-GB"/>
        </w:rPr>
        <w:t>[44–46]</w:t>
      </w:r>
      <w:r w:rsidR="00D3628D" w:rsidRPr="00D3628D">
        <w:rPr>
          <w:rFonts w:ascii="Times New Roman" w:hAnsi="Times New Roman" w:cs="Times New Roman"/>
          <w:vertAlign w:val="superscript"/>
          <w:lang w:val="en-GB"/>
        </w:rPr>
        <w:fldChar w:fldCharType="end"/>
      </w:r>
      <w:r w:rsidR="00BB0B67" w:rsidRPr="00D3628D">
        <w:rPr>
          <w:rFonts w:ascii="Times New Roman" w:hAnsi="Times New Roman" w:cs="Times New Roman"/>
          <w:lang w:val="en-GB"/>
        </w:rPr>
        <w:t>.</w:t>
      </w:r>
      <w:r w:rsidR="00D3628D">
        <w:rPr>
          <w:rFonts w:ascii="Times New Roman" w:hAnsi="Times New Roman" w:cs="Times New Roman"/>
          <w:lang w:val="en-GB"/>
        </w:rPr>
        <w:t xml:space="preserve"> </w:t>
      </w:r>
      <w:bookmarkStart w:id="1" w:name="_Hlk89342632"/>
      <w:r w:rsidR="00D3628D">
        <w:rPr>
          <w:rFonts w:ascii="Times New Roman" w:hAnsi="Times New Roman" w:cs="Times New Roman"/>
          <w:lang w:val="en-GB"/>
        </w:rPr>
        <w:t xml:space="preserve">Similar </w:t>
      </w:r>
      <w:r w:rsidR="003060E1">
        <w:rPr>
          <w:rFonts w:ascii="Times New Roman" w:hAnsi="Times New Roman" w:cs="Times New Roman"/>
          <w:lang w:val="en-GB"/>
        </w:rPr>
        <w:t>to</w:t>
      </w:r>
      <w:r w:rsidR="00D3628D">
        <w:rPr>
          <w:rFonts w:ascii="Times New Roman" w:hAnsi="Times New Roman" w:cs="Times New Roman"/>
          <w:lang w:val="en-GB"/>
        </w:rPr>
        <w:t xml:space="preserve"> alcohol consumption, a recent meta-analysis underlined a linear relationship between the consumption of alcohol and the risk of osteoporosis, with higher risk for </w:t>
      </w:r>
      <w:r w:rsidR="00CA3D7A">
        <w:rPr>
          <w:rFonts w:ascii="Times New Roman" w:hAnsi="Times New Roman" w:cs="Times New Roman"/>
          <w:lang w:val="en-GB"/>
        </w:rPr>
        <w:t xml:space="preserve">persons </w:t>
      </w:r>
      <w:r w:rsidR="003060E1">
        <w:rPr>
          <w:rFonts w:ascii="Times New Roman" w:hAnsi="Times New Roman" w:cs="Times New Roman"/>
          <w:lang w:val="en-GB"/>
        </w:rPr>
        <w:t>who</w:t>
      </w:r>
      <w:r w:rsidR="00CA3D7A">
        <w:rPr>
          <w:rFonts w:ascii="Times New Roman" w:hAnsi="Times New Roman" w:cs="Times New Roman"/>
          <w:lang w:val="en-GB"/>
        </w:rPr>
        <w:t xml:space="preserve"> consumed more alcohol</w:t>
      </w:r>
      <w:bookmarkEnd w:id="1"/>
      <w:r w:rsidR="00D3628D" w:rsidRPr="00883590">
        <w:rPr>
          <w:rFonts w:ascii="Times New Roman" w:hAnsi="Times New Roman" w:cs="Times New Roman"/>
          <w:lang w:val="en-GB"/>
        </w:rPr>
        <w:t xml:space="preserve">. </w:t>
      </w:r>
      <w:r w:rsidR="003060E1">
        <w:rPr>
          <w:rFonts w:ascii="Times New Roman" w:hAnsi="Times New Roman" w:cs="Times New Roman"/>
          <w:lang w:val="en-GB"/>
        </w:rPr>
        <w:t>F</w:t>
      </w:r>
      <w:r w:rsidR="00D3628D" w:rsidRPr="00883590">
        <w:rPr>
          <w:rFonts w:ascii="Times New Roman" w:hAnsi="Times New Roman" w:cs="Times New Roman"/>
          <w:lang w:val="en-GB"/>
        </w:rPr>
        <w:t>or example, persons consuming two drinks or more per day had 1.63 times the risk of developing osteoporosis</w:t>
      </w:r>
      <w:r w:rsidR="00883590" w:rsidRPr="00883590">
        <w:rPr>
          <w:rFonts w:ascii="Times New Roman" w:hAnsi="Times New Roman" w:cs="Times New Roman"/>
          <w:lang w:val="en-GB"/>
        </w:rPr>
        <w:t xml:space="preserve"> compared to non-drinkers</w:t>
      </w:r>
      <w:r w:rsidR="004C6FCB">
        <w:rPr>
          <w:rFonts w:ascii="Times New Roman" w:hAnsi="Times New Roman" w:cs="Times New Roman"/>
          <w:lang w:val="en-GB"/>
        </w:rPr>
        <w:t xml:space="preserve"> </w:t>
      </w:r>
      <w:r w:rsidR="00883590">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{"citationItems":[{"id":"ITEM-1","itemData":{"DOI":"10.1016/j.drugalcdep.2019.01.025","ISSN":"18790046","PMID":"30844616","abstract":"Background: Osteoporosis is a multifactorial disease hallmarked by the interaction of genetic, nutritional and environmental factors. We aimed to assess the effect of alcohol consumption on the osteoporosis by undertaking a systematic review and meta-analysis. Methods: We searched electronic databases including MEDLINE, Scopus, and Web of Science until June 2018. We identified all pertinent observational studies that examined the risk of OSTEOPOROSIS with alcohol use including cohort, case-control and cross-sectional studies. Relative risks (RR) for cohort studies and odds ratios (ORs) for case-control studies were pooled using the random effects model. Risk of bias was assessed using the Newcastle-Ottawa scale. Results: From a pool of 3479 studies identified six met the study inclusion criteria (three case control, two cohorts and one cross-sectional study). Compared with abstainers of alcohol, persons consuming 0.5–1 drinks per day had 1.38 times the risk of developing osteoporosis (adjusted RR = 1.38, 95% CI: 0.90–2.12), persons consuming 1–2 drinks per day had 1.34 times the risk of developing OSTEOPOROSIS (adjusted RR = 1.34, 95% CI: 1.11–1.62), and persons consuming two drinks or more per day had 1.63 times the risk of developing osteoporosis (adjusted RR = 1.63, 95% CI: 1.01–2.65). We found a positive association between alcohol consumption and osteoporosis in the case-control studies (adjusted OR = 2.95, 95% CI: 1.78–4.90). Conclusion: Our study demonstrates a positive relationship between alcohol consumption and osteoporosis.","author":[{"dropping-particle":"","family":"Cheraghi","given":"Zahra","non-dropping-particle":"","parse-names":false,"suffix":""},{"dropping-particle":"","family":"Doosti-Irani","given":"Amin","non-dropping-particle":"","parse-names":false,"suffix":""},{"dropping-particle":"","family":"Almasi-Hashiani","given":"Amir","non-dropping-particle":"","parse-names":false,"suffix":""},{"dropping-particle":"","family":"Baigi","given":"Vali","non-dropping-particle":"","parse-names":false,"suffix":""},{"dropping-particle":"","family":"Mansournia","given":"Nasrin","non-dropping-particle":"","parse-names":false,"suffix":""},{"dropping-particle":"","family":"Etminan","given":"Mahyar","non-dropping-particle":"","parse-names":false,"suffix":""},{"dropping-particle":"","family":"Mansournia","given":"Mohammad Ali","non-dropping-particle":"","parse-names":false,"suffix":""}],"container-title":"Drug and Alcohol Dependence","id":"ITEM-1","issued":{"date-parts":[["2019","4","1"]]},"page":"197-202","publisher":"Drug Alcohol Depend","title":"The effect of alcohol on osteoporosis: A systematic review and meta-analysis","type":"article","volume":"197"},"uris":["http://www.mendeley.com/documents/?uuid=4b0ed218-2c0e-3481-8360-187427fe8ad2"]}],"mendeley":{"formattedCitation":"[47]","plainTextFormattedCitation":"[47]","previouslyFormattedCitation":"[47]"},"properties":{"noteIndex":0},"schema":"https://github.com/citation-style-language/schema/raw/master/csl-citation.json"}</w:instrText>
      </w:r>
      <w:r w:rsidR="00883590">
        <w:rPr>
          <w:rFonts w:ascii="Times New Roman" w:hAnsi="Times New Roman" w:cs="Times New Roman"/>
          <w:lang w:val="en-GB"/>
        </w:rPr>
        <w:fldChar w:fldCharType="separate"/>
      </w:r>
      <w:r w:rsidR="003066E4" w:rsidRPr="003066E4">
        <w:rPr>
          <w:rFonts w:ascii="Times New Roman" w:hAnsi="Times New Roman" w:cs="Times New Roman"/>
          <w:noProof/>
          <w:lang w:val="en-GB"/>
        </w:rPr>
        <w:t>[47]</w:t>
      </w:r>
      <w:r w:rsidR="00883590">
        <w:rPr>
          <w:rFonts w:ascii="Times New Roman" w:hAnsi="Times New Roman" w:cs="Times New Roman"/>
          <w:lang w:val="en-GB"/>
        </w:rPr>
        <w:fldChar w:fldCharType="end"/>
      </w:r>
      <w:r w:rsidR="00883590" w:rsidRPr="00883590">
        <w:rPr>
          <w:rFonts w:ascii="Times New Roman" w:hAnsi="Times New Roman" w:cs="Times New Roman"/>
          <w:lang w:val="en-GB"/>
        </w:rPr>
        <w:t>.</w:t>
      </w:r>
      <w:r w:rsidR="00883590">
        <w:rPr>
          <w:rFonts w:ascii="Segoe UI" w:hAnsi="Segoe UI" w:cs="Segoe UI"/>
          <w:color w:val="212121"/>
          <w:shd w:val="clear" w:color="auto" w:fill="FFFFFF"/>
          <w:lang w:val="en-GB"/>
        </w:rPr>
        <w:t xml:space="preserve"> </w:t>
      </w:r>
      <w:r w:rsidR="00824F4C">
        <w:rPr>
          <w:rFonts w:ascii="Times New Roman" w:hAnsi="Times New Roman" w:cs="Times New Roman"/>
          <w:lang w:val="en-GB"/>
        </w:rPr>
        <w:t>Finally,</w:t>
      </w:r>
      <w:r w:rsidR="00B20EE5">
        <w:rPr>
          <w:rFonts w:ascii="Times New Roman" w:hAnsi="Times New Roman" w:cs="Times New Roman"/>
          <w:lang w:val="en-GB"/>
        </w:rPr>
        <w:t xml:space="preserve"> participants </w:t>
      </w:r>
      <w:r w:rsidR="004C6FCB">
        <w:rPr>
          <w:rFonts w:ascii="Times New Roman" w:hAnsi="Times New Roman" w:cs="Times New Roman"/>
          <w:lang w:val="en-GB"/>
        </w:rPr>
        <w:t xml:space="preserve">were asked </w:t>
      </w:r>
      <w:r w:rsidR="00B20EE5">
        <w:rPr>
          <w:rFonts w:ascii="Times New Roman" w:hAnsi="Times New Roman" w:cs="Times New Roman"/>
          <w:lang w:val="en-GB"/>
        </w:rPr>
        <w:t>if they would accept ensur</w:t>
      </w:r>
      <w:r w:rsidR="004C6FCB">
        <w:rPr>
          <w:rFonts w:ascii="Times New Roman" w:hAnsi="Times New Roman" w:cs="Times New Roman"/>
          <w:lang w:val="en-GB"/>
        </w:rPr>
        <w:t>ing</w:t>
      </w:r>
      <w:r w:rsidR="00B20EE5">
        <w:rPr>
          <w:rFonts w:ascii="Times New Roman" w:hAnsi="Times New Roman" w:cs="Times New Roman"/>
          <w:lang w:val="en-GB"/>
        </w:rPr>
        <w:t xml:space="preserve"> a healthy body weight, defined by avoiding becoming overweight or underweight.</w:t>
      </w:r>
      <w:r w:rsidR="00FE5BDB">
        <w:rPr>
          <w:rFonts w:ascii="Times New Roman" w:hAnsi="Times New Roman" w:cs="Times New Roman"/>
          <w:lang w:val="en-GB"/>
        </w:rPr>
        <w:t xml:space="preserve"> In our study, patients seem favourable to this recommendation. </w:t>
      </w:r>
      <w:r w:rsidR="00AD0E35">
        <w:rPr>
          <w:rFonts w:ascii="Times New Roman" w:hAnsi="Times New Roman" w:cs="Times New Roman"/>
          <w:lang w:val="en-GB"/>
        </w:rPr>
        <w:t xml:space="preserve">In literature, the relationship between body mass index (BMI) and the risk of fracture is </w:t>
      </w:r>
      <w:r w:rsidR="005F393E">
        <w:rPr>
          <w:rFonts w:ascii="Times New Roman" w:hAnsi="Times New Roman" w:cs="Times New Roman"/>
          <w:lang w:val="en-GB"/>
        </w:rPr>
        <w:t xml:space="preserve">still </w:t>
      </w:r>
      <w:r w:rsidR="00AD0E35">
        <w:rPr>
          <w:rFonts w:ascii="Times New Roman" w:hAnsi="Times New Roman" w:cs="Times New Roman"/>
          <w:lang w:val="en-GB"/>
        </w:rPr>
        <w:t xml:space="preserve">obscure and complex. The risk may </w:t>
      </w:r>
      <w:r w:rsidR="00AD0E35" w:rsidRPr="00AD0E35">
        <w:rPr>
          <w:rFonts w:ascii="Times New Roman" w:hAnsi="Times New Roman" w:cs="Times New Roman"/>
          <w:lang w:val="en-GB"/>
        </w:rPr>
        <w:t xml:space="preserve">differ across skeletal sites and seems modified by the interaction between BMI and bone mineral density (BMD). At a population level, </w:t>
      </w:r>
      <w:r w:rsidR="00AD0E35">
        <w:rPr>
          <w:rFonts w:ascii="Times New Roman" w:hAnsi="Times New Roman" w:cs="Times New Roman"/>
          <w:lang w:val="en-GB"/>
        </w:rPr>
        <w:t xml:space="preserve">different meta-analyses have underlined that </w:t>
      </w:r>
      <w:r w:rsidR="00AD0E35" w:rsidRPr="00AD0E35">
        <w:rPr>
          <w:rFonts w:ascii="Times New Roman" w:hAnsi="Times New Roman" w:cs="Times New Roman"/>
          <w:lang w:val="en-GB"/>
        </w:rPr>
        <w:t xml:space="preserve">a high BMI (as well as obesity) seem to </w:t>
      </w:r>
      <w:r w:rsidR="00595BE7">
        <w:rPr>
          <w:rFonts w:ascii="Times New Roman" w:hAnsi="Times New Roman" w:cs="Times New Roman"/>
          <w:lang w:val="en-GB"/>
        </w:rPr>
        <w:t>be</w:t>
      </w:r>
      <w:r w:rsidR="00AD0E35" w:rsidRPr="00AD0E35">
        <w:rPr>
          <w:rFonts w:ascii="Times New Roman" w:hAnsi="Times New Roman" w:cs="Times New Roman"/>
          <w:lang w:val="en-GB"/>
        </w:rPr>
        <w:t xml:space="preserve"> a protective factor for most sites of fragility fracture</w:t>
      </w:r>
      <w:r w:rsidR="004C6FCB">
        <w:rPr>
          <w:rFonts w:ascii="Times New Roman" w:hAnsi="Times New Roman" w:cs="Times New Roman"/>
          <w:lang w:val="en-GB"/>
        </w:rPr>
        <w:t xml:space="preserve"> </w:t>
      </w:r>
      <w:r w:rsidR="0031022A">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{"citationItems":[{"id":"ITEM-1","itemData":{"DOI":"10.1371/journal.pone.0252487","ISSN":"19326203","PMID":"34101735","abstract":"Background: The association between obesity and fracture risk may be skeletal site- and sex-specific but results among studies are inconsistent. Whilst several studies reported higher bone mineral density (BMD) in patients with obesity, altered bone quality could be a major determinant of bone fragility in this population. Objectives: This systematic review and meta-analysis aimed to compare, in men, premenopausal women and postmenopausal women with obesity vs. individuals without obesity: 1) the incidence of fractures overall and by site; 2) BMD; and 3) bone quality parameters (circulating bone turnover markers and bone microarchitecture and strength by advanced imaging techniques). Data sources: PubMed (MEDLINE), EMBASE, Cochrane Library and Web of Science were searched from inception of databases until the 13th of January 2021. Data synthesis Each outcome was stratified by sex and menopausal status in women. The meta-analysis was performed using a random-effect model with inverse-variance method. The risks of hip and wrist fracture were reduced by 25% (n = 8: RR = 0.75, 95% CI: 0.62, 0.91, P = 0.003, I2 = 95%) and 15% (n = 2 studies: RR = 0.85, 95% CI: 0.81, 0.88), respectively, while ankle fracture risk was increased by 60% (n = 2 studies: RR = 1.60, 95% CI: 1.52, 1.68) in postmenopausal women with obesity compared with those without obesity. In men with obesity, hip fracture risk was decreased by 41% (n = 5 studies: RR = 0.59, 95% CI: 0.44, 0.79). Obesity was associated with increased BMD, better bone microarchitecture and strength, and generally lower or unchanged circulating bone resorption, formation and osteocyte markers. However, heterogeneity among studies was high for most outcomes, and overall quality of evidence was very low to low for all outcomes. Conclusions: This meta-analysis highlights areas for future research including the need for site-specific fracture studies, especially in men and premenopausal women, and studies comparing bone microarchitecture between individuals with and without obesity.","author":[{"dropping-particle":"","family":"Turcotte","given":"Anne Frédérique","non-dropping-particle":"","parse-names":false,"suffix":""},{"dropping-particle":"","family":"O'Connor","given":"Sarah","non-dropping-particle":"","parse-names":false,"suffix":""},{"dropping-particle":"","family":"Morin","given":"Suzanne N.","non-dropping-particle":"","parse-names":false,"suffix":""},{"dropping-particle":"","family":"Gibbs","given":"Jenna C.","non-dropping-particle":"","parse-names":false,"suffix":""},{"dropping-particle":"","family":"Willie","given":"Bettina M.","non-dropping-particle":"","parse-names":false,"suffix":""},{"dropping-particle":"","family":"Jean","given":"Sonia","non-dropping-particle":"","parse-names":false,"suffix":""},{"dropping-particle":"","family":"Gagnon","given":"Claudia","non-dropping-particle":"","parse-names":false,"suffix":""}],"container-title":"PLoS ONE","id":"ITEM-1","issue":"6 June","issued":{"date-parts":[["2021","6","1"]]},"page":"e0252487","publisher":"Public Library of Science","title":"Association between obesity and risk of fracture, bone mineral density and bone quality in adults: A systematic review and meta-analysis","type":"article","volume":"16"},"uris":["http://www.mendeley.com/documents/?uuid=48655802-4cf6-363e-8536-789357a1362b"]},{"id":"ITEM-2","itemData":{"DOI":"10.1097/MD.0000000000005290","ISSN":"15365964","PMID":"28328798","abstract":"Background: Body mass index (BMI) is inconsistently associated with the progression of low bone mass-related fractures. We conducted a systematic review and meta-analysis to summarize the evidence regarding the relationship between BMI and the risk of fracture in men and women separately. Furthermore, we analyzed the association between BMI and fracture risk in women compared with men. Methods: PubMed, EmBase, and the Cochrane Library were searched up to November 2015 to identify prospective cohort studies of low bone mass-related fractures. Prospective cohort studies that reported effect estimates of fracture risk for different BMI categories compared to normal weight were included. Relative risk (RR) and the ratio of relative risk (RRR) were calculated using a random-effect model to measure the relationship between BMI and fracture risk. Results:We analyzed 37 cohorts (32 articles), which included a total of 506, 004 women and 118, 372 men; overall, 38, 200 incident cases were reported. Overall, a lower BMI was not associated with fracture risk in men (RR: 1.50, 95% confidence interval [CI]: 1.00-2.26; P=0.051) or women (RR: 1.25, 95% CI: 0.97-1.62; P=0.083). Although a higher BMI might play a beneficial impact in men (RR: 0.80, 95% CI: 0.69-0.93; P=0.003), it has little effect in women (RR: 0.91, 95% CI: 0.74-1.11; P=0.343). In addition, an increase in BMI by 5kg/m2 decreased the risk of fractures in men (RR: 0.90, 95% CI: 0.83-0.98; P=0.017) and women (RR: 0.85, 95% CI: 0.81-0.89; P&lt;0.001). Finally, there was no evidence of a sex difference in the RR for fractures between participants with different BMI categories compared with those with normal BMI. Finally, gender did not affect the risk of fracture for any category of BMI values. Conclusion: Higher BMI may affect the risk of fractures regardless of the sex. This association may be due to the interaction between the participants' BMI and their bone mass density.","author":[{"dropping-particle":"","family":"Xiang","given":"Bing Yan","non-dropping-particle":"","parse-names":false,"suffix":""},{"dropping-particle":"","family":"Huang","given":"Wei","non-dropping-particle":"","parse-names":false,"suffix":""},{"dropping-particle":"","family":"Zhou","given":"Guo Qi","non-dropping-particle":"","parse-names":false,"suffix":""},{"dropping-particle":"","family":"Hu","given":"Ning","non-dropping-particle":"","parse-names":false,"suffix":""},{"dropping-particle":"","family":"Chen","given":"Hong","non-dropping-particle":"","parse-names":false,"suffix":""},{"dropping-particle":"","family":"Chen","given":"Cheng","non-dropping-particle":"","parse-names":false,"suffix":""}],"container-title":"Medicine (United States)","id":"ITEM-2","issue":"12","issued":{"date-parts":[["2017"]]},"publisher":"Wolters Kluwer Health","title":"Body mass index and the risk of low bone mass-related fractures in women compared with men: A PRISMA-compliant meta-analysis of prospective cohort studies","type":"article","volume":"96"},"uris":["http://www.mendeley.com/documents/?uuid=08910735-c855-34bf-a818-0993a96c3a9c"]},{"id":"ITEM-3","itemData":{"DOI":"10.1007/s00198-005-1863-y","ISSN":"14332965","PMID":"15928804","abstract":"Low body mass index (BMI) is a well-documented risk factor for future fracture. The aim of this study was to quantify this effect and to explore the association of BMI with fracture risk in relation to age, gender and bone mineral density (BMD) from an international perspective using worldwide data. We studied individual participant data from almost 60,000 men and women from 12 prospective population-based cohorts comprising Rotterdam, EVOS/EPOS, CaMos, Rochester, Sheffield, Dubbo, EPIDOS, OFELY, Kuopio, Hiroshima, and two cohorts from Gothenburg, with a total follow-up of over 250,000 person years. The effects of BMI, BMD, age and gender on the risk of any fracture, any osteoporotic fracture, and hip fracture alone was examined using a Poisson regression model in each cohort separately. The results of the different studies were then merged. Without information on BMD, the age-adjusted risk for any type of fracture increased significantly with lower BMI. Overall, the risk ratio (RR) per unit higher BMI was 0.98 (95% confidence interval [CI], 0.97-0.99) for any fracture, 0.97 (95% CI, 0.96-0.98) for osteoporotic fracture and 0.93 (95% CI, 0.91-0.94) for hip fracture (all p &lt;0.001). The RR per unit change in BMI was very similar in men and women ( p &gt;0.30). After adjusting for BMD, these RR became 1 for any fracture or osteoporotic fracture and 0.98 for hip fracture (significant in women). The gradient of fracture risk without adjustment for BMD was not linearly distributed across values for BMI. Instead, the contribution to fracture risk was much more marked at low values of BMI than at values above the median. This nonlinear relation of risk with BMI was most evident for hip fracture risk. When compared with a BMI of 25 kg/m2, a BMI of 20 kg/m2 was associated with a nearly twofold increase in risk ratio (RR=1.95; 95% CI, 1.71-2.22) for hip fracture. In contrast, a BMI of 30 kg/m2, when compared with a BMI of 25 kg/m2, was associated with only a 17% reduction in hip fracture risk (RR=0.83; 95% CI, 0.69-0.99). We conclude that low BMI confers a risk of substantial importance for all fractures that is largely independent of age and sex, but dependent on BMD. The significance of BMI as a risk factor varies according to the level of BMI. Its validation on an international basis permits the use of this risk factor in case-finding strategies. © International Osteoporosis Foundation and National Osteoporosis Foundation 2005.","author":[{"dropping-particle":"","family":"Laet","given":"C.","non-dropping-particle":"De","parse-names":false,"suffix":""},{"dropping-particle":"","family":"Kanis","given":"J. A.","non-dropping-particle":"","parse-names":false,"suffix":""},{"dropping-particle":"","family":"Odén","given":"A.","non-dropping-particle":"","parse-names":false,"suffix":""},{"dropping-particle":"","family":"Johanson","given":"H.","non-dropping-particle":"","parse-names":false,"suffix":""},{"dropping-particle":"","family":"Johnell","given":"O.","non-dropping-particle":"","parse-names":false,"suffix":""},{"dropping-particle":"","family":"Delmas","given":"P.","non-dropping-particle":"","parse-names":false,"suffix":""},{"dropping-particle":"","family":"Eisman","given":"J. A.","non-dropping-particle":"","parse-names":false,"suffix":""},{"dropping-particle":"","family":"Kroger","given":"H.","non-dropping-particle":"","parse-names":false,"suffix":""},{"dropping-particle":"","family":"Fujiwara","given":"S.","non-dropping-particle":"","parse-names":false,"suffix":""},{"dropping-particle":"","family":"Garnero","given":"P.","non-dropping-particle":"","parse-names":false,"suffix":""},{"dropping-particle":"V.","family":"McCloskey","given":"E.","non-dropping-particle":"","parse-names":false,"suffix":""},{"dropping-particle":"","family":"Mellstrom","given":"D.","non-dropping-particle":"","parse-names":false,"suffix":""},{"dropping-particle":"","family":"Melton","given":"L. J.","non-dropping-particle":"","parse-names":false,"suffix":""},{"dropping-particle":"","family":"Meunier","given":"P. J.","non-dropping-particle":"","parse-names":false,"suffix":""},{"dropping-particle":"","family":"Pols","given":"H. A.P.","non-dropping-particle":"","parse-names":false,"suffix":""},{"dropping-particle":"","family":"Reeve","given":"J.","non-dropping-particle":"","parse-names":false,"suffix":""},{"dropping-particle":"","family":"Silman","given":"A.","non-dropping-particle":"","parse-names":false,"suffix":""},{"dropping-particle":"","family":"Tenenhouse","given":"A.","non-dropping-particle":"","parse-names":false,"suffix":""}],"container-title":"Osteoporosis International","id":"ITEM-3","issue":"11","issued":{"date-parts":[["2005"]]},"page":"1330-1338","publisher":"Osteoporos Int","title":"Body mass index as a predictor of fracture risk: A meta-analysis","type":"article-journal","volume":"16"},"uris":["http://www.mendeley.com/documents/?uuid=3be3f6dc-17e0-33de-a77b-ec9c368dc491"]}],"mendeley":{"formattedCitation":"[48–50]","plainTextFormattedCitation":"[48–50]","previouslyFormattedCitation":"[48–50]"},"properties":{"noteIndex":0},"schema":"https://github.com/citation-style-language/schema/raw/master/csl-citation.json"}</w:instrText>
      </w:r>
      <w:r w:rsidR="0031022A">
        <w:rPr>
          <w:rFonts w:ascii="Times New Roman" w:hAnsi="Times New Roman" w:cs="Times New Roman"/>
          <w:lang w:val="en-GB"/>
        </w:rPr>
        <w:fldChar w:fldCharType="separate"/>
      </w:r>
      <w:r w:rsidR="003066E4" w:rsidRPr="003066E4">
        <w:rPr>
          <w:rFonts w:ascii="Times New Roman" w:hAnsi="Times New Roman" w:cs="Times New Roman"/>
          <w:noProof/>
          <w:lang w:val="en-GB"/>
        </w:rPr>
        <w:t>[48–50]</w:t>
      </w:r>
      <w:r w:rsidR="0031022A">
        <w:rPr>
          <w:rFonts w:ascii="Times New Roman" w:hAnsi="Times New Roman" w:cs="Times New Roman"/>
          <w:lang w:val="en-GB"/>
        </w:rPr>
        <w:fldChar w:fldCharType="end"/>
      </w:r>
      <w:r w:rsidR="00AD0E35">
        <w:rPr>
          <w:rFonts w:ascii="Times New Roman" w:hAnsi="Times New Roman" w:cs="Times New Roman"/>
          <w:lang w:val="en-GB"/>
        </w:rPr>
        <w:t xml:space="preserve">. On the contrary, </w:t>
      </w:r>
      <w:r w:rsidR="00AD0E35" w:rsidRPr="00AD0E35">
        <w:rPr>
          <w:rFonts w:ascii="Times New Roman" w:hAnsi="Times New Roman" w:cs="Times New Roman"/>
          <w:lang w:val="en-GB"/>
        </w:rPr>
        <w:t xml:space="preserve">low BMI seem to increase fracture risk, possibly because low BMI is associated with low </w:t>
      </w:r>
      <w:r w:rsidR="0031022A">
        <w:rPr>
          <w:rFonts w:ascii="Times New Roman" w:hAnsi="Times New Roman" w:cs="Times New Roman"/>
          <w:lang w:val="en-GB"/>
        </w:rPr>
        <w:t>BMD</w:t>
      </w:r>
      <w:r w:rsidR="00AD0E35" w:rsidRPr="00AD0E35">
        <w:rPr>
          <w:rFonts w:ascii="Times New Roman" w:hAnsi="Times New Roman" w:cs="Times New Roman"/>
          <w:lang w:val="en-GB"/>
        </w:rPr>
        <w:t>, less soft tissue, and muscle weakness</w:t>
      </w:r>
      <w:r w:rsidR="004C6FCB">
        <w:rPr>
          <w:rFonts w:ascii="Times New Roman" w:hAnsi="Times New Roman" w:cs="Times New Roman"/>
          <w:lang w:val="en-GB"/>
        </w:rPr>
        <w:t xml:space="preserve"> </w:t>
      </w:r>
      <w:r w:rsidR="00A64D86">
        <w:rPr>
          <w:rFonts w:ascii="Times New Roman" w:hAnsi="Times New Roman" w:cs="Times New Roman"/>
          <w:lang w:val="en-GB"/>
        </w:rPr>
        <w:fldChar w:fldCharType="begin" w:fldLock="1"/>
      </w:r>
      <w:r w:rsidR="003066E4">
        <w:rPr>
          <w:rFonts w:ascii="Times New Roman" w:hAnsi="Times New Roman" w:cs="Times New Roman"/>
          <w:lang w:val="en-GB"/>
        </w:rPr>
        <w:instrText>ADDIN CSL_CITATION {"citationItems":[{"id":"ITEM-1","itemData":{"DOI":"10.1002/jbmr.1486","ISSN":"08840431","PMID":"23348758","abstract":"In Western societies, mean body weight has increased dramatically in older people, and a similar trend exists in Asia. Yet insufficient attention has been directed to the problem of osteoporotic fractures in the overweight and obese. Many, if not most, osteoporotic fractures occur in overweight or obese people, and obese men may be particularly susceptible. We discuss the potential implications of these findings, including the challenge of identifying individuals at highest risk, screening and treatment strategies, and future research directions. Copyright © 2012 American Society for Bone and Mineral Research.","author":[{"dropping-particle":"","family":"Nielson","given":"Carrie M","non-dropping-particle":"","parse-names":false,"suffix":""},{"dropping-particle":"","family":"Srikanth","given":"Priya","non-dropping-particle":"","parse-names":false,"suffix":""},{"dropping-particle":"","family":"Orwoll","given":"Eric S","non-dropping-particle":"","parse-names":false,"suffix":""}],"container-title":"Journal of Bone and Mineral Research","id":"ITEM-1","issue":"1","issued":{"date-parts":[["2012","1","1"]]},"page":"1-10","publisher":"John Wiley &amp; Sons, Ltd","title":"Obesity and fracture in men and women: An epidemiologic perspective","type":"article","volume":"27"},"uris":["http://www.mendeley.com/documents/?uuid=edae60be-8a62-311a-ac13-92424932c779"]}],"mendeley":{"formattedCitation":"[51]","plainTextFormattedCitation":"[51]","previouslyFormattedCitation":"[51]"},"properties":{"noteIndex":0},"schema":"https://github.com/citation-style-language/schema/raw/master/csl-citation.json"}</w:instrText>
      </w:r>
      <w:r w:rsidR="00A64D86">
        <w:rPr>
          <w:rFonts w:ascii="Times New Roman" w:hAnsi="Times New Roman" w:cs="Times New Roman"/>
          <w:lang w:val="en-GB"/>
        </w:rPr>
        <w:fldChar w:fldCharType="separate"/>
      </w:r>
      <w:r w:rsidR="003066E4" w:rsidRPr="003066E4">
        <w:rPr>
          <w:rFonts w:ascii="Times New Roman" w:hAnsi="Times New Roman" w:cs="Times New Roman"/>
          <w:noProof/>
          <w:lang w:val="en-GB"/>
        </w:rPr>
        <w:t>[51]</w:t>
      </w:r>
      <w:r w:rsidR="00A64D86">
        <w:rPr>
          <w:rFonts w:ascii="Times New Roman" w:hAnsi="Times New Roman" w:cs="Times New Roman"/>
          <w:lang w:val="en-GB"/>
        </w:rPr>
        <w:fldChar w:fldCharType="end"/>
      </w:r>
      <w:r w:rsidR="00AD0E35" w:rsidRPr="00AD0E35">
        <w:rPr>
          <w:rFonts w:ascii="Times New Roman" w:hAnsi="Times New Roman" w:cs="Times New Roman"/>
          <w:lang w:val="en-GB"/>
        </w:rPr>
        <w:t xml:space="preserve">. So, underweight should </w:t>
      </w:r>
      <w:r w:rsidR="004C6FCB">
        <w:rPr>
          <w:rFonts w:ascii="Times New Roman" w:hAnsi="Times New Roman" w:cs="Times New Roman"/>
          <w:lang w:val="en-GB"/>
        </w:rPr>
        <w:t xml:space="preserve">definitely </w:t>
      </w:r>
      <w:r w:rsidR="00AD0E35" w:rsidRPr="00AD0E35">
        <w:rPr>
          <w:rFonts w:ascii="Times New Roman" w:hAnsi="Times New Roman" w:cs="Times New Roman"/>
          <w:lang w:val="en-GB"/>
        </w:rPr>
        <w:t>be avoided</w:t>
      </w:r>
      <w:r w:rsidR="004C6FCB">
        <w:rPr>
          <w:rFonts w:ascii="Times New Roman" w:hAnsi="Times New Roman" w:cs="Times New Roman"/>
          <w:lang w:val="en-GB"/>
        </w:rPr>
        <w:t>,</w:t>
      </w:r>
      <w:r w:rsidR="00AD0E35" w:rsidRPr="00AD0E35">
        <w:rPr>
          <w:rFonts w:ascii="Times New Roman" w:hAnsi="Times New Roman" w:cs="Times New Roman"/>
          <w:lang w:val="en-GB"/>
        </w:rPr>
        <w:t xml:space="preserve"> but </w:t>
      </w:r>
      <w:r w:rsidR="0031022A">
        <w:rPr>
          <w:rFonts w:ascii="Times New Roman" w:hAnsi="Times New Roman" w:cs="Times New Roman"/>
          <w:lang w:val="en-GB"/>
        </w:rPr>
        <w:t xml:space="preserve">the public health message about overweight as a protective factor for fractures </w:t>
      </w:r>
      <w:r w:rsidR="00A64D86">
        <w:rPr>
          <w:rFonts w:ascii="Times New Roman" w:hAnsi="Times New Roman" w:cs="Times New Roman"/>
          <w:lang w:val="en-GB"/>
        </w:rPr>
        <w:t>remains</w:t>
      </w:r>
      <w:r w:rsidR="0031022A">
        <w:rPr>
          <w:rFonts w:ascii="Times New Roman" w:hAnsi="Times New Roman" w:cs="Times New Roman"/>
          <w:lang w:val="en-GB"/>
        </w:rPr>
        <w:t xml:space="preserve"> complex. </w:t>
      </w:r>
    </w:p>
    <w:p w14:paraId="6F04FC35" w14:textId="77777777" w:rsidR="00382585" w:rsidRPr="00F33E4E" w:rsidRDefault="006D77A8" w:rsidP="00382585">
      <w:pPr>
        <w:spacing w:line="360" w:lineRule="auto"/>
        <w:jc w:val="both"/>
        <w:rPr>
          <w:rFonts w:ascii="Times New Roman" w:hAnsi="Times New Roman" w:cs="Times New Roman"/>
          <w:b/>
          <w:bCs/>
          <w:lang w:val="en-GB"/>
        </w:rPr>
      </w:pPr>
      <w:r w:rsidRPr="00F33E4E">
        <w:rPr>
          <w:rFonts w:ascii="Times New Roman" w:hAnsi="Times New Roman" w:cs="Times New Roman"/>
          <w:b/>
          <w:bCs/>
          <w:lang w:val="en-GB"/>
        </w:rPr>
        <w:t>Limitations</w:t>
      </w:r>
      <w:r w:rsidR="00382585" w:rsidRPr="00F33E4E">
        <w:rPr>
          <w:rFonts w:ascii="Times New Roman" w:hAnsi="Times New Roman" w:cs="Times New Roman"/>
          <w:b/>
          <w:bCs/>
          <w:lang w:val="en-GB"/>
        </w:rPr>
        <w:t xml:space="preserve"> and future perspectives</w:t>
      </w:r>
    </w:p>
    <w:p w14:paraId="5948D7E2" w14:textId="2B98704C" w:rsidR="00CF60A0" w:rsidRPr="00FB1BEF" w:rsidRDefault="00382585" w:rsidP="00382585">
      <w:pPr>
        <w:spacing w:line="360" w:lineRule="auto"/>
        <w:jc w:val="both"/>
        <w:rPr>
          <w:rFonts w:ascii="Times New Roman" w:hAnsi="Times New Roman" w:cs="Times New Roman"/>
          <w:lang w:val="en-GB"/>
        </w:rPr>
      </w:pPr>
      <w:r w:rsidRPr="00382585">
        <w:rPr>
          <w:rFonts w:ascii="Times New Roman" w:hAnsi="Times New Roman" w:cs="Times New Roman"/>
          <w:lang w:val="en-GB"/>
        </w:rPr>
        <w:t xml:space="preserve">As all studies, our study has number of limitations that should be considered when interpreting the results. </w:t>
      </w:r>
      <w:bookmarkStart w:id="2" w:name="_Hlk89430824"/>
      <w:r w:rsidR="002456A6" w:rsidRPr="002456A6">
        <w:rPr>
          <w:rFonts w:ascii="Times New Roman" w:hAnsi="Times New Roman" w:cs="Times New Roman"/>
          <w:lang w:val="en-GB"/>
        </w:rPr>
        <w:t xml:space="preserve">First, an inherent limitation of </w:t>
      </w:r>
      <w:r w:rsidR="004C6FCB">
        <w:rPr>
          <w:rFonts w:ascii="Times New Roman" w:hAnsi="Times New Roman" w:cs="Times New Roman"/>
          <w:lang w:val="en-GB"/>
        </w:rPr>
        <w:t xml:space="preserve">a </w:t>
      </w:r>
      <w:r w:rsidR="002456A6" w:rsidRPr="002456A6">
        <w:rPr>
          <w:rFonts w:ascii="Times New Roman" w:hAnsi="Times New Roman" w:cs="Times New Roman"/>
          <w:lang w:val="en-GB"/>
        </w:rPr>
        <w:t xml:space="preserve">DCE is that it assesses hypothetical behaviours. Even if patients claimed to be favourable toward some lifestyle behavioural changes, none could guarantee that they would implement such </w:t>
      </w:r>
      <w:r w:rsidR="004C6FCB">
        <w:rPr>
          <w:rFonts w:ascii="Times New Roman" w:hAnsi="Times New Roman" w:cs="Times New Roman"/>
          <w:lang w:val="en-GB"/>
        </w:rPr>
        <w:t xml:space="preserve">a </w:t>
      </w:r>
      <w:r w:rsidR="002456A6" w:rsidRPr="002456A6">
        <w:rPr>
          <w:rFonts w:ascii="Times New Roman" w:hAnsi="Times New Roman" w:cs="Times New Roman"/>
          <w:lang w:val="en-GB"/>
        </w:rPr>
        <w:t xml:space="preserve">choice in real life. While DCEs are widely used, social desirability may also have a disturbing role in these studies. A </w:t>
      </w:r>
      <w:r w:rsidR="004C6FCB">
        <w:rPr>
          <w:rFonts w:ascii="Times New Roman" w:hAnsi="Times New Roman" w:cs="Times New Roman"/>
          <w:lang w:val="en-GB"/>
        </w:rPr>
        <w:t xml:space="preserve">future </w:t>
      </w:r>
      <w:r w:rsidR="002456A6" w:rsidRPr="002456A6">
        <w:rPr>
          <w:rFonts w:ascii="Times New Roman" w:hAnsi="Times New Roman" w:cs="Times New Roman"/>
          <w:lang w:val="en-GB"/>
        </w:rPr>
        <w:t>study comparing stated preferences with actual choice data in osteoporosis would be interesting to elicit potential difference</w:t>
      </w:r>
      <w:r w:rsidR="004C6FCB">
        <w:rPr>
          <w:rFonts w:ascii="Times New Roman" w:hAnsi="Times New Roman" w:cs="Times New Roman"/>
          <w:lang w:val="en-GB"/>
        </w:rPr>
        <w:t>s</w:t>
      </w:r>
      <w:r w:rsidR="002456A6" w:rsidRPr="002456A6">
        <w:rPr>
          <w:rFonts w:ascii="Times New Roman" w:hAnsi="Times New Roman" w:cs="Times New Roman"/>
          <w:lang w:val="en-GB"/>
        </w:rPr>
        <w:t xml:space="preserve"> between theoretical choices and real choices. Moreover, the quantitative approach of </w:t>
      </w:r>
      <w:r w:rsidR="004C6FCB">
        <w:rPr>
          <w:rFonts w:ascii="Times New Roman" w:hAnsi="Times New Roman" w:cs="Times New Roman"/>
          <w:lang w:val="en-GB"/>
        </w:rPr>
        <w:t xml:space="preserve">a </w:t>
      </w:r>
      <w:r w:rsidR="002456A6" w:rsidRPr="002456A6">
        <w:rPr>
          <w:rFonts w:ascii="Times New Roman" w:hAnsi="Times New Roman" w:cs="Times New Roman"/>
          <w:lang w:val="en-GB"/>
        </w:rPr>
        <w:t xml:space="preserve">DCE does not allow </w:t>
      </w:r>
      <w:r w:rsidR="00B25D3E">
        <w:rPr>
          <w:rFonts w:ascii="Times New Roman" w:hAnsi="Times New Roman" w:cs="Times New Roman"/>
          <w:lang w:val="en-GB"/>
        </w:rPr>
        <w:t xml:space="preserve">in-depth </w:t>
      </w:r>
      <w:r w:rsidR="002456A6" w:rsidRPr="002456A6">
        <w:rPr>
          <w:rFonts w:ascii="Times New Roman" w:hAnsi="Times New Roman" w:cs="Times New Roman"/>
          <w:lang w:val="en-GB"/>
        </w:rPr>
        <w:t>investigat</w:t>
      </w:r>
      <w:r w:rsidR="004C6FCB">
        <w:rPr>
          <w:rFonts w:ascii="Times New Roman" w:hAnsi="Times New Roman" w:cs="Times New Roman"/>
          <w:lang w:val="en-GB"/>
        </w:rPr>
        <w:t>ion of</w:t>
      </w:r>
      <w:r w:rsidR="002456A6" w:rsidRPr="002456A6">
        <w:rPr>
          <w:rFonts w:ascii="Times New Roman" w:hAnsi="Times New Roman" w:cs="Times New Roman"/>
          <w:lang w:val="en-GB"/>
        </w:rPr>
        <w:t xml:space="preserve"> all </w:t>
      </w:r>
      <w:r w:rsidR="004C6FCB">
        <w:rPr>
          <w:rFonts w:ascii="Times New Roman" w:hAnsi="Times New Roman" w:cs="Times New Roman"/>
          <w:lang w:val="en-GB"/>
        </w:rPr>
        <w:t xml:space="preserve">the </w:t>
      </w:r>
      <w:r w:rsidR="006F24B1">
        <w:rPr>
          <w:rFonts w:ascii="Times New Roman" w:hAnsi="Times New Roman" w:cs="Times New Roman"/>
          <w:lang w:val="en-GB"/>
        </w:rPr>
        <w:t>p</w:t>
      </w:r>
      <w:r w:rsidR="002456A6" w:rsidRPr="002456A6">
        <w:rPr>
          <w:rFonts w:ascii="Times New Roman" w:hAnsi="Times New Roman" w:cs="Times New Roman"/>
          <w:lang w:val="en-GB"/>
        </w:rPr>
        <w:t xml:space="preserve">ersonal reasons </w:t>
      </w:r>
      <w:r w:rsidR="009F2699">
        <w:rPr>
          <w:rFonts w:ascii="Times New Roman" w:hAnsi="Times New Roman" w:cs="Times New Roman"/>
          <w:lang w:val="en-GB"/>
        </w:rPr>
        <w:t xml:space="preserve">(beliefs, experience, etc.) underlying </w:t>
      </w:r>
      <w:r w:rsidR="002456A6" w:rsidRPr="002456A6">
        <w:rPr>
          <w:rFonts w:ascii="Times New Roman" w:hAnsi="Times New Roman" w:cs="Times New Roman"/>
          <w:lang w:val="en-GB"/>
        </w:rPr>
        <w:t xml:space="preserve">why patients do not want to adhere to lifestyle programs. Further qualitative research may </w:t>
      </w:r>
      <w:r w:rsidR="009F2699">
        <w:rPr>
          <w:rFonts w:ascii="Times New Roman" w:hAnsi="Times New Roman" w:cs="Times New Roman"/>
          <w:lang w:val="en-GB"/>
        </w:rPr>
        <w:t>provide additional important data to better and deeper understand</w:t>
      </w:r>
      <w:r w:rsidR="00E96B34" w:rsidRPr="00E96B34">
        <w:rPr>
          <w:rFonts w:ascii="Times New Roman" w:hAnsi="Times New Roman" w:cs="Times New Roman"/>
          <w:lang w:val="en-GB"/>
        </w:rPr>
        <w:t xml:space="preserve"> patient preferences and expectations</w:t>
      </w:r>
      <w:r w:rsidR="002456A6" w:rsidRPr="002456A6">
        <w:rPr>
          <w:rFonts w:ascii="Times New Roman" w:hAnsi="Times New Roman" w:cs="Times New Roman"/>
          <w:lang w:val="en-GB"/>
        </w:rPr>
        <w:t xml:space="preserve"> for lifestyle programs. </w:t>
      </w:r>
      <w:r w:rsidR="00A867BD" w:rsidRPr="00A867BD">
        <w:rPr>
          <w:rFonts w:ascii="Times New Roman" w:hAnsi="Times New Roman" w:cs="Times New Roman"/>
          <w:lang w:val="en-GB"/>
        </w:rPr>
        <w:t xml:space="preserve">Nevertheless, the present study </w:t>
      </w:r>
      <w:r w:rsidR="00534916">
        <w:rPr>
          <w:rFonts w:ascii="Times New Roman" w:hAnsi="Times New Roman" w:cs="Times New Roman"/>
          <w:lang w:val="en-GB"/>
        </w:rPr>
        <w:t xml:space="preserve">does </w:t>
      </w:r>
      <w:r w:rsidR="00A867BD" w:rsidRPr="00A867BD">
        <w:rPr>
          <w:rFonts w:ascii="Times New Roman" w:hAnsi="Times New Roman" w:cs="Times New Roman"/>
          <w:lang w:val="en-GB"/>
        </w:rPr>
        <w:t xml:space="preserve">provide initial and useful information for optimal non-pharmaceutical osteoporosis management. </w:t>
      </w:r>
      <w:r w:rsidR="005E6FBF" w:rsidRPr="005E6FBF">
        <w:rPr>
          <w:rFonts w:ascii="Times New Roman" w:hAnsi="Times New Roman" w:cs="Times New Roman"/>
          <w:lang w:val="en-GB"/>
        </w:rPr>
        <w:t>Awareness of variation in preference</w:t>
      </w:r>
      <w:r w:rsidR="009F2699">
        <w:rPr>
          <w:rFonts w:ascii="Times New Roman" w:hAnsi="Times New Roman" w:cs="Times New Roman"/>
          <w:lang w:val="en-GB"/>
        </w:rPr>
        <w:t>s</w:t>
      </w:r>
      <w:r w:rsidR="005E6FBF" w:rsidRPr="005E6FBF">
        <w:rPr>
          <w:rFonts w:ascii="Times New Roman" w:hAnsi="Times New Roman" w:cs="Times New Roman"/>
          <w:lang w:val="en-GB"/>
        </w:rPr>
        <w:t xml:space="preserve"> for lifestyle are very insightful for healthcare professionals when s</w:t>
      </w:r>
      <w:r w:rsidR="009F2699">
        <w:rPr>
          <w:rFonts w:ascii="Times New Roman" w:hAnsi="Times New Roman" w:cs="Times New Roman"/>
          <w:lang w:val="en-GB"/>
        </w:rPr>
        <w:t>tar</w:t>
      </w:r>
      <w:r w:rsidR="005E6FBF" w:rsidRPr="005E6FBF">
        <w:rPr>
          <w:rFonts w:ascii="Times New Roman" w:hAnsi="Times New Roman" w:cs="Times New Roman"/>
          <w:lang w:val="en-GB"/>
        </w:rPr>
        <w:t xml:space="preserve">ting communication with </w:t>
      </w:r>
      <w:r w:rsidR="00534916">
        <w:rPr>
          <w:rFonts w:ascii="Times New Roman" w:hAnsi="Times New Roman" w:cs="Times New Roman"/>
          <w:lang w:val="en-GB"/>
        </w:rPr>
        <w:t xml:space="preserve">a </w:t>
      </w:r>
      <w:r w:rsidR="005E6FBF" w:rsidRPr="005E6FBF">
        <w:rPr>
          <w:rFonts w:ascii="Times New Roman" w:hAnsi="Times New Roman" w:cs="Times New Roman"/>
          <w:lang w:val="en-GB"/>
        </w:rPr>
        <w:t xml:space="preserve">patient </w:t>
      </w:r>
      <w:r w:rsidR="00534916">
        <w:rPr>
          <w:rFonts w:ascii="Times New Roman" w:hAnsi="Times New Roman" w:cs="Times New Roman"/>
          <w:lang w:val="en-GB"/>
        </w:rPr>
        <w:t>regarding</w:t>
      </w:r>
      <w:r w:rsidR="005E6FBF" w:rsidRPr="005E6FBF">
        <w:rPr>
          <w:rFonts w:ascii="Times New Roman" w:hAnsi="Times New Roman" w:cs="Times New Roman"/>
          <w:lang w:val="en-GB"/>
        </w:rPr>
        <w:t xml:space="preserve"> lifestyle.  </w:t>
      </w:r>
      <w:bookmarkEnd w:id="2"/>
      <w:r w:rsidR="00C11E23">
        <w:rPr>
          <w:rFonts w:ascii="Times New Roman" w:hAnsi="Times New Roman" w:cs="Times New Roman"/>
          <w:lang w:val="en-GB"/>
        </w:rPr>
        <w:t xml:space="preserve">Second, data collection was performed in 2012, 10 years ago. </w:t>
      </w:r>
      <w:r w:rsidR="00323F46">
        <w:rPr>
          <w:rFonts w:ascii="Times New Roman" w:hAnsi="Times New Roman" w:cs="Times New Roman"/>
          <w:lang w:val="en-GB"/>
        </w:rPr>
        <w:t>H</w:t>
      </w:r>
      <w:r w:rsidR="00FB1BEF">
        <w:rPr>
          <w:rFonts w:ascii="Times New Roman" w:hAnsi="Times New Roman" w:cs="Times New Roman"/>
          <w:lang w:val="en-GB"/>
        </w:rPr>
        <w:t xml:space="preserve">ealth behaviours </w:t>
      </w:r>
      <w:r w:rsidR="00323F46">
        <w:rPr>
          <w:rFonts w:ascii="Times New Roman" w:hAnsi="Times New Roman" w:cs="Times New Roman"/>
          <w:lang w:val="en-GB"/>
        </w:rPr>
        <w:t xml:space="preserve">could </w:t>
      </w:r>
      <w:r w:rsidR="00FB1BEF">
        <w:rPr>
          <w:rFonts w:ascii="Times New Roman" w:hAnsi="Times New Roman" w:cs="Times New Roman"/>
          <w:lang w:val="en-GB"/>
        </w:rPr>
        <w:t xml:space="preserve">vary across years, </w:t>
      </w:r>
      <w:r w:rsidR="00534916">
        <w:rPr>
          <w:rFonts w:ascii="Times New Roman" w:hAnsi="Times New Roman" w:cs="Times New Roman"/>
          <w:lang w:val="en-GB"/>
        </w:rPr>
        <w:t>with developments in</w:t>
      </w:r>
      <w:r w:rsidR="00FB1BEF">
        <w:rPr>
          <w:rFonts w:ascii="Times New Roman" w:hAnsi="Times New Roman" w:cs="Times New Roman"/>
          <w:lang w:val="en-GB"/>
        </w:rPr>
        <w:t xml:space="preserve"> health/scientific research and improvement </w:t>
      </w:r>
      <w:r w:rsidR="00534916">
        <w:rPr>
          <w:rFonts w:ascii="Times New Roman" w:hAnsi="Times New Roman" w:cs="Times New Roman"/>
          <w:lang w:val="en-GB"/>
        </w:rPr>
        <w:t>in</w:t>
      </w:r>
      <w:r w:rsidR="00FB1BEF">
        <w:rPr>
          <w:rFonts w:ascii="Times New Roman" w:hAnsi="Times New Roman" w:cs="Times New Roman"/>
          <w:lang w:val="en-GB"/>
        </w:rPr>
        <w:t xml:space="preserve"> treatments. It </w:t>
      </w:r>
      <w:r w:rsidR="00F93FDE">
        <w:rPr>
          <w:rFonts w:ascii="Times New Roman" w:hAnsi="Times New Roman" w:cs="Times New Roman"/>
          <w:lang w:val="en-GB"/>
        </w:rPr>
        <w:t xml:space="preserve">cannot be excluded </w:t>
      </w:r>
      <w:r w:rsidR="00FB1BEF">
        <w:rPr>
          <w:rFonts w:ascii="Times New Roman" w:hAnsi="Times New Roman" w:cs="Times New Roman"/>
          <w:lang w:val="en-GB"/>
        </w:rPr>
        <w:t>tha</w:t>
      </w:r>
      <w:r w:rsidR="00F93FDE">
        <w:rPr>
          <w:rFonts w:ascii="Times New Roman" w:hAnsi="Times New Roman" w:cs="Times New Roman"/>
          <w:lang w:val="en-GB"/>
        </w:rPr>
        <w:t>t</w:t>
      </w:r>
      <w:r w:rsidR="00FB1BEF">
        <w:rPr>
          <w:rFonts w:ascii="Times New Roman" w:hAnsi="Times New Roman" w:cs="Times New Roman"/>
          <w:lang w:val="en-GB"/>
        </w:rPr>
        <w:t xml:space="preserve"> patient’s preferences could have change</w:t>
      </w:r>
      <w:r w:rsidR="00534916">
        <w:rPr>
          <w:rFonts w:ascii="Times New Roman" w:hAnsi="Times New Roman" w:cs="Times New Roman"/>
          <w:lang w:val="en-GB"/>
        </w:rPr>
        <w:t>d</w:t>
      </w:r>
      <w:r w:rsidR="00FB1BEF">
        <w:rPr>
          <w:rFonts w:ascii="Times New Roman" w:hAnsi="Times New Roman" w:cs="Times New Roman"/>
          <w:lang w:val="en-GB"/>
        </w:rPr>
        <w:t xml:space="preserve"> over the course of years. </w:t>
      </w:r>
      <w:r w:rsidR="00824F4C" w:rsidRPr="00824F4C">
        <w:rPr>
          <w:rFonts w:ascii="Times New Roman" w:hAnsi="Times New Roman" w:cs="Times New Roman"/>
          <w:lang w:val="en-GB"/>
        </w:rPr>
        <w:t xml:space="preserve">However, </w:t>
      </w:r>
      <w:r w:rsidR="00534916">
        <w:rPr>
          <w:rFonts w:ascii="Times New Roman" w:hAnsi="Times New Roman" w:cs="Times New Roman"/>
          <w:lang w:val="en-GB"/>
        </w:rPr>
        <w:t>the</w:t>
      </w:r>
      <w:r w:rsidR="00534916" w:rsidRPr="00824F4C">
        <w:rPr>
          <w:rFonts w:ascii="Times New Roman" w:hAnsi="Times New Roman" w:cs="Times New Roman"/>
          <w:lang w:val="en-GB"/>
        </w:rPr>
        <w:t xml:space="preserve"> </w:t>
      </w:r>
      <w:r w:rsidR="00824F4C" w:rsidRPr="00824F4C">
        <w:rPr>
          <w:rFonts w:ascii="Times New Roman" w:hAnsi="Times New Roman" w:cs="Times New Roman"/>
          <w:lang w:val="en-GB"/>
        </w:rPr>
        <w:t xml:space="preserve">recommendations </w:t>
      </w:r>
      <w:r w:rsidR="00F93FDE">
        <w:rPr>
          <w:rFonts w:ascii="Times New Roman" w:hAnsi="Times New Roman" w:cs="Times New Roman"/>
          <w:lang w:val="en-GB"/>
        </w:rPr>
        <w:t>addr</w:t>
      </w:r>
      <w:r w:rsidR="003D153E">
        <w:rPr>
          <w:rFonts w:ascii="Times New Roman" w:hAnsi="Times New Roman" w:cs="Times New Roman"/>
          <w:lang w:val="en-GB"/>
        </w:rPr>
        <w:t>e</w:t>
      </w:r>
      <w:r w:rsidR="00F93FDE">
        <w:rPr>
          <w:rFonts w:ascii="Times New Roman" w:hAnsi="Times New Roman" w:cs="Times New Roman"/>
          <w:lang w:val="en-GB"/>
        </w:rPr>
        <w:t>ssed</w:t>
      </w:r>
      <w:r w:rsidR="00F93FDE" w:rsidRPr="00824F4C">
        <w:rPr>
          <w:rFonts w:ascii="Times New Roman" w:hAnsi="Times New Roman" w:cs="Times New Roman"/>
          <w:lang w:val="en-GB"/>
        </w:rPr>
        <w:t xml:space="preserve"> </w:t>
      </w:r>
      <w:r w:rsidR="00824F4C" w:rsidRPr="00824F4C">
        <w:rPr>
          <w:rFonts w:ascii="Times New Roman" w:hAnsi="Times New Roman" w:cs="Times New Roman"/>
          <w:lang w:val="en-GB"/>
        </w:rPr>
        <w:t>in our study</w:t>
      </w:r>
      <w:r w:rsidR="00F93FDE">
        <w:rPr>
          <w:rFonts w:ascii="Times New Roman" w:hAnsi="Times New Roman" w:cs="Times New Roman"/>
          <w:lang w:val="en-GB"/>
        </w:rPr>
        <w:t xml:space="preserve"> are </w:t>
      </w:r>
      <w:r w:rsidR="00824F4C" w:rsidRPr="00824F4C">
        <w:rPr>
          <w:rFonts w:ascii="Times New Roman" w:hAnsi="Times New Roman" w:cs="Times New Roman"/>
          <w:lang w:val="en-GB"/>
        </w:rPr>
        <w:t xml:space="preserve">still the most important </w:t>
      </w:r>
      <w:r w:rsidR="00824F4C">
        <w:rPr>
          <w:rFonts w:ascii="Times New Roman" w:hAnsi="Times New Roman" w:cs="Times New Roman"/>
          <w:lang w:val="en-GB"/>
        </w:rPr>
        <w:t xml:space="preserve">recommendations from </w:t>
      </w:r>
      <w:r w:rsidR="00F93FDE">
        <w:rPr>
          <w:rFonts w:ascii="Times New Roman" w:hAnsi="Times New Roman" w:cs="Times New Roman"/>
          <w:lang w:val="en-GB"/>
        </w:rPr>
        <w:t xml:space="preserve">current </w:t>
      </w:r>
      <w:r w:rsidR="00824F4C">
        <w:rPr>
          <w:rFonts w:ascii="Times New Roman" w:hAnsi="Times New Roman" w:cs="Times New Roman"/>
          <w:lang w:val="en-GB"/>
        </w:rPr>
        <w:t>scientific entitie</w:t>
      </w:r>
      <w:r w:rsidR="00F93FDE">
        <w:rPr>
          <w:rFonts w:ascii="Times New Roman" w:hAnsi="Times New Roman" w:cs="Times New Roman"/>
          <w:lang w:val="en-GB"/>
        </w:rPr>
        <w:t>s.</w:t>
      </w:r>
      <w:r w:rsidR="00824F4C" w:rsidRPr="00824F4C">
        <w:rPr>
          <w:rFonts w:ascii="Times New Roman" w:hAnsi="Times New Roman" w:cs="Times New Roman"/>
          <w:lang w:val="en-GB"/>
        </w:rPr>
        <w:t xml:space="preserve"> </w:t>
      </w:r>
      <w:bookmarkStart w:id="3" w:name="_Hlk89429647"/>
      <w:bookmarkStart w:id="4" w:name="_Hlk89352291"/>
      <w:r w:rsidR="0051728A" w:rsidRPr="0051728A">
        <w:rPr>
          <w:rFonts w:ascii="Times New Roman" w:hAnsi="Times New Roman" w:cs="Times New Roman"/>
          <w:lang w:val="en-GB"/>
        </w:rPr>
        <w:t xml:space="preserve">Third, although we conducted a large international study, we included </w:t>
      </w:r>
      <w:r w:rsidR="00534916">
        <w:rPr>
          <w:rFonts w:ascii="Times New Roman" w:hAnsi="Times New Roman" w:cs="Times New Roman"/>
          <w:lang w:val="en-GB"/>
        </w:rPr>
        <w:t>only western</w:t>
      </w:r>
      <w:r w:rsidR="0051728A" w:rsidRPr="0051728A">
        <w:rPr>
          <w:rFonts w:ascii="Times New Roman" w:hAnsi="Times New Roman" w:cs="Times New Roman"/>
          <w:lang w:val="en-GB"/>
        </w:rPr>
        <w:t xml:space="preserve"> European Countries. The extrapolation of our results to countries from </w:t>
      </w:r>
      <w:r w:rsidR="00534916">
        <w:rPr>
          <w:rFonts w:ascii="Times New Roman" w:hAnsi="Times New Roman" w:cs="Times New Roman"/>
          <w:lang w:val="en-GB"/>
        </w:rPr>
        <w:t>e</w:t>
      </w:r>
      <w:r w:rsidR="0051728A" w:rsidRPr="0051728A">
        <w:rPr>
          <w:rFonts w:ascii="Times New Roman" w:hAnsi="Times New Roman" w:cs="Times New Roman"/>
          <w:lang w:val="en-GB"/>
        </w:rPr>
        <w:t>aster</w:t>
      </w:r>
      <w:r w:rsidR="00534916">
        <w:rPr>
          <w:rFonts w:ascii="Times New Roman" w:hAnsi="Times New Roman" w:cs="Times New Roman"/>
          <w:lang w:val="en-GB"/>
        </w:rPr>
        <w:t>n</w:t>
      </w:r>
      <w:r w:rsidR="0051728A" w:rsidRPr="0051728A">
        <w:rPr>
          <w:rFonts w:ascii="Times New Roman" w:hAnsi="Times New Roman" w:cs="Times New Roman"/>
          <w:lang w:val="en-GB"/>
        </w:rPr>
        <w:t xml:space="preserve"> European countries and outside Europe may be uncertain, especially as patients from these countries </w:t>
      </w:r>
      <w:r w:rsidR="00DA016C" w:rsidRPr="00E96B34">
        <w:rPr>
          <w:rFonts w:ascii="Times New Roman" w:hAnsi="Times New Roman" w:cs="Times New Roman"/>
          <w:lang w:val="en-GB"/>
        </w:rPr>
        <w:t>may have different socio-economic, medical and cultural background</w:t>
      </w:r>
      <w:r w:rsidR="00534916">
        <w:rPr>
          <w:rFonts w:ascii="Times New Roman" w:hAnsi="Times New Roman" w:cs="Times New Roman"/>
          <w:lang w:val="en-GB"/>
        </w:rPr>
        <w:t>s</w:t>
      </w:r>
      <w:r w:rsidR="00DA016C" w:rsidRPr="00E96B34">
        <w:rPr>
          <w:rFonts w:ascii="Times New Roman" w:hAnsi="Times New Roman" w:cs="Times New Roman"/>
          <w:lang w:val="en-GB"/>
        </w:rPr>
        <w:t xml:space="preserve"> and thus other preferences for lifestyle interventions</w:t>
      </w:r>
      <w:r w:rsidR="0051728A" w:rsidRPr="0051728A">
        <w:rPr>
          <w:rFonts w:ascii="Times New Roman" w:hAnsi="Times New Roman" w:cs="Times New Roman"/>
          <w:lang w:val="en-GB"/>
        </w:rPr>
        <w:t xml:space="preserve">. Moreover, in most countries, the study was conducted in </w:t>
      </w:r>
      <w:r w:rsidR="00534916">
        <w:rPr>
          <w:rFonts w:ascii="Times New Roman" w:hAnsi="Times New Roman" w:cs="Times New Roman"/>
          <w:lang w:val="en-GB"/>
        </w:rPr>
        <w:t xml:space="preserve">only </w:t>
      </w:r>
      <w:r w:rsidR="0051728A" w:rsidRPr="0051728A">
        <w:rPr>
          <w:rFonts w:ascii="Times New Roman" w:hAnsi="Times New Roman" w:cs="Times New Roman"/>
          <w:lang w:val="en-GB"/>
        </w:rPr>
        <w:t>one centre, which could reduce the generalizability to the whole country</w:t>
      </w:r>
      <w:bookmarkEnd w:id="3"/>
      <w:r w:rsidR="001A1F6F">
        <w:rPr>
          <w:rFonts w:ascii="Times New Roman" w:hAnsi="Times New Roman" w:cs="Times New Roman"/>
          <w:lang w:val="en-GB"/>
        </w:rPr>
        <w:t xml:space="preserve">. </w:t>
      </w:r>
      <w:r w:rsidR="00036DBB">
        <w:rPr>
          <w:rFonts w:ascii="Times New Roman" w:hAnsi="Times New Roman" w:cs="Times New Roman"/>
          <w:lang w:val="en-GB"/>
        </w:rPr>
        <w:t>Still in the same vein, we investigated difference</w:t>
      </w:r>
      <w:r w:rsidR="003E19A0">
        <w:rPr>
          <w:rFonts w:ascii="Times New Roman" w:hAnsi="Times New Roman" w:cs="Times New Roman"/>
          <w:lang w:val="en-GB"/>
        </w:rPr>
        <w:t>s</w:t>
      </w:r>
      <w:r w:rsidR="00036DBB">
        <w:rPr>
          <w:rFonts w:ascii="Times New Roman" w:hAnsi="Times New Roman" w:cs="Times New Roman"/>
          <w:lang w:val="en-GB"/>
        </w:rPr>
        <w:t xml:space="preserve"> between countries, but did not go further to investigate the influence of latitude or season of the year on some of the attributes (e.g., willingness to engage in physical activity, willingness to ensure a minimum </w:t>
      </w:r>
      <w:r w:rsidR="003E19A0">
        <w:rPr>
          <w:rFonts w:ascii="Times New Roman" w:hAnsi="Times New Roman" w:cs="Times New Roman"/>
          <w:lang w:val="en-GB"/>
        </w:rPr>
        <w:t>exposure to</w:t>
      </w:r>
      <w:r w:rsidR="0071669C">
        <w:rPr>
          <w:rFonts w:ascii="Times New Roman" w:hAnsi="Times New Roman" w:cs="Times New Roman"/>
          <w:lang w:val="en-GB"/>
        </w:rPr>
        <w:t xml:space="preserve"> </w:t>
      </w:r>
      <w:r w:rsidR="00036DBB">
        <w:rPr>
          <w:rFonts w:ascii="Times New Roman" w:hAnsi="Times New Roman" w:cs="Times New Roman"/>
          <w:lang w:val="en-GB"/>
        </w:rPr>
        <w:t xml:space="preserve">sunlight, etc.). </w:t>
      </w:r>
      <w:bookmarkEnd w:id="4"/>
      <w:r w:rsidR="008D4ECF">
        <w:rPr>
          <w:rFonts w:ascii="Times New Roman" w:hAnsi="Times New Roman" w:cs="Times New Roman"/>
          <w:lang w:val="en-GB"/>
        </w:rPr>
        <w:t xml:space="preserve">Finally, to optimise patient’s completion of the questionnaire and efficient designs for analyses, </w:t>
      </w:r>
      <w:r w:rsidR="009333D2">
        <w:rPr>
          <w:rFonts w:ascii="Times New Roman" w:hAnsi="Times New Roman" w:cs="Times New Roman"/>
          <w:lang w:val="en-GB"/>
        </w:rPr>
        <w:t xml:space="preserve">we used </w:t>
      </w:r>
      <w:r w:rsidR="008D4ECF">
        <w:rPr>
          <w:rFonts w:ascii="Times New Roman" w:hAnsi="Times New Roman" w:cs="Times New Roman"/>
          <w:lang w:val="en-GB"/>
        </w:rPr>
        <w:t xml:space="preserve">a limited number of attributes and levels in </w:t>
      </w:r>
      <w:r w:rsidR="009333D2">
        <w:rPr>
          <w:rFonts w:ascii="Times New Roman" w:hAnsi="Times New Roman" w:cs="Times New Roman"/>
          <w:lang w:val="en-GB"/>
        </w:rPr>
        <w:t>this</w:t>
      </w:r>
      <w:r w:rsidR="008D4ECF">
        <w:rPr>
          <w:rFonts w:ascii="Times New Roman" w:hAnsi="Times New Roman" w:cs="Times New Roman"/>
          <w:lang w:val="en-GB"/>
        </w:rPr>
        <w:t xml:space="preserve"> DCE. Even if additional lifestyle behaviours could have been recommended, we had to limit our investigation around the attributes and levels that we considered </w:t>
      </w:r>
      <w:r w:rsidR="009333D2">
        <w:rPr>
          <w:rFonts w:ascii="Times New Roman" w:hAnsi="Times New Roman" w:cs="Times New Roman"/>
          <w:lang w:val="en-GB"/>
        </w:rPr>
        <w:t>to be</w:t>
      </w:r>
      <w:r w:rsidR="008D4ECF">
        <w:rPr>
          <w:rFonts w:ascii="Times New Roman" w:hAnsi="Times New Roman" w:cs="Times New Roman"/>
          <w:lang w:val="en-GB"/>
        </w:rPr>
        <w:t xml:space="preserve"> the most important/relevant ones. </w:t>
      </w:r>
      <w:r w:rsidR="003330EA">
        <w:rPr>
          <w:rFonts w:ascii="Times New Roman" w:hAnsi="Times New Roman" w:cs="Times New Roman"/>
          <w:lang w:val="en-GB"/>
        </w:rPr>
        <w:t>It is highly probable that the</w:t>
      </w:r>
      <w:r w:rsidR="00442524">
        <w:rPr>
          <w:rFonts w:ascii="Times New Roman" w:hAnsi="Times New Roman" w:cs="Times New Roman"/>
          <w:lang w:val="en-GB"/>
        </w:rPr>
        <w:t xml:space="preserve"> use of other or additional attributes</w:t>
      </w:r>
      <w:r w:rsidR="008D4ECF">
        <w:rPr>
          <w:rFonts w:ascii="Times New Roman" w:hAnsi="Times New Roman" w:cs="Times New Roman"/>
          <w:lang w:val="en-GB"/>
        </w:rPr>
        <w:t xml:space="preserve"> in this study </w:t>
      </w:r>
      <w:r w:rsidR="00442524">
        <w:rPr>
          <w:rFonts w:ascii="Times New Roman" w:hAnsi="Times New Roman" w:cs="Times New Roman"/>
          <w:lang w:val="en-GB"/>
        </w:rPr>
        <w:t xml:space="preserve">may </w:t>
      </w:r>
      <w:r w:rsidR="008D4ECF">
        <w:rPr>
          <w:rFonts w:ascii="Times New Roman" w:hAnsi="Times New Roman" w:cs="Times New Roman"/>
          <w:lang w:val="en-GB"/>
        </w:rPr>
        <w:t xml:space="preserve">have led to different results. </w:t>
      </w:r>
    </w:p>
    <w:p w14:paraId="5A8EDEA1" w14:textId="77777777" w:rsidR="00CF60A0" w:rsidRPr="007D4E5D" w:rsidRDefault="00CF60A0" w:rsidP="007D4E5D">
      <w:pPr>
        <w:spacing w:line="360" w:lineRule="auto"/>
        <w:jc w:val="both"/>
        <w:rPr>
          <w:rFonts w:ascii="Times New Roman" w:hAnsi="Times New Roman" w:cs="Times New Roman"/>
          <w:b/>
          <w:bCs/>
          <w:smallCaps/>
          <w:lang w:val="en-GB"/>
        </w:rPr>
      </w:pPr>
      <w:r w:rsidRPr="007D4E5D">
        <w:rPr>
          <w:rFonts w:ascii="Times New Roman" w:hAnsi="Times New Roman" w:cs="Times New Roman"/>
          <w:b/>
          <w:bCs/>
          <w:smallCaps/>
          <w:lang w:val="en-GB"/>
        </w:rPr>
        <w:t>Conclusions</w:t>
      </w:r>
    </w:p>
    <w:p w14:paraId="2663C1F2" w14:textId="3501488F" w:rsidR="00B23B59" w:rsidRDefault="009333D2" w:rsidP="00A26755">
      <w:pPr>
        <w:spacing w:line="360" w:lineRule="auto"/>
        <w:jc w:val="both"/>
        <w:rPr>
          <w:rFonts w:ascii="Times New Roman" w:hAnsi="Times New Roman" w:cs="Times New Roman"/>
          <w:lang w:val="en-GB"/>
        </w:rPr>
      </w:pPr>
      <w:bookmarkStart w:id="5" w:name="_Hlk89352953"/>
      <w:r>
        <w:rPr>
          <w:rFonts w:ascii="Times New Roman" w:hAnsi="Times New Roman" w:cs="Times New Roman"/>
          <w:lang w:val="en-GB"/>
        </w:rPr>
        <w:t>H</w:t>
      </w:r>
      <w:r w:rsidR="00A26755" w:rsidRPr="007D4E5D">
        <w:rPr>
          <w:rFonts w:ascii="Times New Roman" w:hAnsi="Times New Roman" w:cs="Times New Roman"/>
          <w:lang w:val="en-GB"/>
        </w:rPr>
        <w:t xml:space="preserve">ealthy lifestyle behaviours are </w:t>
      </w:r>
      <w:r w:rsidR="00A26755">
        <w:rPr>
          <w:rFonts w:ascii="Times New Roman" w:hAnsi="Times New Roman" w:cs="Times New Roman"/>
          <w:lang w:val="en-GB"/>
        </w:rPr>
        <w:t xml:space="preserve">an </w:t>
      </w:r>
      <w:r w:rsidR="00A26755" w:rsidRPr="007D4E5D">
        <w:rPr>
          <w:rFonts w:ascii="Times New Roman" w:hAnsi="Times New Roman" w:cs="Times New Roman"/>
          <w:lang w:val="en-GB"/>
        </w:rPr>
        <w:t xml:space="preserve">essential </w:t>
      </w:r>
      <w:r w:rsidR="00A26755">
        <w:rPr>
          <w:rFonts w:ascii="Times New Roman" w:hAnsi="Times New Roman" w:cs="Times New Roman"/>
          <w:lang w:val="en-GB"/>
        </w:rPr>
        <w:t>part of</w:t>
      </w:r>
      <w:r w:rsidR="00A26755" w:rsidRPr="007D4E5D">
        <w:rPr>
          <w:rFonts w:ascii="Times New Roman" w:hAnsi="Times New Roman" w:cs="Times New Roman"/>
          <w:lang w:val="en-GB"/>
        </w:rPr>
        <w:t xml:space="preserve"> optimal osteoporosis management. </w:t>
      </w:r>
      <w:bookmarkStart w:id="6" w:name="_Hlk89342769"/>
      <w:r w:rsidR="00A26755" w:rsidRPr="002433B6">
        <w:rPr>
          <w:rFonts w:ascii="Times New Roman" w:hAnsi="Times New Roman" w:cs="Times New Roman"/>
          <w:lang w:val="en-GB"/>
        </w:rPr>
        <w:t>To our knowledge, this study is the first t</w:t>
      </w:r>
      <w:r w:rsidR="00F9579C">
        <w:rPr>
          <w:rFonts w:ascii="Times New Roman" w:hAnsi="Times New Roman" w:cs="Times New Roman"/>
          <w:lang w:val="en-GB"/>
        </w:rPr>
        <w:t>o</w:t>
      </w:r>
      <w:r w:rsidR="00A26755" w:rsidRPr="002433B6">
        <w:rPr>
          <w:rFonts w:ascii="Times New Roman" w:hAnsi="Times New Roman" w:cs="Times New Roman"/>
          <w:lang w:val="en-GB"/>
        </w:rPr>
        <w:t xml:space="preserve"> assess patient</w:t>
      </w:r>
      <w:r>
        <w:rPr>
          <w:rFonts w:ascii="Times New Roman" w:hAnsi="Times New Roman" w:cs="Times New Roman"/>
          <w:lang w:val="en-GB"/>
        </w:rPr>
        <w:t xml:space="preserve"> </w:t>
      </w:r>
      <w:r w:rsidR="00A26755" w:rsidRPr="002433B6">
        <w:rPr>
          <w:rFonts w:ascii="Times New Roman" w:hAnsi="Times New Roman" w:cs="Times New Roman"/>
          <w:lang w:val="en-GB"/>
        </w:rPr>
        <w:t xml:space="preserve">preferences for lifestyle factors in preventing osteoporotic fracture. Results </w:t>
      </w:r>
      <w:r w:rsidR="00B23B59">
        <w:rPr>
          <w:rFonts w:ascii="Times New Roman" w:hAnsi="Times New Roman" w:cs="Times New Roman"/>
          <w:lang w:val="en-GB"/>
        </w:rPr>
        <w:t>suggest</w:t>
      </w:r>
      <w:r w:rsidR="00A26755" w:rsidRPr="002433B6">
        <w:rPr>
          <w:rFonts w:ascii="Times New Roman" w:hAnsi="Times New Roman" w:cs="Times New Roman"/>
          <w:lang w:val="en-GB"/>
        </w:rPr>
        <w:t xml:space="preserve"> that patients are favourable towards </w:t>
      </w:r>
      <w:r w:rsidR="0046530E">
        <w:rPr>
          <w:rFonts w:ascii="Times New Roman" w:hAnsi="Times New Roman" w:cs="Times New Roman"/>
          <w:lang w:val="en-GB"/>
        </w:rPr>
        <w:t xml:space="preserve">adapting some </w:t>
      </w:r>
      <w:r w:rsidR="00A26755" w:rsidRPr="002433B6">
        <w:rPr>
          <w:rFonts w:ascii="Times New Roman" w:hAnsi="Times New Roman" w:cs="Times New Roman"/>
          <w:lang w:val="en-GB"/>
        </w:rPr>
        <w:t xml:space="preserve">lifestyle behaviours </w:t>
      </w:r>
      <w:r w:rsidR="0046530E">
        <w:rPr>
          <w:rFonts w:ascii="Times New Roman" w:hAnsi="Times New Roman" w:cs="Times New Roman"/>
          <w:lang w:val="en-GB"/>
        </w:rPr>
        <w:t>to</w:t>
      </w:r>
      <w:r w:rsidR="00A26755" w:rsidRPr="002433B6">
        <w:rPr>
          <w:rFonts w:ascii="Times New Roman" w:hAnsi="Times New Roman" w:cs="Times New Roman"/>
          <w:lang w:val="en-GB"/>
        </w:rPr>
        <w:t xml:space="preserve"> prevent osteoporotic fractures</w:t>
      </w:r>
      <w:r w:rsidR="00A26755">
        <w:rPr>
          <w:rFonts w:ascii="Garamond" w:hAnsi="Garamond"/>
          <w:i/>
          <w:iCs/>
          <w:color w:val="000000"/>
          <w:shd w:val="clear" w:color="auto" w:fill="FDFCFA"/>
          <w:lang w:val="en-GB"/>
        </w:rPr>
        <w:t xml:space="preserve">. </w:t>
      </w:r>
      <w:bookmarkEnd w:id="6"/>
      <w:r w:rsidR="003365D5">
        <w:rPr>
          <w:rFonts w:ascii="Times New Roman" w:hAnsi="Times New Roman" w:cs="Times New Roman"/>
          <w:lang w:val="en-GB"/>
        </w:rPr>
        <w:t>In p</w:t>
      </w:r>
      <w:r w:rsidR="00A26755">
        <w:rPr>
          <w:rFonts w:ascii="Times New Roman" w:hAnsi="Times New Roman" w:cs="Times New Roman"/>
          <w:lang w:val="en-GB"/>
        </w:rPr>
        <w:t xml:space="preserve">articular, patients seem </w:t>
      </w:r>
      <w:r>
        <w:rPr>
          <w:rFonts w:ascii="Times New Roman" w:hAnsi="Times New Roman" w:cs="Times New Roman"/>
          <w:lang w:val="en-GB"/>
        </w:rPr>
        <w:t>willing</w:t>
      </w:r>
      <w:r w:rsidR="00A26755">
        <w:rPr>
          <w:rFonts w:ascii="Times New Roman" w:hAnsi="Times New Roman" w:cs="Times New Roman"/>
          <w:lang w:val="en-GB"/>
        </w:rPr>
        <w:t xml:space="preserve"> to reduce their alcohol consumption, engage in moderate physical activity, initiate </w:t>
      </w:r>
      <w:r w:rsidR="007B7AAC">
        <w:rPr>
          <w:rFonts w:ascii="Times New Roman" w:hAnsi="Times New Roman" w:cs="Times New Roman"/>
          <w:lang w:val="en-GB"/>
        </w:rPr>
        <w:t>c</w:t>
      </w:r>
      <w:r w:rsidR="00A26755">
        <w:rPr>
          <w:rFonts w:ascii="Times New Roman" w:hAnsi="Times New Roman" w:cs="Times New Roman"/>
          <w:lang w:val="en-GB"/>
        </w:rPr>
        <w:t xml:space="preserve">alcium and </w:t>
      </w:r>
      <w:r w:rsidR="007B7AAC">
        <w:rPr>
          <w:rFonts w:ascii="Times New Roman" w:hAnsi="Times New Roman" w:cs="Times New Roman"/>
          <w:lang w:val="en-GB"/>
        </w:rPr>
        <w:t>v</w:t>
      </w:r>
      <w:r w:rsidR="00A26755">
        <w:rPr>
          <w:rFonts w:ascii="Times New Roman" w:hAnsi="Times New Roman" w:cs="Times New Roman"/>
          <w:lang w:val="en-GB"/>
        </w:rPr>
        <w:t xml:space="preserve">itamin D supplementation and ensure a normal body weight. </w:t>
      </w:r>
      <w:r w:rsidR="00A26755" w:rsidRPr="007D4E5D">
        <w:rPr>
          <w:rFonts w:ascii="Times New Roman" w:hAnsi="Times New Roman" w:cs="Times New Roman"/>
          <w:lang w:val="en-GB"/>
        </w:rPr>
        <w:t xml:space="preserve">In </w:t>
      </w:r>
      <w:r w:rsidR="00A26755">
        <w:rPr>
          <w:rFonts w:ascii="Times New Roman" w:hAnsi="Times New Roman" w:cs="Times New Roman"/>
          <w:lang w:val="en-GB"/>
        </w:rPr>
        <w:t>a</w:t>
      </w:r>
      <w:r w:rsidR="00A26755" w:rsidRPr="007D4E5D">
        <w:rPr>
          <w:rFonts w:ascii="Times New Roman" w:hAnsi="Times New Roman" w:cs="Times New Roman"/>
          <w:lang w:val="en-GB"/>
        </w:rPr>
        <w:t xml:space="preserve"> patient-centred approach, </w:t>
      </w:r>
      <w:r w:rsidR="00A26755">
        <w:rPr>
          <w:rFonts w:ascii="Times New Roman" w:hAnsi="Times New Roman" w:cs="Times New Roman"/>
          <w:lang w:val="en-GB"/>
        </w:rPr>
        <w:t>clinicians should engage in a conversation with patients to ensure patients can make informed choices for lifestyle changes that fit their medical needs as well as their preferences and belie</w:t>
      </w:r>
      <w:r>
        <w:rPr>
          <w:rFonts w:ascii="Times New Roman" w:hAnsi="Times New Roman" w:cs="Times New Roman"/>
          <w:lang w:val="en-GB"/>
        </w:rPr>
        <w:t>f</w:t>
      </w:r>
      <w:r w:rsidR="00A26755">
        <w:rPr>
          <w:rFonts w:ascii="Times New Roman" w:hAnsi="Times New Roman" w:cs="Times New Roman"/>
          <w:lang w:val="en-GB"/>
        </w:rPr>
        <w:t xml:space="preserve">s. Decision aids can support this decision process. This will be </w:t>
      </w:r>
      <w:r>
        <w:rPr>
          <w:rFonts w:ascii="Times New Roman" w:hAnsi="Times New Roman" w:cs="Times New Roman"/>
          <w:lang w:val="en-GB"/>
        </w:rPr>
        <w:t xml:space="preserve">only </w:t>
      </w:r>
      <w:r w:rsidR="00B23B59">
        <w:rPr>
          <w:rFonts w:ascii="Times New Roman" w:hAnsi="Times New Roman" w:cs="Times New Roman"/>
          <w:lang w:val="en-GB"/>
        </w:rPr>
        <w:t>the</w:t>
      </w:r>
      <w:r w:rsidR="00A26755">
        <w:rPr>
          <w:rFonts w:ascii="Times New Roman" w:hAnsi="Times New Roman" w:cs="Times New Roman"/>
          <w:lang w:val="en-GB"/>
        </w:rPr>
        <w:t xml:space="preserve"> first step towards implementin</w:t>
      </w:r>
      <w:r>
        <w:rPr>
          <w:rFonts w:ascii="Times New Roman" w:hAnsi="Times New Roman" w:cs="Times New Roman"/>
          <w:lang w:val="en-GB"/>
        </w:rPr>
        <w:t>g</w:t>
      </w:r>
      <w:r w:rsidR="00A26755">
        <w:rPr>
          <w:rFonts w:ascii="Times New Roman" w:hAnsi="Times New Roman" w:cs="Times New Roman"/>
          <w:lang w:val="en-GB"/>
        </w:rPr>
        <w:t xml:space="preserve"> desired lifestyle behaviour. Innovative interventions (e.g. computer tailored e-health tools) to </w:t>
      </w:r>
      <w:r w:rsidR="00B23B59">
        <w:rPr>
          <w:rFonts w:ascii="Times New Roman" w:hAnsi="Times New Roman" w:cs="Times New Roman"/>
          <w:lang w:val="en-GB"/>
        </w:rPr>
        <w:t xml:space="preserve">support behavioural change and thus </w:t>
      </w:r>
      <w:r w:rsidR="00A26755">
        <w:rPr>
          <w:rFonts w:ascii="Times New Roman" w:hAnsi="Times New Roman" w:cs="Times New Roman"/>
          <w:lang w:val="en-GB"/>
        </w:rPr>
        <w:t xml:space="preserve">strengthen adherence to the chosen lifestyle will be necessary and </w:t>
      </w:r>
      <w:r>
        <w:rPr>
          <w:rFonts w:ascii="Times New Roman" w:hAnsi="Times New Roman" w:cs="Times New Roman"/>
          <w:lang w:val="en-GB"/>
        </w:rPr>
        <w:t xml:space="preserve">are </w:t>
      </w:r>
      <w:r w:rsidR="00A26755">
        <w:rPr>
          <w:rFonts w:ascii="Times New Roman" w:hAnsi="Times New Roman" w:cs="Times New Roman"/>
          <w:lang w:val="en-GB"/>
        </w:rPr>
        <w:t xml:space="preserve">an area for future research in person-centred care in </w:t>
      </w:r>
      <w:r>
        <w:rPr>
          <w:rFonts w:ascii="Times New Roman" w:hAnsi="Times New Roman" w:cs="Times New Roman"/>
          <w:lang w:val="en-GB"/>
        </w:rPr>
        <w:t xml:space="preserve">the </w:t>
      </w:r>
      <w:r w:rsidR="00A26755">
        <w:rPr>
          <w:rFonts w:ascii="Times New Roman" w:hAnsi="Times New Roman" w:cs="Times New Roman"/>
          <w:lang w:val="en-GB"/>
        </w:rPr>
        <w:t>prevention of osteoporosis.</w:t>
      </w:r>
    </w:p>
    <w:bookmarkEnd w:id="5"/>
    <w:p w14:paraId="35FFA50C" w14:textId="6A206D5D" w:rsidR="00CF60A0" w:rsidRPr="007D4E5D" w:rsidRDefault="00CF60A0" w:rsidP="007D4E5D">
      <w:pPr>
        <w:spacing w:line="360" w:lineRule="auto"/>
        <w:jc w:val="both"/>
        <w:rPr>
          <w:rFonts w:ascii="Times New Roman" w:hAnsi="Times New Roman" w:cs="Times New Roman"/>
          <w:b/>
          <w:bCs/>
          <w:lang w:val="en-GB"/>
        </w:rPr>
      </w:pPr>
    </w:p>
    <w:p w14:paraId="76A1F7E2" w14:textId="77777777" w:rsidR="007D4E5D" w:rsidRPr="007D4E5D" w:rsidRDefault="00CF60A0" w:rsidP="007D4E5D">
      <w:pPr>
        <w:spacing w:line="360" w:lineRule="auto"/>
        <w:jc w:val="both"/>
        <w:rPr>
          <w:rFonts w:ascii="Times New Roman" w:hAnsi="Times New Roman" w:cs="Times New Roman"/>
          <w:b/>
          <w:bCs/>
          <w:smallCaps/>
          <w:lang w:val="en-GB"/>
        </w:rPr>
      </w:pPr>
      <w:r w:rsidRPr="007D4E5D">
        <w:rPr>
          <w:rFonts w:ascii="Times New Roman" w:hAnsi="Times New Roman" w:cs="Times New Roman"/>
          <w:b/>
          <w:bCs/>
          <w:smallCaps/>
          <w:lang w:val="en-GB"/>
        </w:rPr>
        <w:t>References</w:t>
      </w:r>
    </w:p>
    <w:p w14:paraId="5F38AE6A" w14:textId="09F5F1A2" w:rsidR="003066E4" w:rsidRPr="00E41B58" w:rsidRDefault="007D1D4F" w:rsidP="003066E4">
      <w:pPr>
        <w:widowControl w:val="0"/>
        <w:autoSpaceDE w:val="0"/>
        <w:autoSpaceDN w:val="0"/>
        <w:adjustRightInd w:val="0"/>
        <w:spacing w:line="240" w:lineRule="auto"/>
        <w:ind w:left="640" w:hanging="640"/>
        <w:rPr>
          <w:rFonts w:ascii="Times New Roman" w:hAnsi="Times New Roman" w:cs="Times New Roman"/>
          <w:noProof/>
          <w:szCs w:val="24"/>
          <w:lang w:val="en-GB"/>
        </w:rPr>
      </w:pPr>
      <w:r>
        <w:rPr>
          <w:rFonts w:ascii="Times New Roman" w:hAnsi="Times New Roman" w:cs="Times New Roman"/>
          <w:b/>
          <w:bCs/>
          <w:lang w:val="en-GB"/>
        </w:rPr>
        <w:fldChar w:fldCharType="begin" w:fldLock="1"/>
      </w:r>
      <w:r>
        <w:rPr>
          <w:rFonts w:ascii="Times New Roman" w:hAnsi="Times New Roman" w:cs="Times New Roman"/>
          <w:b/>
          <w:bCs/>
          <w:lang w:val="en-GB"/>
        </w:rPr>
        <w:instrText xml:space="preserve">ADDIN Mendeley Bibliography CSL_BIBLIOGRAPHY </w:instrText>
      </w:r>
      <w:r>
        <w:rPr>
          <w:rFonts w:ascii="Times New Roman" w:hAnsi="Times New Roman" w:cs="Times New Roman"/>
          <w:b/>
          <w:bCs/>
          <w:lang w:val="en-GB"/>
        </w:rPr>
        <w:fldChar w:fldCharType="separate"/>
      </w:r>
      <w:r w:rsidR="003066E4" w:rsidRPr="00E41B58">
        <w:rPr>
          <w:rFonts w:ascii="Times New Roman" w:hAnsi="Times New Roman" w:cs="Times New Roman"/>
          <w:noProof/>
          <w:szCs w:val="24"/>
          <w:lang w:val="en-GB"/>
        </w:rPr>
        <w:t xml:space="preserve">1. </w:t>
      </w:r>
      <w:r w:rsidR="003066E4" w:rsidRPr="00E41B58">
        <w:rPr>
          <w:rFonts w:ascii="Times New Roman" w:hAnsi="Times New Roman" w:cs="Times New Roman"/>
          <w:noProof/>
          <w:szCs w:val="24"/>
          <w:lang w:val="en-GB"/>
        </w:rPr>
        <w:tab/>
        <w:t>Borgström F, Karlsson L, Ortsäter G, et al (2020) Fragility fractures in Europe: burden, management and opportunities. Arch Osteoporos. doi: 10.1007/s11657-020-0706-y</w:t>
      </w:r>
    </w:p>
    <w:p w14:paraId="1C880023"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2. </w:t>
      </w:r>
      <w:r w:rsidRPr="00E41B58">
        <w:rPr>
          <w:rFonts w:ascii="Times New Roman" w:hAnsi="Times New Roman" w:cs="Times New Roman"/>
          <w:noProof/>
          <w:szCs w:val="24"/>
          <w:lang w:val="en-US"/>
        </w:rPr>
        <w:tab/>
        <w:t>Hernlund E, Svedbom A, Ivergård M, et al (2013) Osteoporosis in the European Union: Medical management, epidemiology and economic burden: A report prepared in collaboration with the International Osteoporosis Foundation (IOF) and the European Federation of Pharmaceutical Industry Associations (EFPIA). Arch Osteoporos. doi: 10.1007/s11657-013-0136-1</w:t>
      </w:r>
    </w:p>
    <w:p w14:paraId="2879FA36"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3. </w:t>
      </w:r>
      <w:r w:rsidRPr="00E41B58">
        <w:rPr>
          <w:rFonts w:ascii="Times New Roman" w:hAnsi="Times New Roman" w:cs="Times New Roman"/>
          <w:noProof/>
          <w:szCs w:val="24"/>
          <w:lang w:val="en-US"/>
        </w:rPr>
        <w:tab/>
        <w:t>Reginster JY, Burlet N (2006) Osteoporosis: A still increasing prevalence. Bone 38:4–9. doi: 10.1016/j.bone.2005.11.024</w:t>
      </w:r>
    </w:p>
    <w:p w14:paraId="6A80A5A2"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4. </w:t>
      </w:r>
      <w:r w:rsidRPr="00E41B58">
        <w:rPr>
          <w:rFonts w:ascii="Times New Roman" w:hAnsi="Times New Roman" w:cs="Times New Roman"/>
          <w:noProof/>
          <w:szCs w:val="24"/>
          <w:lang w:val="en-US"/>
        </w:rPr>
        <w:tab/>
        <w:t>Li N, Cornelissen D, Silverman S, et al (2021) An Updated Systematic Review of Cost-Effectiveness Analyses of Drugs for Osteoporosis. Pharmacoeconomics 39:181–209. doi: 10.1007/s40273-020-00965-9</w:t>
      </w:r>
    </w:p>
    <w:p w14:paraId="645F24A5"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5. </w:t>
      </w:r>
      <w:r w:rsidRPr="00E41B58">
        <w:rPr>
          <w:rFonts w:ascii="Times New Roman" w:hAnsi="Times New Roman" w:cs="Times New Roman"/>
          <w:noProof/>
          <w:szCs w:val="24"/>
          <w:lang w:val="en-US"/>
        </w:rPr>
        <w:tab/>
        <w:t>Kanis JA, Brazier JE, Stevenson M, et al (2002) Treatment of established osteoporosis: A systematic review and cost-utility analysis. Health Technol Assess (Rockv). doi: 10.3310/hta6290</w:t>
      </w:r>
    </w:p>
    <w:p w14:paraId="310DC441"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6. </w:t>
      </w:r>
      <w:r w:rsidRPr="00E41B58">
        <w:rPr>
          <w:rFonts w:ascii="Times New Roman" w:hAnsi="Times New Roman" w:cs="Times New Roman"/>
          <w:noProof/>
          <w:szCs w:val="24"/>
          <w:lang w:val="en-US"/>
        </w:rPr>
        <w:tab/>
        <w:t>Kanis JA, Cooper C, Rizzoli R, Reginster JY (2019) Executive summary of the European guidance for the diagnosis and management of osteoporosis in postmenopausal women. Calcif Tissue Int 104:235–238. doi: 10.1007/s00223-018-00512-x</w:t>
      </w:r>
    </w:p>
    <w:p w14:paraId="782EC42E"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7. </w:t>
      </w:r>
      <w:r w:rsidRPr="00E41B58">
        <w:rPr>
          <w:rFonts w:ascii="Times New Roman" w:hAnsi="Times New Roman" w:cs="Times New Roman"/>
          <w:noProof/>
          <w:szCs w:val="24"/>
          <w:lang w:val="en-US"/>
        </w:rPr>
        <w:tab/>
        <w:t>Barrionuevo P, Kapoor E, Asi N, et al (2019) Efficacy of Pharmacological Therapies for the Prevention of Fractures in Postmenopausal Women: A Network Meta-Analysis. J Clin Endocrinol Metab 104:1623–1630. doi: 10.1210/JC.2019-00192</w:t>
      </w:r>
    </w:p>
    <w:p w14:paraId="35291F5C"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8. </w:t>
      </w:r>
      <w:r w:rsidRPr="00E41B58">
        <w:rPr>
          <w:rFonts w:ascii="Times New Roman" w:hAnsi="Times New Roman" w:cs="Times New Roman"/>
          <w:noProof/>
          <w:szCs w:val="24"/>
          <w:lang w:val="en-US"/>
        </w:rPr>
        <w:tab/>
        <w:t>Kanis JA, Cooper C, Rizzoli R, Reginster JY (2019) European guidance for the diagnosis and management of osteoporosis in postmenopausal women. Osteoporos Int 30:3–44. doi: 10.1007/s00198-018-4704-5</w:t>
      </w:r>
    </w:p>
    <w:p w14:paraId="05A4CFA3"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9. </w:t>
      </w:r>
      <w:r w:rsidRPr="00E41B58">
        <w:rPr>
          <w:rFonts w:ascii="Times New Roman" w:hAnsi="Times New Roman" w:cs="Times New Roman"/>
          <w:noProof/>
          <w:szCs w:val="24"/>
          <w:lang w:val="en-US"/>
        </w:rPr>
        <w:tab/>
        <w:t>Camacho PM, Petak SM, Binkley N, et al (2020) American association of clinical endocrinologists/American college of endocrinology clinical practice guidelines for the diagnosis and treatment of postmenopausal osteoporosis-2020 update. Endocr Pract 26:1–46. doi: 10.4158/GL-2020-0524SUPPL</w:t>
      </w:r>
    </w:p>
    <w:p w14:paraId="1EBE5112"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10. </w:t>
      </w:r>
      <w:r w:rsidRPr="00E41B58">
        <w:rPr>
          <w:rFonts w:ascii="Times New Roman" w:hAnsi="Times New Roman" w:cs="Times New Roman"/>
          <w:noProof/>
          <w:szCs w:val="24"/>
          <w:lang w:val="en-US"/>
        </w:rPr>
        <w:tab/>
        <w:t>Cummings SR, Cosman F, Lewiecki EM, et al (2017) Goal-Directed Treatment for Osteoporosis: A Progress Report From the ASBMR-NOF Working Group on Goal-Directed Treatment for Osteoporosis. J Bone Miner Res 32:3–10. doi: 10.1002/jbmr.3039</w:t>
      </w:r>
    </w:p>
    <w:p w14:paraId="0638E381"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11. </w:t>
      </w:r>
      <w:r w:rsidRPr="00E41B58">
        <w:rPr>
          <w:rFonts w:ascii="Times New Roman" w:hAnsi="Times New Roman" w:cs="Times New Roman"/>
          <w:noProof/>
          <w:szCs w:val="24"/>
          <w:lang w:val="en-US"/>
        </w:rPr>
        <w:tab/>
        <w:t>Buckley L, Guyatt G, Fink HA, et al (2017) 2017 American College of Rheumatology Guideline for the Prevention and Treatment of Glucocorticoid-Induced Osteoporosis. Arthritis Care Res 69:1095–1110. doi: 10.1002/acr.23279</w:t>
      </w:r>
    </w:p>
    <w:p w14:paraId="4F7C75AC"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12. </w:t>
      </w:r>
      <w:r w:rsidRPr="00E41B58">
        <w:rPr>
          <w:rFonts w:ascii="Times New Roman" w:hAnsi="Times New Roman" w:cs="Times New Roman"/>
          <w:noProof/>
          <w:szCs w:val="24"/>
          <w:lang w:val="en-US"/>
        </w:rPr>
        <w:tab/>
        <w:t>Body JJ, Bergmann P, Boonen S, et al (2011) Non-pharmacological management of osteoporosis: A consensus of the Belgian Bone Club. Osteoporos Int 22:2769–2788. doi: 10.1007/s00198-011-1545-x</w:t>
      </w:r>
    </w:p>
    <w:p w14:paraId="74BB2EF5"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13. </w:t>
      </w:r>
      <w:r w:rsidRPr="00E41B58">
        <w:rPr>
          <w:rFonts w:ascii="Times New Roman" w:hAnsi="Times New Roman" w:cs="Times New Roman"/>
          <w:noProof/>
          <w:szCs w:val="24"/>
          <w:lang w:val="en-US"/>
        </w:rPr>
        <w:tab/>
        <w:t>Rizzoli R, Stevenson JC, Bauer JM, et al (2014) The role of dietary protein and vitamin D in maintaining musculoskeletal health in postmenopausal women: A consensus statement from the European Society for Clinical and Economic Aspects of Osteoporosis and Osteoarthritis (ESCEO). Maturitas 79:122–132. doi: 10.1016/j.maturitas.2014.07.005</w:t>
      </w:r>
    </w:p>
    <w:p w14:paraId="4C056749"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14. </w:t>
      </w:r>
      <w:r w:rsidRPr="00E41B58">
        <w:rPr>
          <w:rFonts w:ascii="Times New Roman" w:hAnsi="Times New Roman" w:cs="Times New Roman"/>
          <w:noProof/>
          <w:szCs w:val="24"/>
          <w:lang w:val="en-US"/>
        </w:rPr>
        <w:tab/>
        <w:t>McMillan LB, Zengin A, Ebeling PR, Scott D (2017) Prescribing Physical Activity for the Prevention and Treatment of Osteoporosis in Older Adults. Healthcare 5:85. doi: 10.3390/HEALTHCARE5040085</w:t>
      </w:r>
    </w:p>
    <w:p w14:paraId="06584625"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15. </w:t>
      </w:r>
      <w:r w:rsidRPr="00E41B58">
        <w:rPr>
          <w:rFonts w:ascii="Times New Roman" w:hAnsi="Times New Roman" w:cs="Times New Roman"/>
          <w:noProof/>
          <w:szCs w:val="24"/>
          <w:lang w:val="en-US"/>
        </w:rPr>
        <w:tab/>
        <w:t>Rizzoli R, Biver E, Brennan-Speranza TC (2021) Nutritional intake and bone health. Lancet Diabetes Endocrinol 9:606–621. doi: 10.1016/S2213-8587(21)00119-4</w:t>
      </w:r>
    </w:p>
    <w:p w14:paraId="0387BF21"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16. </w:t>
      </w:r>
      <w:r w:rsidRPr="00E41B58">
        <w:rPr>
          <w:rFonts w:ascii="Times New Roman" w:hAnsi="Times New Roman" w:cs="Times New Roman"/>
          <w:noProof/>
          <w:szCs w:val="24"/>
          <w:lang w:val="en-US"/>
        </w:rPr>
        <w:tab/>
        <w:t>Lakerveld J, IJzelenberg W, Van Tulder MW, et al (2008) Motives for (not) participating in a lifestyle intervention trial. BMC Med Res Methodol. doi: 10.1186/1471-2288-8-17</w:t>
      </w:r>
    </w:p>
    <w:p w14:paraId="09BC059F"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17. </w:t>
      </w:r>
      <w:r w:rsidRPr="00E41B58">
        <w:rPr>
          <w:rFonts w:ascii="Times New Roman" w:hAnsi="Times New Roman" w:cs="Times New Roman"/>
          <w:noProof/>
          <w:szCs w:val="24"/>
          <w:lang w:val="en-US"/>
        </w:rPr>
        <w:tab/>
        <w:t>Owen K, Pettman T, Haas M, et al (2010) Individual preferences for diet and exercise programmes: Changes over a lifestyle intervention and their link with outcomes. Public Health Nutr 13:245–252. doi: 10.1017/S1368980009990784</w:t>
      </w:r>
    </w:p>
    <w:p w14:paraId="0D3053D2"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18. </w:t>
      </w:r>
      <w:r w:rsidRPr="00E41B58">
        <w:rPr>
          <w:rFonts w:ascii="Times New Roman" w:hAnsi="Times New Roman" w:cs="Times New Roman"/>
          <w:noProof/>
          <w:szCs w:val="24"/>
          <w:lang w:val="en-US"/>
        </w:rPr>
        <w:tab/>
        <w:t>Jarbøl DE, Larsen PV, Gyrd-Hansen D, et al (2017) Determinants of preferences for lifestyle changes versus medication and beliefs in ability to maintain lifestyle changes. A population-based survey. Prev Med Reports 6:66–73. doi: 10.1016/J.PMEDR.2017.02.010</w:t>
      </w:r>
    </w:p>
    <w:p w14:paraId="120C5577"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19. </w:t>
      </w:r>
      <w:r w:rsidRPr="00E41B58">
        <w:rPr>
          <w:rFonts w:ascii="Times New Roman" w:hAnsi="Times New Roman" w:cs="Times New Roman"/>
          <w:noProof/>
          <w:szCs w:val="24"/>
          <w:lang w:val="en-US"/>
        </w:rPr>
        <w:tab/>
        <w:t>Gasperini B, Cherubini A, Montanari R, et al (2021) How much do patients know about osteoporosis? A survey among patients referred to the dual-energy X-ray absorptiometry exam. Aging Clin Exp Res 1–7. doi: 10.1007/s40520-021-01860-9</w:t>
      </w:r>
    </w:p>
    <w:p w14:paraId="7E377637"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20. </w:t>
      </w:r>
      <w:r w:rsidRPr="00E41B58">
        <w:rPr>
          <w:rFonts w:ascii="Times New Roman" w:hAnsi="Times New Roman" w:cs="Times New Roman"/>
          <w:noProof/>
          <w:szCs w:val="24"/>
          <w:lang w:val="en-US"/>
        </w:rPr>
        <w:tab/>
        <w:t>Veldwijk J, Lambooij MS, Van Gils PF, et al (2013) Type 2 diabetes patients’ preferences and willingness to pay for lifestyle programs: A discrete choice experiment. BMC Public Health 13:1099. doi: 10.1186/1471-2458-13-1099</w:t>
      </w:r>
    </w:p>
    <w:p w14:paraId="30BF20D4"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21. </w:t>
      </w:r>
      <w:r w:rsidRPr="00E41B58">
        <w:rPr>
          <w:rFonts w:ascii="Times New Roman" w:hAnsi="Times New Roman" w:cs="Times New Roman"/>
          <w:noProof/>
          <w:szCs w:val="24"/>
          <w:lang w:val="en-US"/>
        </w:rPr>
        <w:tab/>
        <w:t>Mühlbacher A, Bethge S (2013) Preferences of overweight and obese patients for weight loss programs: a discrete-choice experiment. Int J Integr Care. doi: 10.5334/ijic.1113</w:t>
      </w:r>
    </w:p>
    <w:p w14:paraId="2F5B40CE"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22. </w:t>
      </w:r>
      <w:r w:rsidRPr="00E41B58">
        <w:rPr>
          <w:rFonts w:ascii="Times New Roman" w:hAnsi="Times New Roman" w:cs="Times New Roman"/>
          <w:noProof/>
          <w:szCs w:val="24"/>
          <w:lang w:val="en-US"/>
        </w:rPr>
        <w:tab/>
        <w:t>Wright SJ, Gibson D, Eden M, et al (2017) What are colorectal cancer survivors’ preferences for dietary advice? A best-worst discrete choice experiment. J Cancer Surviv 11:782–790. doi: 10.1007/s11764-017-0615-2</w:t>
      </w:r>
    </w:p>
    <w:p w14:paraId="5AD1E5DE"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23. </w:t>
      </w:r>
      <w:r w:rsidRPr="00E41B58">
        <w:rPr>
          <w:rFonts w:ascii="Times New Roman" w:hAnsi="Times New Roman" w:cs="Times New Roman"/>
          <w:noProof/>
          <w:szCs w:val="24"/>
          <w:lang w:val="en-US"/>
        </w:rPr>
        <w:tab/>
        <w:t>Bridges JFP, Hauber AB, Marshall D, et al (2011) Conjoint analysis applications in health - A checklist: A report of the ISPOR Good Research Practices for Conjoint Analysis Task Force. Value Heal 14:403–413. doi: 10.1016/j.jval.2010.11.013</w:t>
      </w:r>
    </w:p>
    <w:p w14:paraId="416C56FB"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24. </w:t>
      </w:r>
      <w:r w:rsidRPr="00E41B58">
        <w:rPr>
          <w:rFonts w:ascii="Times New Roman" w:hAnsi="Times New Roman" w:cs="Times New Roman"/>
          <w:noProof/>
          <w:szCs w:val="24"/>
          <w:lang w:val="en-US"/>
        </w:rPr>
        <w:tab/>
        <w:t>Hiligsmann M, Dellaert BG, Dirksen CD, et al (2017) Patients’ preferences for anti-osteoporosis drug treatment: A cross-European discrete choice experiment. Rheumatol (United Kingdom) 56:1167–1176. doi: 10.1093/rheumatology/kex071</w:t>
      </w:r>
    </w:p>
    <w:p w14:paraId="7451B326"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25. </w:t>
      </w:r>
      <w:r w:rsidRPr="00E41B58">
        <w:rPr>
          <w:rFonts w:ascii="Times New Roman" w:hAnsi="Times New Roman" w:cs="Times New Roman"/>
          <w:noProof/>
          <w:szCs w:val="24"/>
          <w:lang w:val="en-US"/>
        </w:rPr>
        <w:tab/>
        <w:t>Lancsar E, Louviere J (2008) Conducting Discrete Choice Experiments to Inform Healthcare Decision Making. Pharmacoeconomics 26:661–677. doi: 10.2165/00019053-200826080-00004</w:t>
      </w:r>
    </w:p>
    <w:p w14:paraId="7D529C15"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26. </w:t>
      </w:r>
      <w:r w:rsidRPr="00E41B58">
        <w:rPr>
          <w:rFonts w:ascii="Times New Roman" w:hAnsi="Times New Roman" w:cs="Times New Roman"/>
          <w:noProof/>
          <w:szCs w:val="24"/>
          <w:lang w:val="en-US"/>
        </w:rPr>
        <w:tab/>
        <w:t>de Bekker-Grob EW, Donkers B, Jonker MF, Stolk EA (2015) Sample Size Requirements for Discrete-Choice Experiments in Healthcare: a Practical Guide. Patient - Patient-Centered Outcomes Res 8:373–384. doi: 10.1007/s40271-015-0118-z</w:t>
      </w:r>
    </w:p>
    <w:p w14:paraId="653AC564"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27. </w:t>
      </w:r>
      <w:r w:rsidRPr="00E41B58">
        <w:rPr>
          <w:rFonts w:ascii="Times New Roman" w:hAnsi="Times New Roman" w:cs="Times New Roman"/>
          <w:noProof/>
          <w:szCs w:val="24"/>
          <w:lang w:val="en-US"/>
        </w:rPr>
        <w:tab/>
        <w:t>Hiligsmann M, Cornelissen D, Vrijens B, et al (2019) Determinants, consequences and potential solutions to poor adherence to anti-osteoporosis treatment: results of an expert group meeting organized by the European Society for Clinical and Economic Aspects of Osteoporosis, Osteoarthritis and Musculoskeletal. Osteoporos Int 30:2155–2165. doi: 10.1007/s00198-019-05104-5</w:t>
      </w:r>
    </w:p>
    <w:p w14:paraId="1AB37F99"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28. </w:t>
      </w:r>
      <w:r w:rsidRPr="00E41B58">
        <w:rPr>
          <w:rFonts w:ascii="Times New Roman" w:hAnsi="Times New Roman" w:cs="Times New Roman"/>
          <w:noProof/>
          <w:szCs w:val="24"/>
          <w:lang w:val="en-US"/>
        </w:rPr>
        <w:tab/>
        <w:t>Thomas E, Gentile A, Lakicevic N, et al (2021) The effect of resistance training programs on lean body mass in postmenopausal and elderly women: a meta-analysis of observational studies. Aging Clin Exp Res. doi: 10.1007/s40520-021-01853-8</w:t>
      </w:r>
    </w:p>
    <w:p w14:paraId="7332C421"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29. </w:t>
      </w:r>
      <w:r w:rsidRPr="00E41B58">
        <w:rPr>
          <w:rFonts w:ascii="Times New Roman" w:hAnsi="Times New Roman" w:cs="Times New Roman"/>
          <w:noProof/>
          <w:szCs w:val="24"/>
          <w:lang w:val="en-US"/>
        </w:rPr>
        <w:tab/>
        <w:t>Kemmler W, von Stengel S, Kohl M (2016) Exercise frequency and bone mineral density development in exercising postmenopausal osteopenic women. Is there a critical dose of exercise for affecting bone? Results of the Erlangen Fitness and Osteoporosis Prevention Study. Bone 89:1–6. doi: 10.1016/j.bone.2016.04.019</w:t>
      </w:r>
    </w:p>
    <w:p w14:paraId="7D9B24FD"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30. </w:t>
      </w:r>
      <w:r w:rsidRPr="00E41B58">
        <w:rPr>
          <w:rFonts w:ascii="Times New Roman" w:hAnsi="Times New Roman" w:cs="Times New Roman"/>
          <w:noProof/>
          <w:szCs w:val="24"/>
          <w:lang w:val="en-US"/>
        </w:rPr>
        <w:tab/>
        <w:t>Kemmler W, von Stengel S, Kohl M (2017) Exercise Frequency and Fracture Risk in Older Adults—How Often Is Enough? Curr Osteoporos Rep 15:564–570. doi: 10.1007/s11914-017-0407-7</w:t>
      </w:r>
    </w:p>
    <w:p w14:paraId="43E6F99E"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31. </w:t>
      </w:r>
      <w:r w:rsidRPr="00E41B58">
        <w:rPr>
          <w:rFonts w:ascii="Times New Roman" w:hAnsi="Times New Roman" w:cs="Times New Roman"/>
          <w:noProof/>
          <w:szCs w:val="24"/>
          <w:lang w:val="en-US"/>
        </w:rPr>
        <w:tab/>
        <w:t>Ziebart C, MacDermid J, Szekeres M, et al (2020) Barriers, Facilitators, Needs And Goals Of Exercise For People With Osteoporosis. Med Sci Sport Exerc 52:417–417. doi: 10.1249/01.mss.0000678400.39345.e8</w:t>
      </w:r>
    </w:p>
    <w:p w14:paraId="0F02F80B"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32. </w:t>
      </w:r>
      <w:r w:rsidRPr="00E41B58">
        <w:rPr>
          <w:rFonts w:ascii="Times New Roman" w:hAnsi="Times New Roman" w:cs="Times New Roman"/>
          <w:noProof/>
          <w:szCs w:val="24"/>
          <w:lang w:val="en-US"/>
        </w:rPr>
        <w:tab/>
        <w:t>Rizzoli R, Boonen S, Brandi M-L, et al (2013) Vitamin D supplementation in elderly or postmenopausal women: a 2013 update of the 2008 recommendations from the European Society for Clinical and Economic Aspects of Osteoporosis and Osteoarthritis (ESCEO). Curr Med Res Opin 29:305–13. doi: 10.1185/03007995.2013.766162</w:t>
      </w:r>
    </w:p>
    <w:p w14:paraId="7FF28912"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33. </w:t>
      </w:r>
      <w:r w:rsidRPr="00E41B58">
        <w:rPr>
          <w:rFonts w:ascii="Times New Roman" w:hAnsi="Times New Roman" w:cs="Times New Roman"/>
          <w:noProof/>
          <w:szCs w:val="24"/>
          <w:lang w:val="en-US"/>
        </w:rPr>
        <w:tab/>
        <w:t>Bian S, Hu J, Zhang K, et al (2018) Dairy product consumption and risk of hip fracture: A systematic review and meta-analysis. BMC Public Health. doi: 10.1186/s12889-018-5041-5</w:t>
      </w:r>
    </w:p>
    <w:p w14:paraId="168177E5"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34. </w:t>
      </w:r>
      <w:r w:rsidRPr="00E41B58">
        <w:rPr>
          <w:rFonts w:ascii="Times New Roman" w:hAnsi="Times New Roman" w:cs="Times New Roman"/>
          <w:noProof/>
          <w:szCs w:val="24"/>
          <w:lang w:val="en-US"/>
        </w:rPr>
        <w:tab/>
        <w:t>Rizzoli R, Biver E, Bonjour JP, et al (2018) Benefits and safety of dietary protein for bone health—an expert consensus paper endorsed by the European Society for Clinical and Economical Aspects of Osteopororosis, Osteoarthritis, and Musculoskeletal Diseases and by the International Osteoporosis Fou. Osteoporos Int 29:1933–1948. doi: 10.1007/s00198-018-4534-5</w:t>
      </w:r>
    </w:p>
    <w:p w14:paraId="7FE14582"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35. </w:t>
      </w:r>
      <w:r w:rsidRPr="00E41B58">
        <w:rPr>
          <w:rFonts w:ascii="Times New Roman" w:hAnsi="Times New Roman" w:cs="Times New Roman"/>
          <w:noProof/>
          <w:szCs w:val="24"/>
          <w:lang w:val="en-US"/>
        </w:rPr>
        <w:tab/>
        <w:t>Rizzoli R (2021) Vitamin D supplementation: upper limit for safety revisited? Aging Clin Exp Res 33:19–24. doi: 10.1007/s40520-020-01678-x</w:t>
      </w:r>
    </w:p>
    <w:p w14:paraId="00348AB6"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36. </w:t>
      </w:r>
      <w:r w:rsidRPr="00E41B58">
        <w:rPr>
          <w:rFonts w:ascii="Times New Roman" w:hAnsi="Times New Roman" w:cs="Times New Roman"/>
          <w:noProof/>
          <w:szCs w:val="24"/>
          <w:lang w:val="en-US"/>
        </w:rPr>
        <w:tab/>
        <w:t>Jarbøl DE, Larsen PV, Gyrd-Hansen D, et al (2017) Determinants of preferences for lifestyle changes versus medication and beliefs in ability to maintain lifestyle changes. A population-based survey. Prev Med Reports 6:66–73. doi: 10.1016/j.pmedr.2017.02.010</w:t>
      </w:r>
    </w:p>
    <w:p w14:paraId="7ABA0C9B"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37. </w:t>
      </w:r>
      <w:r w:rsidRPr="00E41B58">
        <w:rPr>
          <w:rFonts w:ascii="Times New Roman" w:hAnsi="Times New Roman" w:cs="Times New Roman"/>
          <w:noProof/>
          <w:szCs w:val="24"/>
          <w:lang w:val="en-US"/>
        </w:rPr>
        <w:tab/>
        <w:t>Horne R, Weinman J (1999) Patients’ beliefs about prescribed medicines and their role in adherence to treatment in chronic physical illness. J Psychosom Res 47:555–567. doi: 10.1016/S0022-3999(99)00057-4</w:t>
      </w:r>
    </w:p>
    <w:p w14:paraId="4E8281C2"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38. </w:t>
      </w:r>
      <w:r w:rsidRPr="00E41B58">
        <w:rPr>
          <w:rFonts w:ascii="Times New Roman" w:hAnsi="Times New Roman" w:cs="Times New Roman"/>
          <w:noProof/>
          <w:szCs w:val="24"/>
          <w:lang w:val="en-US"/>
        </w:rPr>
        <w:tab/>
        <w:t>Donini LM, Savina C, Cannella C (2003) Eating habits and appetite control in the elderly: The anorexia of aging. Int Psychogeriatrics 15:73–87. doi: 10.1017/S1041610203008779</w:t>
      </w:r>
    </w:p>
    <w:p w14:paraId="7FB8C378"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39. </w:t>
      </w:r>
      <w:r w:rsidRPr="00E41B58">
        <w:rPr>
          <w:rFonts w:ascii="Times New Roman" w:hAnsi="Times New Roman" w:cs="Times New Roman"/>
          <w:noProof/>
          <w:szCs w:val="24"/>
          <w:lang w:val="en-US"/>
        </w:rPr>
        <w:tab/>
        <w:t>Giezenaar C, Chapman I, Luscombe-Marsh N, et al (2016) Ageing is associated with decreases in appetite and energy intake— A meta-analysis in healthy adults. Nutrients. doi: 10.3390/nu8010028</w:t>
      </w:r>
    </w:p>
    <w:p w14:paraId="6E2FC42F"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40. </w:t>
      </w:r>
      <w:r w:rsidRPr="00E41B58">
        <w:rPr>
          <w:rFonts w:ascii="Times New Roman" w:hAnsi="Times New Roman" w:cs="Times New Roman"/>
          <w:noProof/>
          <w:szCs w:val="24"/>
          <w:lang w:val="en-US"/>
        </w:rPr>
        <w:tab/>
        <w:t>Bullamore JR, Wilkinson R, Gallagher JC, et al (1970) EFFECT OF AGE ON CALCIUM ABSORPTION. Lancet 296:535–537. doi: 10.1016/S0140-6736(70)91344-9</w:t>
      </w:r>
    </w:p>
    <w:p w14:paraId="39862700"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41. </w:t>
      </w:r>
      <w:r w:rsidRPr="00E41B58">
        <w:rPr>
          <w:rFonts w:ascii="Times New Roman" w:hAnsi="Times New Roman" w:cs="Times New Roman"/>
          <w:noProof/>
          <w:szCs w:val="24"/>
          <w:lang w:val="en-US"/>
        </w:rPr>
        <w:tab/>
        <w:t>Merom D, Pye V, Macniven R, et al (2012) Prevalence and correlates of participation in fall prevention exercise/physical activity by older adults. Prev Med (Baltim) 55:613–617. doi: 10.1016/j.ypmed.2012.10.001</w:t>
      </w:r>
    </w:p>
    <w:p w14:paraId="6A930270"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42. </w:t>
      </w:r>
      <w:r w:rsidRPr="00E41B58">
        <w:rPr>
          <w:rFonts w:ascii="Times New Roman" w:hAnsi="Times New Roman" w:cs="Times New Roman"/>
          <w:noProof/>
          <w:szCs w:val="24"/>
          <w:lang w:val="en-US"/>
        </w:rPr>
        <w:tab/>
        <w:t>Elskamp ABM, Hartholt KA, Patka P, et al (2012) Why older people refuse to participate in falls prevention trials: A qualitative study. Exp Gerontol 47:342–345. doi: 10.1016/j.exger.2012.01.006</w:t>
      </w:r>
    </w:p>
    <w:p w14:paraId="24D181EB"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43. </w:t>
      </w:r>
      <w:r w:rsidRPr="00E41B58">
        <w:rPr>
          <w:rFonts w:ascii="Times New Roman" w:hAnsi="Times New Roman" w:cs="Times New Roman"/>
          <w:noProof/>
          <w:szCs w:val="24"/>
          <w:lang w:val="en-US"/>
        </w:rPr>
        <w:tab/>
        <w:t>Robles LA, Wright SJ, Hackshaw-Mcgeagh L, et al (2020) Prostate cancer survivors’ preferences on the delivery of diet and lifestyle advice: A pilot best-worst discrete choice experiment. Pilot Feasibility Stud. doi: 10.1186/s40814-019-0549-8</w:t>
      </w:r>
    </w:p>
    <w:p w14:paraId="1471D82F"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44. </w:t>
      </w:r>
      <w:r w:rsidRPr="00E41B58">
        <w:rPr>
          <w:rFonts w:ascii="Times New Roman" w:hAnsi="Times New Roman" w:cs="Times New Roman"/>
          <w:noProof/>
          <w:szCs w:val="24"/>
          <w:lang w:val="en-US"/>
        </w:rPr>
        <w:tab/>
        <w:t>Cusano NE (2015) Skeletal Effects of Smoking. Curr Osteoporos Rep 13:302–309. doi: 10.1007/s11914-015-0278-8</w:t>
      </w:r>
    </w:p>
    <w:p w14:paraId="6E7F454F"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45. </w:t>
      </w:r>
      <w:r w:rsidRPr="00E41B58">
        <w:rPr>
          <w:rFonts w:ascii="Times New Roman" w:hAnsi="Times New Roman" w:cs="Times New Roman"/>
          <w:noProof/>
          <w:szCs w:val="24"/>
          <w:lang w:val="en-US"/>
        </w:rPr>
        <w:tab/>
        <w:t>Ward KD, Klesges RC (2001) A meta-analysis of the effects of cigarette smoking on bone mineral density. Calcif Tissue Int 68:259–270. doi: 10.1007/BF02390832</w:t>
      </w:r>
    </w:p>
    <w:p w14:paraId="2392D76B"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46. </w:t>
      </w:r>
      <w:r w:rsidRPr="00E41B58">
        <w:rPr>
          <w:rFonts w:ascii="Times New Roman" w:hAnsi="Times New Roman" w:cs="Times New Roman"/>
          <w:noProof/>
          <w:szCs w:val="24"/>
          <w:lang w:val="en-US"/>
        </w:rPr>
        <w:tab/>
        <w:t>Al-Bashaireh AM, Haddad LG, Weaver M, et al (2018) The Effect of Tobacco Smoking on Musculoskeletal Health: A Systematic Review. J Environ Public Health. doi: 10.1155/2018/4184190</w:t>
      </w:r>
    </w:p>
    <w:p w14:paraId="535EF71E"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47. </w:t>
      </w:r>
      <w:r w:rsidRPr="00E41B58">
        <w:rPr>
          <w:rFonts w:ascii="Times New Roman" w:hAnsi="Times New Roman" w:cs="Times New Roman"/>
          <w:noProof/>
          <w:szCs w:val="24"/>
          <w:lang w:val="en-US"/>
        </w:rPr>
        <w:tab/>
        <w:t>Cheraghi Z, Doosti-Irani A, Almasi-Hashiani A, et al (2019) The effect of alcohol on osteoporosis: A systematic review and meta-analysis. Drug Alcohol Depend 197:197–202. doi: 10.1016/j.drugalcdep.2019.01.025</w:t>
      </w:r>
    </w:p>
    <w:p w14:paraId="7D3B0C2B"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48. </w:t>
      </w:r>
      <w:r w:rsidRPr="00E41B58">
        <w:rPr>
          <w:rFonts w:ascii="Times New Roman" w:hAnsi="Times New Roman" w:cs="Times New Roman"/>
          <w:noProof/>
          <w:szCs w:val="24"/>
          <w:lang w:val="en-US"/>
        </w:rPr>
        <w:tab/>
        <w:t>Turcotte AF, O’Connor S, Morin SN, et al (2021) Association between obesity and risk of fracture, bone mineral density and bone quality in adults: A systematic review and meta-analysis. PLoS One 16:e0252487. doi: 10.1371/journal.pone.0252487</w:t>
      </w:r>
    </w:p>
    <w:p w14:paraId="5D4EB864"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49. </w:t>
      </w:r>
      <w:r w:rsidRPr="00E41B58">
        <w:rPr>
          <w:rFonts w:ascii="Times New Roman" w:hAnsi="Times New Roman" w:cs="Times New Roman"/>
          <w:noProof/>
          <w:szCs w:val="24"/>
          <w:lang w:val="en-US"/>
        </w:rPr>
        <w:tab/>
        <w:t>Xiang BY, Huang W, Zhou GQ, et al (2017) Body mass index and the risk of low bone mass-related fractures in women compared with men: A PRISMA-compliant meta-analysis of prospective cohort studies. Med (United States). doi: 10.1097/MD.0000000000005290</w:t>
      </w:r>
    </w:p>
    <w:p w14:paraId="3004CE63" w14:textId="77777777" w:rsidR="003066E4" w:rsidRPr="00E41B58" w:rsidRDefault="003066E4" w:rsidP="003066E4">
      <w:pPr>
        <w:widowControl w:val="0"/>
        <w:autoSpaceDE w:val="0"/>
        <w:autoSpaceDN w:val="0"/>
        <w:adjustRightInd w:val="0"/>
        <w:spacing w:line="240" w:lineRule="auto"/>
        <w:ind w:left="640" w:hanging="640"/>
        <w:rPr>
          <w:rFonts w:ascii="Times New Roman" w:hAnsi="Times New Roman" w:cs="Times New Roman"/>
          <w:noProof/>
          <w:szCs w:val="24"/>
          <w:lang w:val="en-US"/>
        </w:rPr>
      </w:pPr>
      <w:r w:rsidRPr="00E41B58">
        <w:rPr>
          <w:rFonts w:ascii="Times New Roman" w:hAnsi="Times New Roman" w:cs="Times New Roman"/>
          <w:noProof/>
          <w:szCs w:val="24"/>
          <w:lang w:val="en-US"/>
        </w:rPr>
        <w:t xml:space="preserve">50. </w:t>
      </w:r>
      <w:r w:rsidRPr="00E41B58">
        <w:rPr>
          <w:rFonts w:ascii="Times New Roman" w:hAnsi="Times New Roman" w:cs="Times New Roman"/>
          <w:noProof/>
          <w:szCs w:val="24"/>
          <w:lang w:val="en-US"/>
        </w:rPr>
        <w:tab/>
        <w:t>De Laet C, Kanis JA, Odén A, et al (2005) Body mass index as a predictor of fracture risk: A meta-analysis. Osteoporos Int 16:1330–1338. doi: 10.1007/s00198-005-1863-y</w:t>
      </w:r>
    </w:p>
    <w:p w14:paraId="436E81AF" w14:textId="77777777" w:rsidR="003066E4" w:rsidRPr="00C57C46" w:rsidRDefault="003066E4" w:rsidP="003066E4">
      <w:pPr>
        <w:widowControl w:val="0"/>
        <w:autoSpaceDE w:val="0"/>
        <w:autoSpaceDN w:val="0"/>
        <w:adjustRightInd w:val="0"/>
        <w:spacing w:line="240" w:lineRule="auto"/>
        <w:ind w:left="640" w:hanging="640"/>
        <w:rPr>
          <w:rFonts w:ascii="Times New Roman" w:hAnsi="Times New Roman" w:cs="Times New Roman"/>
          <w:noProof/>
          <w:lang w:val="en-GB"/>
        </w:rPr>
      </w:pPr>
      <w:r w:rsidRPr="00E41B58">
        <w:rPr>
          <w:rFonts w:ascii="Times New Roman" w:hAnsi="Times New Roman" w:cs="Times New Roman"/>
          <w:noProof/>
          <w:szCs w:val="24"/>
          <w:lang w:val="en-US"/>
        </w:rPr>
        <w:t xml:space="preserve">51. </w:t>
      </w:r>
      <w:r w:rsidRPr="00E41B58">
        <w:rPr>
          <w:rFonts w:ascii="Times New Roman" w:hAnsi="Times New Roman" w:cs="Times New Roman"/>
          <w:noProof/>
          <w:szCs w:val="24"/>
          <w:lang w:val="en-US"/>
        </w:rPr>
        <w:tab/>
        <w:t xml:space="preserve">Nielson CM, Srikanth P, Orwoll ES (2012) Obesity and fracture in men and women: An epidemiologic perspective. </w:t>
      </w:r>
      <w:r w:rsidRPr="00C57C46">
        <w:rPr>
          <w:rFonts w:ascii="Times New Roman" w:hAnsi="Times New Roman" w:cs="Times New Roman"/>
          <w:noProof/>
          <w:szCs w:val="24"/>
          <w:lang w:val="en-GB"/>
        </w:rPr>
        <w:t>J Bone Miner Res 27:1–10. doi: 10.1002/jbmr.1486</w:t>
      </w:r>
    </w:p>
    <w:p w14:paraId="709382C6" w14:textId="543D839B" w:rsidR="007D4E5D" w:rsidRDefault="007D1D4F">
      <w:pPr>
        <w:rPr>
          <w:rFonts w:ascii="Times New Roman" w:hAnsi="Times New Roman" w:cs="Times New Roman"/>
          <w:b/>
          <w:bCs/>
          <w:lang w:val="en-GB"/>
        </w:rPr>
      </w:pPr>
      <w:r>
        <w:rPr>
          <w:rFonts w:ascii="Times New Roman" w:hAnsi="Times New Roman" w:cs="Times New Roman"/>
          <w:b/>
          <w:bCs/>
          <w:lang w:val="en-GB"/>
        </w:rPr>
        <w:fldChar w:fldCharType="end"/>
      </w:r>
      <w:r w:rsidR="007D4E5D">
        <w:rPr>
          <w:rFonts w:ascii="Times New Roman" w:hAnsi="Times New Roman" w:cs="Times New Roman"/>
          <w:b/>
          <w:bCs/>
          <w:lang w:val="en-GB"/>
        </w:rPr>
        <w:br w:type="page"/>
      </w:r>
    </w:p>
    <w:p w14:paraId="7BB93582" w14:textId="77777777" w:rsidR="007D4E5D" w:rsidRPr="007D4E5D" w:rsidRDefault="00CF60A0" w:rsidP="007D4E5D">
      <w:pPr>
        <w:spacing w:line="360" w:lineRule="auto"/>
        <w:jc w:val="both"/>
        <w:rPr>
          <w:rFonts w:ascii="Times New Roman" w:hAnsi="Times New Roman" w:cs="Times New Roman"/>
          <w:b/>
          <w:bCs/>
          <w:smallCaps/>
          <w:lang w:val="en-GB"/>
        </w:rPr>
      </w:pPr>
      <w:r w:rsidRPr="007D4E5D">
        <w:rPr>
          <w:rFonts w:ascii="Times New Roman" w:hAnsi="Times New Roman" w:cs="Times New Roman"/>
          <w:b/>
          <w:bCs/>
          <w:smallCaps/>
          <w:lang w:val="en-GB"/>
        </w:rPr>
        <w:t>Tables and Figures</w:t>
      </w:r>
    </w:p>
    <w:p w14:paraId="652F1DA7" w14:textId="2FDE9C8E" w:rsidR="007D4E5D" w:rsidRDefault="007D4E5D" w:rsidP="007D4E5D">
      <w:pPr>
        <w:jc w:val="both"/>
        <w:rPr>
          <w:rFonts w:ascii="Times New Roman" w:hAnsi="Times New Roman" w:cs="Times New Roman"/>
          <w:b/>
          <w:bCs/>
          <w:iCs/>
          <w:sz w:val="20"/>
          <w:szCs w:val="20"/>
          <w:lang w:val="en-GB"/>
        </w:rPr>
      </w:pPr>
      <w:r>
        <w:rPr>
          <w:rFonts w:ascii="Times New Roman" w:hAnsi="Times New Roman" w:cs="Times New Roman"/>
          <w:b/>
          <w:bCs/>
          <w:iCs/>
          <w:sz w:val="20"/>
          <w:szCs w:val="20"/>
          <w:lang w:val="en-GB"/>
        </w:rPr>
        <w:t>Table 1</w:t>
      </w:r>
      <w:r w:rsidR="00BA3C82">
        <w:rPr>
          <w:rFonts w:ascii="Times New Roman" w:hAnsi="Times New Roman" w:cs="Times New Roman"/>
          <w:b/>
          <w:bCs/>
          <w:iCs/>
          <w:sz w:val="20"/>
          <w:szCs w:val="20"/>
          <w:lang w:val="en-GB"/>
        </w:rPr>
        <w:t xml:space="preserve"> - </w:t>
      </w:r>
      <w:r>
        <w:rPr>
          <w:rFonts w:ascii="Times New Roman" w:hAnsi="Times New Roman" w:cs="Times New Roman"/>
          <w:b/>
          <w:bCs/>
          <w:iCs/>
          <w:sz w:val="20"/>
          <w:szCs w:val="20"/>
          <w:lang w:val="en-GB"/>
        </w:rPr>
        <w:t>List of attributes and levels</w:t>
      </w:r>
    </w:p>
    <w:p w14:paraId="68630855" w14:textId="2B536D58" w:rsidR="008A683B" w:rsidRDefault="008A683B" w:rsidP="007D4E5D">
      <w:pPr>
        <w:jc w:val="both"/>
        <w:rPr>
          <w:rFonts w:ascii="Times New Roman" w:hAnsi="Times New Roman" w:cs="Times New Roman"/>
          <w:b/>
          <w:bCs/>
          <w:iCs/>
          <w:sz w:val="20"/>
          <w:szCs w:val="20"/>
          <w:lang w:val="en-GB"/>
        </w:rPr>
      </w:pPr>
    </w:p>
    <w:tbl>
      <w:tblPr>
        <w:tblStyle w:val="TableGrid"/>
        <w:tblW w:w="9351" w:type="dxa"/>
        <w:jc w:val="center"/>
        <w:tblLook w:val="04A0" w:firstRow="1" w:lastRow="0" w:firstColumn="1" w:lastColumn="0" w:noHBand="0" w:noVBand="1"/>
      </w:tblPr>
      <w:tblGrid>
        <w:gridCol w:w="2689"/>
        <w:gridCol w:w="6662"/>
      </w:tblGrid>
      <w:tr w:rsidR="007D4E5D" w:rsidRPr="002A0210" w14:paraId="2C8568C5" w14:textId="77777777" w:rsidTr="003C41DB">
        <w:trPr>
          <w:jc w:val="center"/>
        </w:trPr>
        <w:tc>
          <w:tcPr>
            <w:tcW w:w="2689" w:type="dxa"/>
          </w:tcPr>
          <w:p w14:paraId="5B916B0B" w14:textId="2CE5F447" w:rsidR="007D4E5D" w:rsidRPr="001A188D" w:rsidRDefault="001A188D" w:rsidP="001A188D">
            <w:pPr>
              <w:pStyle w:val="ListParagraph"/>
              <w:spacing w:after="0" w:line="360" w:lineRule="auto"/>
              <w:ind w:left="0"/>
              <w:jc w:val="center"/>
              <w:rPr>
                <w:rFonts w:ascii="Times New Roman" w:hAnsi="Times New Roman" w:cs="Times New Roman"/>
                <w:b/>
                <w:iCs/>
                <w:sz w:val="20"/>
                <w:szCs w:val="20"/>
                <w:lang w:val="en-GB"/>
              </w:rPr>
            </w:pPr>
            <w:r w:rsidRPr="001A188D">
              <w:rPr>
                <w:rFonts w:ascii="Times New Roman" w:hAnsi="Times New Roman" w:cs="Times New Roman"/>
                <w:b/>
                <w:iCs/>
                <w:sz w:val="20"/>
                <w:szCs w:val="20"/>
                <w:lang w:val="en-GB"/>
              </w:rPr>
              <w:t>Attributes</w:t>
            </w:r>
          </w:p>
        </w:tc>
        <w:tc>
          <w:tcPr>
            <w:tcW w:w="6662" w:type="dxa"/>
          </w:tcPr>
          <w:p w14:paraId="74C45F35" w14:textId="2CDEFC32" w:rsidR="007D4E5D" w:rsidRPr="001A188D" w:rsidRDefault="001A188D" w:rsidP="001A188D">
            <w:pPr>
              <w:pStyle w:val="ListParagraph"/>
              <w:spacing w:after="0" w:line="360" w:lineRule="auto"/>
              <w:ind w:left="0"/>
              <w:jc w:val="center"/>
              <w:rPr>
                <w:rFonts w:ascii="Times New Roman" w:hAnsi="Times New Roman" w:cs="Times New Roman"/>
                <w:b/>
                <w:iCs/>
                <w:sz w:val="20"/>
                <w:szCs w:val="20"/>
                <w:lang w:val="en-GB"/>
              </w:rPr>
            </w:pPr>
            <w:r w:rsidRPr="001A188D">
              <w:rPr>
                <w:rFonts w:ascii="Times New Roman" w:hAnsi="Times New Roman" w:cs="Times New Roman"/>
                <w:b/>
                <w:iCs/>
                <w:sz w:val="20"/>
                <w:szCs w:val="20"/>
                <w:lang w:val="en-GB"/>
              </w:rPr>
              <w:t>Levels</w:t>
            </w:r>
          </w:p>
        </w:tc>
      </w:tr>
      <w:tr w:rsidR="00303834" w:rsidRPr="002A0210" w14:paraId="5BF87425" w14:textId="77777777" w:rsidTr="003C41DB">
        <w:trPr>
          <w:jc w:val="center"/>
        </w:trPr>
        <w:tc>
          <w:tcPr>
            <w:tcW w:w="2689" w:type="dxa"/>
            <w:vMerge w:val="restart"/>
          </w:tcPr>
          <w:p w14:paraId="1511126E" w14:textId="07CE6DC7" w:rsidR="00303834" w:rsidRPr="002A0210" w:rsidRDefault="00303834" w:rsidP="00B963D7">
            <w:pPr>
              <w:pStyle w:val="ListParagraph"/>
              <w:spacing w:after="0" w:line="360" w:lineRule="auto"/>
              <w:ind w:left="0"/>
              <w:jc w:val="center"/>
              <w:rPr>
                <w:rFonts w:ascii="Times New Roman" w:hAnsi="Times New Roman" w:cs="Times New Roman"/>
                <w:bCs/>
                <w:iCs/>
                <w:sz w:val="20"/>
                <w:szCs w:val="20"/>
                <w:lang w:val="en-GB"/>
              </w:rPr>
            </w:pPr>
            <w:r w:rsidRPr="002A0210">
              <w:rPr>
                <w:rFonts w:ascii="Times New Roman" w:hAnsi="Times New Roman" w:cs="Times New Roman"/>
                <w:bCs/>
                <w:iCs/>
                <w:sz w:val="20"/>
                <w:szCs w:val="20"/>
                <w:lang w:val="en-GB"/>
              </w:rPr>
              <w:t>Physical activity</w:t>
            </w:r>
          </w:p>
        </w:tc>
        <w:tc>
          <w:tcPr>
            <w:tcW w:w="6662" w:type="dxa"/>
          </w:tcPr>
          <w:p w14:paraId="4AFCB6AA" w14:textId="77777777" w:rsidR="00303834" w:rsidRPr="002A0210" w:rsidRDefault="00303834"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iCs/>
                <w:sz w:val="20"/>
                <w:szCs w:val="20"/>
                <w:lang w:val="en-GB"/>
              </w:rPr>
              <w:t>Not included</w:t>
            </w:r>
          </w:p>
        </w:tc>
      </w:tr>
      <w:tr w:rsidR="00303834" w:rsidRPr="004B552A" w14:paraId="7804A27B" w14:textId="77777777" w:rsidTr="003C41DB">
        <w:trPr>
          <w:jc w:val="center"/>
        </w:trPr>
        <w:tc>
          <w:tcPr>
            <w:tcW w:w="2689" w:type="dxa"/>
            <w:vMerge/>
          </w:tcPr>
          <w:p w14:paraId="658C87DB" w14:textId="77777777" w:rsidR="00303834" w:rsidRPr="002A0210" w:rsidRDefault="00303834" w:rsidP="00B963D7">
            <w:pPr>
              <w:pStyle w:val="ListParagraph"/>
              <w:spacing w:after="0" w:line="360" w:lineRule="auto"/>
              <w:ind w:left="0"/>
              <w:jc w:val="center"/>
              <w:rPr>
                <w:rFonts w:ascii="Times New Roman" w:hAnsi="Times New Roman" w:cs="Times New Roman"/>
                <w:bCs/>
                <w:iCs/>
                <w:sz w:val="20"/>
                <w:szCs w:val="20"/>
                <w:lang w:val="en-GB"/>
              </w:rPr>
            </w:pPr>
          </w:p>
        </w:tc>
        <w:tc>
          <w:tcPr>
            <w:tcW w:w="6662" w:type="dxa"/>
          </w:tcPr>
          <w:p w14:paraId="5B44C349" w14:textId="0A28CC28" w:rsidR="00303834" w:rsidRPr="003C41DB" w:rsidRDefault="00303834"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iCs/>
                <w:sz w:val="20"/>
                <w:szCs w:val="20"/>
                <w:lang w:val="en-GB"/>
              </w:rPr>
              <w:t>Walking for 15-20 minutes, 1-2 times per week</w:t>
            </w:r>
            <w:r>
              <w:rPr>
                <w:rFonts w:ascii="Times New Roman" w:hAnsi="Times New Roman" w:cs="Times New Roman"/>
                <w:bCs/>
                <w:iCs/>
                <w:sz w:val="20"/>
                <w:szCs w:val="20"/>
                <w:lang w:val="en-GB"/>
              </w:rPr>
              <w:t xml:space="preserve"> (</w:t>
            </w:r>
            <w:r w:rsidRPr="003C41DB">
              <w:rPr>
                <w:rFonts w:ascii="Times New Roman" w:hAnsi="Times New Roman" w:cs="Times New Roman"/>
                <w:bCs/>
                <w:iCs/>
                <w:sz w:val="20"/>
                <w:szCs w:val="20"/>
                <w:lang w:val="en-GB"/>
              </w:rPr>
              <w:t>or equivalent physical activity such as jogging, climbing stairs, playing sports, doing aerobics or dancing)</w:t>
            </w:r>
          </w:p>
        </w:tc>
      </w:tr>
      <w:tr w:rsidR="00303834" w:rsidRPr="004B552A" w14:paraId="4CA3D54F" w14:textId="77777777" w:rsidTr="003C41DB">
        <w:trPr>
          <w:jc w:val="center"/>
        </w:trPr>
        <w:tc>
          <w:tcPr>
            <w:tcW w:w="2689" w:type="dxa"/>
            <w:vMerge/>
          </w:tcPr>
          <w:p w14:paraId="64DA3627" w14:textId="77777777" w:rsidR="00303834" w:rsidRPr="002A0210" w:rsidRDefault="00303834" w:rsidP="00B963D7">
            <w:pPr>
              <w:pStyle w:val="ListParagraph"/>
              <w:spacing w:after="0" w:line="360" w:lineRule="auto"/>
              <w:ind w:left="0"/>
              <w:jc w:val="center"/>
              <w:rPr>
                <w:rFonts w:ascii="Times New Roman" w:hAnsi="Times New Roman" w:cs="Times New Roman"/>
                <w:bCs/>
                <w:iCs/>
                <w:sz w:val="20"/>
                <w:szCs w:val="20"/>
                <w:lang w:val="en-GB"/>
              </w:rPr>
            </w:pPr>
          </w:p>
        </w:tc>
        <w:tc>
          <w:tcPr>
            <w:tcW w:w="6662" w:type="dxa"/>
          </w:tcPr>
          <w:p w14:paraId="225C5E8C" w14:textId="36E4D89E" w:rsidR="00303834" w:rsidRPr="002A0210" w:rsidRDefault="00303834"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iCs/>
                <w:sz w:val="20"/>
                <w:szCs w:val="20"/>
                <w:lang w:val="en-GB"/>
              </w:rPr>
              <w:t>Walking for 30-40 minutes, 3-4 times per week</w:t>
            </w:r>
            <w:r>
              <w:rPr>
                <w:rFonts w:ascii="Times New Roman" w:hAnsi="Times New Roman" w:cs="Times New Roman"/>
                <w:bCs/>
                <w:iCs/>
                <w:sz w:val="20"/>
                <w:szCs w:val="20"/>
                <w:lang w:val="en-GB"/>
              </w:rPr>
              <w:t xml:space="preserve"> (or equivalent physical activity)</w:t>
            </w:r>
          </w:p>
        </w:tc>
      </w:tr>
      <w:tr w:rsidR="007D4E5D" w:rsidRPr="002A0210" w14:paraId="0905A3EB" w14:textId="77777777" w:rsidTr="003C41DB">
        <w:trPr>
          <w:jc w:val="center"/>
        </w:trPr>
        <w:tc>
          <w:tcPr>
            <w:tcW w:w="2689" w:type="dxa"/>
            <w:vMerge w:val="restart"/>
          </w:tcPr>
          <w:p w14:paraId="443B173C"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sz w:val="20"/>
                <w:szCs w:val="20"/>
                <w:lang w:val="en-GB"/>
              </w:rPr>
              <w:t>Calcium and Vitamin D status</w:t>
            </w:r>
          </w:p>
        </w:tc>
        <w:tc>
          <w:tcPr>
            <w:tcW w:w="6662" w:type="dxa"/>
          </w:tcPr>
          <w:p w14:paraId="29F722FA"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iCs/>
                <w:sz w:val="20"/>
                <w:szCs w:val="20"/>
                <w:lang w:val="en-GB"/>
              </w:rPr>
              <w:t>Not included</w:t>
            </w:r>
          </w:p>
        </w:tc>
      </w:tr>
      <w:tr w:rsidR="007D4E5D" w:rsidRPr="004B552A" w14:paraId="5D1466A7" w14:textId="77777777" w:rsidTr="003C41DB">
        <w:trPr>
          <w:jc w:val="center"/>
        </w:trPr>
        <w:tc>
          <w:tcPr>
            <w:tcW w:w="2689" w:type="dxa"/>
            <w:vMerge/>
          </w:tcPr>
          <w:p w14:paraId="386E32B5"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p>
        </w:tc>
        <w:tc>
          <w:tcPr>
            <w:tcW w:w="6662" w:type="dxa"/>
          </w:tcPr>
          <w:p w14:paraId="769C1667" w14:textId="19C944B6"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iCs/>
                <w:sz w:val="20"/>
                <w:szCs w:val="20"/>
                <w:lang w:val="en-GB"/>
              </w:rPr>
              <w:t>Supplements</w:t>
            </w:r>
            <w:r w:rsidR="003C41DB">
              <w:rPr>
                <w:rFonts w:ascii="Times New Roman" w:hAnsi="Times New Roman" w:cs="Times New Roman"/>
                <w:bCs/>
                <w:iCs/>
                <w:sz w:val="20"/>
                <w:szCs w:val="20"/>
                <w:lang w:val="en-GB"/>
              </w:rPr>
              <w:t xml:space="preserve"> (</w:t>
            </w:r>
            <w:r w:rsidR="003C41DB" w:rsidRPr="003C41DB">
              <w:rPr>
                <w:rFonts w:ascii="Times New Roman" w:hAnsi="Times New Roman" w:cs="Times New Roman"/>
                <w:bCs/>
                <w:iCs/>
                <w:sz w:val="20"/>
                <w:szCs w:val="20"/>
                <w:lang w:val="en-GB"/>
              </w:rPr>
              <w:t>taking daily calcium and vitamin D tablets)</w:t>
            </w:r>
          </w:p>
        </w:tc>
      </w:tr>
      <w:tr w:rsidR="007D4E5D" w:rsidRPr="004B552A" w14:paraId="151848C8" w14:textId="77777777" w:rsidTr="003C41DB">
        <w:trPr>
          <w:jc w:val="center"/>
        </w:trPr>
        <w:tc>
          <w:tcPr>
            <w:tcW w:w="2689" w:type="dxa"/>
            <w:vMerge/>
          </w:tcPr>
          <w:p w14:paraId="72B2EA9C"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p>
        </w:tc>
        <w:tc>
          <w:tcPr>
            <w:tcW w:w="6662" w:type="dxa"/>
          </w:tcPr>
          <w:p w14:paraId="54DF499F" w14:textId="5A2CC277" w:rsidR="007D4E5D" w:rsidRPr="003C41DB" w:rsidRDefault="003C41DB" w:rsidP="00B963D7">
            <w:pPr>
              <w:pStyle w:val="ListParagraph"/>
              <w:spacing w:after="0" w:line="360" w:lineRule="auto"/>
              <w:ind w:left="0"/>
              <w:rPr>
                <w:rFonts w:ascii="Times New Roman" w:hAnsi="Times New Roman" w:cs="Times New Roman"/>
                <w:sz w:val="24"/>
                <w:szCs w:val="24"/>
                <w:lang w:val="en-GB"/>
              </w:rPr>
            </w:pPr>
            <w:r w:rsidRPr="003C41DB">
              <w:rPr>
                <w:rFonts w:ascii="Times New Roman" w:hAnsi="Times New Roman" w:cs="Times New Roman"/>
                <w:bCs/>
                <w:iCs/>
                <w:sz w:val="20"/>
                <w:szCs w:val="20"/>
                <w:lang w:val="en-GB"/>
              </w:rPr>
              <w:t>Nutrition (a diet rich in milk products and fish: at least two milk products per day (e.g.</w:t>
            </w:r>
            <w:r w:rsidR="00192C55">
              <w:rPr>
                <w:rFonts w:ascii="Times New Roman" w:hAnsi="Times New Roman" w:cs="Times New Roman"/>
                <w:bCs/>
                <w:iCs/>
                <w:sz w:val="20"/>
                <w:szCs w:val="20"/>
                <w:lang w:val="en-GB"/>
              </w:rPr>
              <w:t>,</w:t>
            </w:r>
            <w:r w:rsidRPr="003C41DB">
              <w:rPr>
                <w:rFonts w:ascii="Times New Roman" w:hAnsi="Times New Roman" w:cs="Times New Roman"/>
                <w:bCs/>
                <w:iCs/>
                <w:sz w:val="20"/>
                <w:szCs w:val="20"/>
                <w:lang w:val="en-GB"/>
              </w:rPr>
              <w:t xml:space="preserve"> milk, cheese, yogurt) and fish at least two times per week) and exposure </w:t>
            </w:r>
            <w:r w:rsidR="00BA3C82">
              <w:rPr>
                <w:rFonts w:ascii="Times New Roman" w:hAnsi="Times New Roman" w:cs="Times New Roman"/>
                <w:bCs/>
                <w:iCs/>
                <w:sz w:val="20"/>
                <w:szCs w:val="20"/>
                <w:lang w:val="en-GB"/>
              </w:rPr>
              <w:t xml:space="preserve">to sunlight </w:t>
            </w:r>
            <w:r w:rsidRPr="003C41DB">
              <w:rPr>
                <w:rFonts w:ascii="Times New Roman" w:hAnsi="Times New Roman" w:cs="Times New Roman"/>
                <w:bCs/>
                <w:iCs/>
                <w:sz w:val="20"/>
                <w:szCs w:val="20"/>
                <w:lang w:val="en-GB"/>
              </w:rPr>
              <w:t>(10 to 15 minutes per day, without using sunblock but taking care to avoid sunburn by keeping out of the strong midday sun)</w:t>
            </w:r>
          </w:p>
        </w:tc>
      </w:tr>
      <w:tr w:rsidR="007D4E5D" w:rsidRPr="002A0210" w14:paraId="645944A0" w14:textId="77777777" w:rsidTr="003C41DB">
        <w:trPr>
          <w:jc w:val="center"/>
        </w:trPr>
        <w:tc>
          <w:tcPr>
            <w:tcW w:w="2689" w:type="dxa"/>
            <w:vMerge w:val="restart"/>
          </w:tcPr>
          <w:p w14:paraId="5FACE956"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sz w:val="20"/>
                <w:szCs w:val="20"/>
                <w:lang w:val="en-GB"/>
              </w:rPr>
              <w:t>Smoking</w:t>
            </w:r>
          </w:p>
        </w:tc>
        <w:tc>
          <w:tcPr>
            <w:tcW w:w="6662" w:type="dxa"/>
          </w:tcPr>
          <w:p w14:paraId="0780696E"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iCs/>
                <w:sz w:val="20"/>
                <w:szCs w:val="20"/>
                <w:lang w:val="en-GB"/>
              </w:rPr>
              <w:t>Not included</w:t>
            </w:r>
          </w:p>
        </w:tc>
      </w:tr>
      <w:tr w:rsidR="007D4E5D" w:rsidRPr="002A0210" w14:paraId="364D4701" w14:textId="77777777" w:rsidTr="003C41DB">
        <w:trPr>
          <w:jc w:val="center"/>
        </w:trPr>
        <w:tc>
          <w:tcPr>
            <w:tcW w:w="2689" w:type="dxa"/>
            <w:vMerge/>
          </w:tcPr>
          <w:p w14:paraId="4FAA99A5"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p>
        </w:tc>
        <w:tc>
          <w:tcPr>
            <w:tcW w:w="6662" w:type="dxa"/>
          </w:tcPr>
          <w:p w14:paraId="5ED541E1" w14:textId="77777777" w:rsidR="007D4E5D" w:rsidRPr="002A0210" w:rsidRDefault="007D4E5D" w:rsidP="00B963D7">
            <w:pPr>
              <w:spacing w:line="360" w:lineRule="auto"/>
              <w:jc w:val="both"/>
              <w:rPr>
                <w:rFonts w:ascii="Times New Roman" w:hAnsi="Times New Roman" w:cs="Times New Roman"/>
                <w:bCs/>
                <w:iCs/>
                <w:sz w:val="20"/>
                <w:szCs w:val="20"/>
              </w:rPr>
            </w:pPr>
            <w:r w:rsidRPr="002A0210">
              <w:rPr>
                <w:rFonts w:ascii="Times New Roman" w:hAnsi="Times New Roman" w:cs="Times New Roman"/>
                <w:bCs/>
                <w:iCs/>
                <w:sz w:val="20"/>
                <w:szCs w:val="20"/>
              </w:rPr>
              <w:t>Quit smoking</w:t>
            </w:r>
          </w:p>
        </w:tc>
      </w:tr>
      <w:tr w:rsidR="007D4E5D" w:rsidRPr="002A0210" w14:paraId="393CE698" w14:textId="77777777" w:rsidTr="003C41DB">
        <w:trPr>
          <w:jc w:val="center"/>
        </w:trPr>
        <w:tc>
          <w:tcPr>
            <w:tcW w:w="2689" w:type="dxa"/>
            <w:vMerge w:val="restart"/>
          </w:tcPr>
          <w:p w14:paraId="4DA9CB47"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sz w:val="20"/>
                <w:szCs w:val="20"/>
                <w:lang w:val="en-GB"/>
              </w:rPr>
              <w:t>Alcohol consumption</w:t>
            </w:r>
          </w:p>
        </w:tc>
        <w:tc>
          <w:tcPr>
            <w:tcW w:w="6662" w:type="dxa"/>
          </w:tcPr>
          <w:p w14:paraId="05E83B70"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iCs/>
                <w:sz w:val="20"/>
                <w:szCs w:val="20"/>
                <w:lang w:val="en-GB"/>
              </w:rPr>
              <w:t>Not included</w:t>
            </w:r>
          </w:p>
        </w:tc>
      </w:tr>
      <w:tr w:rsidR="007D4E5D" w:rsidRPr="004B552A" w14:paraId="0E85870E" w14:textId="77777777" w:rsidTr="003C41DB">
        <w:trPr>
          <w:jc w:val="center"/>
        </w:trPr>
        <w:tc>
          <w:tcPr>
            <w:tcW w:w="2689" w:type="dxa"/>
            <w:vMerge/>
          </w:tcPr>
          <w:p w14:paraId="706723D1"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p>
        </w:tc>
        <w:tc>
          <w:tcPr>
            <w:tcW w:w="6662" w:type="dxa"/>
          </w:tcPr>
          <w:p w14:paraId="3FD5F785" w14:textId="7E8F7BCA" w:rsidR="007D4E5D" w:rsidRPr="003C41DB" w:rsidRDefault="007D4E5D" w:rsidP="00B963D7">
            <w:pPr>
              <w:pStyle w:val="ListParagraph"/>
              <w:spacing w:after="0" w:line="360" w:lineRule="auto"/>
              <w:ind w:left="0"/>
              <w:rPr>
                <w:rFonts w:ascii="Times New Roman" w:hAnsi="Times New Roman" w:cs="Times New Roman"/>
                <w:sz w:val="24"/>
                <w:szCs w:val="24"/>
                <w:lang w:val="en-GB"/>
              </w:rPr>
            </w:pPr>
            <w:r w:rsidRPr="002A0210">
              <w:rPr>
                <w:rFonts w:ascii="Times New Roman" w:hAnsi="Times New Roman" w:cs="Times New Roman"/>
                <w:bCs/>
                <w:iCs/>
                <w:sz w:val="20"/>
                <w:szCs w:val="20"/>
                <w:lang w:val="en-GB"/>
              </w:rPr>
              <w:t>Moderation</w:t>
            </w:r>
            <w:r w:rsidR="003C41DB">
              <w:rPr>
                <w:rFonts w:ascii="Times New Roman" w:hAnsi="Times New Roman" w:cs="Times New Roman"/>
                <w:bCs/>
                <w:iCs/>
                <w:sz w:val="20"/>
                <w:szCs w:val="20"/>
                <w:lang w:val="en-GB"/>
              </w:rPr>
              <w:t xml:space="preserve"> (</w:t>
            </w:r>
            <w:r w:rsidR="003C41DB" w:rsidRPr="003C41DB">
              <w:rPr>
                <w:rFonts w:ascii="Times New Roman" w:hAnsi="Times New Roman" w:cs="Times New Roman"/>
                <w:bCs/>
                <w:iCs/>
                <w:sz w:val="20"/>
                <w:szCs w:val="20"/>
                <w:lang w:val="en-GB"/>
              </w:rPr>
              <w:t>not more than 2 units of alcohol daily. A unit of alcohol is equivalent to a medium-sized glass of wine, a tot of spirits or half a pint of beer)</w:t>
            </w:r>
          </w:p>
        </w:tc>
      </w:tr>
      <w:tr w:rsidR="007D4E5D" w:rsidRPr="002A0210" w14:paraId="12B855EE" w14:textId="77777777" w:rsidTr="003C41DB">
        <w:trPr>
          <w:jc w:val="center"/>
        </w:trPr>
        <w:tc>
          <w:tcPr>
            <w:tcW w:w="2689" w:type="dxa"/>
            <w:vMerge w:val="restart"/>
          </w:tcPr>
          <w:p w14:paraId="339AE07B"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sz w:val="20"/>
                <w:szCs w:val="20"/>
                <w:lang w:val="en-GB"/>
              </w:rPr>
              <w:t>Body weight</w:t>
            </w:r>
          </w:p>
        </w:tc>
        <w:tc>
          <w:tcPr>
            <w:tcW w:w="6662" w:type="dxa"/>
          </w:tcPr>
          <w:p w14:paraId="57A29198"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iCs/>
                <w:sz w:val="20"/>
                <w:szCs w:val="20"/>
                <w:lang w:val="en-GB"/>
              </w:rPr>
              <w:t>Not included</w:t>
            </w:r>
          </w:p>
        </w:tc>
      </w:tr>
      <w:tr w:rsidR="007D4E5D" w:rsidRPr="004B552A" w14:paraId="156C5F30" w14:textId="77777777" w:rsidTr="003C41DB">
        <w:trPr>
          <w:jc w:val="center"/>
        </w:trPr>
        <w:tc>
          <w:tcPr>
            <w:tcW w:w="2689" w:type="dxa"/>
            <w:vMerge/>
          </w:tcPr>
          <w:p w14:paraId="44C5398B"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p>
        </w:tc>
        <w:tc>
          <w:tcPr>
            <w:tcW w:w="6662" w:type="dxa"/>
          </w:tcPr>
          <w:p w14:paraId="5D3D582B" w14:textId="2F4B869A"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iCs/>
                <w:sz w:val="20"/>
                <w:szCs w:val="20"/>
                <w:lang w:val="en-GB"/>
              </w:rPr>
              <w:t>To ensure a healthy body weight</w:t>
            </w:r>
            <w:r w:rsidR="003C41DB">
              <w:rPr>
                <w:rFonts w:ascii="Times New Roman" w:hAnsi="Times New Roman" w:cs="Times New Roman"/>
                <w:bCs/>
                <w:iCs/>
                <w:sz w:val="20"/>
                <w:szCs w:val="20"/>
                <w:lang w:val="en-GB"/>
              </w:rPr>
              <w:t xml:space="preserve"> (avoid becoming overweight or underweight) </w:t>
            </w:r>
          </w:p>
        </w:tc>
      </w:tr>
      <w:tr w:rsidR="007D4E5D" w:rsidRPr="002A0210" w14:paraId="3C8CA801" w14:textId="77777777" w:rsidTr="003C41DB">
        <w:trPr>
          <w:jc w:val="center"/>
        </w:trPr>
        <w:tc>
          <w:tcPr>
            <w:tcW w:w="2689" w:type="dxa"/>
            <w:vMerge w:val="restart"/>
          </w:tcPr>
          <w:p w14:paraId="798C67AF"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sz w:val="20"/>
                <w:szCs w:val="20"/>
                <w:lang w:val="en-GB"/>
              </w:rPr>
              <w:t>Fall prevention</w:t>
            </w:r>
          </w:p>
        </w:tc>
        <w:tc>
          <w:tcPr>
            <w:tcW w:w="6662" w:type="dxa"/>
          </w:tcPr>
          <w:p w14:paraId="1A72AE12"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r w:rsidRPr="002A0210">
              <w:rPr>
                <w:rFonts w:ascii="Times New Roman" w:hAnsi="Times New Roman" w:cs="Times New Roman"/>
                <w:bCs/>
                <w:iCs/>
                <w:sz w:val="20"/>
                <w:szCs w:val="20"/>
                <w:lang w:val="en-GB"/>
              </w:rPr>
              <w:t>Not included</w:t>
            </w:r>
          </w:p>
        </w:tc>
      </w:tr>
      <w:tr w:rsidR="007D4E5D" w:rsidRPr="004B552A" w14:paraId="35CD8832" w14:textId="77777777" w:rsidTr="003C41DB">
        <w:trPr>
          <w:jc w:val="center"/>
        </w:trPr>
        <w:tc>
          <w:tcPr>
            <w:tcW w:w="2689" w:type="dxa"/>
            <w:vMerge/>
          </w:tcPr>
          <w:p w14:paraId="7B16026E"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p>
        </w:tc>
        <w:tc>
          <w:tcPr>
            <w:tcW w:w="6662" w:type="dxa"/>
          </w:tcPr>
          <w:p w14:paraId="16682E86" w14:textId="3F40E3B8" w:rsidR="007D4E5D" w:rsidRPr="003C41DB" w:rsidRDefault="007D4E5D" w:rsidP="00B963D7">
            <w:pPr>
              <w:pStyle w:val="ListParagraph"/>
              <w:spacing w:after="0" w:line="360" w:lineRule="auto"/>
              <w:ind w:left="0"/>
              <w:rPr>
                <w:rFonts w:ascii="Times New Roman" w:hAnsi="Times New Roman" w:cs="Times New Roman"/>
                <w:sz w:val="24"/>
                <w:szCs w:val="24"/>
                <w:lang w:val="en-GB"/>
              </w:rPr>
            </w:pPr>
            <w:r w:rsidRPr="002A0210">
              <w:rPr>
                <w:rFonts w:ascii="Times New Roman" w:hAnsi="Times New Roman" w:cs="Times New Roman"/>
                <w:bCs/>
                <w:iCs/>
                <w:sz w:val="20"/>
                <w:szCs w:val="20"/>
                <w:lang w:val="en-GB"/>
              </w:rPr>
              <w:t>General advice</w:t>
            </w:r>
            <w:r w:rsidR="003C41DB">
              <w:rPr>
                <w:rFonts w:ascii="Times New Roman" w:hAnsi="Times New Roman" w:cs="Times New Roman"/>
                <w:bCs/>
                <w:iCs/>
                <w:sz w:val="20"/>
                <w:szCs w:val="20"/>
                <w:lang w:val="en-GB"/>
              </w:rPr>
              <w:t xml:space="preserve"> (</w:t>
            </w:r>
            <w:r w:rsidR="003C41DB" w:rsidRPr="003C41DB">
              <w:rPr>
                <w:rFonts w:ascii="Times New Roman" w:hAnsi="Times New Roman" w:cs="Times New Roman"/>
                <w:bCs/>
                <w:iCs/>
                <w:sz w:val="20"/>
                <w:szCs w:val="20"/>
                <w:lang w:val="en-GB"/>
              </w:rPr>
              <w:t>you receive a leaflet with general advice on avoiding falls</w:t>
            </w:r>
            <w:r w:rsidR="00BA3C82">
              <w:rPr>
                <w:rFonts w:ascii="Times New Roman" w:hAnsi="Times New Roman" w:cs="Times New Roman"/>
                <w:bCs/>
                <w:iCs/>
                <w:sz w:val="20"/>
                <w:szCs w:val="20"/>
                <w:lang w:val="en-GB"/>
              </w:rPr>
              <w:t>,</w:t>
            </w:r>
            <w:r w:rsidR="003C41DB" w:rsidRPr="003C41DB">
              <w:rPr>
                <w:rFonts w:ascii="Times New Roman" w:hAnsi="Times New Roman" w:cs="Times New Roman"/>
                <w:bCs/>
                <w:iCs/>
                <w:sz w:val="20"/>
                <w:szCs w:val="20"/>
                <w:lang w:val="en-GB"/>
              </w:rPr>
              <w:t xml:space="preserve"> including removing objects from around the house that increase risk of falling)</w:t>
            </w:r>
          </w:p>
        </w:tc>
      </w:tr>
      <w:tr w:rsidR="007D4E5D" w:rsidRPr="004B552A" w14:paraId="02A9ED8E" w14:textId="77777777" w:rsidTr="003C41DB">
        <w:trPr>
          <w:jc w:val="center"/>
        </w:trPr>
        <w:tc>
          <w:tcPr>
            <w:tcW w:w="2689" w:type="dxa"/>
            <w:vMerge/>
          </w:tcPr>
          <w:p w14:paraId="28EEC4E0" w14:textId="77777777" w:rsidR="007D4E5D" w:rsidRPr="002A0210" w:rsidRDefault="007D4E5D" w:rsidP="00B963D7">
            <w:pPr>
              <w:pStyle w:val="ListParagraph"/>
              <w:spacing w:after="0" w:line="360" w:lineRule="auto"/>
              <w:ind w:left="0"/>
              <w:rPr>
                <w:rFonts w:ascii="Times New Roman" w:hAnsi="Times New Roman" w:cs="Times New Roman"/>
                <w:bCs/>
                <w:iCs/>
                <w:sz w:val="20"/>
                <w:szCs w:val="20"/>
                <w:lang w:val="en-GB"/>
              </w:rPr>
            </w:pPr>
          </w:p>
        </w:tc>
        <w:tc>
          <w:tcPr>
            <w:tcW w:w="6662" w:type="dxa"/>
          </w:tcPr>
          <w:p w14:paraId="6B038FA0" w14:textId="01BC926B" w:rsidR="007D4E5D" w:rsidRPr="003C41DB" w:rsidRDefault="007D4E5D" w:rsidP="00B963D7">
            <w:pPr>
              <w:autoSpaceDE w:val="0"/>
              <w:autoSpaceDN w:val="0"/>
              <w:adjustRightInd w:val="0"/>
              <w:spacing w:line="360" w:lineRule="auto"/>
              <w:rPr>
                <w:rFonts w:ascii="Times New Roman" w:hAnsi="Times New Roman" w:cs="Times New Roman"/>
                <w:sz w:val="24"/>
                <w:szCs w:val="24"/>
                <w:lang w:val="en-GB"/>
              </w:rPr>
            </w:pPr>
            <w:r w:rsidRPr="002A0210">
              <w:rPr>
                <w:rFonts w:ascii="Times New Roman" w:hAnsi="Times New Roman" w:cs="Times New Roman"/>
                <w:bCs/>
                <w:iCs/>
                <w:sz w:val="20"/>
                <w:szCs w:val="20"/>
                <w:lang w:val="en-GB"/>
              </w:rPr>
              <w:t xml:space="preserve">To </w:t>
            </w:r>
            <w:r w:rsidR="00BA3C82">
              <w:rPr>
                <w:rFonts w:ascii="Times New Roman" w:hAnsi="Times New Roman" w:cs="Times New Roman"/>
                <w:bCs/>
                <w:iCs/>
                <w:sz w:val="20"/>
                <w:szCs w:val="20"/>
                <w:lang w:val="en-GB"/>
              </w:rPr>
              <w:t>participate in</w:t>
            </w:r>
            <w:r w:rsidR="000A1724" w:rsidRPr="002A0210">
              <w:rPr>
                <w:rFonts w:ascii="Times New Roman" w:hAnsi="Times New Roman" w:cs="Times New Roman"/>
                <w:bCs/>
                <w:iCs/>
                <w:sz w:val="20"/>
                <w:szCs w:val="20"/>
                <w:lang w:val="en-GB"/>
              </w:rPr>
              <w:t xml:space="preserve"> </w:t>
            </w:r>
            <w:r w:rsidRPr="002A0210">
              <w:rPr>
                <w:rFonts w:ascii="Times New Roman" w:hAnsi="Times New Roman" w:cs="Times New Roman"/>
                <w:bCs/>
                <w:iCs/>
                <w:sz w:val="20"/>
                <w:szCs w:val="20"/>
                <w:lang w:val="en-GB"/>
              </w:rPr>
              <w:t>a falls prevention program</w:t>
            </w:r>
            <w:r w:rsidR="003C41DB">
              <w:rPr>
                <w:rFonts w:ascii="Times New Roman" w:hAnsi="Times New Roman" w:cs="Times New Roman"/>
                <w:bCs/>
                <w:iCs/>
                <w:sz w:val="20"/>
                <w:szCs w:val="20"/>
                <w:lang w:val="en-GB"/>
              </w:rPr>
              <w:t xml:space="preserve"> (</w:t>
            </w:r>
            <w:r w:rsidR="003C41DB" w:rsidRPr="003C41DB">
              <w:rPr>
                <w:rFonts w:ascii="Times New Roman" w:hAnsi="Times New Roman" w:cs="Times New Roman"/>
                <w:bCs/>
                <w:iCs/>
                <w:sz w:val="20"/>
                <w:szCs w:val="20"/>
                <w:lang w:val="en-GB"/>
              </w:rPr>
              <w:t>a one-day course that teaches you about the avoidable circumstances in which most people fall and also teaches you how to protect yourself when falling in order to reduce your risk of fracture)</w:t>
            </w:r>
          </w:p>
        </w:tc>
      </w:tr>
    </w:tbl>
    <w:p w14:paraId="3174B421" w14:textId="77777777" w:rsidR="007D4E5D" w:rsidRDefault="007D4E5D" w:rsidP="00CF60A0">
      <w:pPr>
        <w:pStyle w:val="ListParagraph"/>
        <w:spacing w:after="0" w:line="240" w:lineRule="auto"/>
        <w:ind w:left="0"/>
        <w:rPr>
          <w:rFonts w:ascii="Times New Roman" w:hAnsi="Times New Roman" w:cs="Times New Roman"/>
          <w:b/>
          <w:bCs/>
          <w:iCs/>
          <w:sz w:val="20"/>
          <w:szCs w:val="20"/>
          <w:lang w:val="en-GB"/>
        </w:rPr>
      </w:pPr>
    </w:p>
    <w:p w14:paraId="15329CFF" w14:textId="77777777" w:rsidR="007D4E5D" w:rsidRDefault="007D4E5D">
      <w:pPr>
        <w:rPr>
          <w:rFonts w:ascii="Times New Roman" w:hAnsi="Times New Roman" w:cs="Times New Roman"/>
          <w:b/>
          <w:bCs/>
          <w:iCs/>
          <w:sz w:val="20"/>
          <w:szCs w:val="20"/>
          <w:lang w:val="en-GB"/>
        </w:rPr>
      </w:pPr>
      <w:r>
        <w:rPr>
          <w:rFonts w:ascii="Times New Roman" w:hAnsi="Times New Roman" w:cs="Times New Roman"/>
          <w:b/>
          <w:bCs/>
          <w:iCs/>
          <w:sz w:val="20"/>
          <w:szCs w:val="20"/>
          <w:lang w:val="en-GB"/>
        </w:rPr>
        <w:br w:type="page"/>
      </w:r>
    </w:p>
    <w:p w14:paraId="742CF11E" w14:textId="77777777" w:rsidR="007D4E5D" w:rsidRDefault="007D4E5D" w:rsidP="00CF60A0">
      <w:pPr>
        <w:pStyle w:val="ListParagraph"/>
        <w:spacing w:after="0" w:line="240" w:lineRule="auto"/>
        <w:ind w:left="0"/>
        <w:rPr>
          <w:rFonts w:ascii="Times New Roman" w:hAnsi="Times New Roman" w:cs="Times New Roman"/>
          <w:b/>
          <w:bCs/>
          <w:iCs/>
          <w:sz w:val="20"/>
          <w:szCs w:val="20"/>
          <w:lang w:val="en-GB"/>
        </w:rPr>
        <w:sectPr w:rsidR="007D4E5D" w:rsidSect="007D4E5D">
          <w:footerReference w:type="default" r:id="rId10"/>
          <w:pgSz w:w="12240" w:h="15840"/>
          <w:pgMar w:top="1440" w:right="1440" w:bottom="1440" w:left="1440" w:header="708" w:footer="708" w:gutter="0"/>
          <w:cols w:space="708"/>
          <w:docGrid w:linePitch="360"/>
        </w:sectPr>
      </w:pPr>
    </w:p>
    <w:p w14:paraId="5F32387C" w14:textId="34944218" w:rsidR="00CF60A0" w:rsidRDefault="00CF60A0" w:rsidP="00CF60A0">
      <w:pPr>
        <w:pStyle w:val="ListParagraph"/>
        <w:spacing w:after="0" w:line="240" w:lineRule="auto"/>
        <w:ind w:left="0"/>
        <w:rPr>
          <w:rFonts w:ascii="Times New Roman" w:hAnsi="Times New Roman" w:cs="Times New Roman"/>
          <w:b/>
          <w:bCs/>
          <w:iCs/>
          <w:sz w:val="20"/>
          <w:szCs w:val="20"/>
          <w:lang w:val="en-GB"/>
        </w:rPr>
      </w:pPr>
      <w:bookmarkStart w:id="7" w:name="_Hlk83732230"/>
      <w:r>
        <w:rPr>
          <w:rFonts w:ascii="Times New Roman" w:hAnsi="Times New Roman" w:cs="Times New Roman"/>
          <w:b/>
          <w:bCs/>
          <w:iCs/>
          <w:sz w:val="20"/>
          <w:szCs w:val="20"/>
          <w:lang w:val="en-GB"/>
        </w:rPr>
        <w:t xml:space="preserve">Table </w:t>
      </w:r>
      <w:r w:rsidR="007D4E5D">
        <w:rPr>
          <w:rFonts w:ascii="Times New Roman" w:hAnsi="Times New Roman" w:cs="Times New Roman"/>
          <w:b/>
          <w:bCs/>
          <w:iCs/>
          <w:sz w:val="20"/>
          <w:szCs w:val="20"/>
          <w:lang w:val="en-GB"/>
        </w:rPr>
        <w:t>2</w:t>
      </w:r>
      <w:r w:rsidR="00BA3C82">
        <w:rPr>
          <w:rFonts w:ascii="Times New Roman" w:hAnsi="Times New Roman" w:cs="Times New Roman"/>
          <w:b/>
          <w:bCs/>
          <w:iCs/>
          <w:sz w:val="20"/>
          <w:szCs w:val="20"/>
          <w:lang w:val="en-GB"/>
        </w:rPr>
        <w:t xml:space="preserve"> -</w:t>
      </w:r>
      <w:r>
        <w:rPr>
          <w:rFonts w:ascii="Times New Roman" w:hAnsi="Times New Roman" w:cs="Times New Roman"/>
          <w:b/>
          <w:bCs/>
          <w:iCs/>
          <w:sz w:val="20"/>
          <w:szCs w:val="20"/>
          <w:lang w:val="en-GB"/>
        </w:rPr>
        <w:t xml:space="preserve"> Patient characteristics</w:t>
      </w:r>
    </w:p>
    <w:p w14:paraId="0C61DDD3" w14:textId="77777777" w:rsidR="00CF60A0" w:rsidRDefault="00CF60A0" w:rsidP="00CF60A0">
      <w:pPr>
        <w:pStyle w:val="ListParagraph"/>
        <w:spacing w:after="0" w:line="240" w:lineRule="auto"/>
        <w:ind w:left="0"/>
        <w:rPr>
          <w:rFonts w:ascii="Times New Roman" w:hAnsi="Times New Roman" w:cs="Times New Roman"/>
          <w:b/>
          <w:bCs/>
          <w:iCs/>
          <w:sz w:val="20"/>
          <w:szCs w:val="20"/>
          <w:lang w:val="en-GB"/>
        </w:rPr>
      </w:pPr>
    </w:p>
    <w:tbl>
      <w:tblPr>
        <w:tblStyle w:val="TableGrid"/>
        <w:tblW w:w="15300" w:type="dxa"/>
        <w:tblInd w:w="-1085" w:type="dxa"/>
        <w:tblLook w:val="04A0" w:firstRow="1" w:lastRow="0" w:firstColumn="1" w:lastColumn="0" w:noHBand="0" w:noVBand="1"/>
      </w:tblPr>
      <w:tblGrid>
        <w:gridCol w:w="2519"/>
        <w:gridCol w:w="1530"/>
        <w:gridCol w:w="1170"/>
        <w:gridCol w:w="1620"/>
        <w:gridCol w:w="1711"/>
        <w:gridCol w:w="1980"/>
        <w:gridCol w:w="1440"/>
        <w:gridCol w:w="1890"/>
        <w:gridCol w:w="1440"/>
      </w:tblGrid>
      <w:tr w:rsidR="00CF60A0" w14:paraId="6E0B1DEC" w14:textId="77777777" w:rsidTr="00693569">
        <w:tc>
          <w:tcPr>
            <w:tcW w:w="2519" w:type="dxa"/>
          </w:tcPr>
          <w:p w14:paraId="24ADCD42" w14:textId="77777777" w:rsidR="00CF60A0" w:rsidRDefault="00CF60A0" w:rsidP="00B963D7">
            <w:pPr>
              <w:pStyle w:val="ListParagraph"/>
              <w:spacing w:after="0"/>
              <w:ind w:left="0"/>
              <w:jc w:val="center"/>
              <w:rPr>
                <w:rFonts w:ascii="Times New Roman" w:hAnsi="Times New Roman" w:cs="Times New Roman"/>
                <w:b/>
                <w:bCs/>
                <w:iCs/>
                <w:sz w:val="20"/>
                <w:szCs w:val="20"/>
                <w:lang w:val="en-GB"/>
              </w:rPr>
            </w:pPr>
          </w:p>
        </w:tc>
        <w:tc>
          <w:tcPr>
            <w:tcW w:w="1530" w:type="dxa"/>
          </w:tcPr>
          <w:p w14:paraId="3AA81925" w14:textId="77777777" w:rsidR="00CF60A0" w:rsidRDefault="00CF60A0" w:rsidP="00B963D7">
            <w:pPr>
              <w:pStyle w:val="ListParagraph"/>
              <w:spacing w:after="0"/>
              <w:ind w:left="0"/>
              <w:jc w:val="center"/>
              <w:rPr>
                <w:rFonts w:ascii="Times New Roman" w:hAnsi="Times New Roman" w:cs="Times New Roman"/>
                <w:b/>
                <w:bCs/>
                <w:iCs/>
                <w:sz w:val="20"/>
                <w:szCs w:val="20"/>
                <w:lang w:val="en-GB"/>
              </w:rPr>
            </w:pPr>
            <w:r>
              <w:rPr>
                <w:rFonts w:ascii="Times New Roman" w:hAnsi="Times New Roman" w:cs="Times New Roman"/>
                <w:b/>
                <w:bCs/>
                <w:iCs/>
                <w:sz w:val="20"/>
                <w:szCs w:val="20"/>
                <w:lang w:val="en-GB"/>
              </w:rPr>
              <w:t>Total (n=1042)</w:t>
            </w:r>
          </w:p>
        </w:tc>
        <w:tc>
          <w:tcPr>
            <w:tcW w:w="1170" w:type="dxa"/>
          </w:tcPr>
          <w:p w14:paraId="5DD974CF" w14:textId="77777777" w:rsidR="00CF60A0" w:rsidRDefault="00CF60A0" w:rsidP="00B963D7">
            <w:pPr>
              <w:pStyle w:val="ListParagraph"/>
              <w:spacing w:after="0"/>
              <w:ind w:left="0"/>
              <w:jc w:val="center"/>
              <w:rPr>
                <w:rFonts w:ascii="Times New Roman" w:hAnsi="Times New Roman" w:cs="Times New Roman"/>
                <w:b/>
                <w:bCs/>
                <w:iCs/>
                <w:sz w:val="20"/>
                <w:szCs w:val="20"/>
                <w:lang w:val="en-GB"/>
              </w:rPr>
            </w:pPr>
            <w:r>
              <w:rPr>
                <w:rFonts w:ascii="Times New Roman" w:hAnsi="Times New Roman" w:cs="Times New Roman"/>
                <w:b/>
                <w:bCs/>
                <w:iCs/>
                <w:sz w:val="20"/>
                <w:szCs w:val="20"/>
                <w:lang w:val="en-GB"/>
              </w:rPr>
              <w:t>UK (n=97)</w:t>
            </w:r>
          </w:p>
        </w:tc>
        <w:tc>
          <w:tcPr>
            <w:tcW w:w="1620" w:type="dxa"/>
          </w:tcPr>
          <w:p w14:paraId="7A631744" w14:textId="77777777" w:rsidR="00CF60A0" w:rsidRDefault="00CF60A0" w:rsidP="00B963D7">
            <w:pPr>
              <w:pStyle w:val="ListParagraph"/>
              <w:spacing w:after="0"/>
              <w:ind w:left="0"/>
              <w:jc w:val="center"/>
              <w:rPr>
                <w:rFonts w:ascii="Times New Roman" w:hAnsi="Times New Roman" w:cs="Times New Roman"/>
                <w:b/>
                <w:bCs/>
                <w:iCs/>
                <w:sz w:val="20"/>
                <w:szCs w:val="20"/>
                <w:lang w:val="en-GB"/>
              </w:rPr>
            </w:pPr>
            <w:r>
              <w:rPr>
                <w:rFonts w:ascii="Times New Roman" w:hAnsi="Times New Roman" w:cs="Times New Roman"/>
                <w:b/>
                <w:bCs/>
                <w:iCs/>
                <w:sz w:val="20"/>
                <w:szCs w:val="20"/>
                <w:lang w:val="en-GB"/>
              </w:rPr>
              <w:t>Ireland (n=197)</w:t>
            </w:r>
          </w:p>
        </w:tc>
        <w:tc>
          <w:tcPr>
            <w:tcW w:w="1711" w:type="dxa"/>
          </w:tcPr>
          <w:p w14:paraId="46808563" w14:textId="77777777" w:rsidR="00CF60A0" w:rsidRDefault="00CF60A0" w:rsidP="00B963D7">
            <w:pPr>
              <w:pStyle w:val="ListParagraph"/>
              <w:spacing w:after="0"/>
              <w:ind w:left="0"/>
              <w:jc w:val="center"/>
              <w:rPr>
                <w:rFonts w:ascii="Times New Roman" w:hAnsi="Times New Roman" w:cs="Times New Roman"/>
                <w:b/>
                <w:bCs/>
                <w:iCs/>
                <w:sz w:val="20"/>
                <w:szCs w:val="20"/>
                <w:lang w:val="en-GB"/>
              </w:rPr>
            </w:pPr>
            <w:r>
              <w:rPr>
                <w:rFonts w:ascii="Times New Roman" w:hAnsi="Times New Roman" w:cs="Times New Roman"/>
                <w:b/>
                <w:bCs/>
                <w:iCs/>
                <w:sz w:val="20"/>
                <w:szCs w:val="20"/>
                <w:lang w:val="en-GB"/>
              </w:rPr>
              <w:t>Belgium (n=244)</w:t>
            </w:r>
          </w:p>
        </w:tc>
        <w:tc>
          <w:tcPr>
            <w:tcW w:w="1980" w:type="dxa"/>
          </w:tcPr>
          <w:p w14:paraId="4B8A0034" w14:textId="77777777" w:rsidR="00CF60A0" w:rsidRDefault="00CF60A0" w:rsidP="00B963D7">
            <w:pPr>
              <w:pStyle w:val="ListParagraph"/>
              <w:spacing w:after="0"/>
              <w:ind w:left="0"/>
              <w:jc w:val="center"/>
              <w:rPr>
                <w:rFonts w:ascii="Times New Roman" w:hAnsi="Times New Roman" w:cs="Times New Roman"/>
                <w:b/>
                <w:bCs/>
                <w:iCs/>
                <w:sz w:val="20"/>
                <w:szCs w:val="20"/>
                <w:lang w:val="en-GB"/>
              </w:rPr>
            </w:pPr>
            <w:r>
              <w:rPr>
                <w:rFonts w:ascii="Times New Roman" w:hAnsi="Times New Roman" w:cs="Times New Roman"/>
                <w:b/>
                <w:bCs/>
                <w:iCs/>
                <w:sz w:val="20"/>
                <w:szCs w:val="20"/>
                <w:lang w:val="en-GB"/>
              </w:rPr>
              <w:t>Netherlands (n=169)</w:t>
            </w:r>
          </w:p>
        </w:tc>
        <w:tc>
          <w:tcPr>
            <w:tcW w:w="1440" w:type="dxa"/>
          </w:tcPr>
          <w:p w14:paraId="0836B18C" w14:textId="77777777" w:rsidR="00CF60A0" w:rsidRDefault="00CF60A0" w:rsidP="00B963D7">
            <w:pPr>
              <w:pStyle w:val="ListParagraph"/>
              <w:spacing w:after="0"/>
              <w:ind w:left="0"/>
              <w:jc w:val="center"/>
              <w:rPr>
                <w:rFonts w:ascii="Times New Roman" w:hAnsi="Times New Roman" w:cs="Times New Roman"/>
                <w:b/>
                <w:bCs/>
                <w:iCs/>
                <w:sz w:val="20"/>
                <w:szCs w:val="20"/>
                <w:lang w:val="en-GB"/>
              </w:rPr>
            </w:pPr>
            <w:r>
              <w:rPr>
                <w:rFonts w:ascii="Times New Roman" w:hAnsi="Times New Roman" w:cs="Times New Roman"/>
                <w:b/>
                <w:bCs/>
                <w:iCs/>
                <w:sz w:val="20"/>
                <w:szCs w:val="20"/>
                <w:lang w:val="en-GB"/>
              </w:rPr>
              <w:t>France (n=91)</w:t>
            </w:r>
          </w:p>
        </w:tc>
        <w:tc>
          <w:tcPr>
            <w:tcW w:w="1890" w:type="dxa"/>
          </w:tcPr>
          <w:p w14:paraId="3545F57E" w14:textId="77777777" w:rsidR="00CF60A0" w:rsidRDefault="00CF60A0" w:rsidP="00B963D7">
            <w:pPr>
              <w:pStyle w:val="ListParagraph"/>
              <w:spacing w:after="0"/>
              <w:ind w:left="0"/>
              <w:jc w:val="center"/>
              <w:rPr>
                <w:rFonts w:ascii="Times New Roman" w:hAnsi="Times New Roman" w:cs="Times New Roman"/>
                <w:b/>
                <w:bCs/>
                <w:iCs/>
                <w:sz w:val="20"/>
                <w:szCs w:val="20"/>
                <w:lang w:val="en-GB"/>
              </w:rPr>
            </w:pPr>
            <w:r>
              <w:rPr>
                <w:rFonts w:ascii="Times New Roman" w:hAnsi="Times New Roman" w:cs="Times New Roman"/>
                <w:b/>
                <w:bCs/>
                <w:iCs/>
                <w:sz w:val="20"/>
                <w:szCs w:val="20"/>
                <w:lang w:val="en-GB"/>
              </w:rPr>
              <w:t>Switzerland (n=98)</w:t>
            </w:r>
          </w:p>
        </w:tc>
        <w:tc>
          <w:tcPr>
            <w:tcW w:w="1440" w:type="dxa"/>
          </w:tcPr>
          <w:p w14:paraId="57E7AE00" w14:textId="77777777" w:rsidR="00CF60A0" w:rsidRDefault="00CF60A0" w:rsidP="00B963D7">
            <w:pPr>
              <w:pStyle w:val="ListParagraph"/>
              <w:spacing w:after="0"/>
              <w:ind w:left="0"/>
              <w:jc w:val="center"/>
              <w:rPr>
                <w:rFonts w:ascii="Times New Roman" w:hAnsi="Times New Roman" w:cs="Times New Roman"/>
                <w:b/>
                <w:bCs/>
                <w:iCs/>
                <w:sz w:val="20"/>
                <w:szCs w:val="20"/>
                <w:lang w:val="en-GB"/>
              </w:rPr>
            </w:pPr>
            <w:r>
              <w:rPr>
                <w:rFonts w:ascii="Times New Roman" w:hAnsi="Times New Roman" w:cs="Times New Roman"/>
                <w:b/>
                <w:bCs/>
                <w:iCs/>
                <w:sz w:val="20"/>
                <w:szCs w:val="20"/>
                <w:lang w:val="en-GB"/>
              </w:rPr>
              <w:t>Spain (n=146)</w:t>
            </w:r>
          </w:p>
        </w:tc>
      </w:tr>
      <w:tr w:rsidR="00CF60A0" w14:paraId="124D07C6" w14:textId="77777777" w:rsidTr="00693569">
        <w:trPr>
          <w:trHeight w:val="278"/>
        </w:trPr>
        <w:tc>
          <w:tcPr>
            <w:tcW w:w="2519" w:type="dxa"/>
            <w:vAlign w:val="center"/>
          </w:tcPr>
          <w:p w14:paraId="3B87E477" w14:textId="77777777" w:rsidR="00CF60A0" w:rsidRPr="009A5F6B" w:rsidRDefault="00CF60A0" w:rsidP="00B963D7">
            <w:pPr>
              <w:pStyle w:val="Default"/>
              <w:spacing w:line="276" w:lineRule="auto"/>
              <w:rPr>
                <w:b/>
                <w:sz w:val="20"/>
                <w:szCs w:val="20"/>
              </w:rPr>
            </w:pPr>
            <w:r w:rsidRPr="009A5F6B">
              <w:rPr>
                <w:b/>
                <w:bCs/>
                <w:iCs/>
                <w:sz w:val="20"/>
                <w:szCs w:val="20"/>
                <w:lang w:val="en-GB"/>
              </w:rPr>
              <w:t>Age (years, mean</w:t>
            </w:r>
            <w:r w:rsidRPr="009A5F6B">
              <w:rPr>
                <w:b/>
                <w:sz w:val="20"/>
                <w:szCs w:val="20"/>
              </w:rPr>
              <w:t xml:space="preserve"> ± SD)</w:t>
            </w:r>
          </w:p>
        </w:tc>
        <w:tc>
          <w:tcPr>
            <w:tcW w:w="1530" w:type="dxa"/>
          </w:tcPr>
          <w:p w14:paraId="67547B46" w14:textId="77777777" w:rsidR="00CF60A0" w:rsidRPr="007101E5" w:rsidRDefault="00CF60A0" w:rsidP="00B963D7">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64.9</w:t>
            </w:r>
            <w:r w:rsidRPr="007101E5">
              <w:rPr>
                <w:rFonts w:ascii="Times New Roman" w:hAnsi="Times New Roman" w:cs="Times New Roman"/>
                <w:sz w:val="20"/>
                <w:szCs w:val="20"/>
              </w:rPr>
              <w:t>±</w:t>
            </w:r>
            <w:r>
              <w:rPr>
                <w:rFonts w:ascii="Times New Roman" w:hAnsi="Times New Roman" w:cs="Times New Roman"/>
                <w:sz w:val="20"/>
                <w:szCs w:val="20"/>
              </w:rPr>
              <w:t>11.0</w:t>
            </w:r>
          </w:p>
        </w:tc>
        <w:tc>
          <w:tcPr>
            <w:tcW w:w="1170" w:type="dxa"/>
          </w:tcPr>
          <w:p w14:paraId="2F0A28AA" w14:textId="77777777" w:rsidR="00CF60A0" w:rsidRPr="007101E5" w:rsidRDefault="00CF60A0" w:rsidP="00B963D7">
            <w:pPr>
              <w:pStyle w:val="ListParagraph"/>
              <w:spacing w:after="0"/>
              <w:ind w:left="0"/>
              <w:jc w:val="center"/>
              <w:rPr>
                <w:rFonts w:ascii="Times New Roman" w:hAnsi="Times New Roman" w:cs="Times New Roman"/>
                <w:bCs/>
                <w:iCs/>
                <w:sz w:val="20"/>
                <w:szCs w:val="20"/>
                <w:lang w:val="en-GB"/>
              </w:rPr>
            </w:pPr>
            <w:r w:rsidRPr="007101E5">
              <w:rPr>
                <w:rFonts w:ascii="Times New Roman" w:hAnsi="Times New Roman" w:cs="Times New Roman"/>
                <w:bCs/>
                <w:iCs/>
                <w:sz w:val="20"/>
                <w:szCs w:val="20"/>
                <w:lang w:val="en-GB"/>
              </w:rPr>
              <w:t>70.1</w:t>
            </w:r>
            <w:r w:rsidRPr="007101E5">
              <w:rPr>
                <w:rFonts w:ascii="Times New Roman" w:hAnsi="Times New Roman" w:cs="Times New Roman"/>
                <w:sz w:val="20"/>
                <w:szCs w:val="20"/>
              </w:rPr>
              <w:t>±8.5</w:t>
            </w:r>
          </w:p>
        </w:tc>
        <w:tc>
          <w:tcPr>
            <w:tcW w:w="1620" w:type="dxa"/>
          </w:tcPr>
          <w:p w14:paraId="33C6BB61" w14:textId="77777777" w:rsidR="00CF60A0" w:rsidRPr="00E65B99" w:rsidRDefault="00CF60A0" w:rsidP="00B963D7">
            <w:pPr>
              <w:pStyle w:val="ListParagraph"/>
              <w:spacing w:after="0"/>
              <w:ind w:left="0"/>
              <w:jc w:val="center"/>
              <w:rPr>
                <w:rFonts w:ascii="Times New Roman" w:hAnsi="Times New Roman" w:cs="Times New Roman"/>
                <w:bCs/>
                <w:iCs/>
                <w:sz w:val="20"/>
                <w:szCs w:val="20"/>
                <w:lang w:val="en-GB"/>
              </w:rPr>
            </w:pPr>
            <w:r w:rsidRPr="00E65B99">
              <w:rPr>
                <w:rFonts w:ascii="Times New Roman" w:hAnsi="Times New Roman" w:cs="Times New Roman"/>
                <w:bCs/>
                <w:iCs/>
                <w:sz w:val="20"/>
                <w:szCs w:val="20"/>
                <w:lang w:val="en-GB"/>
              </w:rPr>
              <w:t>64.0</w:t>
            </w:r>
            <w:r w:rsidRPr="00E65B99">
              <w:rPr>
                <w:rFonts w:ascii="Times New Roman" w:hAnsi="Times New Roman" w:cs="Times New Roman"/>
                <w:sz w:val="20"/>
                <w:szCs w:val="20"/>
              </w:rPr>
              <w:t>±12.0</w:t>
            </w:r>
          </w:p>
        </w:tc>
        <w:tc>
          <w:tcPr>
            <w:tcW w:w="1711" w:type="dxa"/>
          </w:tcPr>
          <w:p w14:paraId="6A0F45DD" w14:textId="77777777" w:rsidR="00CF60A0" w:rsidRPr="00CF1E9F" w:rsidRDefault="00CF60A0" w:rsidP="00B963D7">
            <w:pPr>
              <w:pStyle w:val="ListParagraph"/>
              <w:spacing w:after="0"/>
              <w:ind w:left="0"/>
              <w:jc w:val="center"/>
              <w:rPr>
                <w:rFonts w:ascii="Times New Roman" w:hAnsi="Times New Roman" w:cs="Times New Roman"/>
                <w:bCs/>
                <w:iCs/>
                <w:sz w:val="20"/>
                <w:szCs w:val="20"/>
                <w:lang w:val="en-GB"/>
              </w:rPr>
            </w:pPr>
            <w:r w:rsidRPr="00CF1E9F">
              <w:rPr>
                <w:rFonts w:ascii="Times New Roman" w:hAnsi="Times New Roman" w:cs="Times New Roman"/>
                <w:bCs/>
                <w:iCs/>
                <w:sz w:val="20"/>
                <w:szCs w:val="20"/>
                <w:lang w:val="en-GB"/>
              </w:rPr>
              <w:t>66.9</w:t>
            </w:r>
            <w:r w:rsidRPr="00CF1E9F">
              <w:rPr>
                <w:rFonts w:ascii="Times New Roman" w:hAnsi="Times New Roman" w:cs="Times New Roman"/>
                <w:sz w:val="20"/>
                <w:szCs w:val="20"/>
              </w:rPr>
              <w:t>±10.4</w:t>
            </w:r>
          </w:p>
        </w:tc>
        <w:tc>
          <w:tcPr>
            <w:tcW w:w="1980" w:type="dxa"/>
          </w:tcPr>
          <w:p w14:paraId="66F81004" w14:textId="77777777" w:rsidR="00CF60A0" w:rsidRPr="00FB5507" w:rsidRDefault="00CF60A0" w:rsidP="00B963D7">
            <w:pPr>
              <w:pStyle w:val="ListParagraph"/>
              <w:spacing w:after="0"/>
              <w:ind w:left="0"/>
              <w:jc w:val="center"/>
              <w:rPr>
                <w:rFonts w:ascii="Times New Roman" w:hAnsi="Times New Roman" w:cs="Times New Roman"/>
                <w:bCs/>
                <w:iCs/>
                <w:sz w:val="20"/>
                <w:szCs w:val="20"/>
                <w:lang w:val="en-GB"/>
              </w:rPr>
            </w:pPr>
            <w:r w:rsidRPr="00FB5507">
              <w:rPr>
                <w:rFonts w:ascii="Times New Roman" w:hAnsi="Times New Roman" w:cs="Times New Roman"/>
                <w:bCs/>
                <w:iCs/>
                <w:sz w:val="20"/>
                <w:szCs w:val="20"/>
                <w:lang w:val="en-GB"/>
              </w:rPr>
              <w:t>65.3</w:t>
            </w:r>
            <w:r w:rsidRPr="00FB5507">
              <w:rPr>
                <w:rFonts w:ascii="Times New Roman" w:hAnsi="Times New Roman" w:cs="Times New Roman"/>
                <w:sz w:val="20"/>
                <w:szCs w:val="20"/>
              </w:rPr>
              <w:t>±10.8</w:t>
            </w:r>
          </w:p>
        </w:tc>
        <w:tc>
          <w:tcPr>
            <w:tcW w:w="1440" w:type="dxa"/>
          </w:tcPr>
          <w:p w14:paraId="558B5666" w14:textId="77777777" w:rsidR="00CF60A0" w:rsidRPr="00CF04F5" w:rsidRDefault="00CF60A0" w:rsidP="00B963D7">
            <w:pPr>
              <w:pStyle w:val="ListParagraph"/>
              <w:spacing w:after="0"/>
              <w:ind w:left="0"/>
              <w:jc w:val="center"/>
              <w:rPr>
                <w:rFonts w:ascii="Times New Roman" w:hAnsi="Times New Roman" w:cs="Times New Roman"/>
                <w:bCs/>
                <w:iCs/>
                <w:sz w:val="20"/>
                <w:szCs w:val="20"/>
                <w:lang w:val="en-GB"/>
              </w:rPr>
            </w:pPr>
            <w:r w:rsidRPr="00CF04F5">
              <w:rPr>
                <w:rFonts w:ascii="Times New Roman" w:hAnsi="Times New Roman" w:cs="Times New Roman"/>
                <w:bCs/>
                <w:iCs/>
                <w:sz w:val="20"/>
                <w:szCs w:val="20"/>
                <w:lang w:val="en-GB"/>
              </w:rPr>
              <w:t>66.8</w:t>
            </w:r>
            <w:r w:rsidRPr="00CF04F5">
              <w:rPr>
                <w:rFonts w:ascii="Times New Roman" w:hAnsi="Times New Roman" w:cs="Times New Roman"/>
                <w:sz w:val="20"/>
                <w:szCs w:val="20"/>
              </w:rPr>
              <w:t>±10.6</w:t>
            </w:r>
          </w:p>
        </w:tc>
        <w:tc>
          <w:tcPr>
            <w:tcW w:w="1890" w:type="dxa"/>
          </w:tcPr>
          <w:p w14:paraId="5D7E64F0" w14:textId="77777777" w:rsidR="00CF60A0" w:rsidRPr="00166E02" w:rsidRDefault="00CF60A0" w:rsidP="00B963D7">
            <w:pPr>
              <w:pStyle w:val="ListParagraph"/>
              <w:spacing w:after="0"/>
              <w:ind w:left="0"/>
              <w:jc w:val="center"/>
              <w:rPr>
                <w:rFonts w:ascii="Times New Roman" w:hAnsi="Times New Roman" w:cs="Times New Roman"/>
                <w:bCs/>
                <w:iCs/>
                <w:sz w:val="20"/>
                <w:szCs w:val="20"/>
                <w:lang w:val="en-GB"/>
              </w:rPr>
            </w:pPr>
            <w:r w:rsidRPr="00166E02">
              <w:rPr>
                <w:rFonts w:ascii="Times New Roman" w:hAnsi="Times New Roman" w:cs="Times New Roman"/>
                <w:bCs/>
                <w:iCs/>
                <w:sz w:val="20"/>
                <w:szCs w:val="20"/>
                <w:lang w:val="en-GB"/>
              </w:rPr>
              <w:t>62.5</w:t>
            </w:r>
            <w:r w:rsidRPr="00166E02">
              <w:rPr>
                <w:rFonts w:ascii="Times New Roman" w:hAnsi="Times New Roman" w:cs="Times New Roman"/>
                <w:sz w:val="20"/>
                <w:szCs w:val="20"/>
              </w:rPr>
              <w:t>±9.3</w:t>
            </w:r>
          </w:p>
        </w:tc>
        <w:tc>
          <w:tcPr>
            <w:tcW w:w="1440" w:type="dxa"/>
          </w:tcPr>
          <w:p w14:paraId="54F33BE1" w14:textId="77777777" w:rsidR="00CF60A0" w:rsidRPr="004618D8" w:rsidRDefault="00CF60A0" w:rsidP="00B963D7">
            <w:pPr>
              <w:pStyle w:val="ListParagraph"/>
              <w:spacing w:after="0"/>
              <w:ind w:left="0"/>
              <w:jc w:val="center"/>
              <w:rPr>
                <w:rFonts w:ascii="Times New Roman" w:hAnsi="Times New Roman" w:cs="Times New Roman"/>
                <w:bCs/>
                <w:iCs/>
                <w:sz w:val="20"/>
                <w:szCs w:val="20"/>
                <w:lang w:val="en-GB"/>
              </w:rPr>
            </w:pPr>
            <w:r w:rsidRPr="004618D8">
              <w:rPr>
                <w:rFonts w:ascii="Times New Roman" w:hAnsi="Times New Roman" w:cs="Times New Roman"/>
                <w:bCs/>
                <w:iCs/>
                <w:sz w:val="20"/>
                <w:szCs w:val="20"/>
                <w:lang w:val="en-GB"/>
              </w:rPr>
              <w:t>58.5</w:t>
            </w:r>
            <w:r w:rsidRPr="004618D8">
              <w:rPr>
                <w:rFonts w:ascii="Times New Roman" w:hAnsi="Times New Roman" w:cs="Times New Roman"/>
                <w:sz w:val="20"/>
                <w:szCs w:val="20"/>
              </w:rPr>
              <w:t>±9.8</w:t>
            </w:r>
          </w:p>
        </w:tc>
      </w:tr>
      <w:tr w:rsidR="00CF60A0" w14:paraId="499FBBFE" w14:textId="77777777" w:rsidTr="00693569">
        <w:tc>
          <w:tcPr>
            <w:tcW w:w="2519" w:type="dxa"/>
          </w:tcPr>
          <w:p w14:paraId="302FF306" w14:textId="77777777" w:rsidR="00CF60A0" w:rsidRPr="009A5F6B" w:rsidRDefault="00CF60A0" w:rsidP="00B963D7">
            <w:pPr>
              <w:pStyle w:val="ListParagraph"/>
              <w:spacing w:after="0"/>
              <w:ind w:left="0"/>
              <w:rPr>
                <w:rFonts w:ascii="Times New Roman" w:hAnsi="Times New Roman" w:cs="Times New Roman"/>
                <w:b/>
                <w:bCs/>
                <w:iCs/>
                <w:sz w:val="20"/>
                <w:szCs w:val="20"/>
                <w:lang w:val="en-GB"/>
              </w:rPr>
            </w:pPr>
            <w:r w:rsidRPr="009A5F6B">
              <w:rPr>
                <w:rFonts w:ascii="Times New Roman" w:hAnsi="Times New Roman" w:cs="Times New Roman"/>
                <w:b/>
                <w:bCs/>
                <w:iCs/>
                <w:sz w:val="20"/>
                <w:szCs w:val="20"/>
                <w:lang w:val="en-GB"/>
              </w:rPr>
              <w:t>Female (%)</w:t>
            </w:r>
          </w:p>
        </w:tc>
        <w:tc>
          <w:tcPr>
            <w:tcW w:w="1530" w:type="dxa"/>
          </w:tcPr>
          <w:p w14:paraId="3A8AFA95" w14:textId="77777777" w:rsidR="00CF60A0" w:rsidRDefault="00CF60A0" w:rsidP="00B963D7">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84.8%</w:t>
            </w:r>
          </w:p>
        </w:tc>
        <w:tc>
          <w:tcPr>
            <w:tcW w:w="1170" w:type="dxa"/>
          </w:tcPr>
          <w:p w14:paraId="00BBF1F6" w14:textId="77777777" w:rsidR="00CF60A0" w:rsidRPr="007101E5" w:rsidRDefault="00CF60A0" w:rsidP="00B963D7">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91.7%</w:t>
            </w:r>
          </w:p>
        </w:tc>
        <w:tc>
          <w:tcPr>
            <w:tcW w:w="1620" w:type="dxa"/>
          </w:tcPr>
          <w:p w14:paraId="453E16F3" w14:textId="77777777" w:rsidR="00CF60A0" w:rsidRPr="00E65B99" w:rsidRDefault="00CF60A0" w:rsidP="00B963D7">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86</w:t>
            </w:r>
            <w:r w:rsidRPr="00E65B99">
              <w:rPr>
                <w:rFonts w:ascii="Times New Roman" w:hAnsi="Times New Roman" w:cs="Times New Roman"/>
                <w:bCs/>
                <w:iCs/>
                <w:sz w:val="20"/>
                <w:szCs w:val="20"/>
                <w:lang w:val="en-GB"/>
              </w:rPr>
              <w:t>.7%</w:t>
            </w:r>
          </w:p>
        </w:tc>
        <w:tc>
          <w:tcPr>
            <w:tcW w:w="1711" w:type="dxa"/>
          </w:tcPr>
          <w:p w14:paraId="7A034509" w14:textId="77777777" w:rsidR="00CF60A0" w:rsidRPr="00CF1E9F" w:rsidRDefault="00CF60A0" w:rsidP="00B963D7">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80.8%</w:t>
            </w:r>
          </w:p>
        </w:tc>
        <w:tc>
          <w:tcPr>
            <w:tcW w:w="1980" w:type="dxa"/>
          </w:tcPr>
          <w:p w14:paraId="6A7C70FD" w14:textId="77777777" w:rsidR="00CF60A0" w:rsidRPr="00FB5507" w:rsidRDefault="00CF60A0" w:rsidP="00B963D7">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78.2%</w:t>
            </w:r>
          </w:p>
        </w:tc>
        <w:tc>
          <w:tcPr>
            <w:tcW w:w="1440" w:type="dxa"/>
          </w:tcPr>
          <w:p w14:paraId="43078A87" w14:textId="77777777" w:rsidR="00CF60A0" w:rsidRPr="00CF04F5" w:rsidRDefault="00CF60A0" w:rsidP="00B963D7">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90.9%</w:t>
            </w:r>
          </w:p>
        </w:tc>
        <w:tc>
          <w:tcPr>
            <w:tcW w:w="1890" w:type="dxa"/>
          </w:tcPr>
          <w:p w14:paraId="135A371C" w14:textId="77777777" w:rsidR="00CF60A0" w:rsidRPr="00166E02" w:rsidRDefault="00CF60A0" w:rsidP="00B963D7">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81.1%</w:t>
            </w:r>
          </w:p>
        </w:tc>
        <w:tc>
          <w:tcPr>
            <w:tcW w:w="1440" w:type="dxa"/>
          </w:tcPr>
          <w:p w14:paraId="0700ED64" w14:textId="77777777" w:rsidR="00CF60A0" w:rsidRPr="004618D8" w:rsidRDefault="00CF60A0" w:rsidP="00B963D7">
            <w:pPr>
              <w:pStyle w:val="ListParagraph"/>
              <w:spacing w:after="0"/>
              <w:ind w:left="0"/>
              <w:jc w:val="center"/>
              <w:rPr>
                <w:rFonts w:ascii="Times New Roman" w:hAnsi="Times New Roman" w:cs="Times New Roman"/>
                <w:bCs/>
                <w:iCs/>
                <w:sz w:val="20"/>
                <w:szCs w:val="20"/>
                <w:lang w:val="en-GB"/>
              </w:rPr>
            </w:pPr>
            <w:r w:rsidRPr="004618D8">
              <w:rPr>
                <w:rFonts w:ascii="Times New Roman" w:hAnsi="Times New Roman" w:cs="Times New Roman"/>
                <w:bCs/>
                <w:iCs/>
                <w:sz w:val="20"/>
                <w:szCs w:val="20"/>
                <w:lang w:val="en-GB"/>
              </w:rPr>
              <w:t>90.7%</w:t>
            </w:r>
          </w:p>
        </w:tc>
      </w:tr>
      <w:tr w:rsidR="00CF60A0" w14:paraId="76150709" w14:textId="77777777" w:rsidTr="00693569">
        <w:tc>
          <w:tcPr>
            <w:tcW w:w="2519" w:type="dxa"/>
          </w:tcPr>
          <w:p w14:paraId="0FFBCEA0" w14:textId="77777777" w:rsidR="00CF60A0" w:rsidRPr="009A5F6B" w:rsidRDefault="00CF60A0" w:rsidP="00B963D7">
            <w:pPr>
              <w:pStyle w:val="ListParagraph"/>
              <w:spacing w:after="0"/>
              <w:ind w:left="0"/>
              <w:rPr>
                <w:rFonts w:ascii="Times New Roman" w:hAnsi="Times New Roman" w:cs="Times New Roman"/>
                <w:b/>
                <w:bCs/>
                <w:iCs/>
                <w:sz w:val="20"/>
                <w:szCs w:val="20"/>
                <w:lang w:val="en-GB"/>
              </w:rPr>
            </w:pPr>
            <w:r w:rsidRPr="009A5F6B">
              <w:rPr>
                <w:rFonts w:ascii="Times New Roman" w:hAnsi="Times New Roman" w:cs="Times New Roman"/>
                <w:b/>
                <w:bCs/>
                <w:iCs/>
                <w:sz w:val="20"/>
                <w:szCs w:val="20"/>
                <w:lang w:val="en-GB"/>
              </w:rPr>
              <w:t>Height (cm, mean</w:t>
            </w:r>
            <w:r w:rsidRPr="009A5F6B">
              <w:rPr>
                <w:rFonts w:ascii="Times New Roman" w:hAnsi="Times New Roman" w:cs="Times New Roman"/>
                <w:b/>
                <w:sz w:val="20"/>
                <w:szCs w:val="20"/>
              </w:rPr>
              <w:t xml:space="preserve"> ± SD</w:t>
            </w:r>
            <w:r w:rsidRPr="009A5F6B">
              <w:rPr>
                <w:rFonts w:ascii="Times New Roman" w:hAnsi="Times New Roman" w:cs="Times New Roman"/>
                <w:b/>
                <w:bCs/>
                <w:iCs/>
                <w:sz w:val="20"/>
                <w:szCs w:val="20"/>
                <w:lang w:val="en-GB"/>
              </w:rPr>
              <w:t xml:space="preserve"> )</w:t>
            </w:r>
          </w:p>
        </w:tc>
        <w:tc>
          <w:tcPr>
            <w:tcW w:w="1530" w:type="dxa"/>
          </w:tcPr>
          <w:p w14:paraId="4A329150" w14:textId="77777777" w:rsidR="00CF60A0" w:rsidRPr="007101E5" w:rsidRDefault="00CF60A0" w:rsidP="00B963D7">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161.7</w:t>
            </w:r>
            <w:r w:rsidRPr="007101E5">
              <w:rPr>
                <w:rFonts w:ascii="Times New Roman" w:hAnsi="Times New Roman" w:cs="Times New Roman"/>
                <w:sz w:val="20"/>
                <w:szCs w:val="20"/>
              </w:rPr>
              <w:t>±</w:t>
            </w:r>
            <w:r>
              <w:rPr>
                <w:rFonts w:ascii="Times New Roman" w:hAnsi="Times New Roman" w:cs="Times New Roman"/>
                <w:sz w:val="20"/>
                <w:szCs w:val="20"/>
              </w:rPr>
              <w:t>10.6</w:t>
            </w:r>
          </w:p>
        </w:tc>
        <w:tc>
          <w:tcPr>
            <w:tcW w:w="1170" w:type="dxa"/>
          </w:tcPr>
          <w:p w14:paraId="10FD84F4" w14:textId="77777777" w:rsidR="00CF60A0" w:rsidRPr="007101E5" w:rsidRDefault="00CF60A0" w:rsidP="00B963D7">
            <w:pPr>
              <w:pStyle w:val="ListParagraph"/>
              <w:spacing w:after="0"/>
              <w:ind w:left="0"/>
              <w:jc w:val="center"/>
              <w:rPr>
                <w:rFonts w:ascii="Times New Roman" w:hAnsi="Times New Roman" w:cs="Times New Roman"/>
                <w:bCs/>
                <w:iCs/>
                <w:sz w:val="20"/>
                <w:szCs w:val="20"/>
                <w:lang w:val="en-GB"/>
              </w:rPr>
            </w:pPr>
            <w:r w:rsidRPr="007101E5">
              <w:rPr>
                <w:rFonts w:ascii="Times New Roman" w:hAnsi="Times New Roman" w:cs="Times New Roman"/>
                <w:bCs/>
                <w:iCs/>
                <w:sz w:val="20"/>
                <w:szCs w:val="20"/>
                <w:lang w:val="en-GB"/>
              </w:rPr>
              <w:t>160.6</w:t>
            </w:r>
            <w:r w:rsidRPr="007101E5">
              <w:rPr>
                <w:rFonts w:ascii="Times New Roman" w:hAnsi="Times New Roman" w:cs="Times New Roman"/>
                <w:sz w:val="20"/>
                <w:szCs w:val="20"/>
              </w:rPr>
              <w:t>±9.2</w:t>
            </w:r>
          </w:p>
        </w:tc>
        <w:tc>
          <w:tcPr>
            <w:tcW w:w="1620" w:type="dxa"/>
          </w:tcPr>
          <w:p w14:paraId="68E244C7" w14:textId="77777777" w:rsidR="00CF60A0" w:rsidRPr="00E65B99" w:rsidRDefault="00CF60A0" w:rsidP="00B963D7">
            <w:pPr>
              <w:pStyle w:val="ListParagraph"/>
              <w:spacing w:after="0"/>
              <w:ind w:left="0"/>
              <w:jc w:val="center"/>
              <w:rPr>
                <w:rFonts w:ascii="Times New Roman" w:hAnsi="Times New Roman" w:cs="Times New Roman"/>
                <w:bCs/>
                <w:iCs/>
                <w:sz w:val="20"/>
                <w:szCs w:val="20"/>
                <w:lang w:val="en-GB"/>
              </w:rPr>
            </w:pPr>
            <w:r w:rsidRPr="00E65B99">
              <w:rPr>
                <w:rFonts w:ascii="Times New Roman" w:hAnsi="Times New Roman" w:cs="Times New Roman"/>
                <w:bCs/>
                <w:iCs/>
                <w:sz w:val="20"/>
                <w:szCs w:val="20"/>
                <w:lang w:val="en-GB"/>
              </w:rPr>
              <w:t>162.4</w:t>
            </w:r>
            <w:r w:rsidRPr="00E65B99">
              <w:rPr>
                <w:rFonts w:ascii="Times New Roman" w:hAnsi="Times New Roman" w:cs="Times New Roman"/>
                <w:sz w:val="20"/>
                <w:szCs w:val="20"/>
              </w:rPr>
              <w:t>±7.8</w:t>
            </w:r>
          </w:p>
        </w:tc>
        <w:tc>
          <w:tcPr>
            <w:tcW w:w="1711" w:type="dxa"/>
          </w:tcPr>
          <w:p w14:paraId="4B7572B7" w14:textId="77777777" w:rsidR="00CF60A0" w:rsidRPr="00CF1E9F" w:rsidRDefault="00CF60A0" w:rsidP="00B963D7">
            <w:pPr>
              <w:pStyle w:val="ListParagraph"/>
              <w:spacing w:after="0"/>
              <w:ind w:left="0"/>
              <w:jc w:val="center"/>
              <w:rPr>
                <w:rFonts w:ascii="Times New Roman" w:hAnsi="Times New Roman" w:cs="Times New Roman"/>
                <w:bCs/>
                <w:iCs/>
                <w:sz w:val="20"/>
                <w:szCs w:val="20"/>
                <w:lang w:val="en-GB"/>
              </w:rPr>
            </w:pPr>
            <w:r w:rsidRPr="00CF1E9F">
              <w:rPr>
                <w:rFonts w:ascii="Times New Roman" w:hAnsi="Times New Roman" w:cs="Times New Roman"/>
                <w:bCs/>
                <w:iCs/>
                <w:sz w:val="20"/>
                <w:szCs w:val="20"/>
                <w:lang w:val="en-GB"/>
              </w:rPr>
              <w:t>159.8</w:t>
            </w:r>
            <w:r w:rsidRPr="00CF1E9F">
              <w:rPr>
                <w:rFonts w:ascii="Times New Roman" w:hAnsi="Times New Roman" w:cs="Times New Roman"/>
                <w:sz w:val="20"/>
                <w:szCs w:val="20"/>
              </w:rPr>
              <w:t>±13.1</w:t>
            </w:r>
          </w:p>
        </w:tc>
        <w:tc>
          <w:tcPr>
            <w:tcW w:w="1980" w:type="dxa"/>
          </w:tcPr>
          <w:p w14:paraId="73BEA9F3" w14:textId="77777777" w:rsidR="00CF60A0" w:rsidRPr="00FB5507" w:rsidRDefault="00CF60A0" w:rsidP="00B963D7">
            <w:pPr>
              <w:pStyle w:val="ListParagraph"/>
              <w:spacing w:after="0"/>
              <w:ind w:left="0"/>
              <w:jc w:val="center"/>
              <w:rPr>
                <w:rFonts w:ascii="Times New Roman" w:hAnsi="Times New Roman" w:cs="Times New Roman"/>
                <w:bCs/>
                <w:iCs/>
                <w:sz w:val="20"/>
                <w:szCs w:val="20"/>
                <w:lang w:val="en-GB"/>
              </w:rPr>
            </w:pPr>
            <w:r w:rsidRPr="00FB5507">
              <w:rPr>
                <w:rFonts w:ascii="Times New Roman" w:hAnsi="Times New Roman" w:cs="Times New Roman"/>
                <w:bCs/>
                <w:iCs/>
                <w:sz w:val="20"/>
                <w:szCs w:val="20"/>
                <w:lang w:val="en-GB"/>
              </w:rPr>
              <w:t>167.0</w:t>
            </w:r>
            <w:r w:rsidRPr="00FB5507">
              <w:rPr>
                <w:rFonts w:ascii="Times New Roman" w:hAnsi="Times New Roman" w:cs="Times New Roman"/>
                <w:sz w:val="20"/>
                <w:szCs w:val="20"/>
              </w:rPr>
              <w:t>±7.4</w:t>
            </w:r>
          </w:p>
        </w:tc>
        <w:tc>
          <w:tcPr>
            <w:tcW w:w="1440" w:type="dxa"/>
          </w:tcPr>
          <w:p w14:paraId="748AB673" w14:textId="77777777" w:rsidR="00CF60A0" w:rsidRPr="00CF04F5" w:rsidRDefault="00CF60A0" w:rsidP="00B963D7">
            <w:pPr>
              <w:pStyle w:val="ListParagraph"/>
              <w:spacing w:after="0"/>
              <w:ind w:left="0"/>
              <w:jc w:val="center"/>
              <w:rPr>
                <w:rFonts w:ascii="Times New Roman" w:hAnsi="Times New Roman" w:cs="Times New Roman"/>
                <w:bCs/>
                <w:iCs/>
                <w:sz w:val="20"/>
                <w:szCs w:val="20"/>
                <w:lang w:val="en-GB"/>
              </w:rPr>
            </w:pPr>
            <w:r w:rsidRPr="00CF04F5">
              <w:rPr>
                <w:rFonts w:ascii="Times New Roman" w:hAnsi="Times New Roman" w:cs="Times New Roman"/>
                <w:bCs/>
                <w:iCs/>
                <w:sz w:val="20"/>
                <w:szCs w:val="20"/>
                <w:lang w:val="en-GB"/>
              </w:rPr>
              <w:t>159.2</w:t>
            </w:r>
            <w:r w:rsidRPr="00CF04F5">
              <w:rPr>
                <w:rFonts w:ascii="Times New Roman" w:hAnsi="Times New Roman" w:cs="Times New Roman"/>
                <w:sz w:val="20"/>
                <w:szCs w:val="20"/>
              </w:rPr>
              <w:t>±12.8</w:t>
            </w:r>
          </w:p>
        </w:tc>
        <w:tc>
          <w:tcPr>
            <w:tcW w:w="1890" w:type="dxa"/>
          </w:tcPr>
          <w:p w14:paraId="08865EA1" w14:textId="77777777" w:rsidR="00CF60A0" w:rsidRPr="00166E02" w:rsidRDefault="00CF60A0" w:rsidP="00B963D7">
            <w:pPr>
              <w:pStyle w:val="ListParagraph"/>
              <w:spacing w:after="0"/>
              <w:ind w:left="0"/>
              <w:jc w:val="center"/>
              <w:rPr>
                <w:rFonts w:ascii="Times New Roman" w:hAnsi="Times New Roman" w:cs="Times New Roman"/>
                <w:bCs/>
                <w:iCs/>
                <w:sz w:val="20"/>
                <w:szCs w:val="20"/>
                <w:lang w:val="en-GB"/>
              </w:rPr>
            </w:pPr>
            <w:r w:rsidRPr="00166E02">
              <w:rPr>
                <w:rFonts w:ascii="Times New Roman" w:hAnsi="Times New Roman" w:cs="Times New Roman"/>
                <w:bCs/>
                <w:iCs/>
                <w:sz w:val="20"/>
                <w:szCs w:val="20"/>
                <w:lang w:val="en-GB"/>
              </w:rPr>
              <w:t>162.9</w:t>
            </w:r>
            <w:r w:rsidRPr="00166E02">
              <w:rPr>
                <w:rFonts w:ascii="Times New Roman" w:hAnsi="Times New Roman" w:cs="Times New Roman"/>
                <w:sz w:val="20"/>
                <w:szCs w:val="20"/>
              </w:rPr>
              <w:t>±8.5</w:t>
            </w:r>
          </w:p>
        </w:tc>
        <w:tc>
          <w:tcPr>
            <w:tcW w:w="1440" w:type="dxa"/>
          </w:tcPr>
          <w:p w14:paraId="25E8FBEA" w14:textId="77777777" w:rsidR="00CF60A0" w:rsidRPr="004618D8" w:rsidRDefault="00CF60A0" w:rsidP="00B963D7">
            <w:pPr>
              <w:pStyle w:val="ListParagraph"/>
              <w:spacing w:after="0"/>
              <w:ind w:left="0"/>
              <w:jc w:val="center"/>
              <w:rPr>
                <w:rFonts w:ascii="Times New Roman" w:hAnsi="Times New Roman" w:cs="Times New Roman"/>
                <w:bCs/>
                <w:iCs/>
                <w:sz w:val="20"/>
                <w:szCs w:val="20"/>
                <w:lang w:val="en-GB"/>
              </w:rPr>
            </w:pPr>
            <w:r w:rsidRPr="004618D8">
              <w:rPr>
                <w:rFonts w:ascii="Times New Roman" w:hAnsi="Times New Roman" w:cs="Times New Roman"/>
                <w:bCs/>
                <w:iCs/>
                <w:sz w:val="20"/>
                <w:szCs w:val="20"/>
                <w:lang w:val="en-GB"/>
              </w:rPr>
              <w:t>159.3</w:t>
            </w:r>
            <w:r w:rsidRPr="004618D8">
              <w:rPr>
                <w:rFonts w:ascii="Times New Roman" w:hAnsi="Times New Roman" w:cs="Times New Roman"/>
                <w:sz w:val="20"/>
                <w:szCs w:val="20"/>
              </w:rPr>
              <w:t>±10.7</w:t>
            </w:r>
          </w:p>
        </w:tc>
      </w:tr>
      <w:tr w:rsidR="00CF60A0" w14:paraId="73B08118" w14:textId="77777777" w:rsidTr="00693569">
        <w:tc>
          <w:tcPr>
            <w:tcW w:w="2519" w:type="dxa"/>
          </w:tcPr>
          <w:p w14:paraId="1FBBEBF8" w14:textId="77777777" w:rsidR="00CF60A0" w:rsidRPr="009A5F6B" w:rsidRDefault="00CF60A0" w:rsidP="00B963D7">
            <w:pPr>
              <w:pStyle w:val="ListParagraph"/>
              <w:spacing w:after="0"/>
              <w:ind w:left="0"/>
              <w:rPr>
                <w:rFonts w:ascii="Times New Roman" w:hAnsi="Times New Roman" w:cs="Times New Roman"/>
                <w:b/>
                <w:bCs/>
                <w:iCs/>
                <w:sz w:val="20"/>
                <w:szCs w:val="20"/>
                <w:lang w:val="en-GB"/>
              </w:rPr>
            </w:pPr>
            <w:r w:rsidRPr="009A5F6B">
              <w:rPr>
                <w:rFonts w:ascii="Times New Roman" w:hAnsi="Times New Roman" w:cs="Times New Roman"/>
                <w:b/>
                <w:bCs/>
                <w:iCs/>
                <w:sz w:val="20"/>
                <w:szCs w:val="20"/>
                <w:lang w:val="en-GB"/>
              </w:rPr>
              <w:t>Weight (kg, mean</w:t>
            </w:r>
            <w:r w:rsidRPr="009A5F6B">
              <w:rPr>
                <w:rFonts w:ascii="Times New Roman" w:hAnsi="Times New Roman" w:cs="Times New Roman"/>
                <w:b/>
                <w:sz w:val="20"/>
                <w:szCs w:val="20"/>
              </w:rPr>
              <w:t xml:space="preserve"> ± SD</w:t>
            </w:r>
            <w:r w:rsidRPr="009A5F6B">
              <w:rPr>
                <w:rFonts w:ascii="Times New Roman" w:hAnsi="Times New Roman" w:cs="Times New Roman"/>
                <w:b/>
                <w:bCs/>
                <w:iCs/>
                <w:sz w:val="20"/>
                <w:szCs w:val="20"/>
                <w:lang w:val="en-GB"/>
              </w:rPr>
              <w:t>)</w:t>
            </w:r>
          </w:p>
        </w:tc>
        <w:tc>
          <w:tcPr>
            <w:tcW w:w="1530" w:type="dxa"/>
          </w:tcPr>
          <w:p w14:paraId="07583AC6" w14:textId="77777777" w:rsidR="00CF60A0" w:rsidRDefault="00CF60A0" w:rsidP="00B963D7">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65.0</w:t>
            </w:r>
            <w:r w:rsidRPr="007101E5">
              <w:rPr>
                <w:rFonts w:ascii="Times New Roman" w:hAnsi="Times New Roman" w:cs="Times New Roman"/>
                <w:sz w:val="20"/>
                <w:szCs w:val="20"/>
              </w:rPr>
              <w:t>±</w:t>
            </w:r>
            <w:r>
              <w:rPr>
                <w:rFonts w:ascii="Times New Roman" w:hAnsi="Times New Roman" w:cs="Times New Roman"/>
                <w:sz w:val="20"/>
                <w:szCs w:val="20"/>
              </w:rPr>
              <w:t>14.2</w:t>
            </w:r>
          </w:p>
        </w:tc>
        <w:tc>
          <w:tcPr>
            <w:tcW w:w="1170" w:type="dxa"/>
          </w:tcPr>
          <w:p w14:paraId="5ED381D0" w14:textId="77777777" w:rsidR="00CF60A0" w:rsidRPr="007101E5" w:rsidRDefault="00CF60A0" w:rsidP="00B963D7">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63.6</w:t>
            </w:r>
            <w:r w:rsidRPr="007101E5">
              <w:rPr>
                <w:rFonts w:ascii="Times New Roman" w:hAnsi="Times New Roman" w:cs="Times New Roman"/>
                <w:sz w:val="20"/>
                <w:szCs w:val="20"/>
              </w:rPr>
              <w:t>±14.7</w:t>
            </w:r>
          </w:p>
        </w:tc>
        <w:tc>
          <w:tcPr>
            <w:tcW w:w="1620" w:type="dxa"/>
          </w:tcPr>
          <w:p w14:paraId="7327F821" w14:textId="77777777" w:rsidR="00CF60A0" w:rsidRPr="00E65B99" w:rsidRDefault="00CF60A0" w:rsidP="00B963D7">
            <w:pPr>
              <w:pStyle w:val="ListParagraph"/>
              <w:spacing w:after="0"/>
              <w:ind w:left="0"/>
              <w:jc w:val="center"/>
              <w:rPr>
                <w:rFonts w:ascii="Times New Roman" w:hAnsi="Times New Roman" w:cs="Times New Roman"/>
                <w:bCs/>
                <w:iCs/>
                <w:sz w:val="20"/>
                <w:szCs w:val="20"/>
                <w:lang w:val="en-GB"/>
              </w:rPr>
            </w:pPr>
            <w:r w:rsidRPr="00E65B99">
              <w:rPr>
                <w:rFonts w:ascii="Times New Roman" w:hAnsi="Times New Roman" w:cs="Times New Roman"/>
                <w:bCs/>
                <w:iCs/>
                <w:sz w:val="20"/>
                <w:szCs w:val="20"/>
                <w:lang w:val="en-GB"/>
              </w:rPr>
              <w:t>68.7</w:t>
            </w:r>
            <w:r w:rsidRPr="00E65B99">
              <w:rPr>
                <w:rFonts w:ascii="Times New Roman" w:hAnsi="Times New Roman" w:cs="Times New Roman"/>
                <w:sz w:val="20"/>
                <w:szCs w:val="20"/>
              </w:rPr>
              <w:t>±15.8</w:t>
            </w:r>
          </w:p>
        </w:tc>
        <w:tc>
          <w:tcPr>
            <w:tcW w:w="1711" w:type="dxa"/>
          </w:tcPr>
          <w:p w14:paraId="5F66F595" w14:textId="77777777" w:rsidR="00CF60A0" w:rsidRPr="00CF1E9F" w:rsidRDefault="00CF60A0" w:rsidP="00B963D7">
            <w:pPr>
              <w:pStyle w:val="ListParagraph"/>
              <w:spacing w:after="0"/>
              <w:ind w:left="0"/>
              <w:jc w:val="center"/>
              <w:rPr>
                <w:rFonts w:ascii="Times New Roman" w:hAnsi="Times New Roman" w:cs="Times New Roman"/>
                <w:bCs/>
                <w:iCs/>
                <w:sz w:val="20"/>
                <w:szCs w:val="20"/>
                <w:lang w:val="en-GB"/>
              </w:rPr>
            </w:pPr>
            <w:r w:rsidRPr="00CF1E9F">
              <w:rPr>
                <w:rFonts w:ascii="Times New Roman" w:hAnsi="Times New Roman" w:cs="Times New Roman"/>
                <w:bCs/>
                <w:iCs/>
                <w:sz w:val="20"/>
                <w:szCs w:val="20"/>
                <w:lang w:val="en-GB"/>
              </w:rPr>
              <w:t>63.8</w:t>
            </w:r>
            <w:r w:rsidRPr="00CF1E9F">
              <w:rPr>
                <w:rFonts w:ascii="Times New Roman" w:hAnsi="Times New Roman" w:cs="Times New Roman"/>
                <w:sz w:val="20"/>
                <w:szCs w:val="20"/>
              </w:rPr>
              <w:t>±12.5</w:t>
            </w:r>
          </w:p>
        </w:tc>
        <w:tc>
          <w:tcPr>
            <w:tcW w:w="1980" w:type="dxa"/>
          </w:tcPr>
          <w:p w14:paraId="0BE84F0A" w14:textId="77777777" w:rsidR="00CF60A0" w:rsidRPr="00FB5507" w:rsidRDefault="00CF60A0" w:rsidP="00B963D7">
            <w:pPr>
              <w:pStyle w:val="ListParagraph"/>
              <w:spacing w:after="0"/>
              <w:ind w:left="0"/>
              <w:jc w:val="center"/>
              <w:rPr>
                <w:rFonts w:ascii="Times New Roman" w:hAnsi="Times New Roman" w:cs="Times New Roman"/>
                <w:bCs/>
                <w:iCs/>
                <w:sz w:val="20"/>
                <w:szCs w:val="20"/>
                <w:lang w:val="en-GB"/>
              </w:rPr>
            </w:pPr>
            <w:r w:rsidRPr="00FB5507">
              <w:rPr>
                <w:rFonts w:ascii="Times New Roman" w:hAnsi="Times New Roman" w:cs="Times New Roman"/>
                <w:bCs/>
                <w:iCs/>
                <w:sz w:val="20"/>
                <w:szCs w:val="20"/>
                <w:lang w:val="en-GB"/>
              </w:rPr>
              <w:t>70.9</w:t>
            </w:r>
            <w:r w:rsidRPr="00FB5507">
              <w:rPr>
                <w:rFonts w:ascii="Times New Roman" w:hAnsi="Times New Roman" w:cs="Times New Roman"/>
                <w:sz w:val="20"/>
                <w:szCs w:val="20"/>
              </w:rPr>
              <w:t>±15.0</w:t>
            </w:r>
          </w:p>
        </w:tc>
        <w:tc>
          <w:tcPr>
            <w:tcW w:w="1440" w:type="dxa"/>
          </w:tcPr>
          <w:p w14:paraId="6A2CFA69" w14:textId="77777777" w:rsidR="00CF60A0" w:rsidRPr="00CF04F5" w:rsidRDefault="00CF60A0" w:rsidP="00B963D7">
            <w:pPr>
              <w:pStyle w:val="ListParagraph"/>
              <w:spacing w:after="0"/>
              <w:ind w:left="0"/>
              <w:jc w:val="center"/>
              <w:rPr>
                <w:rFonts w:ascii="Times New Roman" w:hAnsi="Times New Roman" w:cs="Times New Roman"/>
                <w:bCs/>
                <w:iCs/>
                <w:sz w:val="20"/>
                <w:szCs w:val="20"/>
                <w:lang w:val="en-GB"/>
              </w:rPr>
            </w:pPr>
            <w:r w:rsidRPr="00CF04F5">
              <w:rPr>
                <w:rFonts w:ascii="Times New Roman" w:hAnsi="Times New Roman" w:cs="Times New Roman"/>
                <w:bCs/>
                <w:iCs/>
                <w:sz w:val="20"/>
                <w:szCs w:val="20"/>
                <w:lang w:val="en-GB"/>
              </w:rPr>
              <w:t>58.1</w:t>
            </w:r>
            <w:r w:rsidRPr="00CF04F5">
              <w:rPr>
                <w:rFonts w:ascii="Times New Roman" w:hAnsi="Times New Roman" w:cs="Times New Roman"/>
                <w:sz w:val="20"/>
                <w:szCs w:val="20"/>
              </w:rPr>
              <w:t>±10.0</w:t>
            </w:r>
          </w:p>
        </w:tc>
        <w:tc>
          <w:tcPr>
            <w:tcW w:w="1890" w:type="dxa"/>
          </w:tcPr>
          <w:p w14:paraId="5A8F8ECC" w14:textId="77777777" w:rsidR="00CF60A0" w:rsidRPr="00166E02" w:rsidRDefault="00CF60A0" w:rsidP="00B963D7">
            <w:pPr>
              <w:pStyle w:val="ListParagraph"/>
              <w:spacing w:after="0"/>
              <w:ind w:left="0"/>
              <w:jc w:val="center"/>
              <w:rPr>
                <w:rFonts w:ascii="Times New Roman" w:hAnsi="Times New Roman" w:cs="Times New Roman"/>
                <w:bCs/>
                <w:iCs/>
                <w:sz w:val="20"/>
                <w:szCs w:val="20"/>
                <w:lang w:val="en-GB"/>
              </w:rPr>
            </w:pPr>
            <w:r w:rsidRPr="00166E02">
              <w:rPr>
                <w:rFonts w:ascii="Times New Roman" w:hAnsi="Times New Roman" w:cs="Times New Roman"/>
                <w:bCs/>
                <w:iCs/>
                <w:sz w:val="20"/>
                <w:szCs w:val="20"/>
                <w:lang w:val="en-GB"/>
              </w:rPr>
              <w:t>60.2</w:t>
            </w:r>
            <w:r w:rsidRPr="00166E02">
              <w:rPr>
                <w:rFonts w:ascii="Times New Roman" w:hAnsi="Times New Roman" w:cs="Times New Roman"/>
                <w:sz w:val="20"/>
                <w:szCs w:val="20"/>
              </w:rPr>
              <w:t>±11.9</w:t>
            </w:r>
          </w:p>
        </w:tc>
        <w:tc>
          <w:tcPr>
            <w:tcW w:w="1440" w:type="dxa"/>
          </w:tcPr>
          <w:p w14:paraId="5065FD3A" w14:textId="77777777" w:rsidR="00CF60A0" w:rsidRPr="004618D8" w:rsidRDefault="00CF60A0" w:rsidP="00B963D7">
            <w:pPr>
              <w:pStyle w:val="ListParagraph"/>
              <w:spacing w:after="0"/>
              <w:ind w:left="0"/>
              <w:jc w:val="center"/>
              <w:rPr>
                <w:rFonts w:ascii="Times New Roman" w:hAnsi="Times New Roman" w:cs="Times New Roman"/>
                <w:bCs/>
                <w:iCs/>
                <w:sz w:val="20"/>
                <w:szCs w:val="20"/>
                <w:lang w:val="en-GB"/>
              </w:rPr>
            </w:pPr>
            <w:r w:rsidRPr="004618D8">
              <w:rPr>
                <w:rFonts w:ascii="Times New Roman" w:hAnsi="Times New Roman" w:cs="Times New Roman"/>
                <w:bCs/>
                <w:iCs/>
                <w:sz w:val="20"/>
                <w:szCs w:val="20"/>
                <w:lang w:val="en-GB"/>
              </w:rPr>
              <w:t>64.0</w:t>
            </w:r>
            <w:r w:rsidRPr="004618D8">
              <w:rPr>
                <w:rFonts w:ascii="Times New Roman" w:hAnsi="Times New Roman" w:cs="Times New Roman"/>
                <w:sz w:val="20"/>
                <w:szCs w:val="20"/>
              </w:rPr>
              <w:t>±13.8</w:t>
            </w:r>
          </w:p>
        </w:tc>
      </w:tr>
      <w:tr w:rsidR="00CF60A0" w14:paraId="5367FD14" w14:textId="77777777" w:rsidTr="00693569">
        <w:tc>
          <w:tcPr>
            <w:tcW w:w="2519" w:type="dxa"/>
          </w:tcPr>
          <w:p w14:paraId="55556C8E" w14:textId="77777777" w:rsidR="00CF60A0" w:rsidRPr="009A5F6B" w:rsidRDefault="00CF60A0" w:rsidP="00B963D7">
            <w:pPr>
              <w:pStyle w:val="ListParagraph"/>
              <w:spacing w:after="0"/>
              <w:ind w:left="0"/>
              <w:rPr>
                <w:rFonts w:ascii="Times New Roman" w:hAnsi="Times New Roman" w:cs="Times New Roman"/>
                <w:b/>
                <w:bCs/>
                <w:iCs/>
                <w:sz w:val="20"/>
                <w:szCs w:val="20"/>
                <w:lang w:val="en-GB"/>
              </w:rPr>
            </w:pPr>
            <w:r w:rsidRPr="009A5F6B">
              <w:rPr>
                <w:rFonts w:ascii="Times New Roman" w:hAnsi="Times New Roman" w:cs="Times New Roman"/>
                <w:b/>
                <w:bCs/>
                <w:iCs/>
                <w:sz w:val="20"/>
                <w:szCs w:val="20"/>
                <w:lang w:val="en-GB"/>
              </w:rPr>
              <w:t>Educational level</w:t>
            </w:r>
          </w:p>
        </w:tc>
        <w:tc>
          <w:tcPr>
            <w:tcW w:w="1530" w:type="dxa"/>
          </w:tcPr>
          <w:p w14:paraId="493260B9" w14:textId="77777777" w:rsidR="00CF60A0" w:rsidRPr="007101E5" w:rsidRDefault="00CF60A0" w:rsidP="00B963D7">
            <w:pPr>
              <w:pStyle w:val="ListParagraph"/>
              <w:spacing w:after="0"/>
              <w:ind w:left="0"/>
              <w:jc w:val="center"/>
              <w:rPr>
                <w:rFonts w:ascii="Times New Roman" w:hAnsi="Times New Roman" w:cs="Times New Roman"/>
                <w:bCs/>
                <w:iCs/>
                <w:sz w:val="20"/>
                <w:szCs w:val="20"/>
                <w:lang w:val="en-GB"/>
              </w:rPr>
            </w:pPr>
          </w:p>
        </w:tc>
        <w:tc>
          <w:tcPr>
            <w:tcW w:w="1170" w:type="dxa"/>
          </w:tcPr>
          <w:p w14:paraId="2CB56A95" w14:textId="77777777" w:rsidR="00CF60A0" w:rsidRPr="007101E5" w:rsidRDefault="00CF60A0" w:rsidP="00B963D7">
            <w:pPr>
              <w:pStyle w:val="ListParagraph"/>
              <w:spacing w:after="0"/>
              <w:ind w:left="0"/>
              <w:jc w:val="center"/>
              <w:rPr>
                <w:rFonts w:ascii="Times New Roman" w:hAnsi="Times New Roman" w:cs="Times New Roman"/>
                <w:bCs/>
                <w:iCs/>
                <w:sz w:val="20"/>
                <w:szCs w:val="20"/>
                <w:lang w:val="en-GB"/>
              </w:rPr>
            </w:pPr>
          </w:p>
        </w:tc>
        <w:tc>
          <w:tcPr>
            <w:tcW w:w="1620" w:type="dxa"/>
          </w:tcPr>
          <w:p w14:paraId="46C693A5" w14:textId="77777777" w:rsidR="00CF60A0" w:rsidRPr="00E65B99" w:rsidRDefault="00CF60A0" w:rsidP="00B963D7">
            <w:pPr>
              <w:pStyle w:val="ListParagraph"/>
              <w:spacing w:after="0"/>
              <w:ind w:left="0"/>
              <w:jc w:val="center"/>
              <w:rPr>
                <w:rFonts w:ascii="Times New Roman" w:hAnsi="Times New Roman" w:cs="Times New Roman"/>
                <w:bCs/>
                <w:iCs/>
                <w:sz w:val="20"/>
                <w:szCs w:val="20"/>
                <w:lang w:val="en-GB"/>
              </w:rPr>
            </w:pPr>
          </w:p>
        </w:tc>
        <w:tc>
          <w:tcPr>
            <w:tcW w:w="1711" w:type="dxa"/>
          </w:tcPr>
          <w:p w14:paraId="4B1AFFA7" w14:textId="77777777" w:rsidR="00CF60A0" w:rsidRPr="00CF1E9F" w:rsidRDefault="00CF60A0" w:rsidP="00B963D7">
            <w:pPr>
              <w:pStyle w:val="ListParagraph"/>
              <w:spacing w:after="0"/>
              <w:ind w:left="0"/>
              <w:jc w:val="center"/>
              <w:rPr>
                <w:rFonts w:ascii="Times New Roman" w:hAnsi="Times New Roman" w:cs="Times New Roman"/>
                <w:bCs/>
                <w:iCs/>
                <w:sz w:val="20"/>
                <w:szCs w:val="20"/>
                <w:lang w:val="en-GB"/>
              </w:rPr>
            </w:pPr>
          </w:p>
        </w:tc>
        <w:tc>
          <w:tcPr>
            <w:tcW w:w="1980" w:type="dxa"/>
          </w:tcPr>
          <w:p w14:paraId="65CE73EC" w14:textId="77777777" w:rsidR="00CF60A0" w:rsidRPr="00FB5507" w:rsidRDefault="00CF60A0" w:rsidP="00B963D7">
            <w:pPr>
              <w:pStyle w:val="ListParagraph"/>
              <w:spacing w:after="0"/>
              <w:ind w:left="0"/>
              <w:jc w:val="center"/>
              <w:rPr>
                <w:rFonts w:ascii="Times New Roman" w:hAnsi="Times New Roman" w:cs="Times New Roman"/>
                <w:bCs/>
                <w:iCs/>
                <w:sz w:val="20"/>
                <w:szCs w:val="20"/>
                <w:lang w:val="en-GB"/>
              </w:rPr>
            </w:pPr>
          </w:p>
        </w:tc>
        <w:tc>
          <w:tcPr>
            <w:tcW w:w="1440" w:type="dxa"/>
          </w:tcPr>
          <w:p w14:paraId="3C41FECC" w14:textId="77777777" w:rsidR="00CF60A0" w:rsidRPr="00CF04F5" w:rsidRDefault="00CF60A0" w:rsidP="00B963D7">
            <w:pPr>
              <w:pStyle w:val="ListParagraph"/>
              <w:spacing w:after="0"/>
              <w:ind w:left="0"/>
              <w:jc w:val="center"/>
              <w:rPr>
                <w:rFonts w:ascii="Times New Roman" w:hAnsi="Times New Roman" w:cs="Times New Roman"/>
                <w:bCs/>
                <w:iCs/>
                <w:sz w:val="20"/>
                <w:szCs w:val="20"/>
                <w:lang w:val="en-GB"/>
              </w:rPr>
            </w:pPr>
          </w:p>
        </w:tc>
        <w:tc>
          <w:tcPr>
            <w:tcW w:w="1890" w:type="dxa"/>
          </w:tcPr>
          <w:p w14:paraId="4AD8BEB0" w14:textId="77777777" w:rsidR="00CF60A0" w:rsidRPr="00166E02" w:rsidRDefault="00CF60A0" w:rsidP="00B963D7">
            <w:pPr>
              <w:pStyle w:val="ListParagraph"/>
              <w:spacing w:after="0"/>
              <w:ind w:left="0"/>
              <w:jc w:val="center"/>
              <w:rPr>
                <w:rFonts w:ascii="Times New Roman" w:hAnsi="Times New Roman" w:cs="Times New Roman"/>
                <w:bCs/>
                <w:iCs/>
                <w:sz w:val="20"/>
                <w:szCs w:val="20"/>
                <w:lang w:val="en-GB"/>
              </w:rPr>
            </w:pPr>
          </w:p>
        </w:tc>
        <w:tc>
          <w:tcPr>
            <w:tcW w:w="1440" w:type="dxa"/>
          </w:tcPr>
          <w:p w14:paraId="781832F6" w14:textId="77777777" w:rsidR="00CF60A0" w:rsidRPr="004618D8" w:rsidRDefault="00CF60A0" w:rsidP="00B963D7">
            <w:pPr>
              <w:pStyle w:val="ListParagraph"/>
              <w:spacing w:after="0"/>
              <w:ind w:left="0"/>
              <w:jc w:val="center"/>
              <w:rPr>
                <w:rFonts w:ascii="Times New Roman" w:hAnsi="Times New Roman" w:cs="Times New Roman"/>
                <w:bCs/>
                <w:iCs/>
                <w:sz w:val="20"/>
                <w:szCs w:val="20"/>
                <w:lang w:val="en-GB"/>
              </w:rPr>
            </w:pPr>
          </w:p>
        </w:tc>
      </w:tr>
      <w:tr w:rsidR="00693569" w14:paraId="61F51B68" w14:textId="77777777" w:rsidTr="00693569">
        <w:tc>
          <w:tcPr>
            <w:tcW w:w="2519" w:type="dxa"/>
            <w:shd w:val="clear" w:color="auto" w:fill="auto"/>
          </w:tcPr>
          <w:p w14:paraId="5764CFE4"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Primary</w:t>
            </w:r>
          </w:p>
        </w:tc>
        <w:tc>
          <w:tcPr>
            <w:tcW w:w="1530" w:type="dxa"/>
            <w:shd w:val="clear" w:color="auto" w:fill="auto"/>
          </w:tcPr>
          <w:p w14:paraId="51883FAF" w14:textId="6EAD9184" w:rsidR="00693569" w:rsidRPr="004069C2" w:rsidRDefault="00693569" w:rsidP="00693569">
            <w:pPr>
              <w:pStyle w:val="ListParagraph"/>
              <w:spacing w:after="0"/>
              <w:ind w:left="0"/>
              <w:jc w:val="center"/>
              <w:rPr>
                <w:rFonts w:ascii="Times New Roman" w:hAnsi="Times New Roman" w:cs="Times New Roman"/>
                <w:bCs/>
                <w:iCs/>
                <w:sz w:val="20"/>
                <w:szCs w:val="20"/>
                <w:highlight w:val="yellow"/>
                <w:lang w:val="en-GB"/>
              </w:rPr>
            </w:pPr>
            <w:r w:rsidRPr="006F332F">
              <w:rPr>
                <w:rFonts w:ascii="Times New Roman" w:hAnsi="Times New Roman" w:cs="Times New Roman"/>
                <w:bCs/>
                <w:iCs/>
                <w:sz w:val="20"/>
                <w:szCs w:val="20"/>
                <w:lang w:val="en-GB"/>
              </w:rPr>
              <w:t>12.2%</w:t>
            </w:r>
          </w:p>
        </w:tc>
        <w:tc>
          <w:tcPr>
            <w:tcW w:w="1170" w:type="dxa"/>
            <w:shd w:val="clear" w:color="auto" w:fill="auto"/>
          </w:tcPr>
          <w:p w14:paraId="72FFFEF4"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3.1%</w:t>
            </w:r>
          </w:p>
        </w:tc>
        <w:tc>
          <w:tcPr>
            <w:tcW w:w="1620" w:type="dxa"/>
            <w:shd w:val="clear" w:color="auto" w:fill="auto"/>
          </w:tcPr>
          <w:p w14:paraId="61E4C36F"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19.6%</w:t>
            </w:r>
          </w:p>
        </w:tc>
        <w:tc>
          <w:tcPr>
            <w:tcW w:w="1711" w:type="dxa"/>
            <w:shd w:val="clear" w:color="auto" w:fill="auto"/>
          </w:tcPr>
          <w:p w14:paraId="202A6FA3"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9.1%</w:t>
            </w:r>
          </w:p>
        </w:tc>
        <w:tc>
          <w:tcPr>
            <w:tcW w:w="1980" w:type="dxa"/>
            <w:shd w:val="clear" w:color="auto" w:fill="auto"/>
          </w:tcPr>
          <w:p w14:paraId="170992CA" w14:textId="471A6810" w:rsidR="00693569" w:rsidRPr="004941EE" w:rsidRDefault="00693569" w:rsidP="00693569">
            <w:pPr>
              <w:pStyle w:val="ListParagraph"/>
              <w:spacing w:after="0"/>
              <w:ind w:left="0"/>
              <w:jc w:val="center"/>
              <w:rPr>
                <w:rFonts w:ascii="Times New Roman" w:hAnsi="Times New Roman" w:cs="Times New Roman"/>
                <w:bCs/>
                <w:iCs/>
                <w:sz w:val="20"/>
                <w:szCs w:val="20"/>
                <w:highlight w:val="yellow"/>
                <w:lang w:val="en-GB"/>
              </w:rPr>
            </w:pPr>
            <w:r w:rsidRPr="00EA372E">
              <w:rPr>
                <w:rFonts w:ascii="Times New Roman" w:hAnsi="Times New Roman" w:cs="Times New Roman"/>
                <w:bCs/>
                <w:iCs/>
                <w:sz w:val="20"/>
                <w:szCs w:val="20"/>
                <w:lang w:val="en-GB"/>
              </w:rPr>
              <w:t>9.9%</w:t>
            </w:r>
          </w:p>
        </w:tc>
        <w:tc>
          <w:tcPr>
            <w:tcW w:w="1440" w:type="dxa"/>
            <w:shd w:val="clear" w:color="auto" w:fill="auto"/>
          </w:tcPr>
          <w:p w14:paraId="6551094D"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4.5%</w:t>
            </w:r>
          </w:p>
        </w:tc>
        <w:tc>
          <w:tcPr>
            <w:tcW w:w="1890" w:type="dxa"/>
            <w:shd w:val="clear" w:color="auto" w:fill="auto"/>
          </w:tcPr>
          <w:p w14:paraId="70DEB878"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10.2%</w:t>
            </w:r>
          </w:p>
        </w:tc>
        <w:tc>
          <w:tcPr>
            <w:tcW w:w="1440" w:type="dxa"/>
          </w:tcPr>
          <w:p w14:paraId="2B57CA35"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22.1%</w:t>
            </w:r>
          </w:p>
        </w:tc>
      </w:tr>
      <w:tr w:rsidR="00693569" w14:paraId="0EEA843C" w14:textId="77777777" w:rsidTr="00693569">
        <w:tc>
          <w:tcPr>
            <w:tcW w:w="2519" w:type="dxa"/>
            <w:shd w:val="clear" w:color="auto" w:fill="auto"/>
          </w:tcPr>
          <w:p w14:paraId="132961EA"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Some high school</w:t>
            </w:r>
          </w:p>
        </w:tc>
        <w:tc>
          <w:tcPr>
            <w:tcW w:w="1530" w:type="dxa"/>
            <w:shd w:val="clear" w:color="auto" w:fill="auto"/>
          </w:tcPr>
          <w:p w14:paraId="359E0E86" w14:textId="13B47130" w:rsidR="00693569" w:rsidRPr="004069C2" w:rsidRDefault="00693569" w:rsidP="00693569">
            <w:pPr>
              <w:pStyle w:val="ListParagraph"/>
              <w:spacing w:after="0"/>
              <w:ind w:left="0"/>
              <w:jc w:val="center"/>
              <w:rPr>
                <w:rFonts w:ascii="Times New Roman" w:hAnsi="Times New Roman" w:cs="Times New Roman"/>
                <w:bCs/>
                <w:iCs/>
                <w:sz w:val="20"/>
                <w:szCs w:val="20"/>
                <w:highlight w:val="yellow"/>
                <w:lang w:val="en-GB"/>
              </w:rPr>
            </w:pPr>
            <w:r w:rsidRPr="006F332F">
              <w:rPr>
                <w:rFonts w:ascii="Times New Roman" w:hAnsi="Times New Roman" w:cs="Times New Roman"/>
                <w:bCs/>
                <w:iCs/>
                <w:sz w:val="20"/>
                <w:szCs w:val="20"/>
                <w:lang w:val="en-GB"/>
              </w:rPr>
              <w:t>27.8%</w:t>
            </w:r>
          </w:p>
        </w:tc>
        <w:tc>
          <w:tcPr>
            <w:tcW w:w="1170" w:type="dxa"/>
            <w:shd w:val="clear" w:color="auto" w:fill="auto"/>
          </w:tcPr>
          <w:p w14:paraId="0B9FED38"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54.6%</w:t>
            </w:r>
          </w:p>
        </w:tc>
        <w:tc>
          <w:tcPr>
            <w:tcW w:w="1620" w:type="dxa"/>
            <w:shd w:val="clear" w:color="auto" w:fill="auto"/>
          </w:tcPr>
          <w:p w14:paraId="115C3C36"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24.7%</w:t>
            </w:r>
          </w:p>
        </w:tc>
        <w:tc>
          <w:tcPr>
            <w:tcW w:w="1711" w:type="dxa"/>
            <w:shd w:val="clear" w:color="auto" w:fill="auto"/>
          </w:tcPr>
          <w:p w14:paraId="1A7EA64E"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35.1%</w:t>
            </w:r>
          </w:p>
        </w:tc>
        <w:tc>
          <w:tcPr>
            <w:tcW w:w="1980" w:type="dxa"/>
            <w:shd w:val="clear" w:color="auto" w:fill="auto"/>
          </w:tcPr>
          <w:p w14:paraId="07BECB24" w14:textId="5B16F657" w:rsidR="00693569" w:rsidRPr="004941EE" w:rsidRDefault="00693569" w:rsidP="00693569">
            <w:pPr>
              <w:pStyle w:val="ListParagraph"/>
              <w:spacing w:after="0"/>
              <w:ind w:left="0"/>
              <w:jc w:val="center"/>
              <w:rPr>
                <w:rFonts w:ascii="Times New Roman" w:hAnsi="Times New Roman" w:cs="Times New Roman"/>
                <w:bCs/>
                <w:iCs/>
                <w:sz w:val="20"/>
                <w:szCs w:val="20"/>
                <w:highlight w:val="yellow"/>
                <w:lang w:val="en-GB"/>
              </w:rPr>
            </w:pPr>
            <w:r w:rsidRPr="00EA372E">
              <w:rPr>
                <w:rFonts w:ascii="Times New Roman" w:hAnsi="Times New Roman" w:cs="Times New Roman"/>
                <w:bCs/>
                <w:iCs/>
                <w:sz w:val="20"/>
                <w:szCs w:val="20"/>
                <w:lang w:val="en-GB"/>
              </w:rPr>
              <w:t>25.8%</w:t>
            </w:r>
          </w:p>
        </w:tc>
        <w:tc>
          <w:tcPr>
            <w:tcW w:w="1440" w:type="dxa"/>
            <w:shd w:val="clear" w:color="auto" w:fill="auto"/>
          </w:tcPr>
          <w:p w14:paraId="3D83DE86"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31.5%</w:t>
            </w:r>
          </w:p>
        </w:tc>
        <w:tc>
          <w:tcPr>
            <w:tcW w:w="1890" w:type="dxa"/>
            <w:shd w:val="clear" w:color="auto" w:fill="auto"/>
          </w:tcPr>
          <w:p w14:paraId="06FC883C"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14.3%</w:t>
            </w:r>
          </w:p>
        </w:tc>
        <w:tc>
          <w:tcPr>
            <w:tcW w:w="1440" w:type="dxa"/>
          </w:tcPr>
          <w:p w14:paraId="21031933"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11.4%</w:t>
            </w:r>
          </w:p>
        </w:tc>
      </w:tr>
      <w:tr w:rsidR="00693569" w14:paraId="34B9E930" w14:textId="77777777" w:rsidTr="00693569">
        <w:tc>
          <w:tcPr>
            <w:tcW w:w="2519" w:type="dxa"/>
            <w:shd w:val="clear" w:color="auto" w:fill="auto"/>
          </w:tcPr>
          <w:p w14:paraId="55DFA8F1"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High school graduate</w:t>
            </w:r>
          </w:p>
        </w:tc>
        <w:tc>
          <w:tcPr>
            <w:tcW w:w="1530" w:type="dxa"/>
            <w:shd w:val="clear" w:color="auto" w:fill="auto"/>
          </w:tcPr>
          <w:p w14:paraId="006119C5" w14:textId="0C66F836" w:rsidR="00693569" w:rsidRPr="004069C2" w:rsidRDefault="00693569" w:rsidP="00693569">
            <w:pPr>
              <w:pStyle w:val="ListParagraph"/>
              <w:spacing w:after="0"/>
              <w:ind w:left="0"/>
              <w:jc w:val="center"/>
              <w:rPr>
                <w:rFonts w:ascii="Times New Roman" w:hAnsi="Times New Roman" w:cs="Times New Roman"/>
                <w:bCs/>
                <w:iCs/>
                <w:sz w:val="20"/>
                <w:szCs w:val="20"/>
                <w:highlight w:val="yellow"/>
                <w:lang w:val="en-GB"/>
              </w:rPr>
            </w:pPr>
            <w:r w:rsidRPr="006F332F">
              <w:rPr>
                <w:rFonts w:ascii="Times New Roman" w:hAnsi="Times New Roman" w:cs="Times New Roman"/>
                <w:bCs/>
                <w:iCs/>
                <w:sz w:val="20"/>
                <w:szCs w:val="20"/>
                <w:lang w:val="en-GB"/>
              </w:rPr>
              <w:t>29.5%</w:t>
            </w:r>
          </w:p>
        </w:tc>
        <w:tc>
          <w:tcPr>
            <w:tcW w:w="1170" w:type="dxa"/>
            <w:shd w:val="clear" w:color="auto" w:fill="auto"/>
          </w:tcPr>
          <w:p w14:paraId="2826437B"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19.6%</w:t>
            </w:r>
          </w:p>
        </w:tc>
        <w:tc>
          <w:tcPr>
            <w:tcW w:w="1620" w:type="dxa"/>
            <w:shd w:val="clear" w:color="auto" w:fill="auto"/>
          </w:tcPr>
          <w:p w14:paraId="5EF77FE7"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29.9%</w:t>
            </w:r>
          </w:p>
        </w:tc>
        <w:tc>
          <w:tcPr>
            <w:tcW w:w="1711" w:type="dxa"/>
            <w:shd w:val="clear" w:color="auto" w:fill="auto"/>
          </w:tcPr>
          <w:p w14:paraId="57F2AE50"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29.8%</w:t>
            </w:r>
          </w:p>
        </w:tc>
        <w:tc>
          <w:tcPr>
            <w:tcW w:w="1980" w:type="dxa"/>
            <w:shd w:val="clear" w:color="auto" w:fill="auto"/>
          </w:tcPr>
          <w:p w14:paraId="14161466" w14:textId="1AF56137" w:rsidR="00693569" w:rsidRPr="004941EE" w:rsidRDefault="00693569" w:rsidP="00693569">
            <w:pPr>
              <w:pStyle w:val="ListParagraph"/>
              <w:spacing w:after="0"/>
              <w:ind w:left="0"/>
              <w:jc w:val="center"/>
              <w:rPr>
                <w:rFonts w:ascii="Times New Roman" w:hAnsi="Times New Roman" w:cs="Times New Roman"/>
                <w:bCs/>
                <w:iCs/>
                <w:sz w:val="20"/>
                <w:szCs w:val="20"/>
                <w:highlight w:val="yellow"/>
                <w:lang w:val="en-GB"/>
              </w:rPr>
            </w:pPr>
            <w:r w:rsidRPr="00EA372E">
              <w:rPr>
                <w:rFonts w:ascii="Times New Roman" w:hAnsi="Times New Roman" w:cs="Times New Roman"/>
                <w:bCs/>
                <w:iCs/>
                <w:sz w:val="20"/>
                <w:szCs w:val="20"/>
                <w:lang w:val="en-GB"/>
              </w:rPr>
              <w:t>37.1%</w:t>
            </w:r>
          </w:p>
        </w:tc>
        <w:tc>
          <w:tcPr>
            <w:tcW w:w="1440" w:type="dxa"/>
            <w:shd w:val="clear" w:color="auto" w:fill="auto"/>
          </w:tcPr>
          <w:p w14:paraId="2E193EA9"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13.5%</w:t>
            </w:r>
          </w:p>
        </w:tc>
        <w:tc>
          <w:tcPr>
            <w:tcW w:w="1890" w:type="dxa"/>
            <w:shd w:val="clear" w:color="auto" w:fill="auto"/>
          </w:tcPr>
          <w:p w14:paraId="19859650"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36.7%</w:t>
            </w:r>
          </w:p>
        </w:tc>
        <w:tc>
          <w:tcPr>
            <w:tcW w:w="1440" w:type="dxa"/>
          </w:tcPr>
          <w:p w14:paraId="34E44864"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31.4%</w:t>
            </w:r>
          </w:p>
        </w:tc>
      </w:tr>
      <w:tr w:rsidR="00693569" w14:paraId="4F90E1B3" w14:textId="77777777" w:rsidTr="00693569">
        <w:tc>
          <w:tcPr>
            <w:tcW w:w="2519" w:type="dxa"/>
            <w:shd w:val="clear" w:color="auto" w:fill="auto"/>
          </w:tcPr>
          <w:p w14:paraId="5B33AD81"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College or University</w:t>
            </w:r>
          </w:p>
        </w:tc>
        <w:tc>
          <w:tcPr>
            <w:tcW w:w="1530" w:type="dxa"/>
            <w:shd w:val="clear" w:color="auto" w:fill="auto"/>
          </w:tcPr>
          <w:p w14:paraId="68940A3F" w14:textId="654CE4D0" w:rsidR="00693569" w:rsidRPr="004069C2" w:rsidRDefault="00693569" w:rsidP="00693569">
            <w:pPr>
              <w:pStyle w:val="ListParagraph"/>
              <w:spacing w:after="0"/>
              <w:ind w:left="0"/>
              <w:jc w:val="center"/>
              <w:rPr>
                <w:rFonts w:ascii="Times New Roman" w:hAnsi="Times New Roman" w:cs="Times New Roman"/>
                <w:bCs/>
                <w:iCs/>
                <w:sz w:val="20"/>
                <w:szCs w:val="20"/>
                <w:highlight w:val="yellow"/>
                <w:lang w:val="en-GB"/>
              </w:rPr>
            </w:pPr>
            <w:r w:rsidRPr="006F332F">
              <w:rPr>
                <w:rFonts w:ascii="Times New Roman" w:hAnsi="Times New Roman" w:cs="Times New Roman"/>
                <w:bCs/>
                <w:iCs/>
                <w:sz w:val="20"/>
                <w:szCs w:val="20"/>
                <w:lang w:val="en-GB"/>
              </w:rPr>
              <w:t>30.4%</w:t>
            </w:r>
          </w:p>
        </w:tc>
        <w:tc>
          <w:tcPr>
            <w:tcW w:w="1170" w:type="dxa"/>
            <w:shd w:val="clear" w:color="auto" w:fill="auto"/>
          </w:tcPr>
          <w:p w14:paraId="125A11AB"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22.7%</w:t>
            </w:r>
          </w:p>
        </w:tc>
        <w:tc>
          <w:tcPr>
            <w:tcW w:w="1620" w:type="dxa"/>
            <w:shd w:val="clear" w:color="auto" w:fill="auto"/>
          </w:tcPr>
          <w:p w14:paraId="24648D7D"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25.8%</w:t>
            </w:r>
          </w:p>
        </w:tc>
        <w:tc>
          <w:tcPr>
            <w:tcW w:w="1711" w:type="dxa"/>
            <w:shd w:val="clear" w:color="auto" w:fill="auto"/>
          </w:tcPr>
          <w:p w14:paraId="4094A903"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26.0%</w:t>
            </w:r>
          </w:p>
        </w:tc>
        <w:tc>
          <w:tcPr>
            <w:tcW w:w="1980" w:type="dxa"/>
            <w:shd w:val="clear" w:color="auto" w:fill="auto"/>
          </w:tcPr>
          <w:p w14:paraId="22249F33" w14:textId="529F4D40" w:rsidR="00693569" w:rsidRPr="004941EE" w:rsidRDefault="00693569" w:rsidP="00693569">
            <w:pPr>
              <w:pStyle w:val="ListParagraph"/>
              <w:spacing w:after="0"/>
              <w:ind w:left="0"/>
              <w:jc w:val="center"/>
              <w:rPr>
                <w:rFonts w:ascii="Times New Roman" w:hAnsi="Times New Roman" w:cs="Times New Roman"/>
                <w:bCs/>
                <w:iCs/>
                <w:sz w:val="20"/>
                <w:szCs w:val="20"/>
                <w:highlight w:val="yellow"/>
                <w:lang w:val="en-GB"/>
              </w:rPr>
            </w:pPr>
            <w:r w:rsidRPr="00EA372E">
              <w:rPr>
                <w:rFonts w:ascii="Times New Roman" w:hAnsi="Times New Roman" w:cs="Times New Roman"/>
                <w:bCs/>
                <w:iCs/>
                <w:sz w:val="20"/>
                <w:szCs w:val="20"/>
                <w:lang w:val="en-GB"/>
              </w:rPr>
              <w:t>27.1%</w:t>
            </w:r>
          </w:p>
        </w:tc>
        <w:tc>
          <w:tcPr>
            <w:tcW w:w="1440" w:type="dxa"/>
            <w:shd w:val="clear" w:color="auto" w:fill="auto"/>
          </w:tcPr>
          <w:p w14:paraId="71FC2976"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50.5%</w:t>
            </w:r>
          </w:p>
        </w:tc>
        <w:tc>
          <w:tcPr>
            <w:tcW w:w="1890" w:type="dxa"/>
            <w:shd w:val="clear" w:color="auto" w:fill="auto"/>
          </w:tcPr>
          <w:p w14:paraId="71CF8E13"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38.8%</w:t>
            </w:r>
          </w:p>
        </w:tc>
        <w:tc>
          <w:tcPr>
            <w:tcW w:w="1440" w:type="dxa"/>
          </w:tcPr>
          <w:p w14:paraId="428A52A2"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35.0%</w:t>
            </w:r>
          </w:p>
        </w:tc>
      </w:tr>
      <w:tr w:rsidR="00693569" w14:paraId="7F7291C9" w14:textId="77777777" w:rsidTr="00693569">
        <w:tc>
          <w:tcPr>
            <w:tcW w:w="2519" w:type="dxa"/>
          </w:tcPr>
          <w:p w14:paraId="042F697F" w14:textId="77777777" w:rsidR="00693569" w:rsidRPr="009A5F6B" w:rsidRDefault="00693569" w:rsidP="00693569">
            <w:pPr>
              <w:pStyle w:val="ListParagraph"/>
              <w:spacing w:after="0"/>
              <w:ind w:left="0"/>
              <w:rPr>
                <w:rFonts w:ascii="Times New Roman" w:hAnsi="Times New Roman" w:cs="Times New Roman"/>
                <w:b/>
                <w:bCs/>
                <w:iCs/>
                <w:sz w:val="20"/>
                <w:szCs w:val="20"/>
                <w:lang w:val="en-GB"/>
              </w:rPr>
            </w:pPr>
            <w:r w:rsidRPr="009A5F6B">
              <w:rPr>
                <w:rFonts w:ascii="Times New Roman" w:hAnsi="Times New Roman" w:cs="Times New Roman"/>
                <w:b/>
                <w:bCs/>
                <w:iCs/>
                <w:sz w:val="20"/>
                <w:szCs w:val="20"/>
                <w:lang w:val="en-GB"/>
              </w:rPr>
              <w:t>Diagnosis of osteoporosis</w:t>
            </w:r>
          </w:p>
        </w:tc>
        <w:tc>
          <w:tcPr>
            <w:tcW w:w="1530" w:type="dxa"/>
          </w:tcPr>
          <w:p w14:paraId="29EEDBF8" w14:textId="77777777" w:rsidR="0069356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73.3%</w:t>
            </w:r>
          </w:p>
        </w:tc>
        <w:tc>
          <w:tcPr>
            <w:tcW w:w="1170" w:type="dxa"/>
          </w:tcPr>
          <w:p w14:paraId="4B7980BA"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93.8%</w:t>
            </w:r>
          </w:p>
        </w:tc>
        <w:tc>
          <w:tcPr>
            <w:tcW w:w="1620" w:type="dxa"/>
          </w:tcPr>
          <w:p w14:paraId="0F4C2BED"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45.4%</w:t>
            </w:r>
          </w:p>
        </w:tc>
        <w:tc>
          <w:tcPr>
            <w:tcW w:w="1711" w:type="dxa"/>
          </w:tcPr>
          <w:p w14:paraId="783DDA18"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89.1%</w:t>
            </w:r>
          </w:p>
        </w:tc>
        <w:tc>
          <w:tcPr>
            <w:tcW w:w="1980" w:type="dxa"/>
          </w:tcPr>
          <w:p w14:paraId="77E4B0FE"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71.1%</w:t>
            </w:r>
          </w:p>
        </w:tc>
        <w:tc>
          <w:tcPr>
            <w:tcW w:w="1440" w:type="dxa"/>
          </w:tcPr>
          <w:p w14:paraId="1B66FE3B"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94.3%</w:t>
            </w:r>
          </w:p>
        </w:tc>
        <w:tc>
          <w:tcPr>
            <w:tcW w:w="1890" w:type="dxa"/>
          </w:tcPr>
          <w:p w14:paraId="5933DDF2"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93.3%</w:t>
            </w:r>
          </w:p>
        </w:tc>
        <w:tc>
          <w:tcPr>
            <w:tcW w:w="1440" w:type="dxa"/>
          </w:tcPr>
          <w:p w14:paraId="35D675D1"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47.5%</w:t>
            </w:r>
          </w:p>
        </w:tc>
      </w:tr>
      <w:tr w:rsidR="00693569" w14:paraId="40E0E48E" w14:textId="77777777" w:rsidTr="00693569">
        <w:tc>
          <w:tcPr>
            <w:tcW w:w="2519" w:type="dxa"/>
          </w:tcPr>
          <w:p w14:paraId="694FDB6E"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
                <w:bCs/>
                <w:iCs/>
                <w:sz w:val="20"/>
                <w:szCs w:val="20"/>
                <w:lang w:val="en-GB"/>
              </w:rPr>
              <w:t xml:space="preserve">     </w:t>
            </w:r>
            <w:r w:rsidRPr="009A5F6B">
              <w:rPr>
                <w:rFonts w:ascii="Times New Roman" w:hAnsi="Times New Roman" w:cs="Times New Roman"/>
                <w:bCs/>
                <w:iCs/>
                <w:sz w:val="20"/>
                <w:szCs w:val="20"/>
                <w:lang w:val="en-GB"/>
              </w:rPr>
              <w:t xml:space="preserve">Years since osteoporosis </w:t>
            </w:r>
            <w:r>
              <w:rPr>
                <w:rFonts w:ascii="Times New Roman" w:hAnsi="Times New Roman" w:cs="Times New Roman"/>
                <w:bCs/>
                <w:iCs/>
                <w:sz w:val="20"/>
                <w:szCs w:val="20"/>
                <w:lang w:val="en-GB"/>
              </w:rPr>
              <w:t xml:space="preserve">          </w:t>
            </w:r>
            <w:r w:rsidRPr="009A5F6B">
              <w:rPr>
                <w:rFonts w:ascii="Times New Roman" w:hAnsi="Times New Roman" w:cs="Times New Roman"/>
                <w:bCs/>
                <w:iCs/>
                <w:sz w:val="20"/>
                <w:szCs w:val="20"/>
                <w:lang w:val="en-GB"/>
              </w:rPr>
              <w:t>(mean</w:t>
            </w:r>
            <w:r w:rsidRPr="00CF6191">
              <w:rPr>
                <w:rFonts w:ascii="Times New Roman" w:hAnsi="Times New Roman" w:cs="Times New Roman"/>
                <w:sz w:val="20"/>
                <w:szCs w:val="20"/>
                <w:lang w:val="en-GB"/>
              </w:rPr>
              <w:t xml:space="preserve"> ± SD</w:t>
            </w:r>
            <w:r w:rsidRPr="009A5F6B">
              <w:rPr>
                <w:rFonts w:ascii="Times New Roman" w:hAnsi="Times New Roman" w:cs="Times New Roman"/>
                <w:bCs/>
                <w:iCs/>
                <w:sz w:val="20"/>
                <w:szCs w:val="20"/>
                <w:lang w:val="en-GB"/>
              </w:rPr>
              <w:t>)</w:t>
            </w:r>
          </w:p>
        </w:tc>
        <w:tc>
          <w:tcPr>
            <w:tcW w:w="1530" w:type="dxa"/>
          </w:tcPr>
          <w:p w14:paraId="37A1FE47" w14:textId="77777777" w:rsidR="0069356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7.44</w:t>
            </w:r>
            <w:r w:rsidRPr="007101E5">
              <w:rPr>
                <w:rFonts w:ascii="Times New Roman" w:hAnsi="Times New Roman" w:cs="Times New Roman"/>
                <w:sz w:val="20"/>
                <w:szCs w:val="20"/>
              </w:rPr>
              <w:t>±</w:t>
            </w:r>
            <w:r>
              <w:rPr>
                <w:rFonts w:ascii="Times New Roman" w:hAnsi="Times New Roman" w:cs="Times New Roman"/>
                <w:sz w:val="20"/>
                <w:szCs w:val="20"/>
              </w:rPr>
              <w:t>6.8</w:t>
            </w:r>
          </w:p>
        </w:tc>
        <w:tc>
          <w:tcPr>
            <w:tcW w:w="1170" w:type="dxa"/>
          </w:tcPr>
          <w:p w14:paraId="5CA4B22C"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8.</w:t>
            </w:r>
            <w:r w:rsidRPr="007101E5">
              <w:rPr>
                <w:rFonts w:ascii="Times New Roman" w:hAnsi="Times New Roman" w:cs="Times New Roman"/>
                <w:bCs/>
                <w:iCs/>
                <w:sz w:val="20"/>
                <w:szCs w:val="20"/>
                <w:lang w:val="en-GB"/>
              </w:rPr>
              <w:t>8</w:t>
            </w:r>
            <w:r w:rsidRPr="007101E5">
              <w:rPr>
                <w:rFonts w:ascii="Times New Roman" w:hAnsi="Times New Roman" w:cs="Times New Roman"/>
                <w:sz w:val="20"/>
                <w:szCs w:val="20"/>
              </w:rPr>
              <w:t>±6.5</w:t>
            </w:r>
          </w:p>
        </w:tc>
        <w:tc>
          <w:tcPr>
            <w:tcW w:w="1620" w:type="dxa"/>
          </w:tcPr>
          <w:p w14:paraId="35542DA8"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sidRPr="00E65B99">
              <w:rPr>
                <w:rFonts w:ascii="Times New Roman" w:hAnsi="Times New Roman" w:cs="Times New Roman"/>
                <w:bCs/>
                <w:iCs/>
                <w:sz w:val="20"/>
                <w:szCs w:val="20"/>
                <w:lang w:val="en-GB"/>
              </w:rPr>
              <w:t>5.4</w:t>
            </w:r>
            <w:r w:rsidRPr="00E65B99">
              <w:rPr>
                <w:rFonts w:ascii="Times New Roman" w:hAnsi="Times New Roman" w:cs="Times New Roman"/>
                <w:sz w:val="20"/>
                <w:szCs w:val="20"/>
              </w:rPr>
              <w:t>±5.2</w:t>
            </w:r>
          </w:p>
        </w:tc>
        <w:tc>
          <w:tcPr>
            <w:tcW w:w="1711" w:type="dxa"/>
          </w:tcPr>
          <w:p w14:paraId="7968608B"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sidRPr="00CF1E9F">
              <w:rPr>
                <w:rFonts w:ascii="Times New Roman" w:hAnsi="Times New Roman" w:cs="Times New Roman"/>
                <w:bCs/>
                <w:iCs/>
                <w:sz w:val="20"/>
                <w:szCs w:val="20"/>
                <w:lang w:val="en-GB"/>
              </w:rPr>
              <w:t>8.0</w:t>
            </w:r>
            <w:r w:rsidRPr="00CF1E9F">
              <w:rPr>
                <w:rFonts w:ascii="Times New Roman" w:hAnsi="Times New Roman" w:cs="Times New Roman"/>
                <w:sz w:val="20"/>
                <w:szCs w:val="20"/>
              </w:rPr>
              <w:t>±6.1</w:t>
            </w:r>
          </w:p>
        </w:tc>
        <w:tc>
          <w:tcPr>
            <w:tcW w:w="1980" w:type="dxa"/>
          </w:tcPr>
          <w:p w14:paraId="344C9E85"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sidRPr="00FB5507">
              <w:rPr>
                <w:rFonts w:ascii="Times New Roman" w:hAnsi="Times New Roman" w:cs="Times New Roman"/>
                <w:bCs/>
                <w:iCs/>
                <w:sz w:val="20"/>
                <w:szCs w:val="20"/>
                <w:lang w:val="en-GB"/>
              </w:rPr>
              <w:t>5.1</w:t>
            </w:r>
            <w:r w:rsidRPr="00FB5507">
              <w:rPr>
                <w:rFonts w:ascii="Times New Roman" w:hAnsi="Times New Roman" w:cs="Times New Roman"/>
                <w:sz w:val="20"/>
                <w:szCs w:val="20"/>
              </w:rPr>
              <w:t>±5.7</w:t>
            </w:r>
          </w:p>
        </w:tc>
        <w:tc>
          <w:tcPr>
            <w:tcW w:w="1440" w:type="dxa"/>
          </w:tcPr>
          <w:p w14:paraId="7A6A2F0D"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sidRPr="00CF04F5">
              <w:rPr>
                <w:rFonts w:ascii="Times New Roman" w:hAnsi="Times New Roman" w:cs="Times New Roman"/>
                <w:bCs/>
                <w:iCs/>
                <w:sz w:val="20"/>
                <w:szCs w:val="20"/>
                <w:lang w:val="en-GB"/>
              </w:rPr>
              <w:t>8.9</w:t>
            </w:r>
            <w:r w:rsidRPr="00CF04F5">
              <w:rPr>
                <w:rFonts w:ascii="Times New Roman" w:hAnsi="Times New Roman" w:cs="Times New Roman"/>
                <w:sz w:val="20"/>
                <w:szCs w:val="20"/>
              </w:rPr>
              <w:t>±8.9</w:t>
            </w:r>
          </w:p>
        </w:tc>
        <w:tc>
          <w:tcPr>
            <w:tcW w:w="1890" w:type="dxa"/>
          </w:tcPr>
          <w:p w14:paraId="569C04A6"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sidRPr="00166E02">
              <w:rPr>
                <w:rFonts w:ascii="Times New Roman" w:hAnsi="Times New Roman" w:cs="Times New Roman"/>
                <w:bCs/>
                <w:iCs/>
                <w:sz w:val="20"/>
                <w:szCs w:val="20"/>
                <w:lang w:val="en-GB"/>
              </w:rPr>
              <w:t>7.3</w:t>
            </w:r>
            <w:r w:rsidRPr="00166E02">
              <w:rPr>
                <w:rFonts w:ascii="Times New Roman" w:hAnsi="Times New Roman" w:cs="Times New Roman"/>
                <w:sz w:val="20"/>
                <w:szCs w:val="20"/>
              </w:rPr>
              <w:t>±5.7</w:t>
            </w:r>
          </w:p>
        </w:tc>
        <w:tc>
          <w:tcPr>
            <w:tcW w:w="1440" w:type="dxa"/>
          </w:tcPr>
          <w:p w14:paraId="3A6B491E"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sidRPr="004618D8">
              <w:rPr>
                <w:rFonts w:ascii="Times New Roman" w:hAnsi="Times New Roman" w:cs="Times New Roman"/>
                <w:bCs/>
                <w:iCs/>
                <w:sz w:val="20"/>
                <w:szCs w:val="20"/>
                <w:lang w:val="en-GB"/>
              </w:rPr>
              <w:t>8.3</w:t>
            </w:r>
            <w:r w:rsidRPr="004618D8">
              <w:rPr>
                <w:rFonts w:ascii="Times New Roman" w:hAnsi="Times New Roman" w:cs="Times New Roman"/>
                <w:sz w:val="20"/>
                <w:szCs w:val="20"/>
              </w:rPr>
              <w:t>±9.1</w:t>
            </w:r>
          </w:p>
        </w:tc>
      </w:tr>
      <w:tr w:rsidR="009C1B55" w14:paraId="095498CD" w14:textId="77777777" w:rsidTr="00693569">
        <w:tc>
          <w:tcPr>
            <w:tcW w:w="2519" w:type="dxa"/>
          </w:tcPr>
          <w:p w14:paraId="34FE1C4F" w14:textId="72C4C974" w:rsidR="009C1B55" w:rsidRPr="009A5F6B" w:rsidRDefault="009C1B55" w:rsidP="00693569">
            <w:pPr>
              <w:pStyle w:val="ListParagraph"/>
              <w:spacing w:after="0"/>
              <w:ind w:left="0"/>
              <w:rPr>
                <w:rFonts w:ascii="Times New Roman" w:hAnsi="Times New Roman" w:cs="Times New Roman"/>
                <w:b/>
                <w:bCs/>
                <w:iCs/>
                <w:sz w:val="20"/>
                <w:szCs w:val="20"/>
                <w:lang w:val="en-GB"/>
              </w:rPr>
            </w:pPr>
            <w:r>
              <w:rPr>
                <w:rFonts w:ascii="Times New Roman" w:hAnsi="Times New Roman" w:cs="Times New Roman"/>
                <w:b/>
                <w:bCs/>
                <w:iCs/>
                <w:sz w:val="20"/>
                <w:szCs w:val="20"/>
                <w:lang w:val="en-GB"/>
              </w:rPr>
              <w:t>With prior fracture</w:t>
            </w:r>
          </w:p>
        </w:tc>
        <w:tc>
          <w:tcPr>
            <w:tcW w:w="1530" w:type="dxa"/>
          </w:tcPr>
          <w:p w14:paraId="1390DB1E" w14:textId="06D7B67D" w:rsidR="009C1B55" w:rsidRDefault="009C1B55"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48.2%</w:t>
            </w:r>
          </w:p>
        </w:tc>
        <w:tc>
          <w:tcPr>
            <w:tcW w:w="1170" w:type="dxa"/>
          </w:tcPr>
          <w:p w14:paraId="3732CE43" w14:textId="2A88A995" w:rsidR="009C1B55" w:rsidRDefault="009C1B55"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58.8%</w:t>
            </w:r>
          </w:p>
        </w:tc>
        <w:tc>
          <w:tcPr>
            <w:tcW w:w="1620" w:type="dxa"/>
          </w:tcPr>
          <w:p w14:paraId="331FBB4E" w14:textId="5895A9C3" w:rsidR="009C1B55" w:rsidRPr="00E65B99" w:rsidRDefault="009C1B55"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43.7%</w:t>
            </w:r>
          </w:p>
        </w:tc>
        <w:tc>
          <w:tcPr>
            <w:tcW w:w="1711" w:type="dxa"/>
          </w:tcPr>
          <w:p w14:paraId="63616671" w14:textId="3DE20AB2" w:rsidR="009C1B55" w:rsidRPr="00CF1E9F" w:rsidRDefault="009C1B55"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47.1%</w:t>
            </w:r>
          </w:p>
        </w:tc>
        <w:tc>
          <w:tcPr>
            <w:tcW w:w="1980" w:type="dxa"/>
          </w:tcPr>
          <w:p w14:paraId="2AA3E55A" w14:textId="2C290DEF" w:rsidR="009C1B55" w:rsidRPr="00FB5507" w:rsidRDefault="009C1B55"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54.4%</w:t>
            </w:r>
          </w:p>
        </w:tc>
        <w:tc>
          <w:tcPr>
            <w:tcW w:w="1440" w:type="dxa"/>
          </w:tcPr>
          <w:p w14:paraId="6CA2818A" w14:textId="57BBB968" w:rsidR="009C1B55" w:rsidRPr="00CF04F5" w:rsidRDefault="009C1B55"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69.2%</w:t>
            </w:r>
          </w:p>
        </w:tc>
        <w:tc>
          <w:tcPr>
            <w:tcW w:w="1890" w:type="dxa"/>
          </w:tcPr>
          <w:p w14:paraId="31506ECA" w14:textId="6471648B" w:rsidR="009C1B55" w:rsidRPr="00166E02" w:rsidRDefault="009C1B55"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51.0%</w:t>
            </w:r>
          </w:p>
        </w:tc>
        <w:tc>
          <w:tcPr>
            <w:tcW w:w="1440" w:type="dxa"/>
          </w:tcPr>
          <w:p w14:paraId="75B70556" w14:textId="4DB49085" w:rsidR="009C1B55" w:rsidRPr="004618D8" w:rsidRDefault="009C1B55"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26.7%</w:t>
            </w:r>
          </w:p>
        </w:tc>
      </w:tr>
      <w:tr w:rsidR="000C75B6" w14:paraId="6A3380C0" w14:textId="77777777" w:rsidTr="00693569">
        <w:tc>
          <w:tcPr>
            <w:tcW w:w="2519" w:type="dxa"/>
          </w:tcPr>
          <w:p w14:paraId="4E62A8E0" w14:textId="36B851F6" w:rsidR="000C75B6" w:rsidRDefault="000C75B6" w:rsidP="00693569">
            <w:pPr>
              <w:pStyle w:val="ListParagraph"/>
              <w:spacing w:after="0"/>
              <w:ind w:left="0"/>
              <w:rPr>
                <w:rFonts w:ascii="Times New Roman" w:hAnsi="Times New Roman" w:cs="Times New Roman"/>
                <w:b/>
                <w:bCs/>
                <w:iCs/>
                <w:sz w:val="20"/>
                <w:szCs w:val="20"/>
                <w:lang w:val="en-GB"/>
              </w:rPr>
            </w:pPr>
            <w:r w:rsidRPr="000C75B6">
              <w:rPr>
                <w:rFonts w:ascii="Times New Roman" w:hAnsi="Times New Roman" w:cs="Times New Roman"/>
                <w:b/>
                <w:bCs/>
                <w:iCs/>
                <w:sz w:val="20"/>
                <w:szCs w:val="20"/>
                <w:lang w:val="en-GB"/>
              </w:rPr>
              <w:t xml:space="preserve">Currently </w:t>
            </w:r>
            <w:r w:rsidR="00876766">
              <w:rPr>
                <w:rFonts w:ascii="Times New Roman" w:hAnsi="Times New Roman" w:cs="Times New Roman"/>
                <w:b/>
                <w:bCs/>
                <w:iCs/>
                <w:sz w:val="20"/>
                <w:szCs w:val="20"/>
                <w:lang w:val="en-GB"/>
              </w:rPr>
              <w:t>i</w:t>
            </w:r>
            <w:r w:rsidRPr="000C75B6">
              <w:rPr>
                <w:rFonts w:ascii="Times New Roman" w:hAnsi="Times New Roman" w:cs="Times New Roman"/>
                <w:b/>
                <w:bCs/>
                <w:iCs/>
                <w:sz w:val="20"/>
                <w:szCs w:val="20"/>
                <w:lang w:val="en-GB"/>
              </w:rPr>
              <w:t>n osteoporotic treatment</w:t>
            </w:r>
          </w:p>
        </w:tc>
        <w:tc>
          <w:tcPr>
            <w:tcW w:w="1530" w:type="dxa"/>
          </w:tcPr>
          <w:p w14:paraId="39F56EA5" w14:textId="298724B2" w:rsidR="000C75B6" w:rsidRDefault="000C75B6"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52.9%</w:t>
            </w:r>
          </w:p>
        </w:tc>
        <w:tc>
          <w:tcPr>
            <w:tcW w:w="1170" w:type="dxa"/>
          </w:tcPr>
          <w:p w14:paraId="17A27E8B" w14:textId="6D4E8CDB" w:rsidR="000C75B6" w:rsidRDefault="000C75B6"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66.0%</w:t>
            </w:r>
          </w:p>
        </w:tc>
        <w:tc>
          <w:tcPr>
            <w:tcW w:w="1620" w:type="dxa"/>
          </w:tcPr>
          <w:p w14:paraId="4FDD62BA" w14:textId="48537FB0" w:rsidR="000C75B6" w:rsidRDefault="000C75B6"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36.0%</w:t>
            </w:r>
          </w:p>
        </w:tc>
        <w:tc>
          <w:tcPr>
            <w:tcW w:w="1711" w:type="dxa"/>
          </w:tcPr>
          <w:p w14:paraId="7B21574D" w14:textId="3A4EF40B" w:rsidR="000C75B6" w:rsidRDefault="000C75B6"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66.8%</w:t>
            </w:r>
          </w:p>
        </w:tc>
        <w:tc>
          <w:tcPr>
            <w:tcW w:w="1980" w:type="dxa"/>
          </w:tcPr>
          <w:p w14:paraId="491F2E17" w14:textId="70A7842B" w:rsidR="000C75B6" w:rsidRDefault="000C75B6"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45.6%</w:t>
            </w:r>
          </w:p>
        </w:tc>
        <w:tc>
          <w:tcPr>
            <w:tcW w:w="1440" w:type="dxa"/>
          </w:tcPr>
          <w:p w14:paraId="4C3811C7" w14:textId="1DE8CFAD" w:rsidR="000C75B6" w:rsidRDefault="000C75B6"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62.6%</w:t>
            </w:r>
          </w:p>
        </w:tc>
        <w:tc>
          <w:tcPr>
            <w:tcW w:w="1890" w:type="dxa"/>
          </w:tcPr>
          <w:p w14:paraId="1E0EEEF0" w14:textId="0F61DA26" w:rsidR="000C75B6" w:rsidRDefault="000C75B6"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68.4%</w:t>
            </w:r>
          </w:p>
        </w:tc>
        <w:tc>
          <w:tcPr>
            <w:tcW w:w="1440" w:type="dxa"/>
          </w:tcPr>
          <w:p w14:paraId="3DF13964" w14:textId="4769B89A" w:rsidR="000C75B6" w:rsidRDefault="000C75B6"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35.6%</w:t>
            </w:r>
          </w:p>
        </w:tc>
      </w:tr>
      <w:tr w:rsidR="00693569" w:rsidRPr="004B552A" w14:paraId="52A0B2EC" w14:textId="77777777" w:rsidTr="00693569">
        <w:tc>
          <w:tcPr>
            <w:tcW w:w="2519" w:type="dxa"/>
          </w:tcPr>
          <w:p w14:paraId="0EAD0191" w14:textId="77777777" w:rsidR="00693569" w:rsidRPr="009A5F6B" w:rsidRDefault="00693569" w:rsidP="00693569">
            <w:pPr>
              <w:pStyle w:val="ListParagraph"/>
              <w:spacing w:after="0"/>
              <w:ind w:left="0"/>
              <w:rPr>
                <w:rFonts w:ascii="Times New Roman" w:hAnsi="Times New Roman" w:cs="Times New Roman"/>
                <w:b/>
                <w:bCs/>
                <w:iCs/>
                <w:sz w:val="20"/>
                <w:szCs w:val="20"/>
                <w:lang w:val="en-GB"/>
              </w:rPr>
            </w:pPr>
            <w:r w:rsidRPr="009A5F6B">
              <w:rPr>
                <w:rFonts w:ascii="Times New Roman" w:hAnsi="Times New Roman" w:cs="Times New Roman"/>
                <w:b/>
                <w:bCs/>
                <w:iCs/>
                <w:sz w:val="20"/>
                <w:szCs w:val="20"/>
                <w:lang w:val="en-GB"/>
              </w:rPr>
              <w:t>Current level of physical activity</w:t>
            </w:r>
          </w:p>
        </w:tc>
        <w:tc>
          <w:tcPr>
            <w:tcW w:w="1530" w:type="dxa"/>
          </w:tcPr>
          <w:p w14:paraId="1E21D352"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p>
        </w:tc>
        <w:tc>
          <w:tcPr>
            <w:tcW w:w="1170" w:type="dxa"/>
          </w:tcPr>
          <w:p w14:paraId="12B4BABF"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p>
        </w:tc>
        <w:tc>
          <w:tcPr>
            <w:tcW w:w="1620" w:type="dxa"/>
          </w:tcPr>
          <w:p w14:paraId="3A6CEF94"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p>
        </w:tc>
        <w:tc>
          <w:tcPr>
            <w:tcW w:w="1711" w:type="dxa"/>
          </w:tcPr>
          <w:p w14:paraId="002FD178"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p>
        </w:tc>
        <w:tc>
          <w:tcPr>
            <w:tcW w:w="1980" w:type="dxa"/>
          </w:tcPr>
          <w:p w14:paraId="45838DC2"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p>
        </w:tc>
        <w:tc>
          <w:tcPr>
            <w:tcW w:w="1440" w:type="dxa"/>
          </w:tcPr>
          <w:p w14:paraId="62E228E9"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p>
        </w:tc>
        <w:tc>
          <w:tcPr>
            <w:tcW w:w="1890" w:type="dxa"/>
          </w:tcPr>
          <w:p w14:paraId="19486E47"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p>
        </w:tc>
        <w:tc>
          <w:tcPr>
            <w:tcW w:w="1440" w:type="dxa"/>
          </w:tcPr>
          <w:p w14:paraId="0ABB6865"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p>
        </w:tc>
      </w:tr>
      <w:tr w:rsidR="00693569" w14:paraId="5C3EB460" w14:textId="77777777" w:rsidTr="00693569">
        <w:tc>
          <w:tcPr>
            <w:tcW w:w="2519" w:type="dxa"/>
          </w:tcPr>
          <w:p w14:paraId="79FCE577"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Very active</w:t>
            </w:r>
          </w:p>
        </w:tc>
        <w:tc>
          <w:tcPr>
            <w:tcW w:w="1530" w:type="dxa"/>
          </w:tcPr>
          <w:p w14:paraId="75FC0F59" w14:textId="77777777" w:rsidR="0069356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35.3%</w:t>
            </w:r>
          </w:p>
        </w:tc>
        <w:tc>
          <w:tcPr>
            <w:tcW w:w="1170" w:type="dxa"/>
          </w:tcPr>
          <w:p w14:paraId="61E5B2C1"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28.9%</w:t>
            </w:r>
          </w:p>
        </w:tc>
        <w:tc>
          <w:tcPr>
            <w:tcW w:w="1620" w:type="dxa"/>
          </w:tcPr>
          <w:p w14:paraId="440785D5"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26.9%</w:t>
            </w:r>
          </w:p>
        </w:tc>
        <w:tc>
          <w:tcPr>
            <w:tcW w:w="1711" w:type="dxa"/>
          </w:tcPr>
          <w:p w14:paraId="6FA60F8C"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32.1%</w:t>
            </w:r>
          </w:p>
        </w:tc>
        <w:tc>
          <w:tcPr>
            <w:tcW w:w="1980" w:type="dxa"/>
          </w:tcPr>
          <w:p w14:paraId="50AF5F86"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48.4%</w:t>
            </w:r>
          </w:p>
        </w:tc>
        <w:tc>
          <w:tcPr>
            <w:tcW w:w="1440" w:type="dxa"/>
          </w:tcPr>
          <w:p w14:paraId="72F086A5"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42.0%</w:t>
            </w:r>
          </w:p>
        </w:tc>
        <w:tc>
          <w:tcPr>
            <w:tcW w:w="1890" w:type="dxa"/>
          </w:tcPr>
          <w:p w14:paraId="106A6886"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30.9%</w:t>
            </w:r>
          </w:p>
        </w:tc>
        <w:tc>
          <w:tcPr>
            <w:tcW w:w="1440" w:type="dxa"/>
          </w:tcPr>
          <w:p w14:paraId="5D388477"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41.3%</w:t>
            </w:r>
          </w:p>
        </w:tc>
      </w:tr>
      <w:tr w:rsidR="00693569" w14:paraId="372393A4" w14:textId="77777777" w:rsidTr="00693569">
        <w:tc>
          <w:tcPr>
            <w:tcW w:w="2519" w:type="dxa"/>
          </w:tcPr>
          <w:p w14:paraId="6C9ABD56"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Moderately active</w:t>
            </w:r>
          </w:p>
        </w:tc>
        <w:tc>
          <w:tcPr>
            <w:tcW w:w="1530" w:type="dxa"/>
          </w:tcPr>
          <w:p w14:paraId="075E6CC1" w14:textId="77777777" w:rsidR="0069356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45.1%</w:t>
            </w:r>
          </w:p>
        </w:tc>
        <w:tc>
          <w:tcPr>
            <w:tcW w:w="1170" w:type="dxa"/>
          </w:tcPr>
          <w:p w14:paraId="4C7ED9CA"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58.8%</w:t>
            </w:r>
          </w:p>
        </w:tc>
        <w:tc>
          <w:tcPr>
            <w:tcW w:w="1620" w:type="dxa"/>
          </w:tcPr>
          <w:p w14:paraId="397604A2"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46.7%</w:t>
            </w:r>
          </w:p>
        </w:tc>
        <w:tc>
          <w:tcPr>
            <w:tcW w:w="1711" w:type="dxa"/>
          </w:tcPr>
          <w:p w14:paraId="7F9C840E"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43.5%</w:t>
            </w:r>
          </w:p>
        </w:tc>
        <w:tc>
          <w:tcPr>
            <w:tcW w:w="1980" w:type="dxa"/>
          </w:tcPr>
          <w:p w14:paraId="3282F8AF"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34.6%</w:t>
            </w:r>
          </w:p>
        </w:tc>
        <w:tc>
          <w:tcPr>
            <w:tcW w:w="1440" w:type="dxa"/>
          </w:tcPr>
          <w:p w14:paraId="658B251E"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47.7%</w:t>
            </w:r>
          </w:p>
        </w:tc>
        <w:tc>
          <w:tcPr>
            <w:tcW w:w="1890" w:type="dxa"/>
          </w:tcPr>
          <w:p w14:paraId="261BDE0C"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50.5%</w:t>
            </w:r>
          </w:p>
        </w:tc>
        <w:tc>
          <w:tcPr>
            <w:tcW w:w="1440" w:type="dxa"/>
          </w:tcPr>
          <w:p w14:paraId="1622264A"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42.0%</w:t>
            </w:r>
          </w:p>
        </w:tc>
      </w:tr>
      <w:tr w:rsidR="00693569" w14:paraId="2D698B77" w14:textId="77777777" w:rsidTr="00693569">
        <w:tc>
          <w:tcPr>
            <w:tcW w:w="2519" w:type="dxa"/>
          </w:tcPr>
          <w:p w14:paraId="6AE3BB3D"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Occasionally active</w:t>
            </w:r>
          </w:p>
        </w:tc>
        <w:tc>
          <w:tcPr>
            <w:tcW w:w="1530" w:type="dxa"/>
          </w:tcPr>
          <w:p w14:paraId="3D9309FF" w14:textId="77777777" w:rsidR="0069356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12.5%</w:t>
            </w:r>
          </w:p>
        </w:tc>
        <w:tc>
          <w:tcPr>
            <w:tcW w:w="1170" w:type="dxa"/>
          </w:tcPr>
          <w:p w14:paraId="4CF358C6"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7.2%</w:t>
            </w:r>
          </w:p>
        </w:tc>
        <w:tc>
          <w:tcPr>
            <w:tcW w:w="1620" w:type="dxa"/>
          </w:tcPr>
          <w:p w14:paraId="2EA1754E"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17.3%</w:t>
            </w:r>
          </w:p>
        </w:tc>
        <w:tc>
          <w:tcPr>
            <w:tcW w:w="1711" w:type="dxa"/>
          </w:tcPr>
          <w:p w14:paraId="031DEEDB"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12.2%</w:t>
            </w:r>
          </w:p>
        </w:tc>
        <w:tc>
          <w:tcPr>
            <w:tcW w:w="1980" w:type="dxa"/>
          </w:tcPr>
          <w:p w14:paraId="2E60FFE8"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10.5%</w:t>
            </w:r>
          </w:p>
        </w:tc>
        <w:tc>
          <w:tcPr>
            <w:tcW w:w="1440" w:type="dxa"/>
          </w:tcPr>
          <w:p w14:paraId="5A463189"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9.1%</w:t>
            </w:r>
          </w:p>
        </w:tc>
        <w:tc>
          <w:tcPr>
            <w:tcW w:w="1890" w:type="dxa"/>
          </w:tcPr>
          <w:p w14:paraId="51E745D6"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11.3%</w:t>
            </w:r>
          </w:p>
        </w:tc>
        <w:tc>
          <w:tcPr>
            <w:tcW w:w="1440" w:type="dxa"/>
          </w:tcPr>
          <w:p w14:paraId="306F0041"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15.2%</w:t>
            </w:r>
          </w:p>
        </w:tc>
      </w:tr>
      <w:tr w:rsidR="00693569" w14:paraId="58E42756" w14:textId="77777777" w:rsidTr="00693569">
        <w:tc>
          <w:tcPr>
            <w:tcW w:w="2519" w:type="dxa"/>
          </w:tcPr>
          <w:p w14:paraId="45182381"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Inactive</w:t>
            </w:r>
          </w:p>
        </w:tc>
        <w:tc>
          <w:tcPr>
            <w:tcW w:w="1530" w:type="dxa"/>
          </w:tcPr>
          <w:p w14:paraId="4A16EC72" w14:textId="77777777" w:rsidR="0069356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7.1%</w:t>
            </w:r>
          </w:p>
        </w:tc>
        <w:tc>
          <w:tcPr>
            <w:tcW w:w="1170" w:type="dxa"/>
          </w:tcPr>
          <w:p w14:paraId="6C79B06C"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5.2%</w:t>
            </w:r>
          </w:p>
        </w:tc>
        <w:tc>
          <w:tcPr>
            <w:tcW w:w="1620" w:type="dxa"/>
          </w:tcPr>
          <w:p w14:paraId="1372055D"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9.1%</w:t>
            </w:r>
          </w:p>
        </w:tc>
        <w:tc>
          <w:tcPr>
            <w:tcW w:w="1711" w:type="dxa"/>
          </w:tcPr>
          <w:p w14:paraId="18448A71"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12.2%</w:t>
            </w:r>
          </w:p>
        </w:tc>
        <w:tc>
          <w:tcPr>
            <w:tcW w:w="1980" w:type="dxa"/>
          </w:tcPr>
          <w:p w14:paraId="187FD9BC"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6.5%</w:t>
            </w:r>
          </w:p>
        </w:tc>
        <w:tc>
          <w:tcPr>
            <w:tcW w:w="1440" w:type="dxa"/>
          </w:tcPr>
          <w:p w14:paraId="7BD0BC1D"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1.1%</w:t>
            </w:r>
          </w:p>
        </w:tc>
        <w:tc>
          <w:tcPr>
            <w:tcW w:w="1890" w:type="dxa"/>
          </w:tcPr>
          <w:p w14:paraId="11CD94EE"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7.2%</w:t>
            </w:r>
          </w:p>
        </w:tc>
        <w:tc>
          <w:tcPr>
            <w:tcW w:w="1440" w:type="dxa"/>
          </w:tcPr>
          <w:p w14:paraId="16D7339F"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1.4%</w:t>
            </w:r>
          </w:p>
        </w:tc>
      </w:tr>
      <w:tr w:rsidR="00693569" w14:paraId="271A81FE" w14:textId="77777777" w:rsidTr="00693569">
        <w:tc>
          <w:tcPr>
            <w:tcW w:w="2519" w:type="dxa"/>
          </w:tcPr>
          <w:p w14:paraId="43C60082" w14:textId="77777777" w:rsidR="00693569" w:rsidRPr="009A5F6B" w:rsidRDefault="00693569" w:rsidP="00693569">
            <w:pPr>
              <w:pStyle w:val="ListParagraph"/>
              <w:spacing w:after="0"/>
              <w:ind w:left="0"/>
              <w:rPr>
                <w:rFonts w:ascii="Times New Roman" w:hAnsi="Times New Roman" w:cs="Times New Roman"/>
                <w:b/>
                <w:bCs/>
                <w:iCs/>
                <w:sz w:val="20"/>
                <w:szCs w:val="20"/>
                <w:lang w:val="en-GB"/>
              </w:rPr>
            </w:pPr>
            <w:r w:rsidRPr="009A5F6B">
              <w:rPr>
                <w:rFonts w:ascii="Times New Roman" w:hAnsi="Times New Roman" w:cs="Times New Roman"/>
                <w:b/>
                <w:bCs/>
                <w:iCs/>
                <w:sz w:val="20"/>
                <w:szCs w:val="20"/>
                <w:lang w:val="en-GB"/>
              </w:rPr>
              <w:t>Current nutrition</w:t>
            </w:r>
          </w:p>
        </w:tc>
        <w:tc>
          <w:tcPr>
            <w:tcW w:w="1530" w:type="dxa"/>
          </w:tcPr>
          <w:p w14:paraId="1E0E5525"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p>
        </w:tc>
        <w:tc>
          <w:tcPr>
            <w:tcW w:w="1170" w:type="dxa"/>
          </w:tcPr>
          <w:p w14:paraId="26E51EB8"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p>
        </w:tc>
        <w:tc>
          <w:tcPr>
            <w:tcW w:w="1620" w:type="dxa"/>
          </w:tcPr>
          <w:p w14:paraId="3ED84E1D"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p>
        </w:tc>
        <w:tc>
          <w:tcPr>
            <w:tcW w:w="1711" w:type="dxa"/>
          </w:tcPr>
          <w:p w14:paraId="0B397D23"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p>
        </w:tc>
        <w:tc>
          <w:tcPr>
            <w:tcW w:w="1980" w:type="dxa"/>
          </w:tcPr>
          <w:p w14:paraId="37826FF2"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p>
        </w:tc>
        <w:tc>
          <w:tcPr>
            <w:tcW w:w="1440" w:type="dxa"/>
          </w:tcPr>
          <w:p w14:paraId="220D74A7"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p>
        </w:tc>
        <w:tc>
          <w:tcPr>
            <w:tcW w:w="1890" w:type="dxa"/>
          </w:tcPr>
          <w:p w14:paraId="7940E70F"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p>
        </w:tc>
        <w:tc>
          <w:tcPr>
            <w:tcW w:w="1440" w:type="dxa"/>
          </w:tcPr>
          <w:p w14:paraId="49ED13B9"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p>
        </w:tc>
      </w:tr>
      <w:tr w:rsidR="00693569" w14:paraId="404E5281" w14:textId="77777777" w:rsidTr="00693569">
        <w:tc>
          <w:tcPr>
            <w:tcW w:w="2519" w:type="dxa"/>
          </w:tcPr>
          <w:p w14:paraId="3EF9A253"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Very good</w:t>
            </w:r>
          </w:p>
        </w:tc>
        <w:tc>
          <w:tcPr>
            <w:tcW w:w="1530" w:type="dxa"/>
          </w:tcPr>
          <w:p w14:paraId="09D514B6" w14:textId="77777777" w:rsidR="0069356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26.6%</w:t>
            </w:r>
          </w:p>
        </w:tc>
        <w:tc>
          <w:tcPr>
            <w:tcW w:w="1170" w:type="dxa"/>
          </w:tcPr>
          <w:p w14:paraId="4E883354"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44.8%</w:t>
            </w:r>
          </w:p>
        </w:tc>
        <w:tc>
          <w:tcPr>
            <w:tcW w:w="1620" w:type="dxa"/>
          </w:tcPr>
          <w:p w14:paraId="5A25F39B"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38.6%</w:t>
            </w:r>
          </w:p>
        </w:tc>
        <w:tc>
          <w:tcPr>
            <w:tcW w:w="1711" w:type="dxa"/>
          </w:tcPr>
          <w:p w14:paraId="7CFF7631"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22.0%</w:t>
            </w:r>
          </w:p>
        </w:tc>
        <w:tc>
          <w:tcPr>
            <w:tcW w:w="1980" w:type="dxa"/>
          </w:tcPr>
          <w:p w14:paraId="6F6643CA"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16.1%</w:t>
            </w:r>
          </w:p>
        </w:tc>
        <w:tc>
          <w:tcPr>
            <w:tcW w:w="1440" w:type="dxa"/>
          </w:tcPr>
          <w:p w14:paraId="41437E50"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22.5%</w:t>
            </w:r>
          </w:p>
        </w:tc>
        <w:tc>
          <w:tcPr>
            <w:tcW w:w="1890" w:type="dxa"/>
          </w:tcPr>
          <w:p w14:paraId="5551AC7C"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26.3%</w:t>
            </w:r>
          </w:p>
        </w:tc>
        <w:tc>
          <w:tcPr>
            <w:tcW w:w="1440" w:type="dxa"/>
          </w:tcPr>
          <w:p w14:paraId="395300B1"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19.6%</w:t>
            </w:r>
          </w:p>
        </w:tc>
      </w:tr>
      <w:tr w:rsidR="00693569" w14:paraId="1835EEC4" w14:textId="77777777" w:rsidTr="00693569">
        <w:tc>
          <w:tcPr>
            <w:tcW w:w="2519" w:type="dxa"/>
          </w:tcPr>
          <w:p w14:paraId="17BFEE4A"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Good</w:t>
            </w:r>
          </w:p>
        </w:tc>
        <w:tc>
          <w:tcPr>
            <w:tcW w:w="1530" w:type="dxa"/>
          </w:tcPr>
          <w:p w14:paraId="3925550A" w14:textId="77777777" w:rsidR="0069356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68.4%</w:t>
            </w:r>
          </w:p>
        </w:tc>
        <w:tc>
          <w:tcPr>
            <w:tcW w:w="1170" w:type="dxa"/>
          </w:tcPr>
          <w:p w14:paraId="683C3766"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52.1%</w:t>
            </w:r>
          </w:p>
        </w:tc>
        <w:tc>
          <w:tcPr>
            <w:tcW w:w="1620" w:type="dxa"/>
          </w:tcPr>
          <w:p w14:paraId="69262AEE"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58.4%</w:t>
            </w:r>
          </w:p>
        </w:tc>
        <w:tc>
          <w:tcPr>
            <w:tcW w:w="1711" w:type="dxa"/>
          </w:tcPr>
          <w:p w14:paraId="7849D55C"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73.0%</w:t>
            </w:r>
          </w:p>
        </w:tc>
        <w:tc>
          <w:tcPr>
            <w:tcW w:w="1980" w:type="dxa"/>
          </w:tcPr>
          <w:p w14:paraId="438B0FA6"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78.1%</w:t>
            </w:r>
          </w:p>
        </w:tc>
        <w:tc>
          <w:tcPr>
            <w:tcW w:w="1440" w:type="dxa"/>
          </w:tcPr>
          <w:p w14:paraId="48E43C6E"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71.9%</w:t>
            </w:r>
          </w:p>
        </w:tc>
        <w:tc>
          <w:tcPr>
            <w:tcW w:w="1890" w:type="dxa"/>
          </w:tcPr>
          <w:p w14:paraId="76EF1BBA"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68.4%</w:t>
            </w:r>
          </w:p>
        </w:tc>
        <w:tc>
          <w:tcPr>
            <w:tcW w:w="1440" w:type="dxa"/>
          </w:tcPr>
          <w:p w14:paraId="4E07B19F"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73.2%</w:t>
            </w:r>
          </w:p>
        </w:tc>
      </w:tr>
      <w:tr w:rsidR="00693569" w14:paraId="37665308" w14:textId="77777777" w:rsidTr="00693569">
        <w:tc>
          <w:tcPr>
            <w:tcW w:w="2519" w:type="dxa"/>
          </w:tcPr>
          <w:p w14:paraId="68158C0C"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Bad</w:t>
            </w:r>
          </w:p>
        </w:tc>
        <w:tc>
          <w:tcPr>
            <w:tcW w:w="1530" w:type="dxa"/>
          </w:tcPr>
          <w:p w14:paraId="1DAAA711" w14:textId="77777777" w:rsidR="0069356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4.6%</w:t>
            </w:r>
          </w:p>
        </w:tc>
        <w:tc>
          <w:tcPr>
            <w:tcW w:w="1170" w:type="dxa"/>
          </w:tcPr>
          <w:p w14:paraId="36D7F092"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3.1%</w:t>
            </w:r>
          </w:p>
        </w:tc>
        <w:tc>
          <w:tcPr>
            <w:tcW w:w="1620" w:type="dxa"/>
          </w:tcPr>
          <w:p w14:paraId="1534F020"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3.0%</w:t>
            </w:r>
          </w:p>
        </w:tc>
        <w:tc>
          <w:tcPr>
            <w:tcW w:w="1711" w:type="dxa"/>
          </w:tcPr>
          <w:p w14:paraId="2AECC25C"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4.6%</w:t>
            </w:r>
          </w:p>
        </w:tc>
        <w:tc>
          <w:tcPr>
            <w:tcW w:w="1980" w:type="dxa"/>
          </w:tcPr>
          <w:p w14:paraId="57E908E1"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5.2%</w:t>
            </w:r>
          </w:p>
        </w:tc>
        <w:tc>
          <w:tcPr>
            <w:tcW w:w="1440" w:type="dxa"/>
          </w:tcPr>
          <w:p w14:paraId="22068831"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5.6%</w:t>
            </w:r>
          </w:p>
        </w:tc>
        <w:tc>
          <w:tcPr>
            <w:tcW w:w="1890" w:type="dxa"/>
          </w:tcPr>
          <w:p w14:paraId="6FA37B37"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5.3%</w:t>
            </w:r>
          </w:p>
        </w:tc>
        <w:tc>
          <w:tcPr>
            <w:tcW w:w="1440" w:type="dxa"/>
          </w:tcPr>
          <w:p w14:paraId="6DBAEEC1"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6.5%</w:t>
            </w:r>
          </w:p>
        </w:tc>
      </w:tr>
      <w:tr w:rsidR="00693569" w14:paraId="077DCA7D" w14:textId="77777777" w:rsidTr="00693569">
        <w:tc>
          <w:tcPr>
            <w:tcW w:w="2519" w:type="dxa"/>
          </w:tcPr>
          <w:p w14:paraId="6B8C298D" w14:textId="77777777" w:rsidR="00693569" w:rsidRPr="009A5F6B" w:rsidRDefault="00693569" w:rsidP="00693569">
            <w:pPr>
              <w:pStyle w:val="ListParagraph"/>
              <w:spacing w:after="0"/>
              <w:ind w:left="0"/>
              <w:rPr>
                <w:rFonts w:ascii="Times New Roman" w:hAnsi="Times New Roman" w:cs="Times New Roman"/>
                <w:bCs/>
                <w:iCs/>
                <w:sz w:val="20"/>
                <w:szCs w:val="20"/>
                <w:lang w:val="en-GB"/>
              </w:rPr>
            </w:pPr>
            <w:r w:rsidRPr="009A5F6B">
              <w:rPr>
                <w:rFonts w:ascii="Times New Roman" w:hAnsi="Times New Roman" w:cs="Times New Roman"/>
                <w:bCs/>
                <w:iCs/>
                <w:sz w:val="20"/>
                <w:szCs w:val="20"/>
                <w:lang w:val="en-GB"/>
              </w:rPr>
              <w:t xml:space="preserve">     Very bad</w:t>
            </w:r>
          </w:p>
        </w:tc>
        <w:tc>
          <w:tcPr>
            <w:tcW w:w="1530" w:type="dxa"/>
          </w:tcPr>
          <w:p w14:paraId="7B2309A5" w14:textId="77777777" w:rsidR="0069356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0.3%</w:t>
            </w:r>
          </w:p>
        </w:tc>
        <w:tc>
          <w:tcPr>
            <w:tcW w:w="1170" w:type="dxa"/>
          </w:tcPr>
          <w:p w14:paraId="0A35EFDD"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0%</w:t>
            </w:r>
          </w:p>
        </w:tc>
        <w:tc>
          <w:tcPr>
            <w:tcW w:w="1620" w:type="dxa"/>
          </w:tcPr>
          <w:p w14:paraId="523F9A92"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0%</w:t>
            </w:r>
          </w:p>
        </w:tc>
        <w:tc>
          <w:tcPr>
            <w:tcW w:w="1711" w:type="dxa"/>
          </w:tcPr>
          <w:p w14:paraId="6D19B019"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0.4%</w:t>
            </w:r>
          </w:p>
        </w:tc>
        <w:tc>
          <w:tcPr>
            <w:tcW w:w="1980" w:type="dxa"/>
          </w:tcPr>
          <w:p w14:paraId="0D859FDA"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0.6%</w:t>
            </w:r>
          </w:p>
        </w:tc>
        <w:tc>
          <w:tcPr>
            <w:tcW w:w="1440" w:type="dxa"/>
          </w:tcPr>
          <w:p w14:paraId="5A522FE8"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0%</w:t>
            </w:r>
          </w:p>
        </w:tc>
        <w:tc>
          <w:tcPr>
            <w:tcW w:w="1890" w:type="dxa"/>
          </w:tcPr>
          <w:p w14:paraId="1E04BC96"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0%</w:t>
            </w:r>
          </w:p>
        </w:tc>
        <w:tc>
          <w:tcPr>
            <w:tcW w:w="1440" w:type="dxa"/>
          </w:tcPr>
          <w:p w14:paraId="36C39026"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0.7%</w:t>
            </w:r>
          </w:p>
        </w:tc>
      </w:tr>
      <w:tr w:rsidR="00693569" w14:paraId="32C9621B" w14:textId="77777777" w:rsidTr="00693569">
        <w:tc>
          <w:tcPr>
            <w:tcW w:w="2519" w:type="dxa"/>
          </w:tcPr>
          <w:p w14:paraId="7FCDD83A" w14:textId="36B38E72" w:rsidR="0029098B" w:rsidRPr="009A5F6B" w:rsidRDefault="00693569" w:rsidP="00693569">
            <w:pPr>
              <w:pStyle w:val="ListParagraph"/>
              <w:spacing w:after="0"/>
              <w:ind w:left="0"/>
              <w:rPr>
                <w:rFonts w:ascii="Times New Roman" w:hAnsi="Times New Roman" w:cs="Times New Roman"/>
                <w:b/>
                <w:bCs/>
                <w:iCs/>
                <w:sz w:val="20"/>
                <w:szCs w:val="20"/>
                <w:lang w:val="en-GB"/>
              </w:rPr>
            </w:pPr>
            <w:r w:rsidRPr="009A5F6B">
              <w:rPr>
                <w:rFonts w:ascii="Times New Roman" w:hAnsi="Times New Roman" w:cs="Times New Roman"/>
                <w:b/>
                <w:bCs/>
                <w:iCs/>
                <w:sz w:val="20"/>
                <w:szCs w:val="20"/>
                <w:lang w:val="en-GB"/>
              </w:rPr>
              <w:t>Current</w:t>
            </w:r>
            <w:r w:rsidR="00BA3C82">
              <w:rPr>
                <w:rFonts w:ascii="Times New Roman" w:hAnsi="Times New Roman" w:cs="Times New Roman"/>
                <w:b/>
                <w:bCs/>
                <w:iCs/>
                <w:sz w:val="20"/>
                <w:szCs w:val="20"/>
                <w:lang w:val="en-GB"/>
              </w:rPr>
              <w:t>ly</w:t>
            </w:r>
            <w:r w:rsidRPr="009A5F6B">
              <w:rPr>
                <w:rFonts w:ascii="Times New Roman" w:hAnsi="Times New Roman" w:cs="Times New Roman"/>
                <w:b/>
                <w:bCs/>
                <w:iCs/>
                <w:sz w:val="20"/>
                <w:szCs w:val="20"/>
                <w:lang w:val="en-GB"/>
              </w:rPr>
              <w:t xml:space="preserve"> smoking</w:t>
            </w:r>
          </w:p>
        </w:tc>
        <w:tc>
          <w:tcPr>
            <w:tcW w:w="1530" w:type="dxa"/>
          </w:tcPr>
          <w:p w14:paraId="16ED1977" w14:textId="0AB97573" w:rsidR="0029098B" w:rsidRDefault="00693569" w:rsidP="00886950">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13.3%</w:t>
            </w:r>
          </w:p>
        </w:tc>
        <w:tc>
          <w:tcPr>
            <w:tcW w:w="1170" w:type="dxa"/>
          </w:tcPr>
          <w:p w14:paraId="20F6AF64"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10.3%</w:t>
            </w:r>
          </w:p>
        </w:tc>
        <w:tc>
          <w:tcPr>
            <w:tcW w:w="1620" w:type="dxa"/>
          </w:tcPr>
          <w:p w14:paraId="32B35BE8"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10.2%</w:t>
            </w:r>
          </w:p>
        </w:tc>
        <w:tc>
          <w:tcPr>
            <w:tcW w:w="1711" w:type="dxa"/>
          </w:tcPr>
          <w:p w14:paraId="25D99F2F"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12.6%</w:t>
            </w:r>
          </w:p>
        </w:tc>
        <w:tc>
          <w:tcPr>
            <w:tcW w:w="1980" w:type="dxa"/>
          </w:tcPr>
          <w:p w14:paraId="28BCA7FD"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13.6%</w:t>
            </w:r>
          </w:p>
        </w:tc>
        <w:tc>
          <w:tcPr>
            <w:tcW w:w="1440" w:type="dxa"/>
          </w:tcPr>
          <w:p w14:paraId="68856D8C"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3.4%</w:t>
            </w:r>
          </w:p>
        </w:tc>
        <w:tc>
          <w:tcPr>
            <w:tcW w:w="1890" w:type="dxa"/>
          </w:tcPr>
          <w:p w14:paraId="61C88F7D"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17.2%</w:t>
            </w:r>
          </w:p>
        </w:tc>
        <w:tc>
          <w:tcPr>
            <w:tcW w:w="1440" w:type="dxa"/>
          </w:tcPr>
          <w:p w14:paraId="6635A35F"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24.5%</w:t>
            </w:r>
          </w:p>
        </w:tc>
      </w:tr>
      <w:tr w:rsidR="00693569" w14:paraId="09C4DB1E" w14:textId="77777777" w:rsidTr="00693569">
        <w:tc>
          <w:tcPr>
            <w:tcW w:w="2519" w:type="dxa"/>
          </w:tcPr>
          <w:p w14:paraId="72C5838B" w14:textId="74B6B878" w:rsidR="0029098B" w:rsidRPr="009A5F6B" w:rsidRDefault="00693569" w:rsidP="00C33D84">
            <w:pPr>
              <w:pStyle w:val="ListParagraph"/>
              <w:spacing w:after="0"/>
              <w:ind w:left="0"/>
              <w:rPr>
                <w:rFonts w:ascii="Times New Roman" w:hAnsi="Times New Roman" w:cs="Times New Roman"/>
                <w:b/>
                <w:bCs/>
                <w:iCs/>
                <w:sz w:val="20"/>
                <w:szCs w:val="20"/>
                <w:lang w:val="en-GB"/>
              </w:rPr>
            </w:pPr>
            <w:r w:rsidRPr="009A5F6B">
              <w:rPr>
                <w:rFonts w:ascii="Times New Roman" w:hAnsi="Times New Roman" w:cs="Times New Roman"/>
                <w:b/>
                <w:bCs/>
                <w:iCs/>
                <w:sz w:val="20"/>
                <w:szCs w:val="20"/>
                <w:lang w:val="en-GB"/>
              </w:rPr>
              <w:t>Drinking 3 or more units of alcohol daily</w:t>
            </w:r>
          </w:p>
        </w:tc>
        <w:tc>
          <w:tcPr>
            <w:tcW w:w="1530" w:type="dxa"/>
          </w:tcPr>
          <w:p w14:paraId="494822CE" w14:textId="77777777" w:rsidR="0069356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6.2%</w:t>
            </w:r>
          </w:p>
          <w:p w14:paraId="1E544E41" w14:textId="20CFD560" w:rsidR="000370DA" w:rsidRDefault="000370DA" w:rsidP="00693569">
            <w:pPr>
              <w:pStyle w:val="ListParagraph"/>
              <w:spacing w:after="0"/>
              <w:ind w:left="0"/>
              <w:jc w:val="center"/>
              <w:rPr>
                <w:rFonts w:ascii="Times New Roman" w:hAnsi="Times New Roman" w:cs="Times New Roman"/>
                <w:bCs/>
                <w:iCs/>
                <w:sz w:val="20"/>
                <w:szCs w:val="20"/>
                <w:lang w:val="en-GB"/>
              </w:rPr>
            </w:pPr>
          </w:p>
        </w:tc>
        <w:tc>
          <w:tcPr>
            <w:tcW w:w="1170" w:type="dxa"/>
          </w:tcPr>
          <w:p w14:paraId="234AD6AD"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2.1%</w:t>
            </w:r>
          </w:p>
        </w:tc>
        <w:tc>
          <w:tcPr>
            <w:tcW w:w="1620" w:type="dxa"/>
          </w:tcPr>
          <w:p w14:paraId="091A7422"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1.5%</w:t>
            </w:r>
          </w:p>
        </w:tc>
        <w:tc>
          <w:tcPr>
            <w:tcW w:w="1711" w:type="dxa"/>
          </w:tcPr>
          <w:p w14:paraId="56E5E230"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7.8%</w:t>
            </w:r>
          </w:p>
        </w:tc>
        <w:tc>
          <w:tcPr>
            <w:tcW w:w="1980" w:type="dxa"/>
          </w:tcPr>
          <w:p w14:paraId="4C234139"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9.9%</w:t>
            </w:r>
          </w:p>
        </w:tc>
        <w:tc>
          <w:tcPr>
            <w:tcW w:w="1440" w:type="dxa"/>
          </w:tcPr>
          <w:p w14:paraId="7F8A1639"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5.8%</w:t>
            </w:r>
          </w:p>
        </w:tc>
        <w:tc>
          <w:tcPr>
            <w:tcW w:w="1890" w:type="dxa"/>
          </w:tcPr>
          <w:p w14:paraId="6F8385D6"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8.6%</w:t>
            </w:r>
          </w:p>
        </w:tc>
        <w:tc>
          <w:tcPr>
            <w:tcW w:w="1440" w:type="dxa"/>
          </w:tcPr>
          <w:p w14:paraId="23B249C5"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7.6%</w:t>
            </w:r>
          </w:p>
        </w:tc>
      </w:tr>
      <w:tr w:rsidR="00693569" w14:paraId="3C1494BB" w14:textId="77777777" w:rsidTr="00693569">
        <w:tc>
          <w:tcPr>
            <w:tcW w:w="2519" w:type="dxa"/>
          </w:tcPr>
          <w:p w14:paraId="6016CB7D" w14:textId="77777777" w:rsidR="00693569" w:rsidRPr="009A5F6B" w:rsidRDefault="00693569" w:rsidP="00693569">
            <w:pPr>
              <w:pStyle w:val="ListParagraph"/>
              <w:spacing w:after="0"/>
              <w:ind w:left="0"/>
              <w:rPr>
                <w:rFonts w:ascii="Times New Roman" w:hAnsi="Times New Roman" w:cs="Times New Roman"/>
                <w:b/>
                <w:bCs/>
                <w:iCs/>
                <w:sz w:val="20"/>
                <w:szCs w:val="20"/>
                <w:lang w:val="en-GB"/>
              </w:rPr>
            </w:pPr>
            <w:r w:rsidRPr="009A5F6B">
              <w:rPr>
                <w:rFonts w:ascii="Times New Roman" w:hAnsi="Times New Roman" w:cs="Times New Roman"/>
                <w:b/>
                <w:bCs/>
                <w:iCs/>
                <w:sz w:val="20"/>
                <w:szCs w:val="20"/>
                <w:lang w:val="en-GB"/>
              </w:rPr>
              <w:t>Test-retest</w:t>
            </w:r>
          </w:p>
        </w:tc>
        <w:tc>
          <w:tcPr>
            <w:tcW w:w="1530" w:type="dxa"/>
          </w:tcPr>
          <w:p w14:paraId="65896016"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91.3%</w:t>
            </w:r>
          </w:p>
        </w:tc>
        <w:tc>
          <w:tcPr>
            <w:tcW w:w="1170" w:type="dxa"/>
          </w:tcPr>
          <w:p w14:paraId="6238187D"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90.6%</w:t>
            </w:r>
          </w:p>
        </w:tc>
        <w:tc>
          <w:tcPr>
            <w:tcW w:w="1620" w:type="dxa"/>
          </w:tcPr>
          <w:p w14:paraId="1D104DDA"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97.0%</w:t>
            </w:r>
          </w:p>
        </w:tc>
        <w:tc>
          <w:tcPr>
            <w:tcW w:w="1711" w:type="dxa"/>
          </w:tcPr>
          <w:p w14:paraId="158760E4"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89.8%</w:t>
            </w:r>
          </w:p>
        </w:tc>
        <w:tc>
          <w:tcPr>
            <w:tcW w:w="1980" w:type="dxa"/>
          </w:tcPr>
          <w:p w14:paraId="059CC341"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92.9%</w:t>
            </w:r>
          </w:p>
        </w:tc>
        <w:tc>
          <w:tcPr>
            <w:tcW w:w="1440" w:type="dxa"/>
          </w:tcPr>
          <w:p w14:paraId="69FB3F78"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89.0%</w:t>
            </w:r>
          </w:p>
        </w:tc>
        <w:tc>
          <w:tcPr>
            <w:tcW w:w="1890" w:type="dxa"/>
          </w:tcPr>
          <w:p w14:paraId="66BEDAE6" w14:textId="77777777"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90.8%</w:t>
            </w:r>
          </w:p>
        </w:tc>
        <w:tc>
          <w:tcPr>
            <w:tcW w:w="1440" w:type="dxa"/>
          </w:tcPr>
          <w:p w14:paraId="42E09082"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87.0%</w:t>
            </w:r>
          </w:p>
        </w:tc>
      </w:tr>
      <w:tr w:rsidR="00693569" w14:paraId="2C380365" w14:textId="77777777" w:rsidTr="00693569">
        <w:tc>
          <w:tcPr>
            <w:tcW w:w="2519" w:type="dxa"/>
          </w:tcPr>
          <w:p w14:paraId="7C9AAB0A" w14:textId="77777777" w:rsidR="00693569" w:rsidRPr="009A5F6B" w:rsidRDefault="00693569" w:rsidP="00693569">
            <w:pPr>
              <w:pStyle w:val="ListParagraph"/>
              <w:spacing w:after="0"/>
              <w:ind w:left="0"/>
              <w:rPr>
                <w:rFonts w:ascii="Times New Roman" w:hAnsi="Times New Roman" w:cs="Times New Roman"/>
                <w:b/>
                <w:bCs/>
                <w:iCs/>
                <w:sz w:val="20"/>
                <w:szCs w:val="20"/>
                <w:lang w:val="en-GB"/>
              </w:rPr>
            </w:pPr>
            <w:r w:rsidRPr="009A5F6B">
              <w:rPr>
                <w:rFonts w:ascii="Times New Roman" w:hAnsi="Times New Roman" w:cs="Times New Roman"/>
                <w:b/>
                <w:bCs/>
                <w:iCs/>
                <w:sz w:val="20"/>
                <w:szCs w:val="20"/>
                <w:lang w:val="en-GB"/>
              </w:rPr>
              <w:t>Task difficulty (range 1-7)</w:t>
            </w:r>
          </w:p>
        </w:tc>
        <w:tc>
          <w:tcPr>
            <w:tcW w:w="1530" w:type="dxa"/>
          </w:tcPr>
          <w:p w14:paraId="54A0880E"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3.08</w:t>
            </w:r>
          </w:p>
        </w:tc>
        <w:tc>
          <w:tcPr>
            <w:tcW w:w="1170" w:type="dxa"/>
          </w:tcPr>
          <w:p w14:paraId="2D9070CE" w14:textId="77777777" w:rsidR="00693569" w:rsidRPr="007101E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3.23</w:t>
            </w:r>
          </w:p>
        </w:tc>
        <w:tc>
          <w:tcPr>
            <w:tcW w:w="1620" w:type="dxa"/>
          </w:tcPr>
          <w:p w14:paraId="19446202" w14:textId="77777777" w:rsidR="00693569" w:rsidRPr="00E65B99"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2.43</w:t>
            </w:r>
          </w:p>
        </w:tc>
        <w:tc>
          <w:tcPr>
            <w:tcW w:w="1711" w:type="dxa"/>
          </w:tcPr>
          <w:p w14:paraId="6F70B207" w14:textId="77777777" w:rsidR="00693569" w:rsidRPr="00CF1E9F"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3.37</w:t>
            </w:r>
          </w:p>
        </w:tc>
        <w:tc>
          <w:tcPr>
            <w:tcW w:w="1980" w:type="dxa"/>
          </w:tcPr>
          <w:p w14:paraId="516AA570" w14:textId="77777777" w:rsidR="00693569" w:rsidRPr="00FB5507"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3.64</w:t>
            </w:r>
          </w:p>
        </w:tc>
        <w:tc>
          <w:tcPr>
            <w:tcW w:w="1440" w:type="dxa"/>
          </w:tcPr>
          <w:p w14:paraId="03598CF0" w14:textId="77777777" w:rsidR="00693569" w:rsidRPr="00CF04F5"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2.73</w:t>
            </w:r>
          </w:p>
        </w:tc>
        <w:tc>
          <w:tcPr>
            <w:tcW w:w="1890" w:type="dxa"/>
            <w:shd w:val="clear" w:color="auto" w:fill="auto"/>
          </w:tcPr>
          <w:p w14:paraId="1D807F19" w14:textId="72171633" w:rsidR="00693569" w:rsidRPr="00166E02"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NA</w:t>
            </w:r>
          </w:p>
        </w:tc>
        <w:tc>
          <w:tcPr>
            <w:tcW w:w="1440" w:type="dxa"/>
          </w:tcPr>
          <w:p w14:paraId="6598A67D" w14:textId="77777777" w:rsidR="00693569" w:rsidRPr="004618D8" w:rsidRDefault="00693569" w:rsidP="00693569">
            <w:pPr>
              <w:pStyle w:val="ListParagraph"/>
              <w:spacing w:after="0"/>
              <w:ind w:left="0"/>
              <w:jc w:val="center"/>
              <w:rPr>
                <w:rFonts w:ascii="Times New Roman" w:hAnsi="Times New Roman" w:cs="Times New Roman"/>
                <w:bCs/>
                <w:iCs/>
                <w:sz w:val="20"/>
                <w:szCs w:val="20"/>
                <w:lang w:val="en-GB"/>
              </w:rPr>
            </w:pPr>
            <w:r>
              <w:rPr>
                <w:rFonts w:ascii="Times New Roman" w:hAnsi="Times New Roman" w:cs="Times New Roman"/>
                <w:bCs/>
                <w:iCs/>
                <w:sz w:val="20"/>
                <w:szCs w:val="20"/>
                <w:lang w:val="en-GB"/>
              </w:rPr>
              <w:t>2.91</w:t>
            </w:r>
          </w:p>
        </w:tc>
      </w:tr>
    </w:tbl>
    <w:p w14:paraId="6CF1F4A7" w14:textId="77777777" w:rsidR="00CF60A0" w:rsidRDefault="00CF60A0" w:rsidP="00CF60A0">
      <w:pPr>
        <w:pStyle w:val="ListParagraph"/>
        <w:spacing w:after="0" w:line="240" w:lineRule="auto"/>
        <w:ind w:left="0"/>
        <w:rPr>
          <w:rFonts w:ascii="Times New Roman" w:hAnsi="Times New Roman" w:cs="Times New Roman"/>
          <w:b/>
          <w:bCs/>
          <w:iCs/>
          <w:sz w:val="20"/>
          <w:szCs w:val="20"/>
          <w:lang w:val="en-GB"/>
        </w:rPr>
      </w:pPr>
    </w:p>
    <w:p w14:paraId="125B7282" w14:textId="2F0489E6" w:rsidR="00CF60A0" w:rsidRDefault="00545636" w:rsidP="00CF60A0">
      <w:pPr>
        <w:pStyle w:val="ListParagraph"/>
        <w:spacing w:after="0" w:line="240" w:lineRule="auto"/>
        <w:ind w:left="0"/>
        <w:rPr>
          <w:rFonts w:ascii="Times New Roman" w:hAnsi="Times New Roman" w:cs="Times New Roman"/>
          <w:b/>
          <w:bCs/>
          <w:iCs/>
          <w:sz w:val="20"/>
          <w:szCs w:val="20"/>
          <w:lang w:val="en-GB"/>
        </w:rPr>
      </w:pPr>
      <w:r>
        <w:rPr>
          <w:rFonts w:ascii="Times New Roman" w:hAnsi="Times New Roman" w:cs="Times New Roman"/>
          <w:b/>
          <w:bCs/>
          <w:iCs/>
          <w:sz w:val="20"/>
          <w:szCs w:val="20"/>
          <w:lang w:val="en-GB"/>
        </w:rPr>
        <w:t>NA: not available</w:t>
      </w:r>
      <w:bookmarkEnd w:id="7"/>
      <w:r w:rsidR="00CF60A0">
        <w:rPr>
          <w:rFonts w:ascii="Times New Roman" w:hAnsi="Times New Roman" w:cs="Times New Roman"/>
          <w:b/>
          <w:bCs/>
          <w:iCs/>
          <w:sz w:val="20"/>
          <w:szCs w:val="20"/>
          <w:lang w:val="en-GB"/>
        </w:rPr>
        <w:br w:type="page"/>
      </w:r>
    </w:p>
    <w:p w14:paraId="008A65E9" w14:textId="58546A6F" w:rsidR="00CF60A0" w:rsidRPr="00040179" w:rsidRDefault="00CF60A0" w:rsidP="00CF60A0">
      <w:pPr>
        <w:pStyle w:val="ListParagraph"/>
        <w:spacing w:after="0" w:line="240" w:lineRule="auto"/>
        <w:ind w:left="0"/>
        <w:rPr>
          <w:rFonts w:ascii="Times New Roman" w:hAnsi="Times New Roman" w:cs="Times New Roman"/>
          <w:b/>
          <w:sz w:val="20"/>
          <w:szCs w:val="20"/>
          <w:lang w:val="en-GB"/>
        </w:rPr>
      </w:pPr>
      <w:r w:rsidRPr="00040179">
        <w:rPr>
          <w:rFonts w:ascii="Times New Roman" w:hAnsi="Times New Roman" w:cs="Times New Roman"/>
          <w:b/>
          <w:bCs/>
          <w:iCs/>
          <w:sz w:val="20"/>
          <w:szCs w:val="20"/>
          <w:lang w:val="en-GB"/>
        </w:rPr>
        <w:t xml:space="preserve">Table </w:t>
      </w:r>
      <w:r w:rsidR="00D01F9B">
        <w:rPr>
          <w:rFonts w:ascii="Times New Roman" w:hAnsi="Times New Roman" w:cs="Times New Roman"/>
          <w:b/>
          <w:bCs/>
          <w:iCs/>
          <w:sz w:val="20"/>
          <w:szCs w:val="20"/>
          <w:lang w:val="en-GB"/>
        </w:rPr>
        <w:t>3</w:t>
      </w:r>
      <w:r w:rsidR="00BA3C82">
        <w:rPr>
          <w:rFonts w:ascii="Times New Roman" w:hAnsi="Times New Roman" w:cs="Times New Roman"/>
          <w:b/>
          <w:bCs/>
          <w:iCs/>
          <w:sz w:val="20"/>
          <w:szCs w:val="20"/>
          <w:lang w:val="en-GB"/>
        </w:rPr>
        <w:t xml:space="preserve"> - </w:t>
      </w:r>
      <w:r w:rsidRPr="00040179">
        <w:rPr>
          <w:rFonts w:ascii="Times New Roman" w:hAnsi="Times New Roman" w:cs="Times New Roman"/>
          <w:b/>
          <w:bCs/>
          <w:iCs/>
          <w:sz w:val="20"/>
          <w:szCs w:val="20"/>
          <w:lang w:val="en-GB"/>
        </w:rPr>
        <w:t xml:space="preserve">Results from </w:t>
      </w:r>
      <w:r w:rsidR="00323F46">
        <w:rPr>
          <w:rFonts w:ascii="Times New Roman" w:hAnsi="Times New Roman" w:cs="Times New Roman"/>
          <w:b/>
          <w:bCs/>
          <w:iCs/>
          <w:sz w:val="20"/>
          <w:szCs w:val="20"/>
          <w:lang w:val="en-GB"/>
        </w:rPr>
        <w:t>the</w:t>
      </w:r>
      <w:r w:rsidR="00323F46" w:rsidRPr="00040179">
        <w:rPr>
          <w:rFonts w:ascii="Times New Roman" w:hAnsi="Times New Roman" w:cs="Times New Roman"/>
          <w:b/>
          <w:bCs/>
          <w:iCs/>
          <w:sz w:val="20"/>
          <w:szCs w:val="20"/>
          <w:lang w:val="en-GB"/>
        </w:rPr>
        <w:t xml:space="preserve"> </w:t>
      </w:r>
      <w:r w:rsidRPr="00040179">
        <w:rPr>
          <w:rFonts w:ascii="Times New Roman" w:hAnsi="Times New Roman" w:cs="Times New Roman"/>
          <w:b/>
          <w:sz w:val="20"/>
          <w:szCs w:val="20"/>
          <w:lang w:val="en-GB"/>
        </w:rPr>
        <w:t>c</w:t>
      </w:r>
      <w:r w:rsidRPr="00040179">
        <w:rPr>
          <w:rFonts w:ascii="Times New Roman" w:hAnsi="Times New Roman" w:cs="Times New Roman"/>
          <w:b/>
          <w:color w:val="000000"/>
          <w:sz w:val="20"/>
          <w:szCs w:val="20"/>
          <w:shd w:val="clear" w:color="auto" w:fill="FDFCFA"/>
          <w:lang w:val="en-GB"/>
        </w:rPr>
        <w:t>onditional logit model</w:t>
      </w:r>
      <w:r w:rsidRPr="00040179">
        <w:rPr>
          <w:rFonts w:ascii="Times New Roman" w:hAnsi="Times New Roman" w:cs="Times New Roman"/>
          <w:b/>
          <w:bCs/>
          <w:iCs/>
          <w:sz w:val="20"/>
          <w:szCs w:val="20"/>
          <w:lang w:val="en-GB"/>
        </w:rPr>
        <w:t xml:space="preserve"> </w:t>
      </w:r>
      <w:r w:rsidRPr="00040179">
        <w:rPr>
          <w:rFonts w:ascii="Times New Roman" w:hAnsi="Times New Roman" w:cs="Times New Roman"/>
          <w:b/>
          <w:color w:val="000000"/>
          <w:sz w:val="20"/>
          <w:szCs w:val="20"/>
          <w:shd w:val="clear" w:color="auto" w:fill="FDFCFA"/>
          <w:lang w:val="en-GB"/>
        </w:rPr>
        <w:t xml:space="preserve">for all participants </w:t>
      </w:r>
      <w:r>
        <w:rPr>
          <w:rFonts w:ascii="Times New Roman" w:hAnsi="Times New Roman" w:cs="Times New Roman"/>
          <w:b/>
          <w:color w:val="000000"/>
          <w:sz w:val="20"/>
          <w:szCs w:val="20"/>
          <w:shd w:val="clear" w:color="auto" w:fill="FDFCFA"/>
          <w:lang w:val="en-GB"/>
        </w:rPr>
        <w:t xml:space="preserve">and </w:t>
      </w:r>
      <w:r w:rsidR="00323F46">
        <w:rPr>
          <w:rFonts w:ascii="Times New Roman" w:hAnsi="Times New Roman" w:cs="Times New Roman"/>
          <w:b/>
          <w:color w:val="000000"/>
          <w:sz w:val="20"/>
          <w:szCs w:val="20"/>
          <w:shd w:val="clear" w:color="auto" w:fill="FDFCFA"/>
          <w:lang w:val="en-GB"/>
        </w:rPr>
        <w:t>per country</w:t>
      </w:r>
    </w:p>
    <w:tbl>
      <w:tblPr>
        <w:tblStyle w:val="TableGrid"/>
        <w:tblW w:w="13405" w:type="dxa"/>
        <w:jc w:val="center"/>
        <w:tblLook w:val="04A0" w:firstRow="1" w:lastRow="0" w:firstColumn="1" w:lastColumn="0" w:noHBand="0" w:noVBand="1"/>
      </w:tblPr>
      <w:tblGrid>
        <w:gridCol w:w="3006"/>
        <w:gridCol w:w="1687"/>
        <w:gridCol w:w="898"/>
        <w:gridCol w:w="1696"/>
        <w:gridCol w:w="833"/>
        <w:gridCol w:w="1680"/>
        <w:gridCol w:w="910"/>
        <w:gridCol w:w="1705"/>
        <w:gridCol w:w="990"/>
      </w:tblGrid>
      <w:tr w:rsidR="00CF60A0" w:rsidRPr="00621669" w14:paraId="167A7639" w14:textId="77777777" w:rsidTr="004436A9">
        <w:trPr>
          <w:jc w:val="center"/>
        </w:trPr>
        <w:tc>
          <w:tcPr>
            <w:tcW w:w="3006" w:type="dxa"/>
            <w:vMerge w:val="restart"/>
            <w:vAlign w:val="center"/>
          </w:tcPr>
          <w:p w14:paraId="58744022" w14:textId="77777777" w:rsidR="00CF60A0" w:rsidRPr="00621669" w:rsidRDefault="00CF60A0" w:rsidP="00B963D7">
            <w:pPr>
              <w:pStyle w:val="ListParagraph"/>
              <w:spacing w:after="0"/>
              <w:ind w:left="0"/>
              <w:jc w:val="both"/>
              <w:rPr>
                <w:rFonts w:ascii="Times New Roman" w:hAnsi="Times New Roman" w:cs="Times New Roman"/>
                <w:b/>
                <w:bCs/>
                <w:sz w:val="20"/>
                <w:szCs w:val="20"/>
              </w:rPr>
            </w:pPr>
            <w:r w:rsidRPr="00621669">
              <w:rPr>
                <w:rFonts w:ascii="Times New Roman" w:hAnsi="Times New Roman" w:cs="Times New Roman"/>
                <w:b/>
                <w:bCs/>
                <w:sz w:val="20"/>
                <w:szCs w:val="20"/>
              </w:rPr>
              <w:t>Attributes and levels</w:t>
            </w:r>
          </w:p>
        </w:tc>
        <w:tc>
          <w:tcPr>
            <w:tcW w:w="2585" w:type="dxa"/>
            <w:gridSpan w:val="2"/>
            <w:vAlign w:val="center"/>
          </w:tcPr>
          <w:p w14:paraId="7ECD43CC" w14:textId="77777777" w:rsidR="00CF60A0" w:rsidRPr="004C3365" w:rsidRDefault="00CF60A0" w:rsidP="00B963D7">
            <w:pPr>
              <w:pStyle w:val="ListParagraph"/>
              <w:spacing w:after="0"/>
              <w:ind w:left="0"/>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Global model</w:t>
            </w:r>
          </w:p>
        </w:tc>
        <w:tc>
          <w:tcPr>
            <w:tcW w:w="2529" w:type="dxa"/>
            <w:gridSpan w:val="2"/>
          </w:tcPr>
          <w:p w14:paraId="23AEE08C" w14:textId="77777777" w:rsidR="00CF60A0" w:rsidRPr="00621669" w:rsidRDefault="00CF60A0" w:rsidP="00B963D7">
            <w:pPr>
              <w:pStyle w:val="ListParagraph"/>
              <w:spacing w:after="0"/>
              <w:ind w:left="0"/>
              <w:jc w:val="center"/>
              <w:rPr>
                <w:rFonts w:ascii="Times New Roman" w:hAnsi="Times New Roman" w:cs="Times New Roman"/>
                <w:b/>
                <w:bCs/>
                <w:sz w:val="20"/>
                <w:szCs w:val="20"/>
              </w:rPr>
            </w:pPr>
            <w:r w:rsidRPr="00621669">
              <w:rPr>
                <w:rFonts w:ascii="Times New Roman" w:hAnsi="Times New Roman" w:cs="Times New Roman"/>
                <w:b/>
                <w:bCs/>
                <w:sz w:val="20"/>
                <w:szCs w:val="20"/>
              </w:rPr>
              <w:t>UK</w:t>
            </w:r>
          </w:p>
        </w:tc>
        <w:tc>
          <w:tcPr>
            <w:tcW w:w="2590" w:type="dxa"/>
            <w:gridSpan w:val="2"/>
          </w:tcPr>
          <w:p w14:paraId="06E92305" w14:textId="77777777" w:rsidR="00CF60A0" w:rsidRPr="00621669" w:rsidRDefault="00CF60A0" w:rsidP="00B963D7">
            <w:pPr>
              <w:spacing w:line="276" w:lineRule="auto"/>
              <w:jc w:val="center"/>
              <w:rPr>
                <w:rFonts w:ascii="Times New Roman" w:hAnsi="Times New Roman" w:cs="Times New Roman"/>
                <w:b/>
                <w:sz w:val="20"/>
                <w:szCs w:val="20"/>
              </w:rPr>
            </w:pPr>
            <w:r w:rsidRPr="00621669">
              <w:rPr>
                <w:rFonts w:ascii="Times New Roman" w:hAnsi="Times New Roman" w:cs="Times New Roman"/>
                <w:b/>
                <w:bCs/>
                <w:sz w:val="20"/>
                <w:szCs w:val="20"/>
              </w:rPr>
              <w:t>Ireland</w:t>
            </w:r>
          </w:p>
        </w:tc>
        <w:tc>
          <w:tcPr>
            <w:tcW w:w="2695" w:type="dxa"/>
            <w:gridSpan w:val="2"/>
          </w:tcPr>
          <w:p w14:paraId="38F12739" w14:textId="77777777" w:rsidR="00CF60A0" w:rsidRPr="00607F80" w:rsidRDefault="00CF60A0" w:rsidP="00B963D7">
            <w:pPr>
              <w:spacing w:line="276" w:lineRule="auto"/>
              <w:jc w:val="center"/>
              <w:rPr>
                <w:rFonts w:ascii="Times New Roman" w:hAnsi="Times New Roman" w:cs="Times New Roman"/>
                <w:b/>
                <w:sz w:val="20"/>
                <w:szCs w:val="20"/>
              </w:rPr>
            </w:pPr>
            <w:r w:rsidRPr="00621669">
              <w:rPr>
                <w:rFonts w:ascii="Times New Roman" w:hAnsi="Times New Roman" w:cs="Times New Roman"/>
                <w:b/>
                <w:sz w:val="20"/>
                <w:szCs w:val="20"/>
              </w:rPr>
              <w:t>Belgium</w:t>
            </w:r>
          </w:p>
        </w:tc>
      </w:tr>
      <w:tr w:rsidR="00CF60A0" w:rsidRPr="00621669" w14:paraId="438E382E" w14:textId="77777777" w:rsidTr="004436A9">
        <w:trPr>
          <w:jc w:val="center"/>
        </w:trPr>
        <w:tc>
          <w:tcPr>
            <w:tcW w:w="3006" w:type="dxa"/>
            <w:vMerge/>
            <w:vAlign w:val="center"/>
          </w:tcPr>
          <w:p w14:paraId="73162B3E" w14:textId="77777777" w:rsidR="00CF60A0" w:rsidRPr="00621669" w:rsidRDefault="00CF60A0" w:rsidP="00B963D7">
            <w:pPr>
              <w:pStyle w:val="ListParagraph"/>
              <w:spacing w:after="0"/>
              <w:ind w:left="0"/>
              <w:jc w:val="both"/>
              <w:rPr>
                <w:rFonts w:ascii="Times New Roman" w:hAnsi="Times New Roman" w:cs="Times New Roman"/>
                <w:b/>
                <w:bCs/>
                <w:sz w:val="20"/>
                <w:szCs w:val="20"/>
              </w:rPr>
            </w:pPr>
          </w:p>
        </w:tc>
        <w:tc>
          <w:tcPr>
            <w:tcW w:w="1687" w:type="dxa"/>
            <w:vAlign w:val="center"/>
          </w:tcPr>
          <w:p w14:paraId="3485CEC1"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Coef (SE)</w:t>
            </w:r>
            <w:r w:rsidRPr="00341D0E">
              <w:rPr>
                <w:rFonts w:ascii="Times New Roman" w:hAnsi="Times New Roman" w:cs="Times New Roman"/>
                <w:vertAlign w:val="superscript"/>
              </w:rPr>
              <w:t xml:space="preserve"> a</w:t>
            </w:r>
          </w:p>
        </w:tc>
        <w:tc>
          <w:tcPr>
            <w:tcW w:w="898" w:type="dxa"/>
            <w:vAlign w:val="center"/>
          </w:tcPr>
          <w:p w14:paraId="0C5984E1"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RI (%)</w:t>
            </w:r>
          </w:p>
        </w:tc>
        <w:tc>
          <w:tcPr>
            <w:tcW w:w="1696" w:type="dxa"/>
            <w:vAlign w:val="center"/>
          </w:tcPr>
          <w:p w14:paraId="614B5925"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Coef (SE)</w:t>
            </w:r>
            <w:r w:rsidRPr="00341D0E">
              <w:rPr>
                <w:rFonts w:ascii="Times New Roman" w:hAnsi="Times New Roman" w:cs="Times New Roman"/>
                <w:vertAlign w:val="superscript"/>
              </w:rPr>
              <w:t xml:space="preserve"> a</w:t>
            </w:r>
          </w:p>
        </w:tc>
        <w:tc>
          <w:tcPr>
            <w:tcW w:w="833" w:type="dxa"/>
            <w:vAlign w:val="center"/>
          </w:tcPr>
          <w:p w14:paraId="22A7BD21"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RI (%)</w:t>
            </w:r>
          </w:p>
        </w:tc>
        <w:tc>
          <w:tcPr>
            <w:tcW w:w="1680" w:type="dxa"/>
            <w:vAlign w:val="center"/>
          </w:tcPr>
          <w:p w14:paraId="180F68EB"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Coef (SE)</w:t>
            </w:r>
            <w:r w:rsidRPr="00341D0E">
              <w:rPr>
                <w:rFonts w:ascii="Times New Roman" w:hAnsi="Times New Roman" w:cs="Times New Roman"/>
                <w:vertAlign w:val="superscript"/>
              </w:rPr>
              <w:t xml:space="preserve"> a</w:t>
            </w:r>
          </w:p>
        </w:tc>
        <w:tc>
          <w:tcPr>
            <w:tcW w:w="910" w:type="dxa"/>
            <w:vAlign w:val="center"/>
          </w:tcPr>
          <w:p w14:paraId="2238AF41"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RI (%)</w:t>
            </w:r>
          </w:p>
        </w:tc>
        <w:tc>
          <w:tcPr>
            <w:tcW w:w="1705" w:type="dxa"/>
            <w:vAlign w:val="center"/>
          </w:tcPr>
          <w:p w14:paraId="73A806B5"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Coef (SE)</w:t>
            </w:r>
            <w:r w:rsidRPr="00341D0E">
              <w:rPr>
                <w:rFonts w:ascii="Times New Roman" w:hAnsi="Times New Roman" w:cs="Times New Roman"/>
                <w:vertAlign w:val="superscript"/>
              </w:rPr>
              <w:t xml:space="preserve"> a</w:t>
            </w:r>
          </w:p>
        </w:tc>
        <w:tc>
          <w:tcPr>
            <w:tcW w:w="990" w:type="dxa"/>
            <w:vAlign w:val="center"/>
          </w:tcPr>
          <w:p w14:paraId="10165381"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RI (%)</w:t>
            </w:r>
          </w:p>
        </w:tc>
      </w:tr>
      <w:tr w:rsidR="00CF60A0" w:rsidRPr="00621669" w14:paraId="58CCEB35" w14:textId="77777777" w:rsidTr="004436A9">
        <w:trPr>
          <w:jc w:val="center"/>
        </w:trPr>
        <w:tc>
          <w:tcPr>
            <w:tcW w:w="3006" w:type="dxa"/>
            <w:vAlign w:val="center"/>
          </w:tcPr>
          <w:p w14:paraId="420E1F04"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Constant</w:t>
            </w:r>
          </w:p>
        </w:tc>
        <w:tc>
          <w:tcPr>
            <w:tcW w:w="1687" w:type="dxa"/>
            <w:vAlign w:val="center"/>
          </w:tcPr>
          <w:p w14:paraId="32C8C248" w14:textId="77777777" w:rsidR="00CF60A0" w:rsidRPr="008D4C1D" w:rsidRDefault="00CF60A0" w:rsidP="00B963D7">
            <w:pPr>
              <w:pStyle w:val="ListParagraph"/>
              <w:spacing w:after="0"/>
              <w:ind w:left="0"/>
              <w:rPr>
                <w:rFonts w:ascii="Times New Roman" w:hAnsi="Times New Roman" w:cs="Times New Roman"/>
                <w:sz w:val="20"/>
                <w:szCs w:val="20"/>
              </w:rPr>
            </w:pPr>
            <w:r w:rsidRPr="008D4C1D">
              <w:rPr>
                <w:rFonts w:ascii="Times New Roman" w:hAnsi="Times New Roman" w:cs="Times New Roman"/>
                <w:sz w:val="20"/>
                <w:szCs w:val="20"/>
              </w:rPr>
              <w:t>0.968***</w:t>
            </w:r>
          </w:p>
        </w:tc>
        <w:tc>
          <w:tcPr>
            <w:tcW w:w="898" w:type="dxa"/>
            <w:vAlign w:val="center"/>
          </w:tcPr>
          <w:p w14:paraId="5AD21839" w14:textId="77777777" w:rsidR="00CF60A0" w:rsidRPr="00621669" w:rsidRDefault="00CF60A0" w:rsidP="00B963D7">
            <w:pPr>
              <w:pStyle w:val="ListParagraph"/>
              <w:spacing w:after="0"/>
              <w:ind w:left="0"/>
              <w:rPr>
                <w:rFonts w:ascii="Times New Roman" w:hAnsi="Times New Roman" w:cs="Times New Roman"/>
                <w:sz w:val="20"/>
                <w:szCs w:val="20"/>
                <w:lang w:val="en-GB"/>
              </w:rPr>
            </w:pPr>
          </w:p>
        </w:tc>
        <w:tc>
          <w:tcPr>
            <w:tcW w:w="1696" w:type="dxa"/>
            <w:vAlign w:val="center"/>
          </w:tcPr>
          <w:p w14:paraId="48F83B44"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0.565*** (0.076)</w:t>
            </w:r>
          </w:p>
        </w:tc>
        <w:tc>
          <w:tcPr>
            <w:tcW w:w="833" w:type="dxa"/>
            <w:vAlign w:val="center"/>
          </w:tcPr>
          <w:p w14:paraId="76068381" w14:textId="77777777" w:rsidR="00CF60A0" w:rsidRPr="00621669" w:rsidRDefault="00CF60A0" w:rsidP="00B963D7">
            <w:pPr>
              <w:pStyle w:val="ListParagraph"/>
              <w:spacing w:after="0"/>
              <w:ind w:left="0"/>
              <w:jc w:val="center"/>
              <w:rPr>
                <w:rFonts w:ascii="Times New Roman" w:hAnsi="Times New Roman" w:cs="Times New Roman"/>
                <w:sz w:val="20"/>
                <w:szCs w:val="20"/>
              </w:rPr>
            </w:pPr>
          </w:p>
        </w:tc>
        <w:tc>
          <w:tcPr>
            <w:tcW w:w="1680" w:type="dxa"/>
          </w:tcPr>
          <w:p w14:paraId="72EFE9F7"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1.0047***(0.059)</w:t>
            </w:r>
          </w:p>
        </w:tc>
        <w:tc>
          <w:tcPr>
            <w:tcW w:w="910" w:type="dxa"/>
          </w:tcPr>
          <w:p w14:paraId="78EF9D8A" w14:textId="77777777" w:rsidR="00CF60A0" w:rsidRPr="00621669" w:rsidRDefault="00CF60A0" w:rsidP="00B963D7">
            <w:pPr>
              <w:pStyle w:val="ListParagraph"/>
              <w:spacing w:after="0"/>
              <w:ind w:left="0"/>
              <w:jc w:val="center"/>
              <w:rPr>
                <w:rFonts w:ascii="Times New Roman" w:hAnsi="Times New Roman" w:cs="Times New Roman"/>
                <w:sz w:val="20"/>
                <w:szCs w:val="20"/>
              </w:rPr>
            </w:pPr>
          </w:p>
        </w:tc>
        <w:tc>
          <w:tcPr>
            <w:tcW w:w="1705" w:type="dxa"/>
          </w:tcPr>
          <w:p w14:paraId="1B7BBE3B"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 xml:space="preserve">0.933*** </w:t>
            </w:r>
            <w:r>
              <w:rPr>
                <w:rFonts w:ascii="Times New Roman" w:hAnsi="Times New Roman" w:cs="Times New Roman"/>
                <w:sz w:val="20"/>
                <w:szCs w:val="20"/>
              </w:rPr>
              <w:t>(0.053)</w:t>
            </w:r>
          </w:p>
        </w:tc>
        <w:tc>
          <w:tcPr>
            <w:tcW w:w="990" w:type="dxa"/>
          </w:tcPr>
          <w:p w14:paraId="753DA417" w14:textId="77777777" w:rsidR="00CF60A0" w:rsidRPr="00621669" w:rsidRDefault="00CF60A0" w:rsidP="00B963D7">
            <w:pPr>
              <w:pStyle w:val="ListParagraph"/>
              <w:spacing w:after="0"/>
              <w:ind w:left="0"/>
              <w:jc w:val="center"/>
              <w:rPr>
                <w:rFonts w:ascii="Times New Roman" w:hAnsi="Times New Roman" w:cs="Times New Roman"/>
                <w:sz w:val="20"/>
                <w:szCs w:val="20"/>
              </w:rPr>
            </w:pPr>
          </w:p>
        </w:tc>
      </w:tr>
      <w:tr w:rsidR="00CF60A0" w:rsidRPr="00621669" w14:paraId="4F4AC282" w14:textId="77777777" w:rsidTr="004436A9">
        <w:trPr>
          <w:jc w:val="center"/>
        </w:trPr>
        <w:tc>
          <w:tcPr>
            <w:tcW w:w="3006" w:type="dxa"/>
            <w:vAlign w:val="center"/>
          </w:tcPr>
          <w:p w14:paraId="48683CFA"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Physical activity</w:t>
            </w:r>
          </w:p>
          <w:p w14:paraId="61F80BCC" w14:textId="752D73FB"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included</w:t>
            </w:r>
            <w:r w:rsidRPr="00621669">
              <w:rPr>
                <w:rFonts w:ascii="Times New Roman" w:hAnsi="Times New Roman" w:cs="Times New Roman"/>
                <w:sz w:val="20"/>
                <w:szCs w:val="20"/>
                <w:vertAlign w:val="superscript"/>
                <w:lang w:val="en-GB"/>
              </w:rPr>
              <w:t>b</w:t>
            </w:r>
          </w:p>
          <w:p w14:paraId="03E98E2B" w14:textId="77777777"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Moderate</w:t>
            </w:r>
          </w:p>
          <w:p w14:paraId="31FFC12B" w14:textId="77777777"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High</w:t>
            </w:r>
          </w:p>
        </w:tc>
        <w:tc>
          <w:tcPr>
            <w:tcW w:w="1687" w:type="dxa"/>
            <w:vAlign w:val="center"/>
          </w:tcPr>
          <w:p w14:paraId="3BA25547" w14:textId="77777777" w:rsidR="00CF60A0" w:rsidRPr="008D4C1D" w:rsidRDefault="00CF60A0" w:rsidP="00B963D7">
            <w:pPr>
              <w:pStyle w:val="ListParagraph"/>
              <w:spacing w:after="0"/>
              <w:ind w:left="0"/>
              <w:rPr>
                <w:rFonts w:ascii="Times New Roman" w:hAnsi="Times New Roman" w:cs="Times New Roman"/>
                <w:sz w:val="20"/>
                <w:szCs w:val="20"/>
                <w:lang w:val="en-GB"/>
              </w:rPr>
            </w:pPr>
          </w:p>
          <w:p w14:paraId="5DAE69A5" w14:textId="77777777" w:rsidR="00CF60A0" w:rsidRPr="00BB2627" w:rsidRDefault="00CF60A0" w:rsidP="00B963D7">
            <w:pPr>
              <w:pStyle w:val="ListParagraph"/>
              <w:spacing w:after="0"/>
              <w:ind w:left="0"/>
              <w:rPr>
                <w:rFonts w:ascii="Times New Roman" w:hAnsi="Times New Roman" w:cs="Times New Roman"/>
                <w:sz w:val="20"/>
                <w:szCs w:val="20"/>
                <w:lang w:val="en-GB"/>
              </w:rPr>
            </w:pPr>
            <w:r w:rsidRPr="008D4C1D">
              <w:rPr>
                <w:rFonts w:ascii="Times New Roman" w:hAnsi="Times New Roman" w:cs="Times New Roman"/>
                <w:sz w:val="20"/>
                <w:szCs w:val="20"/>
              </w:rPr>
              <w:t>0.372</w:t>
            </w:r>
            <w:r>
              <w:rPr>
                <w:rFonts w:ascii="Times New Roman" w:hAnsi="Times New Roman" w:cs="Times New Roman"/>
                <w:sz w:val="20"/>
                <w:szCs w:val="20"/>
              </w:rPr>
              <w:t>***</w:t>
            </w:r>
            <w:r>
              <w:rPr>
                <w:rFonts w:ascii="Times New Roman" w:hAnsi="Times New Roman" w:cs="Times New Roman"/>
                <w:sz w:val="20"/>
                <w:szCs w:val="20"/>
                <w:lang w:val="en-GB"/>
              </w:rPr>
              <w:t xml:space="preserve"> (0.036)</w:t>
            </w:r>
          </w:p>
          <w:p w14:paraId="0717CB84" w14:textId="77777777" w:rsidR="00CF60A0" w:rsidRDefault="00CF60A0" w:rsidP="00B963D7">
            <w:pPr>
              <w:pStyle w:val="ListParagraph"/>
              <w:spacing w:after="0"/>
              <w:ind w:left="0"/>
              <w:rPr>
                <w:rFonts w:ascii="Times New Roman" w:hAnsi="Times New Roman" w:cs="Times New Roman"/>
                <w:sz w:val="20"/>
                <w:szCs w:val="20"/>
              </w:rPr>
            </w:pPr>
            <w:r w:rsidRPr="008D4C1D">
              <w:rPr>
                <w:rFonts w:ascii="Times New Roman" w:hAnsi="Times New Roman" w:cs="Times New Roman"/>
                <w:sz w:val="20"/>
                <w:szCs w:val="20"/>
              </w:rPr>
              <w:t xml:space="preserve">0.287*** </w:t>
            </w:r>
            <w:r>
              <w:rPr>
                <w:rFonts w:ascii="Times New Roman" w:hAnsi="Times New Roman" w:cs="Times New Roman"/>
                <w:sz w:val="20"/>
                <w:szCs w:val="20"/>
              </w:rPr>
              <w:t>(0.031)</w:t>
            </w:r>
            <w:r w:rsidRPr="008D4C1D">
              <w:rPr>
                <w:rFonts w:ascii="Times New Roman" w:hAnsi="Times New Roman" w:cs="Times New Roman"/>
                <w:sz w:val="20"/>
                <w:szCs w:val="20"/>
              </w:rPr>
              <w:t xml:space="preserve"> </w:t>
            </w:r>
          </w:p>
          <w:p w14:paraId="36E741FF" w14:textId="77777777" w:rsidR="00CF60A0" w:rsidRPr="008D4C1D"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w:t>
            </w:r>
            <w:r w:rsidRPr="008D4C1D">
              <w:rPr>
                <w:rFonts w:ascii="Times New Roman" w:hAnsi="Times New Roman" w:cs="Times New Roman"/>
                <w:sz w:val="20"/>
                <w:szCs w:val="20"/>
              </w:rPr>
              <w:t xml:space="preserve">0.659*** </w:t>
            </w:r>
            <w:r>
              <w:rPr>
                <w:rFonts w:ascii="Times New Roman" w:hAnsi="Times New Roman" w:cs="Times New Roman"/>
                <w:sz w:val="20"/>
                <w:szCs w:val="20"/>
              </w:rPr>
              <w:t>(0.065)</w:t>
            </w:r>
          </w:p>
        </w:tc>
        <w:tc>
          <w:tcPr>
            <w:tcW w:w="898" w:type="dxa"/>
            <w:vAlign w:val="center"/>
          </w:tcPr>
          <w:p w14:paraId="60DBB292" w14:textId="6BC74F8E" w:rsidR="00CF60A0" w:rsidRPr="008D4C1D" w:rsidRDefault="00CF60A0" w:rsidP="00B963D7">
            <w:pPr>
              <w:pStyle w:val="ListParagraph"/>
              <w:spacing w:after="0"/>
              <w:ind w:left="0"/>
              <w:rPr>
                <w:rFonts w:ascii="Times New Roman" w:hAnsi="Times New Roman" w:cs="Times New Roman"/>
                <w:sz w:val="20"/>
                <w:szCs w:val="20"/>
              </w:rPr>
            </w:pPr>
            <w:r w:rsidRPr="008D4C1D">
              <w:rPr>
                <w:rFonts w:ascii="Times New Roman" w:hAnsi="Times New Roman" w:cs="Times New Roman"/>
                <w:sz w:val="20"/>
                <w:szCs w:val="20"/>
              </w:rPr>
              <w:t>42.</w:t>
            </w:r>
            <w:r w:rsidR="006771B8">
              <w:rPr>
                <w:rFonts w:ascii="Times New Roman" w:hAnsi="Times New Roman" w:cs="Times New Roman"/>
                <w:sz w:val="20"/>
                <w:szCs w:val="20"/>
              </w:rPr>
              <w:t>5</w:t>
            </w:r>
            <w:r w:rsidRPr="008D4C1D">
              <w:rPr>
                <w:rFonts w:ascii="Times New Roman" w:hAnsi="Times New Roman" w:cs="Times New Roman"/>
                <w:sz w:val="20"/>
                <w:szCs w:val="20"/>
              </w:rPr>
              <w:t>%</w:t>
            </w:r>
          </w:p>
        </w:tc>
        <w:tc>
          <w:tcPr>
            <w:tcW w:w="1696" w:type="dxa"/>
            <w:vAlign w:val="center"/>
          </w:tcPr>
          <w:p w14:paraId="675E6A32" w14:textId="77777777" w:rsidR="00CF60A0" w:rsidRPr="00621669" w:rsidRDefault="00CF60A0" w:rsidP="00B963D7">
            <w:pPr>
              <w:pStyle w:val="ListParagraph"/>
              <w:spacing w:after="0"/>
              <w:ind w:left="0"/>
              <w:rPr>
                <w:rFonts w:ascii="Times New Roman" w:hAnsi="Times New Roman" w:cs="Times New Roman"/>
                <w:sz w:val="20"/>
                <w:szCs w:val="20"/>
              </w:rPr>
            </w:pPr>
          </w:p>
          <w:p w14:paraId="2C1CF43B" w14:textId="77777777" w:rsidR="00CF60A0" w:rsidRPr="00621669"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0.203* (0.106)</w:t>
            </w:r>
          </w:p>
          <w:p w14:paraId="6DD23CC5"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0.370*** (0.098)</w:t>
            </w:r>
          </w:p>
          <w:p w14:paraId="35723A64"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-0.573*** (0.198)</w:t>
            </w:r>
          </w:p>
        </w:tc>
        <w:tc>
          <w:tcPr>
            <w:tcW w:w="833" w:type="dxa"/>
            <w:vAlign w:val="center"/>
          </w:tcPr>
          <w:p w14:paraId="7A36ECA9" w14:textId="77777777" w:rsidR="00CF60A0" w:rsidRPr="00621669" w:rsidRDefault="00CF60A0" w:rsidP="00B963D7">
            <w:pPr>
              <w:pStyle w:val="ListParagraph"/>
              <w:spacing w:after="0"/>
              <w:ind w:left="0"/>
              <w:rPr>
                <w:rFonts w:ascii="Times New Roman" w:hAnsi="Times New Roman" w:cs="Times New Roman"/>
                <w:sz w:val="20"/>
                <w:szCs w:val="20"/>
              </w:rPr>
            </w:pPr>
          </w:p>
          <w:p w14:paraId="28220389" w14:textId="5BD71850"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46.5%</w:t>
            </w:r>
          </w:p>
          <w:p w14:paraId="3BEE673A" w14:textId="77777777" w:rsidR="00CF60A0" w:rsidRPr="00621669" w:rsidRDefault="00CF60A0" w:rsidP="00B963D7">
            <w:pPr>
              <w:pStyle w:val="ListParagraph"/>
              <w:spacing w:after="0"/>
              <w:ind w:left="0"/>
              <w:rPr>
                <w:rFonts w:ascii="Times New Roman" w:hAnsi="Times New Roman" w:cs="Times New Roman"/>
                <w:sz w:val="20"/>
                <w:szCs w:val="20"/>
              </w:rPr>
            </w:pPr>
          </w:p>
        </w:tc>
        <w:tc>
          <w:tcPr>
            <w:tcW w:w="1680" w:type="dxa"/>
          </w:tcPr>
          <w:p w14:paraId="43FAE859" w14:textId="77777777" w:rsidR="00CF60A0" w:rsidRPr="00621669" w:rsidRDefault="00CF60A0" w:rsidP="00B963D7">
            <w:pPr>
              <w:pStyle w:val="ListParagraph"/>
              <w:spacing w:after="0"/>
              <w:ind w:left="0"/>
              <w:rPr>
                <w:rFonts w:ascii="Times New Roman" w:hAnsi="Times New Roman" w:cs="Times New Roman"/>
                <w:sz w:val="20"/>
                <w:szCs w:val="20"/>
              </w:rPr>
            </w:pPr>
          </w:p>
          <w:p w14:paraId="0BB074BA" w14:textId="77777777" w:rsidR="00CF60A0" w:rsidRPr="00621669"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0.349*** (0.078)</w:t>
            </w:r>
          </w:p>
          <w:p w14:paraId="0B7AC79C" w14:textId="66DAFE09"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0.111</w:t>
            </w:r>
            <w:r w:rsidR="00AA7768">
              <w:rPr>
                <w:rFonts w:ascii="Times New Roman" w:hAnsi="Times New Roman" w:cs="Times New Roman"/>
                <w:sz w:val="20"/>
                <w:szCs w:val="20"/>
              </w:rPr>
              <w:t xml:space="preserve"> </w:t>
            </w:r>
            <w:r w:rsidRPr="00621669">
              <w:rPr>
                <w:rFonts w:ascii="Times New Roman" w:hAnsi="Times New Roman" w:cs="Times New Roman"/>
                <w:sz w:val="20"/>
                <w:szCs w:val="20"/>
              </w:rPr>
              <w:t>(0.071)</w:t>
            </w:r>
          </w:p>
          <w:p w14:paraId="00485C74"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-0.470*** (0.151)</w:t>
            </w:r>
          </w:p>
        </w:tc>
        <w:tc>
          <w:tcPr>
            <w:tcW w:w="910" w:type="dxa"/>
            <w:vAlign w:val="center"/>
          </w:tcPr>
          <w:p w14:paraId="730F8B21" w14:textId="65CC951E"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41.</w:t>
            </w:r>
            <w:r w:rsidR="006771B8">
              <w:rPr>
                <w:rFonts w:ascii="Times New Roman" w:hAnsi="Times New Roman" w:cs="Times New Roman"/>
                <w:sz w:val="20"/>
                <w:szCs w:val="20"/>
              </w:rPr>
              <w:t>2</w:t>
            </w:r>
            <w:r w:rsidRPr="00621669">
              <w:rPr>
                <w:rFonts w:ascii="Times New Roman" w:hAnsi="Times New Roman" w:cs="Times New Roman"/>
                <w:sz w:val="20"/>
                <w:szCs w:val="20"/>
              </w:rPr>
              <w:t>%</w:t>
            </w:r>
          </w:p>
        </w:tc>
        <w:tc>
          <w:tcPr>
            <w:tcW w:w="1705" w:type="dxa"/>
          </w:tcPr>
          <w:p w14:paraId="36596BA6" w14:textId="77777777" w:rsidR="00CF60A0" w:rsidRPr="00621669" w:rsidRDefault="00CF60A0" w:rsidP="00B963D7">
            <w:pPr>
              <w:pStyle w:val="ListParagraph"/>
              <w:spacing w:after="0"/>
              <w:ind w:left="0"/>
              <w:rPr>
                <w:rFonts w:ascii="Times New Roman" w:hAnsi="Times New Roman" w:cs="Times New Roman"/>
                <w:sz w:val="20"/>
                <w:szCs w:val="20"/>
              </w:rPr>
            </w:pPr>
          </w:p>
          <w:p w14:paraId="1F838E82" w14:textId="77777777" w:rsidR="00CF60A0" w:rsidRPr="00621669"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0.662*** (0.075)</w:t>
            </w:r>
          </w:p>
          <w:p w14:paraId="14FEC47B"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 xml:space="preserve">0.361*** </w:t>
            </w:r>
            <w:r>
              <w:rPr>
                <w:rFonts w:ascii="Times New Roman" w:hAnsi="Times New Roman" w:cs="Times New Roman"/>
                <w:sz w:val="20"/>
                <w:szCs w:val="20"/>
              </w:rPr>
              <w:t>(0.064)</w:t>
            </w:r>
          </w:p>
          <w:p w14:paraId="0CC45F74"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 xml:space="preserve">-1.023*** </w:t>
            </w:r>
            <w:r>
              <w:rPr>
                <w:rFonts w:ascii="Times New Roman" w:hAnsi="Times New Roman" w:cs="Times New Roman"/>
                <w:sz w:val="20"/>
                <w:szCs w:val="20"/>
              </w:rPr>
              <w:t>(0.134)</w:t>
            </w:r>
          </w:p>
        </w:tc>
        <w:tc>
          <w:tcPr>
            <w:tcW w:w="990" w:type="dxa"/>
            <w:vAlign w:val="center"/>
          </w:tcPr>
          <w:p w14:paraId="648EA487" w14:textId="77777777" w:rsidR="00CF60A0" w:rsidRPr="0083389E" w:rsidRDefault="00CF60A0" w:rsidP="00B963D7">
            <w:pPr>
              <w:pStyle w:val="ListParagraph"/>
              <w:spacing w:after="0"/>
              <w:ind w:left="0"/>
              <w:rPr>
                <w:rFonts w:ascii="Times New Roman" w:hAnsi="Times New Roman" w:cs="Times New Roman"/>
                <w:sz w:val="20"/>
                <w:szCs w:val="20"/>
              </w:rPr>
            </w:pPr>
            <w:r w:rsidRPr="0083389E">
              <w:rPr>
                <w:rFonts w:ascii="Times New Roman" w:hAnsi="Times New Roman" w:cs="Times New Roman"/>
                <w:sz w:val="20"/>
                <w:szCs w:val="20"/>
              </w:rPr>
              <w:t>46.4</w:t>
            </w:r>
            <w:r>
              <w:rPr>
                <w:rFonts w:ascii="Times New Roman" w:hAnsi="Times New Roman" w:cs="Times New Roman"/>
                <w:sz w:val="20"/>
                <w:szCs w:val="20"/>
              </w:rPr>
              <w:t>1</w:t>
            </w:r>
            <w:r w:rsidRPr="0083389E">
              <w:rPr>
                <w:rFonts w:ascii="Times New Roman" w:hAnsi="Times New Roman" w:cs="Times New Roman"/>
                <w:sz w:val="20"/>
                <w:szCs w:val="20"/>
              </w:rPr>
              <w:t>%</w:t>
            </w:r>
          </w:p>
        </w:tc>
      </w:tr>
      <w:tr w:rsidR="00CF60A0" w:rsidRPr="00621669" w14:paraId="4B687D5B" w14:textId="77777777" w:rsidTr="004436A9">
        <w:trPr>
          <w:jc w:val="center"/>
        </w:trPr>
        <w:tc>
          <w:tcPr>
            <w:tcW w:w="3006" w:type="dxa"/>
            <w:vAlign w:val="center"/>
          </w:tcPr>
          <w:p w14:paraId="0214CB8C"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Calcium and Vitamin D status</w:t>
            </w:r>
          </w:p>
          <w:p w14:paraId="72D176EC" w14:textId="6ED5A406"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included</w:t>
            </w:r>
            <w:r w:rsidRPr="00621669">
              <w:rPr>
                <w:rFonts w:ascii="Times New Roman" w:hAnsi="Times New Roman" w:cs="Times New Roman"/>
                <w:sz w:val="20"/>
                <w:szCs w:val="20"/>
                <w:vertAlign w:val="superscript"/>
                <w:lang w:val="en-GB"/>
              </w:rPr>
              <w:t>b</w:t>
            </w:r>
            <w:r w:rsidRPr="00621669">
              <w:rPr>
                <w:rFonts w:ascii="Times New Roman" w:hAnsi="Times New Roman" w:cs="Times New Roman"/>
                <w:sz w:val="20"/>
                <w:szCs w:val="20"/>
                <w:lang w:val="en-GB"/>
              </w:rPr>
              <w:t xml:space="preserve">  </w:t>
            </w:r>
          </w:p>
          <w:p w14:paraId="68CC3D5C"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Supplements</w:t>
            </w:r>
          </w:p>
          <w:p w14:paraId="57179246" w14:textId="1938B1BB" w:rsidR="00CF60A0" w:rsidRDefault="00CF60A0" w:rsidP="00D70B20">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Nutrition and </w:t>
            </w:r>
            <w:r w:rsidR="00D70B20">
              <w:rPr>
                <w:rFonts w:ascii="Times New Roman" w:hAnsi="Times New Roman" w:cs="Times New Roman"/>
                <w:sz w:val="20"/>
                <w:szCs w:val="20"/>
                <w:lang w:val="en-GB"/>
              </w:rPr>
              <w:t xml:space="preserve">exposure to </w:t>
            </w:r>
          </w:p>
          <w:p w14:paraId="7E5AEC7A" w14:textId="51F428E3" w:rsidR="00D70B20" w:rsidRPr="00664334" w:rsidRDefault="00D70B20" w:rsidP="00D70B20">
            <w:pPr>
              <w:pStyle w:val="ListParagraph"/>
              <w:spacing w:after="0"/>
              <w:ind w:left="0"/>
              <w:rPr>
                <w:rFonts w:ascii="Times New Roman" w:hAnsi="Times New Roman" w:cs="Times New Roman"/>
                <w:sz w:val="20"/>
                <w:szCs w:val="20"/>
                <w:lang w:val="en-GB"/>
              </w:rPr>
            </w:pPr>
            <w:r>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sunlight</w:t>
            </w:r>
          </w:p>
        </w:tc>
        <w:tc>
          <w:tcPr>
            <w:tcW w:w="1687" w:type="dxa"/>
            <w:vAlign w:val="center"/>
          </w:tcPr>
          <w:p w14:paraId="012F0068" w14:textId="77777777" w:rsidR="00CF60A0" w:rsidRPr="008D4C1D" w:rsidRDefault="00CF60A0" w:rsidP="00B963D7">
            <w:pPr>
              <w:pStyle w:val="ListParagraph"/>
              <w:spacing w:after="0"/>
              <w:ind w:left="0"/>
              <w:rPr>
                <w:rFonts w:ascii="Times New Roman" w:hAnsi="Times New Roman" w:cs="Times New Roman"/>
                <w:sz w:val="20"/>
                <w:szCs w:val="20"/>
                <w:lang w:val="en-GB"/>
              </w:rPr>
            </w:pPr>
          </w:p>
          <w:p w14:paraId="032F4178" w14:textId="77777777" w:rsidR="00CF60A0" w:rsidRPr="008D4C1D"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0.105 (0.088)</w:t>
            </w:r>
          </w:p>
          <w:p w14:paraId="46EF4819" w14:textId="77777777" w:rsidR="00CF60A0" w:rsidRPr="008D4C1D"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0.135</w:t>
            </w:r>
            <w:r w:rsidRPr="008D4C1D">
              <w:rPr>
                <w:rFonts w:ascii="Times New Roman" w:hAnsi="Times New Roman" w:cs="Times New Roman"/>
                <w:sz w:val="20"/>
                <w:szCs w:val="20"/>
              </w:rPr>
              <w:t>***</w:t>
            </w:r>
            <w:r>
              <w:rPr>
                <w:rFonts w:ascii="Times New Roman" w:hAnsi="Times New Roman" w:cs="Times New Roman"/>
                <w:sz w:val="20"/>
                <w:szCs w:val="20"/>
              </w:rPr>
              <w:t xml:space="preserve"> (0.035)</w:t>
            </w:r>
            <w:r w:rsidRPr="008D4C1D">
              <w:rPr>
                <w:rFonts w:ascii="Times New Roman" w:hAnsi="Times New Roman" w:cs="Times New Roman"/>
                <w:sz w:val="20"/>
                <w:szCs w:val="20"/>
                <w:lang w:val="en-GB"/>
              </w:rPr>
              <w:t xml:space="preserve"> </w:t>
            </w:r>
          </w:p>
          <w:p w14:paraId="64ADD290" w14:textId="77777777" w:rsidR="00CF60A0" w:rsidRPr="008D4C1D" w:rsidRDefault="00CF60A0" w:rsidP="00B963D7">
            <w:pPr>
              <w:pStyle w:val="ListParagraph"/>
              <w:spacing w:after="0"/>
              <w:ind w:left="0"/>
              <w:rPr>
                <w:rFonts w:ascii="Times New Roman" w:hAnsi="Times New Roman" w:cs="Times New Roman"/>
                <w:sz w:val="20"/>
                <w:szCs w:val="20"/>
                <w:lang w:val="en-GB"/>
              </w:rPr>
            </w:pPr>
            <w:r w:rsidRPr="008D4C1D">
              <w:rPr>
                <w:rFonts w:ascii="Times New Roman" w:hAnsi="Times New Roman" w:cs="Times New Roman"/>
                <w:sz w:val="20"/>
                <w:szCs w:val="20"/>
                <w:lang w:val="en-GB"/>
              </w:rPr>
              <w:t>-0.241</w:t>
            </w:r>
            <w:r w:rsidRPr="008D4C1D">
              <w:rPr>
                <w:rFonts w:ascii="Times New Roman" w:hAnsi="Times New Roman" w:cs="Times New Roman"/>
                <w:sz w:val="20"/>
                <w:szCs w:val="20"/>
              </w:rPr>
              <w:t>***</w:t>
            </w:r>
            <w:r w:rsidRPr="008D4C1D">
              <w:rPr>
                <w:rFonts w:ascii="Times New Roman" w:hAnsi="Times New Roman" w:cs="Times New Roman"/>
                <w:sz w:val="20"/>
                <w:szCs w:val="20"/>
                <w:lang w:val="en-GB"/>
              </w:rPr>
              <w:t xml:space="preserve"> </w:t>
            </w:r>
            <w:r>
              <w:rPr>
                <w:rFonts w:ascii="Times New Roman" w:hAnsi="Times New Roman" w:cs="Times New Roman"/>
                <w:sz w:val="20"/>
                <w:szCs w:val="20"/>
                <w:lang w:val="en-GB"/>
              </w:rPr>
              <w:t>(0.062)</w:t>
            </w:r>
          </w:p>
        </w:tc>
        <w:tc>
          <w:tcPr>
            <w:tcW w:w="898" w:type="dxa"/>
            <w:vAlign w:val="center"/>
          </w:tcPr>
          <w:p w14:paraId="7B73C9FB" w14:textId="74819ADA" w:rsidR="00CF60A0" w:rsidRPr="008D4C1D" w:rsidRDefault="00CF60A0" w:rsidP="00B963D7">
            <w:pPr>
              <w:pStyle w:val="ListParagraph"/>
              <w:spacing w:after="0"/>
              <w:ind w:left="0"/>
              <w:rPr>
                <w:rFonts w:ascii="Times New Roman" w:hAnsi="Times New Roman" w:cs="Times New Roman"/>
                <w:sz w:val="20"/>
                <w:szCs w:val="20"/>
                <w:lang w:val="en-GB"/>
              </w:rPr>
            </w:pPr>
            <w:r w:rsidRPr="008D4C1D">
              <w:rPr>
                <w:rFonts w:ascii="Times New Roman" w:hAnsi="Times New Roman" w:cs="Times New Roman"/>
                <w:sz w:val="20"/>
                <w:szCs w:val="20"/>
              </w:rPr>
              <w:t>15.5%</w:t>
            </w:r>
          </w:p>
        </w:tc>
        <w:tc>
          <w:tcPr>
            <w:tcW w:w="1696" w:type="dxa"/>
            <w:vAlign w:val="center"/>
          </w:tcPr>
          <w:p w14:paraId="2418A310" w14:textId="77777777" w:rsidR="00CF60A0" w:rsidRPr="00621669" w:rsidRDefault="00CF60A0" w:rsidP="00B963D7">
            <w:pPr>
              <w:pStyle w:val="ListParagraph"/>
              <w:spacing w:after="0"/>
              <w:ind w:left="0"/>
              <w:rPr>
                <w:rFonts w:ascii="Times New Roman" w:hAnsi="Times New Roman" w:cs="Times New Roman"/>
                <w:sz w:val="20"/>
                <w:szCs w:val="20"/>
                <w:lang w:val="en-GB"/>
              </w:rPr>
            </w:pPr>
          </w:p>
          <w:p w14:paraId="60346079" w14:textId="77777777" w:rsidR="00CF60A0" w:rsidRPr="00621669"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-0.256 (0.271)</w:t>
            </w:r>
          </w:p>
          <w:p w14:paraId="5465DC9F"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0.098 (0.108)</w:t>
            </w:r>
          </w:p>
          <w:p w14:paraId="62CD915B"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0.158 (0.193)</w:t>
            </w:r>
          </w:p>
        </w:tc>
        <w:tc>
          <w:tcPr>
            <w:tcW w:w="833" w:type="dxa"/>
            <w:vAlign w:val="center"/>
          </w:tcPr>
          <w:p w14:paraId="034E48D9" w14:textId="2B1EA02C"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20.4%</w:t>
            </w:r>
          </w:p>
        </w:tc>
        <w:tc>
          <w:tcPr>
            <w:tcW w:w="1680" w:type="dxa"/>
          </w:tcPr>
          <w:p w14:paraId="6D4D58D0" w14:textId="77777777" w:rsidR="00CF60A0" w:rsidRPr="00621669" w:rsidRDefault="00CF60A0" w:rsidP="00B963D7">
            <w:pPr>
              <w:pStyle w:val="ListParagraph"/>
              <w:spacing w:after="0"/>
              <w:ind w:left="0"/>
              <w:rPr>
                <w:rFonts w:ascii="Times New Roman" w:hAnsi="Times New Roman" w:cs="Times New Roman"/>
                <w:sz w:val="20"/>
                <w:szCs w:val="20"/>
                <w:lang w:val="en-GB"/>
              </w:rPr>
            </w:pPr>
          </w:p>
          <w:p w14:paraId="4B55154E" w14:textId="77777777" w:rsidR="00CF60A0" w:rsidRPr="00621669"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-0.011 (0.203)</w:t>
            </w:r>
          </w:p>
          <w:p w14:paraId="1A1F37EA"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0.039 (0.081)</w:t>
            </w:r>
          </w:p>
          <w:p w14:paraId="3AB0D909"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-0.028 (0.143)</w:t>
            </w:r>
          </w:p>
        </w:tc>
        <w:tc>
          <w:tcPr>
            <w:tcW w:w="910" w:type="dxa"/>
            <w:vAlign w:val="center"/>
          </w:tcPr>
          <w:p w14:paraId="2D82FD9F" w14:textId="50F37EF1"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3.4%</w:t>
            </w:r>
          </w:p>
        </w:tc>
        <w:tc>
          <w:tcPr>
            <w:tcW w:w="1705" w:type="dxa"/>
          </w:tcPr>
          <w:p w14:paraId="15487DF4" w14:textId="77777777" w:rsidR="00CF60A0" w:rsidRPr="00621669" w:rsidRDefault="00CF60A0" w:rsidP="00B963D7">
            <w:pPr>
              <w:pStyle w:val="ListParagraph"/>
              <w:spacing w:after="0"/>
              <w:ind w:left="0"/>
              <w:rPr>
                <w:rFonts w:ascii="Times New Roman" w:hAnsi="Times New Roman" w:cs="Times New Roman"/>
                <w:sz w:val="20"/>
                <w:szCs w:val="20"/>
                <w:lang w:val="en-GB"/>
              </w:rPr>
            </w:pPr>
          </w:p>
          <w:p w14:paraId="1914AE2B" w14:textId="77777777" w:rsidR="00CF60A0" w:rsidRPr="00621669"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0.246 (0.180)</w:t>
            </w:r>
          </w:p>
          <w:p w14:paraId="496A67C2"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 xml:space="preserve">0.126* </w:t>
            </w:r>
            <w:r>
              <w:rPr>
                <w:rFonts w:ascii="Times New Roman" w:hAnsi="Times New Roman" w:cs="Times New Roman"/>
                <w:sz w:val="20"/>
                <w:szCs w:val="20"/>
              </w:rPr>
              <w:t>(0.073)</w:t>
            </w:r>
          </w:p>
          <w:p w14:paraId="121B69E7"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-0.372***</w:t>
            </w:r>
            <w:r>
              <w:rPr>
                <w:rFonts w:ascii="Times New Roman" w:hAnsi="Times New Roman" w:cs="Times New Roman"/>
                <w:sz w:val="20"/>
                <w:szCs w:val="20"/>
              </w:rPr>
              <w:t xml:space="preserve"> (0.126)</w:t>
            </w:r>
          </w:p>
        </w:tc>
        <w:tc>
          <w:tcPr>
            <w:tcW w:w="990" w:type="dxa"/>
            <w:vAlign w:val="center"/>
          </w:tcPr>
          <w:p w14:paraId="40BA7006" w14:textId="77777777" w:rsidR="00CF60A0" w:rsidRPr="0083389E" w:rsidRDefault="00CF60A0" w:rsidP="00B963D7">
            <w:pPr>
              <w:pStyle w:val="ListParagraph"/>
              <w:spacing w:after="0"/>
              <w:ind w:left="0"/>
              <w:rPr>
                <w:rFonts w:ascii="Times New Roman" w:hAnsi="Times New Roman" w:cs="Times New Roman"/>
                <w:sz w:val="20"/>
                <w:szCs w:val="20"/>
              </w:rPr>
            </w:pPr>
            <w:r w:rsidRPr="0083389E">
              <w:rPr>
                <w:rFonts w:ascii="Times New Roman" w:hAnsi="Times New Roman" w:cs="Times New Roman"/>
                <w:sz w:val="20"/>
                <w:szCs w:val="20"/>
              </w:rPr>
              <w:t>17.02%</w:t>
            </w:r>
          </w:p>
        </w:tc>
      </w:tr>
      <w:tr w:rsidR="00CF60A0" w:rsidRPr="00621669" w14:paraId="112D5755" w14:textId="77777777" w:rsidTr="004436A9">
        <w:trPr>
          <w:jc w:val="center"/>
        </w:trPr>
        <w:tc>
          <w:tcPr>
            <w:tcW w:w="3006" w:type="dxa"/>
            <w:vAlign w:val="center"/>
          </w:tcPr>
          <w:p w14:paraId="029DEA79"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Smoking</w:t>
            </w:r>
          </w:p>
          <w:p w14:paraId="7F38D256" w14:textId="187D319D"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included</w:t>
            </w:r>
            <w:r w:rsidRPr="00621669">
              <w:rPr>
                <w:rFonts w:ascii="Times New Roman" w:hAnsi="Times New Roman" w:cs="Times New Roman"/>
                <w:sz w:val="20"/>
                <w:szCs w:val="20"/>
                <w:vertAlign w:val="superscript"/>
                <w:lang w:val="en-GB"/>
              </w:rPr>
              <w:t>b</w:t>
            </w:r>
            <w:r w:rsidRPr="00621669">
              <w:rPr>
                <w:rFonts w:ascii="Times New Roman" w:hAnsi="Times New Roman" w:cs="Times New Roman"/>
                <w:sz w:val="20"/>
                <w:szCs w:val="20"/>
                <w:lang w:val="en-GB"/>
              </w:rPr>
              <w:t xml:space="preserve">  </w:t>
            </w:r>
          </w:p>
          <w:p w14:paraId="41EA17CB" w14:textId="77777777"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Quit smoking</w:t>
            </w:r>
          </w:p>
        </w:tc>
        <w:tc>
          <w:tcPr>
            <w:tcW w:w="1687" w:type="dxa"/>
            <w:vAlign w:val="center"/>
          </w:tcPr>
          <w:p w14:paraId="4C9F9C8A" w14:textId="77777777" w:rsidR="00CF60A0" w:rsidRPr="008D4C1D" w:rsidRDefault="00CF60A0" w:rsidP="00B963D7">
            <w:pPr>
              <w:pStyle w:val="ListParagraph"/>
              <w:spacing w:after="0"/>
              <w:ind w:left="0"/>
              <w:rPr>
                <w:rFonts w:ascii="Times New Roman" w:hAnsi="Times New Roman" w:cs="Times New Roman"/>
                <w:sz w:val="20"/>
                <w:szCs w:val="20"/>
                <w:lang w:val="en-GB"/>
              </w:rPr>
            </w:pPr>
          </w:p>
          <w:p w14:paraId="22453326" w14:textId="77777777" w:rsidR="00CF60A0" w:rsidRPr="008D4C1D" w:rsidRDefault="00CF60A0" w:rsidP="00B963D7">
            <w:pPr>
              <w:pStyle w:val="ListParagraph"/>
              <w:spacing w:after="0"/>
              <w:ind w:left="0"/>
              <w:rPr>
                <w:rFonts w:ascii="Times New Roman" w:hAnsi="Times New Roman" w:cs="Times New Roman"/>
                <w:sz w:val="20"/>
                <w:szCs w:val="20"/>
              </w:rPr>
            </w:pPr>
            <w:r w:rsidRPr="008D4C1D">
              <w:rPr>
                <w:rFonts w:ascii="Times New Roman" w:hAnsi="Times New Roman" w:cs="Times New Roman"/>
                <w:sz w:val="20"/>
                <w:szCs w:val="20"/>
              </w:rPr>
              <w:t>0.042</w:t>
            </w:r>
            <w:r>
              <w:rPr>
                <w:rFonts w:ascii="Times New Roman" w:hAnsi="Times New Roman" w:cs="Times New Roman"/>
                <w:sz w:val="20"/>
                <w:szCs w:val="20"/>
              </w:rPr>
              <w:t xml:space="preserve"> (0.037)</w:t>
            </w:r>
          </w:p>
          <w:p w14:paraId="53C80A8D" w14:textId="77777777" w:rsidR="00CF60A0" w:rsidRPr="008D4C1D" w:rsidRDefault="00CF60A0" w:rsidP="00B963D7">
            <w:pPr>
              <w:pStyle w:val="ListParagraph"/>
              <w:spacing w:after="0"/>
              <w:ind w:left="0"/>
              <w:rPr>
                <w:rFonts w:ascii="Times New Roman" w:hAnsi="Times New Roman" w:cs="Times New Roman"/>
                <w:sz w:val="20"/>
                <w:szCs w:val="20"/>
              </w:rPr>
            </w:pPr>
            <w:r w:rsidRPr="008D4C1D">
              <w:rPr>
                <w:rFonts w:ascii="Times New Roman" w:hAnsi="Times New Roman" w:cs="Times New Roman"/>
                <w:sz w:val="20"/>
                <w:szCs w:val="20"/>
              </w:rPr>
              <w:t>-0.042</w:t>
            </w:r>
            <w:r>
              <w:rPr>
                <w:rFonts w:ascii="Times New Roman" w:hAnsi="Times New Roman" w:cs="Times New Roman"/>
                <w:sz w:val="20"/>
                <w:szCs w:val="20"/>
              </w:rPr>
              <w:t xml:space="preserve"> (0.037)</w:t>
            </w:r>
            <w:r w:rsidRPr="008D4C1D">
              <w:rPr>
                <w:rFonts w:ascii="Times New Roman" w:hAnsi="Times New Roman" w:cs="Times New Roman"/>
                <w:sz w:val="20"/>
                <w:szCs w:val="20"/>
              </w:rPr>
              <w:t xml:space="preserve"> </w:t>
            </w:r>
          </w:p>
        </w:tc>
        <w:tc>
          <w:tcPr>
            <w:tcW w:w="898" w:type="dxa"/>
            <w:vAlign w:val="center"/>
          </w:tcPr>
          <w:p w14:paraId="3C49A395" w14:textId="2859BDEB" w:rsidR="00CF60A0" w:rsidRPr="008D4C1D" w:rsidRDefault="00CF60A0" w:rsidP="00B963D7">
            <w:pPr>
              <w:pStyle w:val="ListParagraph"/>
              <w:spacing w:after="0"/>
              <w:ind w:left="0"/>
              <w:rPr>
                <w:rFonts w:ascii="Times New Roman" w:hAnsi="Times New Roman" w:cs="Times New Roman"/>
                <w:sz w:val="20"/>
                <w:szCs w:val="20"/>
              </w:rPr>
            </w:pPr>
            <w:r w:rsidRPr="008D4C1D">
              <w:rPr>
                <w:rFonts w:ascii="Times New Roman" w:hAnsi="Times New Roman" w:cs="Times New Roman"/>
                <w:sz w:val="20"/>
                <w:szCs w:val="20"/>
              </w:rPr>
              <w:t>1.7%</w:t>
            </w:r>
          </w:p>
        </w:tc>
        <w:tc>
          <w:tcPr>
            <w:tcW w:w="1696" w:type="dxa"/>
            <w:shd w:val="clear" w:color="auto" w:fill="auto"/>
            <w:vAlign w:val="center"/>
          </w:tcPr>
          <w:p w14:paraId="7015553B" w14:textId="77777777" w:rsidR="00CF60A0" w:rsidRPr="00621669" w:rsidRDefault="00CF60A0" w:rsidP="00B963D7">
            <w:pPr>
              <w:pStyle w:val="ListParagraph"/>
              <w:spacing w:after="0"/>
              <w:ind w:left="0"/>
              <w:rPr>
                <w:rFonts w:ascii="Times New Roman" w:hAnsi="Times New Roman" w:cs="Times New Roman"/>
                <w:sz w:val="20"/>
                <w:szCs w:val="20"/>
              </w:rPr>
            </w:pPr>
          </w:p>
          <w:p w14:paraId="7D73AAEC" w14:textId="77777777" w:rsidR="00CF60A0" w:rsidRPr="00621669"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-0.079 (0.117)</w:t>
            </w:r>
          </w:p>
          <w:p w14:paraId="59710E8D"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0.079 (0.117)</w:t>
            </w:r>
          </w:p>
        </w:tc>
        <w:tc>
          <w:tcPr>
            <w:tcW w:w="833" w:type="dxa"/>
            <w:vAlign w:val="center"/>
          </w:tcPr>
          <w:p w14:paraId="614829F0" w14:textId="15D79619"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3.9%</w:t>
            </w:r>
          </w:p>
        </w:tc>
        <w:tc>
          <w:tcPr>
            <w:tcW w:w="1680" w:type="dxa"/>
          </w:tcPr>
          <w:p w14:paraId="287DB98D" w14:textId="77777777" w:rsidR="00CF60A0" w:rsidRPr="00621669" w:rsidRDefault="00CF60A0" w:rsidP="00B963D7">
            <w:pPr>
              <w:pStyle w:val="ListParagraph"/>
              <w:spacing w:after="0"/>
              <w:ind w:left="0"/>
              <w:rPr>
                <w:rFonts w:ascii="Times New Roman" w:hAnsi="Times New Roman" w:cs="Times New Roman"/>
                <w:sz w:val="20"/>
                <w:szCs w:val="20"/>
              </w:rPr>
            </w:pPr>
          </w:p>
          <w:p w14:paraId="7A441622" w14:textId="77777777" w:rsidR="00CF60A0" w:rsidRPr="00621669"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0.077 (0.088)</w:t>
            </w:r>
          </w:p>
          <w:p w14:paraId="2112143C"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-0.077 (0.088)</w:t>
            </w:r>
          </w:p>
        </w:tc>
        <w:tc>
          <w:tcPr>
            <w:tcW w:w="910" w:type="dxa"/>
            <w:vAlign w:val="center"/>
          </w:tcPr>
          <w:p w14:paraId="4D9EFB44" w14:textId="0AA5F9A1"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3.9%</w:t>
            </w:r>
          </w:p>
        </w:tc>
        <w:tc>
          <w:tcPr>
            <w:tcW w:w="1705" w:type="dxa"/>
            <w:shd w:val="clear" w:color="auto" w:fill="auto"/>
          </w:tcPr>
          <w:p w14:paraId="671A45C1" w14:textId="77777777" w:rsidR="00CF60A0" w:rsidRPr="00621669" w:rsidRDefault="00CF60A0" w:rsidP="00B963D7">
            <w:pPr>
              <w:pStyle w:val="ListParagraph"/>
              <w:spacing w:after="0"/>
              <w:ind w:left="0"/>
              <w:rPr>
                <w:rFonts w:ascii="Times New Roman" w:hAnsi="Times New Roman" w:cs="Times New Roman"/>
                <w:sz w:val="20"/>
                <w:szCs w:val="20"/>
              </w:rPr>
            </w:pPr>
          </w:p>
          <w:p w14:paraId="75F2E616" w14:textId="77777777" w:rsidR="00CF60A0" w:rsidRPr="00621669"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-0.052 (0.076)</w:t>
            </w:r>
          </w:p>
          <w:p w14:paraId="0271C631"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 xml:space="preserve">0.052 </w:t>
            </w:r>
            <w:r>
              <w:rPr>
                <w:rFonts w:ascii="Times New Roman" w:hAnsi="Times New Roman" w:cs="Times New Roman"/>
                <w:sz w:val="20"/>
                <w:szCs w:val="20"/>
              </w:rPr>
              <w:t>(0.076)</w:t>
            </w:r>
          </w:p>
        </w:tc>
        <w:tc>
          <w:tcPr>
            <w:tcW w:w="990" w:type="dxa"/>
            <w:vAlign w:val="center"/>
          </w:tcPr>
          <w:p w14:paraId="61CD045D" w14:textId="77777777" w:rsidR="00CF60A0" w:rsidRPr="0083389E" w:rsidRDefault="00CF60A0" w:rsidP="00B963D7">
            <w:pPr>
              <w:pStyle w:val="ListParagraph"/>
              <w:spacing w:after="0"/>
              <w:ind w:left="0"/>
              <w:rPr>
                <w:rFonts w:ascii="Times New Roman" w:hAnsi="Times New Roman" w:cs="Times New Roman"/>
                <w:sz w:val="20"/>
                <w:szCs w:val="20"/>
              </w:rPr>
            </w:pPr>
            <w:r w:rsidRPr="0083389E">
              <w:rPr>
                <w:rFonts w:ascii="Times New Roman" w:hAnsi="Times New Roman" w:cs="Times New Roman"/>
                <w:sz w:val="20"/>
                <w:szCs w:val="20"/>
              </w:rPr>
              <w:t>1.44%</w:t>
            </w:r>
          </w:p>
        </w:tc>
      </w:tr>
      <w:tr w:rsidR="00CF60A0" w:rsidRPr="00621669" w14:paraId="5C75FB5D" w14:textId="77777777" w:rsidTr="004436A9">
        <w:trPr>
          <w:jc w:val="center"/>
        </w:trPr>
        <w:tc>
          <w:tcPr>
            <w:tcW w:w="3006" w:type="dxa"/>
            <w:vAlign w:val="center"/>
          </w:tcPr>
          <w:p w14:paraId="137BFF72" w14:textId="77777777" w:rsidR="00CF60A0" w:rsidRPr="00621669" w:rsidRDefault="00CF60A0" w:rsidP="00B963D7">
            <w:pPr>
              <w:pStyle w:val="ListParagraph"/>
              <w:spacing w:after="0"/>
              <w:ind w:left="0"/>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 xml:space="preserve">Alcohol consumption </w:t>
            </w:r>
          </w:p>
          <w:p w14:paraId="1703684C" w14:textId="1C663FFA"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included</w:t>
            </w:r>
            <w:r w:rsidRPr="00621669">
              <w:rPr>
                <w:rFonts w:ascii="Times New Roman" w:hAnsi="Times New Roman" w:cs="Times New Roman"/>
                <w:sz w:val="20"/>
                <w:szCs w:val="20"/>
                <w:vertAlign w:val="superscript"/>
                <w:lang w:val="en-GB"/>
              </w:rPr>
              <w:t>b</w:t>
            </w:r>
            <w:r w:rsidRPr="00621669">
              <w:rPr>
                <w:rFonts w:ascii="Times New Roman" w:hAnsi="Times New Roman" w:cs="Times New Roman"/>
                <w:sz w:val="20"/>
                <w:szCs w:val="20"/>
                <w:lang w:val="en-GB"/>
              </w:rPr>
              <w:t xml:space="preserve">  </w:t>
            </w:r>
          </w:p>
          <w:p w14:paraId="78C4E1B4"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Moderation</w:t>
            </w:r>
          </w:p>
        </w:tc>
        <w:tc>
          <w:tcPr>
            <w:tcW w:w="1687" w:type="dxa"/>
            <w:vAlign w:val="center"/>
          </w:tcPr>
          <w:p w14:paraId="3413BC24" w14:textId="77777777" w:rsidR="00CF60A0" w:rsidRPr="008D4C1D" w:rsidRDefault="00CF60A0" w:rsidP="00B963D7">
            <w:pPr>
              <w:pStyle w:val="ListParagraph"/>
              <w:spacing w:after="0"/>
              <w:ind w:left="0"/>
              <w:rPr>
                <w:rFonts w:ascii="Times New Roman" w:hAnsi="Times New Roman" w:cs="Times New Roman"/>
                <w:sz w:val="20"/>
                <w:szCs w:val="20"/>
                <w:lang w:val="en-GB"/>
              </w:rPr>
            </w:pPr>
          </w:p>
          <w:p w14:paraId="74256D64" w14:textId="77777777" w:rsidR="00CF60A0" w:rsidRPr="008D4C1D" w:rsidRDefault="00CF60A0" w:rsidP="00B963D7">
            <w:pPr>
              <w:pStyle w:val="ListParagraph"/>
              <w:spacing w:after="0"/>
              <w:ind w:left="0"/>
              <w:rPr>
                <w:rFonts w:ascii="Times New Roman" w:hAnsi="Times New Roman" w:cs="Times New Roman"/>
                <w:sz w:val="20"/>
                <w:szCs w:val="20"/>
              </w:rPr>
            </w:pPr>
            <w:r w:rsidRPr="008D4C1D">
              <w:rPr>
                <w:rFonts w:ascii="Times New Roman" w:hAnsi="Times New Roman" w:cs="Times New Roman"/>
                <w:sz w:val="20"/>
                <w:szCs w:val="20"/>
              </w:rPr>
              <w:t>-0.136</w:t>
            </w:r>
            <w:r>
              <w:rPr>
                <w:rFonts w:ascii="Times New Roman" w:hAnsi="Times New Roman" w:cs="Times New Roman"/>
                <w:sz w:val="20"/>
                <w:szCs w:val="20"/>
              </w:rPr>
              <w:t>*** (0.038)</w:t>
            </w:r>
          </w:p>
          <w:p w14:paraId="5AE29DFF" w14:textId="77777777" w:rsidR="00CF60A0" w:rsidRPr="008D4C1D" w:rsidRDefault="00CF60A0" w:rsidP="00B963D7">
            <w:pPr>
              <w:pStyle w:val="ListParagraph"/>
              <w:spacing w:after="0"/>
              <w:ind w:left="0"/>
              <w:rPr>
                <w:rFonts w:ascii="Times New Roman" w:hAnsi="Times New Roman" w:cs="Times New Roman"/>
                <w:sz w:val="20"/>
                <w:szCs w:val="20"/>
              </w:rPr>
            </w:pPr>
            <w:r w:rsidRPr="008D4C1D">
              <w:rPr>
                <w:rFonts w:ascii="Times New Roman" w:hAnsi="Times New Roman" w:cs="Times New Roman"/>
                <w:sz w:val="20"/>
                <w:szCs w:val="20"/>
              </w:rPr>
              <w:t xml:space="preserve">0.136*** </w:t>
            </w:r>
            <w:r>
              <w:rPr>
                <w:rFonts w:ascii="Times New Roman" w:hAnsi="Times New Roman" w:cs="Times New Roman"/>
                <w:sz w:val="20"/>
                <w:szCs w:val="20"/>
              </w:rPr>
              <w:t>(0.038)</w:t>
            </w:r>
          </w:p>
        </w:tc>
        <w:tc>
          <w:tcPr>
            <w:tcW w:w="898" w:type="dxa"/>
            <w:vAlign w:val="center"/>
          </w:tcPr>
          <w:p w14:paraId="42D42577" w14:textId="19B10CED" w:rsidR="00CF60A0" w:rsidRPr="008D4C1D" w:rsidRDefault="00CF60A0" w:rsidP="00B963D7">
            <w:pPr>
              <w:pStyle w:val="ListParagraph"/>
              <w:spacing w:after="0"/>
              <w:ind w:left="0"/>
              <w:rPr>
                <w:rFonts w:ascii="Times New Roman" w:hAnsi="Times New Roman" w:cs="Times New Roman"/>
                <w:sz w:val="20"/>
                <w:szCs w:val="20"/>
              </w:rPr>
            </w:pPr>
            <w:r w:rsidRPr="008D4C1D">
              <w:rPr>
                <w:rFonts w:ascii="Times New Roman" w:hAnsi="Times New Roman" w:cs="Times New Roman"/>
                <w:sz w:val="20"/>
                <w:szCs w:val="20"/>
              </w:rPr>
              <w:t>5.6%</w:t>
            </w:r>
          </w:p>
        </w:tc>
        <w:tc>
          <w:tcPr>
            <w:tcW w:w="1696" w:type="dxa"/>
            <w:shd w:val="clear" w:color="auto" w:fill="auto"/>
            <w:vAlign w:val="center"/>
          </w:tcPr>
          <w:p w14:paraId="5FAE1A4C" w14:textId="77777777" w:rsidR="00CF60A0" w:rsidRPr="00621669" w:rsidRDefault="00CF60A0" w:rsidP="00B963D7">
            <w:pPr>
              <w:pStyle w:val="ListParagraph"/>
              <w:spacing w:after="0"/>
              <w:ind w:left="0"/>
              <w:rPr>
                <w:rFonts w:ascii="Times New Roman" w:hAnsi="Times New Roman" w:cs="Times New Roman"/>
                <w:sz w:val="20"/>
                <w:szCs w:val="20"/>
              </w:rPr>
            </w:pPr>
          </w:p>
          <w:p w14:paraId="3533CE2C" w14:textId="77777777" w:rsidR="00CF60A0" w:rsidRPr="00621669"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-0.159 (0.118)</w:t>
            </w:r>
          </w:p>
          <w:p w14:paraId="1F792B6E"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0.159 (0.118)</w:t>
            </w:r>
          </w:p>
        </w:tc>
        <w:tc>
          <w:tcPr>
            <w:tcW w:w="833" w:type="dxa"/>
            <w:vAlign w:val="center"/>
          </w:tcPr>
          <w:p w14:paraId="0683CC58" w14:textId="38498EEE"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7.</w:t>
            </w:r>
            <w:r w:rsidR="006771B8">
              <w:rPr>
                <w:rFonts w:ascii="Times New Roman" w:hAnsi="Times New Roman" w:cs="Times New Roman"/>
                <w:sz w:val="20"/>
                <w:szCs w:val="20"/>
              </w:rPr>
              <w:t>9</w:t>
            </w:r>
            <w:r w:rsidRPr="00621669">
              <w:rPr>
                <w:rFonts w:ascii="Times New Roman" w:hAnsi="Times New Roman" w:cs="Times New Roman"/>
                <w:sz w:val="20"/>
                <w:szCs w:val="20"/>
              </w:rPr>
              <w:t>%</w:t>
            </w:r>
          </w:p>
        </w:tc>
        <w:tc>
          <w:tcPr>
            <w:tcW w:w="1680" w:type="dxa"/>
          </w:tcPr>
          <w:p w14:paraId="0942F3FC" w14:textId="77777777" w:rsidR="00CF60A0" w:rsidRPr="00621669" w:rsidRDefault="00CF60A0" w:rsidP="00B963D7">
            <w:pPr>
              <w:pStyle w:val="ListParagraph"/>
              <w:spacing w:after="0"/>
              <w:ind w:left="0"/>
              <w:rPr>
                <w:rFonts w:ascii="Times New Roman" w:hAnsi="Times New Roman" w:cs="Times New Roman"/>
                <w:sz w:val="20"/>
                <w:szCs w:val="20"/>
              </w:rPr>
            </w:pPr>
          </w:p>
          <w:p w14:paraId="6896BDDF" w14:textId="77777777" w:rsidR="00CF60A0" w:rsidRPr="00621669"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-0.073 (0.089)</w:t>
            </w:r>
          </w:p>
          <w:p w14:paraId="79FEFE1B"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0.073 (0.089)</w:t>
            </w:r>
          </w:p>
        </w:tc>
        <w:tc>
          <w:tcPr>
            <w:tcW w:w="910" w:type="dxa"/>
            <w:vAlign w:val="center"/>
          </w:tcPr>
          <w:p w14:paraId="466759CE" w14:textId="78FD081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3.7%</w:t>
            </w:r>
          </w:p>
        </w:tc>
        <w:tc>
          <w:tcPr>
            <w:tcW w:w="1705" w:type="dxa"/>
            <w:shd w:val="clear" w:color="auto" w:fill="auto"/>
          </w:tcPr>
          <w:p w14:paraId="05ED0164" w14:textId="77777777" w:rsidR="00CF60A0" w:rsidRPr="00621669" w:rsidRDefault="00CF60A0" w:rsidP="00B963D7">
            <w:pPr>
              <w:pStyle w:val="ListParagraph"/>
              <w:spacing w:after="0"/>
              <w:ind w:left="0"/>
              <w:rPr>
                <w:rFonts w:ascii="Times New Roman" w:hAnsi="Times New Roman" w:cs="Times New Roman"/>
                <w:sz w:val="20"/>
                <w:szCs w:val="20"/>
              </w:rPr>
            </w:pPr>
          </w:p>
          <w:p w14:paraId="705B0CBA" w14:textId="77777777" w:rsidR="00CF60A0" w:rsidRPr="00621669"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-0.209*** (0.077)</w:t>
            </w:r>
          </w:p>
          <w:p w14:paraId="70042CA2"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 xml:space="preserve">0.209*** </w:t>
            </w:r>
            <w:r>
              <w:rPr>
                <w:rFonts w:ascii="Times New Roman" w:hAnsi="Times New Roman" w:cs="Times New Roman"/>
                <w:sz w:val="20"/>
                <w:szCs w:val="20"/>
              </w:rPr>
              <w:t>(0.077)</w:t>
            </w:r>
          </w:p>
        </w:tc>
        <w:tc>
          <w:tcPr>
            <w:tcW w:w="990" w:type="dxa"/>
            <w:vAlign w:val="center"/>
          </w:tcPr>
          <w:p w14:paraId="6B3146CC" w14:textId="77777777" w:rsidR="00CF60A0" w:rsidRPr="0083389E" w:rsidRDefault="00CF60A0" w:rsidP="00B963D7">
            <w:pPr>
              <w:pStyle w:val="ListParagraph"/>
              <w:spacing w:after="0"/>
              <w:ind w:left="0"/>
              <w:rPr>
                <w:rFonts w:ascii="Times New Roman" w:hAnsi="Times New Roman" w:cs="Times New Roman"/>
                <w:sz w:val="20"/>
                <w:szCs w:val="20"/>
              </w:rPr>
            </w:pPr>
            <w:r w:rsidRPr="0083389E">
              <w:rPr>
                <w:rFonts w:ascii="Times New Roman" w:hAnsi="Times New Roman" w:cs="Times New Roman"/>
                <w:sz w:val="20"/>
                <w:szCs w:val="20"/>
              </w:rPr>
              <w:t>5.76%</w:t>
            </w:r>
          </w:p>
        </w:tc>
      </w:tr>
      <w:tr w:rsidR="00CF60A0" w:rsidRPr="00621669" w14:paraId="6A0238B5" w14:textId="77777777" w:rsidTr="004436A9">
        <w:trPr>
          <w:jc w:val="center"/>
        </w:trPr>
        <w:tc>
          <w:tcPr>
            <w:tcW w:w="3006" w:type="dxa"/>
            <w:vAlign w:val="center"/>
          </w:tcPr>
          <w:p w14:paraId="35391759"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Body weight</w:t>
            </w:r>
          </w:p>
          <w:p w14:paraId="6A416EC5" w14:textId="1E2C4D13"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included</w:t>
            </w:r>
            <w:r w:rsidRPr="00621669">
              <w:rPr>
                <w:rFonts w:ascii="Times New Roman" w:hAnsi="Times New Roman" w:cs="Times New Roman"/>
                <w:sz w:val="20"/>
                <w:szCs w:val="20"/>
                <w:vertAlign w:val="superscript"/>
                <w:lang w:val="en-GB"/>
              </w:rPr>
              <w:t>b</w:t>
            </w:r>
            <w:r w:rsidRPr="00621669">
              <w:rPr>
                <w:rFonts w:ascii="Times New Roman" w:hAnsi="Times New Roman" w:cs="Times New Roman"/>
                <w:sz w:val="20"/>
                <w:szCs w:val="20"/>
                <w:lang w:val="en-GB"/>
              </w:rPr>
              <w:t xml:space="preserve">  </w:t>
            </w:r>
          </w:p>
          <w:p w14:paraId="6B4379AB" w14:textId="77777777"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Ensure healthy body weight</w:t>
            </w:r>
          </w:p>
        </w:tc>
        <w:tc>
          <w:tcPr>
            <w:tcW w:w="1687" w:type="dxa"/>
            <w:vAlign w:val="center"/>
          </w:tcPr>
          <w:p w14:paraId="169F89DD" w14:textId="77777777" w:rsidR="00CF60A0" w:rsidRPr="008D4C1D" w:rsidRDefault="00CF60A0" w:rsidP="00B963D7">
            <w:pPr>
              <w:pStyle w:val="ListParagraph"/>
              <w:spacing w:after="0"/>
              <w:ind w:left="0"/>
              <w:rPr>
                <w:rFonts w:ascii="Times New Roman" w:hAnsi="Times New Roman" w:cs="Times New Roman"/>
                <w:sz w:val="20"/>
                <w:szCs w:val="20"/>
                <w:lang w:val="en-GB"/>
              </w:rPr>
            </w:pPr>
          </w:p>
          <w:p w14:paraId="017896C4" w14:textId="77777777" w:rsidR="00CF60A0" w:rsidRPr="008D4C1D" w:rsidRDefault="00CF60A0" w:rsidP="00B963D7">
            <w:pPr>
              <w:pStyle w:val="ListParagraph"/>
              <w:spacing w:after="0"/>
              <w:ind w:left="0"/>
              <w:rPr>
                <w:rFonts w:ascii="Times New Roman" w:hAnsi="Times New Roman" w:cs="Times New Roman"/>
                <w:sz w:val="20"/>
                <w:szCs w:val="20"/>
                <w:lang w:val="en-GB"/>
              </w:rPr>
            </w:pPr>
            <w:r w:rsidRPr="008D4C1D">
              <w:rPr>
                <w:rFonts w:ascii="Times New Roman" w:hAnsi="Times New Roman" w:cs="Times New Roman"/>
                <w:sz w:val="20"/>
                <w:szCs w:val="20"/>
                <w:lang w:val="en-GB"/>
              </w:rPr>
              <w:t>-0.142</w:t>
            </w:r>
            <w:r>
              <w:rPr>
                <w:rFonts w:ascii="Times New Roman" w:hAnsi="Times New Roman" w:cs="Times New Roman"/>
                <w:sz w:val="20"/>
                <w:szCs w:val="20"/>
                <w:lang w:val="en-GB"/>
              </w:rPr>
              <w:t>*** (0.039)</w:t>
            </w:r>
          </w:p>
          <w:p w14:paraId="0A3C8884" w14:textId="77777777" w:rsidR="00CF60A0" w:rsidRPr="008D4C1D" w:rsidRDefault="00CF60A0" w:rsidP="00B963D7">
            <w:pPr>
              <w:pStyle w:val="ListParagraph"/>
              <w:spacing w:after="0"/>
              <w:ind w:left="0"/>
              <w:rPr>
                <w:rFonts w:ascii="Times New Roman" w:hAnsi="Times New Roman" w:cs="Times New Roman"/>
                <w:sz w:val="20"/>
                <w:szCs w:val="20"/>
                <w:lang w:val="en-GB"/>
              </w:rPr>
            </w:pPr>
            <w:r w:rsidRPr="008D4C1D">
              <w:rPr>
                <w:rFonts w:ascii="Times New Roman" w:hAnsi="Times New Roman" w:cs="Times New Roman"/>
                <w:sz w:val="20"/>
                <w:szCs w:val="20"/>
                <w:lang w:val="en-GB"/>
              </w:rPr>
              <w:t>0.142</w:t>
            </w:r>
            <w:r w:rsidRPr="008D4C1D">
              <w:rPr>
                <w:rFonts w:ascii="Times New Roman" w:hAnsi="Times New Roman" w:cs="Times New Roman"/>
                <w:sz w:val="20"/>
                <w:szCs w:val="20"/>
              </w:rPr>
              <w:t>***</w:t>
            </w:r>
            <w:r w:rsidRPr="008D4C1D">
              <w:rPr>
                <w:rFonts w:ascii="Times New Roman" w:hAnsi="Times New Roman" w:cs="Times New Roman"/>
                <w:sz w:val="20"/>
                <w:szCs w:val="20"/>
                <w:lang w:val="en-GB"/>
              </w:rPr>
              <w:t xml:space="preserve"> </w:t>
            </w:r>
            <w:r>
              <w:rPr>
                <w:rFonts w:ascii="Times New Roman" w:hAnsi="Times New Roman" w:cs="Times New Roman"/>
                <w:sz w:val="20"/>
                <w:szCs w:val="20"/>
                <w:lang w:val="en-GB"/>
              </w:rPr>
              <w:t>(0.039)</w:t>
            </w:r>
          </w:p>
        </w:tc>
        <w:tc>
          <w:tcPr>
            <w:tcW w:w="898" w:type="dxa"/>
            <w:vAlign w:val="center"/>
          </w:tcPr>
          <w:p w14:paraId="4F4DE2FB" w14:textId="249588FA" w:rsidR="00CF60A0" w:rsidRPr="008D4C1D" w:rsidRDefault="00CF60A0" w:rsidP="00B963D7">
            <w:pPr>
              <w:pStyle w:val="ListParagraph"/>
              <w:spacing w:after="0"/>
              <w:ind w:left="0"/>
              <w:rPr>
                <w:rFonts w:ascii="Times New Roman" w:hAnsi="Times New Roman" w:cs="Times New Roman"/>
                <w:sz w:val="20"/>
                <w:szCs w:val="20"/>
                <w:lang w:val="en-GB"/>
              </w:rPr>
            </w:pPr>
            <w:r w:rsidRPr="008D4C1D">
              <w:rPr>
                <w:rFonts w:ascii="Times New Roman" w:hAnsi="Times New Roman" w:cs="Times New Roman"/>
                <w:sz w:val="20"/>
                <w:szCs w:val="20"/>
                <w:lang w:val="en-GB"/>
              </w:rPr>
              <w:t>5.</w:t>
            </w:r>
            <w:r w:rsidR="006771B8">
              <w:rPr>
                <w:rFonts w:ascii="Times New Roman" w:hAnsi="Times New Roman" w:cs="Times New Roman"/>
                <w:sz w:val="20"/>
                <w:szCs w:val="20"/>
                <w:lang w:val="en-GB"/>
              </w:rPr>
              <w:t>9</w:t>
            </w:r>
            <w:r w:rsidRPr="008D4C1D">
              <w:rPr>
                <w:rFonts w:ascii="Times New Roman" w:hAnsi="Times New Roman" w:cs="Times New Roman"/>
                <w:sz w:val="20"/>
                <w:szCs w:val="20"/>
                <w:lang w:val="en-GB"/>
              </w:rPr>
              <w:t>%</w:t>
            </w:r>
          </w:p>
        </w:tc>
        <w:tc>
          <w:tcPr>
            <w:tcW w:w="1696" w:type="dxa"/>
            <w:vAlign w:val="center"/>
          </w:tcPr>
          <w:p w14:paraId="7A0990E8" w14:textId="77777777" w:rsidR="00CF60A0" w:rsidRPr="00621669" w:rsidRDefault="00CF60A0" w:rsidP="00B963D7">
            <w:pPr>
              <w:pStyle w:val="ListParagraph"/>
              <w:spacing w:after="0"/>
              <w:ind w:left="0"/>
              <w:rPr>
                <w:rFonts w:ascii="Times New Roman" w:hAnsi="Times New Roman" w:cs="Times New Roman"/>
                <w:sz w:val="20"/>
                <w:szCs w:val="20"/>
                <w:lang w:val="en-GB"/>
              </w:rPr>
            </w:pPr>
          </w:p>
          <w:p w14:paraId="5C091502" w14:textId="77777777" w:rsidR="00CF60A0" w:rsidRPr="00621669"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-0.138 (0.121)</w:t>
            </w:r>
          </w:p>
          <w:p w14:paraId="6377C9F6"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0.138 (0.121)</w:t>
            </w:r>
          </w:p>
        </w:tc>
        <w:tc>
          <w:tcPr>
            <w:tcW w:w="833" w:type="dxa"/>
            <w:vAlign w:val="center"/>
          </w:tcPr>
          <w:p w14:paraId="058BD337" w14:textId="17B4A5B5"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6.8%</w:t>
            </w:r>
          </w:p>
        </w:tc>
        <w:tc>
          <w:tcPr>
            <w:tcW w:w="1680" w:type="dxa"/>
          </w:tcPr>
          <w:p w14:paraId="60328739" w14:textId="77777777" w:rsidR="00CF60A0" w:rsidRPr="00621669" w:rsidRDefault="00CF60A0" w:rsidP="00B963D7">
            <w:pPr>
              <w:pStyle w:val="ListParagraph"/>
              <w:spacing w:after="0"/>
              <w:ind w:left="0"/>
              <w:rPr>
                <w:rFonts w:ascii="Times New Roman" w:hAnsi="Times New Roman" w:cs="Times New Roman"/>
                <w:sz w:val="20"/>
                <w:szCs w:val="20"/>
                <w:lang w:val="en-GB"/>
              </w:rPr>
            </w:pPr>
          </w:p>
          <w:p w14:paraId="0D7A6FED" w14:textId="77777777" w:rsidR="00CF60A0" w:rsidRPr="00621669"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-0.065 (0.089)</w:t>
            </w:r>
          </w:p>
          <w:p w14:paraId="2D247EE3"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0.065 (0.089)</w:t>
            </w:r>
          </w:p>
        </w:tc>
        <w:tc>
          <w:tcPr>
            <w:tcW w:w="910" w:type="dxa"/>
            <w:vAlign w:val="center"/>
          </w:tcPr>
          <w:p w14:paraId="6C248F3F" w14:textId="0845BDCA"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3.</w:t>
            </w:r>
            <w:r w:rsidR="006771B8">
              <w:rPr>
                <w:rFonts w:ascii="Times New Roman" w:hAnsi="Times New Roman" w:cs="Times New Roman"/>
                <w:sz w:val="20"/>
                <w:szCs w:val="20"/>
                <w:lang w:val="en-GB"/>
              </w:rPr>
              <w:t>3</w:t>
            </w:r>
            <w:r w:rsidRPr="00621669">
              <w:rPr>
                <w:rFonts w:ascii="Times New Roman" w:hAnsi="Times New Roman" w:cs="Times New Roman"/>
                <w:sz w:val="20"/>
                <w:szCs w:val="20"/>
                <w:lang w:val="en-GB"/>
              </w:rPr>
              <w:t>%</w:t>
            </w:r>
          </w:p>
        </w:tc>
        <w:tc>
          <w:tcPr>
            <w:tcW w:w="1705" w:type="dxa"/>
          </w:tcPr>
          <w:p w14:paraId="51985A59" w14:textId="77777777" w:rsidR="00CF60A0" w:rsidRPr="00621669" w:rsidRDefault="00CF60A0" w:rsidP="00B963D7">
            <w:pPr>
              <w:pStyle w:val="ListParagraph"/>
              <w:spacing w:after="0"/>
              <w:ind w:left="0"/>
              <w:rPr>
                <w:rFonts w:ascii="Times New Roman" w:hAnsi="Times New Roman" w:cs="Times New Roman"/>
                <w:sz w:val="20"/>
                <w:szCs w:val="20"/>
                <w:lang w:val="en-GB"/>
              </w:rPr>
            </w:pPr>
          </w:p>
          <w:p w14:paraId="5CCEE8EA" w14:textId="77777777" w:rsidR="00CF60A0" w:rsidRPr="00621669"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-0.201*** (0.083)</w:t>
            </w:r>
          </w:p>
          <w:p w14:paraId="08CA3805"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 xml:space="preserve">0.201*** </w:t>
            </w:r>
            <w:r>
              <w:rPr>
                <w:rFonts w:ascii="Times New Roman" w:hAnsi="Times New Roman" w:cs="Times New Roman"/>
                <w:sz w:val="20"/>
                <w:szCs w:val="20"/>
              </w:rPr>
              <w:t>(0.083)</w:t>
            </w:r>
          </w:p>
        </w:tc>
        <w:tc>
          <w:tcPr>
            <w:tcW w:w="990" w:type="dxa"/>
            <w:vAlign w:val="center"/>
          </w:tcPr>
          <w:p w14:paraId="50D3D794" w14:textId="77777777" w:rsidR="00CF60A0" w:rsidRPr="0083389E" w:rsidRDefault="00CF60A0" w:rsidP="00B963D7">
            <w:pPr>
              <w:pStyle w:val="ListParagraph"/>
              <w:spacing w:after="0"/>
              <w:ind w:left="0"/>
              <w:rPr>
                <w:rFonts w:ascii="Times New Roman" w:hAnsi="Times New Roman" w:cs="Times New Roman"/>
                <w:sz w:val="20"/>
                <w:szCs w:val="20"/>
              </w:rPr>
            </w:pPr>
            <w:r w:rsidRPr="0083389E">
              <w:rPr>
                <w:rFonts w:ascii="Times New Roman" w:hAnsi="Times New Roman" w:cs="Times New Roman"/>
                <w:sz w:val="20"/>
                <w:szCs w:val="20"/>
              </w:rPr>
              <w:t>5.55%</w:t>
            </w:r>
          </w:p>
        </w:tc>
      </w:tr>
      <w:tr w:rsidR="00CF60A0" w:rsidRPr="00621669" w14:paraId="48F18992" w14:textId="77777777" w:rsidTr="004436A9">
        <w:trPr>
          <w:jc w:val="center"/>
        </w:trPr>
        <w:tc>
          <w:tcPr>
            <w:tcW w:w="3006" w:type="dxa"/>
            <w:tcBorders>
              <w:bottom w:val="single" w:sz="8" w:space="0" w:color="auto"/>
            </w:tcBorders>
            <w:vAlign w:val="center"/>
          </w:tcPr>
          <w:p w14:paraId="72465FD4"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Fall prevention</w:t>
            </w:r>
          </w:p>
          <w:p w14:paraId="10D72D52" w14:textId="768EA839"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included</w:t>
            </w:r>
            <w:r w:rsidRPr="00621669">
              <w:rPr>
                <w:rFonts w:ascii="Times New Roman" w:hAnsi="Times New Roman" w:cs="Times New Roman"/>
                <w:sz w:val="20"/>
                <w:szCs w:val="20"/>
                <w:vertAlign w:val="superscript"/>
                <w:lang w:val="en-GB"/>
              </w:rPr>
              <w:t>b</w:t>
            </w:r>
            <w:r w:rsidRPr="00621669">
              <w:rPr>
                <w:rFonts w:ascii="Times New Roman" w:hAnsi="Times New Roman" w:cs="Times New Roman"/>
                <w:sz w:val="20"/>
                <w:szCs w:val="20"/>
                <w:lang w:val="en-GB"/>
              </w:rPr>
              <w:t xml:space="preserve">  </w:t>
            </w:r>
          </w:p>
          <w:p w14:paraId="29F26C72" w14:textId="77777777"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General advice</w:t>
            </w:r>
          </w:p>
          <w:p w14:paraId="54371A18"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sz w:val="20"/>
                <w:szCs w:val="20"/>
                <w:lang w:val="en-GB"/>
              </w:rPr>
              <w:t xml:space="preserve">     Fall prevention program</w:t>
            </w:r>
          </w:p>
        </w:tc>
        <w:tc>
          <w:tcPr>
            <w:tcW w:w="1687" w:type="dxa"/>
            <w:tcBorders>
              <w:bottom w:val="single" w:sz="8" w:space="0" w:color="auto"/>
            </w:tcBorders>
            <w:vAlign w:val="center"/>
          </w:tcPr>
          <w:p w14:paraId="60F0EBE6" w14:textId="77777777" w:rsidR="00CF60A0" w:rsidRPr="008D4C1D" w:rsidRDefault="00CF60A0" w:rsidP="00B963D7">
            <w:pPr>
              <w:pStyle w:val="ListParagraph"/>
              <w:spacing w:after="0"/>
              <w:ind w:left="0"/>
              <w:rPr>
                <w:rFonts w:ascii="Times New Roman" w:hAnsi="Times New Roman" w:cs="Times New Roman"/>
                <w:sz w:val="20"/>
                <w:szCs w:val="20"/>
                <w:lang w:val="en-GB"/>
              </w:rPr>
            </w:pPr>
          </w:p>
          <w:p w14:paraId="1596C6F3" w14:textId="77777777" w:rsidR="00CF60A0" w:rsidRPr="008D4C1D" w:rsidRDefault="00CF60A0" w:rsidP="00B963D7">
            <w:pPr>
              <w:pStyle w:val="ListParagraph"/>
              <w:spacing w:after="0"/>
              <w:ind w:left="0"/>
              <w:rPr>
                <w:rFonts w:ascii="Times New Roman" w:hAnsi="Times New Roman" w:cs="Times New Roman"/>
                <w:sz w:val="20"/>
                <w:szCs w:val="20"/>
                <w:lang w:val="en-GB"/>
              </w:rPr>
            </w:pPr>
            <w:r w:rsidRPr="008D4C1D">
              <w:rPr>
                <w:rFonts w:ascii="Times New Roman" w:hAnsi="Times New Roman" w:cs="Times New Roman"/>
                <w:sz w:val="20"/>
                <w:szCs w:val="20"/>
                <w:lang w:val="en-GB"/>
              </w:rPr>
              <w:t>0.333</w:t>
            </w:r>
            <w:r>
              <w:rPr>
                <w:rFonts w:ascii="Times New Roman" w:hAnsi="Times New Roman" w:cs="Times New Roman"/>
                <w:sz w:val="20"/>
                <w:szCs w:val="20"/>
                <w:lang w:val="en-GB"/>
              </w:rPr>
              <w:t>*** (0.034)</w:t>
            </w:r>
          </w:p>
          <w:p w14:paraId="545B1D6F" w14:textId="77777777" w:rsidR="00CF60A0" w:rsidRPr="008D4C1D" w:rsidRDefault="00CF60A0" w:rsidP="00B963D7">
            <w:pPr>
              <w:pStyle w:val="ListParagraph"/>
              <w:spacing w:after="0"/>
              <w:ind w:left="0"/>
              <w:rPr>
                <w:rFonts w:ascii="Times New Roman" w:hAnsi="Times New Roman" w:cs="Times New Roman"/>
                <w:sz w:val="20"/>
                <w:szCs w:val="20"/>
                <w:lang w:val="en-GB"/>
              </w:rPr>
            </w:pPr>
            <w:r w:rsidRPr="008D4C1D">
              <w:rPr>
                <w:rFonts w:ascii="Times New Roman" w:hAnsi="Times New Roman" w:cs="Times New Roman"/>
                <w:sz w:val="20"/>
                <w:szCs w:val="20"/>
                <w:lang w:val="en-GB"/>
              </w:rPr>
              <w:t>0.033</w:t>
            </w:r>
            <w:r>
              <w:rPr>
                <w:rFonts w:ascii="Times New Roman" w:hAnsi="Times New Roman" w:cs="Times New Roman"/>
                <w:sz w:val="20"/>
                <w:szCs w:val="20"/>
                <w:lang w:val="en-GB"/>
              </w:rPr>
              <w:t xml:space="preserve"> (0.035)</w:t>
            </w:r>
            <w:r w:rsidRPr="008D4C1D">
              <w:rPr>
                <w:rFonts w:ascii="Times New Roman" w:hAnsi="Times New Roman" w:cs="Times New Roman"/>
                <w:sz w:val="20"/>
                <w:szCs w:val="20"/>
                <w:lang w:val="en-GB"/>
              </w:rPr>
              <w:t xml:space="preserve"> </w:t>
            </w:r>
          </w:p>
          <w:p w14:paraId="46851E44" w14:textId="77777777" w:rsidR="00CF60A0" w:rsidRPr="008D4C1D" w:rsidRDefault="00CF60A0" w:rsidP="00B963D7">
            <w:pPr>
              <w:pStyle w:val="ListParagraph"/>
              <w:spacing w:after="0"/>
              <w:ind w:left="0"/>
              <w:rPr>
                <w:rFonts w:ascii="Times New Roman" w:hAnsi="Times New Roman" w:cs="Times New Roman"/>
                <w:sz w:val="20"/>
                <w:szCs w:val="20"/>
                <w:lang w:val="en-GB"/>
              </w:rPr>
            </w:pPr>
            <w:r w:rsidRPr="008D4C1D">
              <w:rPr>
                <w:rFonts w:ascii="Times New Roman" w:hAnsi="Times New Roman" w:cs="Times New Roman"/>
                <w:sz w:val="20"/>
                <w:szCs w:val="20"/>
                <w:lang w:val="en-GB"/>
              </w:rPr>
              <w:t>-0.366</w:t>
            </w:r>
            <w:r w:rsidRPr="008D4C1D">
              <w:rPr>
                <w:rFonts w:ascii="Times New Roman" w:hAnsi="Times New Roman" w:cs="Times New Roman"/>
                <w:sz w:val="20"/>
                <w:szCs w:val="20"/>
              </w:rPr>
              <w:t>***</w:t>
            </w:r>
            <w:r>
              <w:rPr>
                <w:rFonts w:ascii="Times New Roman" w:hAnsi="Times New Roman" w:cs="Times New Roman"/>
                <w:sz w:val="20"/>
                <w:szCs w:val="20"/>
              </w:rPr>
              <w:t xml:space="preserve"> (0.060)</w:t>
            </w:r>
            <w:r w:rsidRPr="008D4C1D">
              <w:rPr>
                <w:rFonts w:ascii="Times New Roman" w:hAnsi="Times New Roman" w:cs="Times New Roman"/>
                <w:sz w:val="20"/>
                <w:szCs w:val="20"/>
                <w:lang w:val="en-GB"/>
              </w:rPr>
              <w:t xml:space="preserve"> </w:t>
            </w:r>
          </w:p>
        </w:tc>
        <w:tc>
          <w:tcPr>
            <w:tcW w:w="898" w:type="dxa"/>
            <w:tcBorders>
              <w:bottom w:val="single" w:sz="8" w:space="0" w:color="auto"/>
            </w:tcBorders>
            <w:vAlign w:val="center"/>
          </w:tcPr>
          <w:p w14:paraId="7BE6E29A" w14:textId="59D89B9A" w:rsidR="00CF60A0" w:rsidRPr="008D4C1D" w:rsidRDefault="00CF60A0" w:rsidP="00B963D7">
            <w:pPr>
              <w:pStyle w:val="ListParagraph"/>
              <w:spacing w:after="0"/>
              <w:ind w:left="0"/>
              <w:rPr>
                <w:rFonts w:ascii="Times New Roman" w:hAnsi="Times New Roman" w:cs="Times New Roman"/>
                <w:sz w:val="20"/>
                <w:szCs w:val="20"/>
                <w:lang w:val="en-GB"/>
              </w:rPr>
            </w:pPr>
            <w:r w:rsidRPr="008D4C1D">
              <w:rPr>
                <w:rFonts w:ascii="Times New Roman" w:hAnsi="Times New Roman" w:cs="Times New Roman"/>
                <w:sz w:val="20"/>
                <w:szCs w:val="20"/>
                <w:lang w:val="en-GB"/>
              </w:rPr>
              <w:t>28.8%</w:t>
            </w:r>
          </w:p>
        </w:tc>
        <w:tc>
          <w:tcPr>
            <w:tcW w:w="1696" w:type="dxa"/>
            <w:tcBorders>
              <w:bottom w:val="single" w:sz="8" w:space="0" w:color="auto"/>
            </w:tcBorders>
            <w:vAlign w:val="center"/>
          </w:tcPr>
          <w:p w14:paraId="63902E38" w14:textId="77777777" w:rsidR="00CF60A0" w:rsidRPr="00621669" w:rsidRDefault="00CF60A0" w:rsidP="00B963D7">
            <w:pPr>
              <w:pStyle w:val="ListParagraph"/>
              <w:spacing w:after="0"/>
              <w:ind w:left="0"/>
              <w:rPr>
                <w:rFonts w:ascii="Times New Roman" w:hAnsi="Times New Roman" w:cs="Times New Roman"/>
                <w:sz w:val="20"/>
                <w:szCs w:val="20"/>
                <w:lang w:val="en-GB"/>
              </w:rPr>
            </w:pPr>
          </w:p>
          <w:p w14:paraId="2D4A1959" w14:textId="77777777" w:rsidR="00CF60A0" w:rsidRPr="00621669"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0.122 (0.105)</w:t>
            </w:r>
          </w:p>
          <w:p w14:paraId="0EBB409B"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0.048 (0.110)</w:t>
            </w:r>
          </w:p>
          <w:p w14:paraId="40AA228C"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-0.170 (0.183)</w:t>
            </w:r>
          </w:p>
        </w:tc>
        <w:tc>
          <w:tcPr>
            <w:tcW w:w="833" w:type="dxa"/>
            <w:tcBorders>
              <w:bottom w:val="single" w:sz="8" w:space="0" w:color="auto"/>
            </w:tcBorders>
            <w:vAlign w:val="center"/>
          </w:tcPr>
          <w:p w14:paraId="59FC1D17" w14:textId="65D63763"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14.4%</w:t>
            </w:r>
          </w:p>
        </w:tc>
        <w:tc>
          <w:tcPr>
            <w:tcW w:w="1680" w:type="dxa"/>
            <w:tcBorders>
              <w:bottom w:val="single" w:sz="8" w:space="0" w:color="auto"/>
            </w:tcBorders>
          </w:tcPr>
          <w:p w14:paraId="37F4D917" w14:textId="77777777" w:rsidR="00CF60A0" w:rsidRPr="00621669" w:rsidRDefault="00CF60A0" w:rsidP="00B963D7">
            <w:pPr>
              <w:pStyle w:val="ListParagraph"/>
              <w:spacing w:after="0"/>
              <w:ind w:left="0"/>
              <w:rPr>
                <w:rFonts w:ascii="Times New Roman" w:hAnsi="Times New Roman" w:cs="Times New Roman"/>
                <w:sz w:val="20"/>
                <w:szCs w:val="20"/>
                <w:lang w:val="en-GB"/>
              </w:rPr>
            </w:pPr>
          </w:p>
          <w:p w14:paraId="47392A1C" w14:textId="77777777" w:rsidR="00CF60A0" w:rsidRPr="00621669"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0.310*** (0.078)</w:t>
            </w:r>
          </w:p>
          <w:p w14:paraId="77115D71"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0.256*** (0.082)</w:t>
            </w:r>
          </w:p>
          <w:p w14:paraId="703AC01E"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-0.565*** (0.138)</w:t>
            </w:r>
          </w:p>
        </w:tc>
        <w:tc>
          <w:tcPr>
            <w:tcW w:w="910" w:type="dxa"/>
            <w:tcBorders>
              <w:bottom w:val="single" w:sz="8" w:space="0" w:color="auto"/>
            </w:tcBorders>
            <w:vAlign w:val="center"/>
          </w:tcPr>
          <w:p w14:paraId="18E939B5" w14:textId="6617C600"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44.</w:t>
            </w:r>
            <w:r w:rsidR="006771B8">
              <w:rPr>
                <w:rFonts w:ascii="Times New Roman" w:hAnsi="Times New Roman" w:cs="Times New Roman"/>
                <w:sz w:val="20"/>
                <w:szCs w:val="20"/>
                <w:lang w:val="en-GB"/>
              </w:rPr>
              <w:t>5</w:t>
            </w:r>
            <w:r w:rsidRPr="00621669">
              <w:rPr>
                <w:rFonts w:ascii="Times New Roman" w:hAnsi="Times New Roman" w:cs="Times New Roman"/>
                <w:sz w:val="20"/>
                <w:szCs w:val="20"/>
                <w:lang w:val="en-GB"/>
              </w:rPr>
              <w:t>%</w:t>
            </w:r>
          </w:p>
        </w:tc>
        <w:tc>
          <w:tcPr>
            <w:tcW w:w="1705" w:type="dxa"/>
            <w:tcBorders>
              <w:bottom w:val="single" w:sz="8" w:space="0" w:color="auto"/>
            </w:tcBorders>
          </w:tcPr>
          <w:p w14:paraId="4657A381" w14:textId="77777777" w:rsidR="00CF60A0" w:rsidRPr="00621669" w:rsidRDefault="00CF60A0" w:rsidP="00B963D7">
            <w:pPr>
              <w:pStyle w:val="ListParagraph"/>
              <w:spacing w:after="0"/>
              <w:ind w:left="0"/>
              <w:rPr>
                <w:rFonts w:ascii="Times New Roman" w:hAnsi="Times New Roman" w:cs="Times New Roman"/>
                <w:sz w:val="20"/>
                <w:szCs w:val="20"/>
                <w:lang w:val="en-GB"/>
              </w:rPr>
            </w:pPr>
          </w:p>
          <w:p w14:paraId="2B286208" w14:textId="77777777" w:rsidR="00CF60A0" w:rsidRPr="00621669"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0.474*** (0.070)</w:t>
            </w:r>
          </w:p>
          <w:p w14:paraId="4745A266" w14:textId="77777777" w:rsidR="00CF60A0" w:rsidRPr="00621669"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-0.083 (0.072)</w:t>
            </w:r>
          </w:p>
          <w:p w14:paraId="5574068F" w14:textId="77777777" w:rsidR="00CF60A0" w:rsidRPr="00621669" w:rsidRDefault="00CF60A0" w:rsidP="00B963D7">
            <w:pPr>
              <w:pStyle w:val="ListParagraph"/>
              <w:spacing w:after="0"/>
              <w:ind w:left="0"/>
              <w:rPr>
                <w:rFonts w:ascii="Times New Roman" w:hAnsi="Times New Roman" w:cs="Times New Roman"/>
                <w:sz w:val="20"/>
                <w:szCs w:val="20"/>
              </w:rPr>
            </w:pPr>
            <w:r w:rsidRPr="00621669">
              <w:rPr>
                <w:rFonts w:ascii="Times New Roman" w:hAnsi="Times New Roman" w:cs="Times New Roman"/>
                <w:sz w:val="20"/>
                <w:szCs w:val="20"/>
              </w:rPr>
              <w:t xml:space="preserve">-0.39*** </w:t>
            </w:r>
            <w:r>
              <w:rPr>
                <w:rFonts w:ascii="Times New Roman" w:hAnsi="Times New Roman" w:cs="Times New Roman"/>
                <w:sz w:val="20"/>
                <w:szCs w:val="20"/>
              </w:rPr>
              <w:t>(0.126)</w:t>
            </w:r>
          </w:p>
        </w:tc>
        <w:tc>
          <w:tcPr>
            <w:tcW w:w="990" w:type="dxa"/>
            <w:tcBorders>
              <w:bottom w:val="single" w:sz="8" w:space="0" w:color="auto"/>
            </w:tcBorders>
            <w:vAlign w:val="center"/>
          </w:tcPr>
          <w:p w14:paraId="5F2C7E2E" w14:textId="77777777" w:rsidR="00CF60A0" w:rsidRPr="0083389E" w:rsidRDefault="00CF60A0" w:rsidP="00B963D7">
            <w:pPr>
              <w:pStyle w:val="ListParagraph"/>
              <w:spacing w:after="0"/>
              <w:ind w:left="0"/>
              <w:rPr>
                <w:rFonts w:ascii="Times New Roman" w:hAnsi="Times New Roman" w:cs="Times New Roman"/>
                <w:sz w:val="20"/>
                <w:szCs w:val="20"/>
              </w:rPr>
            </w:pPr>
            <w:r w:rsidRPr="0083389E">
              <w:rPr>
                <w:rFonts w:ascii="Times New Roman" w:hAnsi="Times New Roman" w:cs="Times New Roman"/>
                <w:sz w:val="20"/>
                <w:szCs w:val="20"/>
              </w:rPr>
              <w:t>23.81%</w:t>
            </w:r>
          </w:p>
        </w:tc>
      </w:tr>
      <w:tr w:rsidR="00CF60A0" w:rsidRPr="00621669" w14:paraId="65113E41" w14:textId="77777777" w:rsidTr="004436A9">
        <w:trPr>
          <w:jc w:val="center"/>
        </w:trPr>
        <w:tc>
          <w:tcPr>
            <w:tcW w:w="3006" w:type="dxa"/>
            <w:vMerge w:val="restart"/>
            <w:tcBorders>
              <w:top w:val="single" w:sz="8" w:space="0" w:color="auto"/>
            </w:tcBorders>
            <w:vAlign w:val="center"/>
          </w:tcPr>
          <w:p w14:paraId="75377E3A"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b/>
                <w:bCs/>
                <w:sz w:val="20"/>
                <w:szCs w:val="20"/>
              </w:rPr>
              <w:t>Attributes and levels</w:t>
            </w:r>
          </w:p>
        </w:tc>
        <w:tc>
          <w:tcPr>
            <w:tcW w:w="2585" w:type="dxa"/>
            <w:gridSpan w:val="2"/>
            <w:tcBorders>
              <w:top w:val="single" w:sz="8" w:space="0" w:color="auto"/>
            </w:tcBorders>
            <w:vAlign w:val="center"/>
          </w:tcPr>
          <w:p w14:paraId="6CF26F41" w14:textId="77777777" w:rsidR="00CF60A0" w:rsidRPr="00E748E6" w:rsidRDefault="00CF60A0" w:rsidP="00B963D7">
            <w:pPr>
              <w:pStyle w:val="ListParagraph"/>
              <w:spacing w:after="0"/>
              <w:ind w:left="0"/>
              <w:jc w:val="center"/>
              <w:rPr>
                <w:rFonts w:ascii="Times New Roman" w:hAnsi="Times New Roman" w:cs="Times New Roman"/>
                <w:b/>
                <w:sz w:val="20"/>
                <w:szCs w:val="20"/>
                <w:lang w:val="en-GB"/>
              </w:rPr>
            </w:pPr>
            <w:r w:rsidRPr="00607F80">
              <w:rPr>
                <w:rFonts w:ascii="Times New Roman" w:hAnsi="Times New Roman" w:cs="Times New Roman"/>
                <w:b/>
                <w:sz w:val="20"/>
                <w:szCs w:val="20"/>
              </w:rPr>
              <w:t>Netherlands</w:t>
            </w:r>
          </w:p>
        </w:tc>
        <w:tc>
          <w:tcPr>
            <w:tcW w:w="2529" w:type="dxa"/>
            <w:gridSpan w:val="2"/>
            <w:tcBorders>
              <w:top w:val="single" w:sz="8" w:space="0" w:color="auto"/>
            </w:tcBorders>
          </w:tcPr>
          <w:p w14:paraId="2BA2F7F1" w14:textId="77777777" w:rsidR="00CF60A0" w:rsidRPr="00D21967" w:rsidRDefault="00CF60A0" w:rsidP="00B963D7">
            <w:pPr>
              <w:pStyle w:val="ListParagraph"/>
              <w:spacing w:after="0"/>
              <w:ind w:left="0"/>
              <w:jc w:val="center"/>
              <w:rPr>
                <w:rFonts w:ascii="Times New Roman" w:hAnsi="Times New Roman" w:cs="Times New Roman"/>
                <w:b/>
                <w:sz w:val="20"/>
                <w:szCs w:val="20"/>
                <w:lang w:val="en-GB"/>
              </w:rPr>
            </w:pPr>
            <w:r w:rsidRPr="00D21967">
              <w:rPr>
                <w:rFonts w:ascii="Times New Roman" w:hAnsi="Times New Roman" w:cs="Times New Roman"/>
                <w:b/>
                <w:sz w:val="20"/>
                <w:szCs w:val="20"/>
                <w:lang w:val="en-GB"/>
              </w:rPr>
              <w:t>France</w:t>
            </w:r>
          </w:p>
        </w:tc>
        <w:tc>
          <w:tcPr>
            <w:tcW w:w="2590" w:type="dxa"/>
            <w:gridSpan w:val="2"/>
            <w:tcBorders>
              <w:top w:val="single" w:sz="8" w:space="0" w:color="auto"/>
            </w:tcBorders>
          </w:tcPr>
          <w:p w14:paraId="260E9E9C" w14:textId="77777777" w:rsidR="00CF60A0" w:rsidRPr="000B33E9" w:rsidRDefault="00CF60A0" w:rsidP="00B963D7">
            <w:pPr>
              <w:pStyle w:val="ListParagraph"/>
              <w:spacing w:after="0"/>
              <w:ind w:left="0"/>
              <w:jc w:val="center"/>
              <w:rPr>
                <w:rFonts w:ascii="Times New Roman" w:hAnsi="Times New Roman" w:cs="Times New Roman"/>
                <w:b/>
                <w:sz w:val="20"/>
                <w:szCs w:val="20"/>
              </w:rPr>
            </w:pPr>
            <w:r w:rsidRPr="000B33E9">
              <w:rPr>
                <w:rFonts w:ascii="Times New Roman" w:hAnsi="Times New Roman" w:cs="Times New Roman"/>
                <w:b/>
                <w:sz w:val="20"/>
                <w:szCs w:val="20"/>
              </w:rPr>
              <w:t>Switzerland</w:t>
            </w:r>
          </w:p>
        </w:tc>
        <w:tc>
          <w:tcPr>
            <w:tcW w:w="2695" w:type="dxa"/>
            <w:gridSpan w:val="2"/>
            <w:tcBorders>
              <w:top w:val="single" w:sz="8" w:space="0" w:color="auto"/>
            </w:tcBorders>
          </w:tcPr>
          <w:p w14:paraId="19E79A25" w14:textId="77777777" w:rsidR="00CF60A0" w:rsidRPr="007111F0" w:rsidRDefault="00CF60A0" w:rsidP="00B963D7">
            <w:pPr>
              <w:pStyle w:val="ListParagraph"/>
              <w:spacing w:after="0"/>
              <w:ind w:left="0"/>
              <w:jc w:val="center"/>
              <w:rPr>
                <w:rFonts w:ascii="Times New Roman" w:hAnsi="Times New Roman" w:cs="Times New Roman"/>
                <w:sz w:val="20"/>
                <w:szCs w:val="20"/>
              </w:rPr>
            </w:pPr>
            <w:r w:rsidRPr="00E748E6">
              <w:rPr>
                <w:rFonts w:ascii="Times New Roman" w:hAnsi="Times New Roman" w:cs="Times New Roman"/>
                <w:b/>
                <w:sz w:val="20"/>
                <w:szCs w:val="20"/>
                <w:lang w:val="en-GB"/>
              </w:rPr>
              <w:t>Spain</w:t>
            </w:r>
          </w:p>
        </w:tc>
      </w:tr>
      <w:tr w:rsidR="00CF60A0" w:rsidRPr="00621669" w14:paraId="6C5B4F50" w14:textId="77777777" w:rsidTr="004436A9">
        <w:trPr>
          <w:jc w:val="center"/>
        </w:trPr>
        <w:tc>
          <w:tcPr>
            <w:tcW w:w="3006" w:type="dxa"/>
            <w:vMerge/>
            <w:vAlign w:val="center"/>
          </w:tcPr>
          <w:p w14:paraId="618E2205" w14:textId="77777777" w:rsidR="00CF60A0" w:rsidRPr="00621669" w:rsidRDefault="00CF60A0" w:rsidP="00B963D7">
            <w:pPr>
              <w:pStyle w:val="ListParagraph"/>
              <w:spacing w:after="0"/>
              <w:ind w:left="0"/>
              <w:jc w:val="both"/>
              <w:rPr>
                <w:rFonts w:ascii="Times New Roman" w:hAnsi="Times New Roman" w:cs="Times New Roman"/>
                <w:b/>
                <w:bCs/>
                <w:sz w:val="20"/>
                <w:szCs w:val="20"/>
              </w:rPr>
            </w:pPr>
          </w:p>
        </w:tc>
        <w:tc>
          <w:tcPr>
            <w:tcW w:w="1687" w:type="dxa"/>
            <w:vAlign w:val="center"/>
          </w:tcPr>
          <w:p w14:paraId="24BC14ED"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Coef (SE)</w:t>
            </w:r>
            <w:r w:rsidRPr="00341D0E">
              <w:rPr>
                <w:rFonts w:ascii="Times New Roman" w:hAnsi="Times New Roman" w:cs="Times New Roman"/>
                <w:vertAlign w:val="superscript"/>
              </w:rPr>
              <w:t xml:space="preserve"> a</w:t>
            </w:r>
          </w:p>
        </w:tc>
        <w:tc>
          <w:tcPr>
            <w:tcW w:w="898" w:type="dxa"/>
            <w:vAlign w:val="center"/>
          </w:tcPr>
          <w:p w14:paraId="5E7B8C48"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RI (%)</w:t>
            </w:r>
          </w:p>
        </w:tc>
        <w:tc>
          <w:tcPr>
            <w:tcW w:w="1696" w:type="dxa"/>
            <w:vAlign w:val="center"/>
          </w:tcPr>
          <w:p w14:paraId="44C18B3C"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Coef (SE)</w:t>
            </w:r>
            <w:r w:rsidRPr="00341D0E">
              <w:rPr>
                <w:rFonts w:ascii="Times New Roman" w:hAnsi="Times New Roman" w:cs="Times New Roman"/>
                <w:vertAlign w:val="superscript"/>
              </w:rPr>
              <w:t xml:space="preserve"> a</w:t>
            </w:r>
          </w:p>
        </w:tc>
        <w:tc>
          <w:tcPr>
            <w:tcW w:w="833" w:type="dxa"/>
            <w:vAlign w:val="center"/>
          </w:tcPr>
          <w:p w14:paraId="500757E9"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RI (%)</w:t>
            </w:r>
          </w:p>
        </w:tc>
        <w:tc>
          <w:tcPr>
            <w:tcW w:w="1680" w:type="dxa"/>
            <w:vAlign w:val="center"/>
          </w:tcPr>
          <w:p w14:paraId="44C45AB0"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Coef (SE)</w:t>
            </w:r>
            <w:r w:rsidRPr="00341D0E">
              <w:rPr>
                <w:rFonts w:ascii="Times New Roman" w:hAnsi="Times New Roman" w:cs="Times New Roman"/>
                <w:vertAlign w:val="superscript"/>
              </w:rPr>
              <w:t xml:space="preserve"> a</w:t>
            </w:r>
          </w:p>
        </w:tc>
        <w:tc>
          <w:tcPr>
            <w:tcW w:w="910" w:type="dxa"/>
            <w:vAlign w:val="center"/>
          </w:tcPr>
          <w:p w14:paraId="3BD7F1FF"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RI (%)</w:t>
            </w:r>
          </w:p>
        </w:tc>
        <w:tc>
          <w:tcPr>
            <w:tcW w:w="1705" w:type="dxa"/>
            <w:vAlign w:val="center"/>
          </w:tcPr>
          <w:p w14:paraId="666B983B"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Coef (SE)</w:t>
            </w:r>
            <w:r w:rsidRPr="00341D0E">
              <w:rPr>
                <w:rFonts w:ascii="Times New Roman" w:hAnsi="Times New Roman" w:cs="Times New Roman"/>
                <w:vertAlign w:val="superscript"/>
              </w:rPr>
              <w:t xml:space="preserve"> a</w:t>
            </w:r>
          </w:p>
        </w:tc>
        <w:tc>
          <w:tcPr>
            <w:tcW w:w="990" w:type="dxa"/>
            <w:vAlign w:val="center"/>
          </w:tcPr>
          <w:p w14:paraId="48BBEC0B"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RI (%)</w:t>
            </w:r>
          </w:p>
        </w:tc>
      </w:tr>
      <w:tr w:rsidR="00CF60A0" w:rsidRPr="00621669" w14:paraId="32316BC9" w14:textId="77777777" w:rsidTr="004436A9">
        <w:trPr>
          <w:jc w:val="center"/>
        </w:trPr>
        <w:tc>
          <w:tcPr>
            <w:tcW w:w="3006" w:type="dxa"/>
            <w:vAlign w:val="center"/>
          </w:tcPr>
          <w:p w14:paraId="05FEB0CB" w14:textId="77777777" w:rsidR="00CF60A0" w:rsidRPr="00621669" w:rsidRDefault="00CF60A0" w:rsidP="00B963D7">
            <w:pPr>
              <w:pStyle w:val="ListParagraph"/>
              <w:spacing w:after="0"/>
              <w:ind w:left="0"/>
              <w:rPr>
                <w:rFonts w:ascii="Times New Roman" w:hAnsi="Times New Roman" w:cs="Times New Roman"/>
                <w:b/>
                <w:bCs/>
                <w:sz w:val="20"/>
                <w:szCs w:val="20"/>
              </w:rPr>
            </w:pPr>
            <w:r w:rsidRPr="00621669">
              <w:rPr>
                <w:rFonts w:ascii="Times New Roman" w:hAnsi="Times New Roman" w:cs="Times New Roman"/>
                <w:b/>
                <w:bCs/>
                <w:sz w:val="20"/>
                <w:szCs w:val="20"/>
              </w:rPr>
              <w:t>Constant</w:t>
            </w:r>
          </w:p>
        </w:tc>
        <w:tc>
          <w:tcPr>
            <w:tcW w:w="1687" w:type="dxa"/>
          </w:tcPr>
          <w:p w14:paraId="16D1119F" w14:textId="77777777" w:rsidR="00CF60A0" w:rsidRPr="00607F80" w:rsidRDefault="00CF60A0" w:rsidP="00B963D7">
            <w:pPr>
              <w:pStyle w:val="ListParagraph"/>
              <w:spacing w:after="0"/>
              <w:ind w:left="0"/>
              <w:rPr>
                <w:rFonts w:ascii="Times New Roman" w:hAnsi="Times New Roman" w:cs="Times New Roman"/>
                <w:sz w:val="20"/>
                <w:szCs w:val="20"/>
              </w:rPr>
            </w:pPr>
            <w:r w:rsidRPr="00607F80">
              <w:rPr>
                <w:rFonts w:ascii="Times New Roman" w:hAnsi="Times New Roman" w:cs="Times New Roman"/>
                <w:sz w:val="20"/>
                <w:szCs w:val="20"/>
              </w:rPr>
              <w:t xml:space="preserve">1.064*** </w:t>
            </w:r>
            <w:r>
              <w:rPr>
                <w:rFonts w:ascii="Times New Roman" w:hAnsi="Times New Roman" w:cs="Times New Roman"/>
                <w:sz w:val="20"/>
                <w:szCs w:val="20"/>
              </w:rPr>
              <w:t>(0.067)</w:t>
            </w:r>
          </w:p>
        </w:tc>
        <w:tc>
          <w:tcPr>
            <w:tcW w:w="898" w:type="dxa"/>
          </w:tcPr>
          <w:p w14:paraId="6D9DCB3D" w14:textId="77777777" w:rsidR="00CF60A0" w:rsidRPr="00621669" w:rsidRDefault="00CF60A0" w:rsidP="00B963D7">
            <w:pPr>
              <w:pStyle w:val="ListParagraph"/>
              <w:spacing w:after="0"/>
              <w:ind w:left="0"/>
              <w:jc w:val="center"/>
              <w:rPr>
                <w:rFonts w:ascii="Times New Roman" w:hAnsi="Times New Roman" w:cs="Times New Roman"/>
                <w:sz w:val="20"/>
                <w:szCs w:val="20"/>
              </w:rPr>
            </w:pPr>
          </w:p>
        </w:tc>
        <w:tc>
          <w:tcPr>
            <w:tcW w:w="1696" w:type="dxa"/>
          </w:tcPr>
          <w:p w14:paraId="598AD221" w14:textId="77777777" w:rsidR="00CF60A0" w:rsidRPr="007B3AF8" w:rsidRDefault="00CF60A0" w:rsidP="00B963D7">
            <w:pPr>
              <w:pStyle w:val="ListParagraph"/>
              <w:spacing w:after="0"/>
              <w:ind w:left="0"/>
              <w:rPr>
                <w:rFonts w:ascii="Times New Roman" w:hAnsi="Times New Roman" w:cs="Times New Roman"/>
                <w:sz w:val="20"/>
                <w:szCs w:val="20"/>
              </w:rPr>
            </w:pPr>
            <w:r w:rsidRPr="007B3AF8">
              <w:rPr>
                <w:rFonts w:ascii="Times New Roman" w:hAnsi="Times New Roman" w:cs="Times New Roman"/>
                <w:sz w:val="20"/>
                <w:szCs w:val="20"/>
              </w:rPr>
              <w:t xml:space="preserve">0.751*** </w:t>
            </w:r>
            <w:r>
              <w:rPr>
                <w:rFonts w:ascii="Times New Roman" w:hAnsi="Times New Roman" w:cs="Times New Roman"/>
                <w:sz w:val="20"/>
                <w:szCs w:val="20"/>
              </w:rPr>
              <w:t>(0.081)</w:t>
            </w:r>
          </w:p>
        </w:tc>
        <w:tc>
          <w:tcPr>
            <w:tcW w:w="833" w:type="dxa"/>
            <w:vAlign w:val="center"/>
          </w:tcPr>
          <w:p w14:paraId="3DAC1647" w14:textId="77777777" w:rsidR="00CF60A0" w:rsidRPr="00621669" w:rsidRDefault="00CF60A0" w:rsidP="00B963D7">
            <w:pPr>
              <w:pStyle w:val="ListParagraph"/>
              <w:spacing w:after="0"/>
              <w:ind w:left="0"/>
              <w:rPr>
                <w:rFonts w:ascii="Times New Roman" w:hAnsi="Times New Roman" w:cs="Times New Roman"/>
                <w:sz w:val="20"/>
                <w:szCs w:val="20"/>
                <w:lang w:val="en-GB"/>
              </w:rPr>
            </w:pPr>
          </w:p>
        </w:tc>
        <w:tc>
          <w:tcPr>
            <w:tcW w:w="1680" w:type="dxa"/>
          </w:tcPr>
          <w:p w14:paraId="0DDF76EA" w14:textId="77777777" w:rsidR="00CF60A0" w:rsidRPr="003D5215" w:rsidRDefault="00CF60A0" w:rsidP="00B963D7">
            <w:pPr>
              <w:pStyle w:val="ListParagraph"/>
              <w:spacing w:after="0"/>
              <w:ind w:left="0"/>
              <w:rPr>
                <w:rFonts w:ascii="Times New Roman" w:hAnsi="Times New Roman" w:cs="Times New Roman"/>
                <w:sz w:val="20"/>
                <w:szCs w:val="20"/>
              </w:rPr>
            </w:pPr>
            <w:r w:rsidRPr="003D5215">
              <w:rPr>
                <w:rFonts w:ascii="Times New Roman" w:hAnsi="Times New Roman" w:cs="Times New Roman"/>
                <w:sz w:val="20"/>
                <w:szCs w:val="20"/>
              </w:rPr>
              <w:t xml:space="preserve">0.782*** </w:t>
            </w:r>
            <w:r>
              <w:rPr>
                <w:rFonts w:ascii="Times New Roman" w:hAnsi="Times New Roman" w:cs="Times New Roman"/>
                <w:sz w:val="20"/>
                <w:szCs w:val="20"/>
              </w:rPr>
              <w:t>(0.082)</w:t>
            </w:r>
          </w:p>
        </w:tc>
        <w:tc>
          <w:tcPr>
            <w:tcW w:w="910" w:type="dxa"/>
            <w:vAlign w:val="center"/>
          </w:tcPr>
          <w:p w14:paraId="50E1AFAC" w14:textId="77777777" w:rsidR="00CF60A0" w:rsidRPr="0083389E" w:rsidRDefault="00CF60A0" w:rsidP="00B963D7">
            <w:pPr>
              <w:pStyle w:val="ListParagraph"/>
              <w:spacing w:after="0"/>
              <w:ind w:left="0"/>
              <w:rPr>
                <w:rFonts w:ascii="Times New Roman" w:hAnsi="Times New Roman" w:cs="Times New Roman"/>
                <w:sz w:val="20"/>
                <w:szCs w:val="20"/>
              </w:rPr>
            </w:pPr>
          </w:p>
        </w:tc>
        <w:tc>
          <w:tcPr>
            <w:tcW w:w="1705" w:type="dxa"/>
          </w:tcPr>
          <w:p w14:paraId="7D1D29F4" w14:textId="77777777" w:rsidR="00CF60A0" w:rsidRPr="00E748E6" w:rsidRDefault="00CF60A0" w:rsidP="00B963D7">
            <w:pPr>
              <w:pStyle w:val="ListParagraph"/>
              <w:spacing w:after="0"/>
              <w:ind w:left="0"/>
              <w:rPr>
                <w:rFonts w:ascii="Times New Roman" w:hAnsi="Times New Roman" w:cs="Times New Roman"/>
                <w:sz w:val="20"/>
                <w:szCs w:val="20"/>
              </w:rPr>
            </w:pPr>
            <w:r w:rsidRPr="00E748E6">
              <w:rPr>
                <w:rFonts w:ascii="Times New Roman" w:hAnsi="Times New Roman" w:cs="Times New Roman"/>
                <w:sz w:val="20"/>
                <w:szCs w:val="20"/>
              </w:rPr>
              <w:t>1.649***</w:t>
            </w:r>
            <w:r>
              <w:rPr>
                <w:rFonts w:ascii="Times New Roman" w:hAnsi="Times New Roman" w:cs="Times New Roman"/>
                <w:sz w:val="20"/>
                <w:szCs w:val="20"/>
              </w:rPr>
              <w:t xml:space="preserve"> (0.086)</w:t>
            </w:r>
          </w:p>
        </w:tc>
        <w:tc>
          <w:tcPr>
            <w:tcW w:w="990" w:type="dxa"/>
            <w:vAlign w:val="center"/>
          </w:tcPr>
          <w:p w14:paraId="62DF78FD" w14:textId="77777777" w:rsidR="00CF60A0" w:rsidRPr="00621669" w:rsidRDefault="00CF60A0" w:rsidP="00B963D7">
            <w:pPr>
              <w:pStyle w:val="ListParagraph"/>
              <w:spacing w:after="0"/>
              <w:ind w:left="0"/>
              <w:rPr>
                <w:rFonts w:ascii="Times New Roman" w:hAnsi="Times New Roman" w:cs="Times New Roman"/>
                <w:sz w:val="20"/>
                <w:szCs w:val="20"/>
                <w:lang w:val="en-GB"/>
              </w:rPr>
            </w:pPr>
          </w:p>
        </w:tc>
      </w:tr>
      <w:tr w:rsidR="00CF60A0" w:rsidRPr="00621669" w14:paraId="2A355086" w14:textId="77777777" w:rsidTr="004436A9">
        <w:trPr>
          <w:jc w:val="center"/>
        </w:trPr>
        <w:tc>
          <w:tcPr>
            <w:tcW w:w="3006" w:type="dxa"/>
            <w:vAlign w:val="center"/>
          </w:tcPr>
          <w:p w14:paraId="2D00CABF"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Physical activity</w:t>
            </w:r>
          </w:p>
          <w:p w14:paraId="126EDB3B" w14:textId="7CC94AAD"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w:t>
            </w:r>
            <w:r w:rsidR="0060105D">
              <w:rPr>
                <w:rFonts w:ascii="Times New Roman" w:hAnsi="Times New Roman" w:cs="Times New Roman"/>
                <w:sz w:val="20"/>
                <w:szCs w:val="20"/>
                <w:lang w:val="en-GB"/>
              </w:rPr>
              <w:t>d</w:t>
            </w:r>
            <w:r w:rsidRPr="00621669">
              <w:rPr>
                <w:rFonts w:ascii="Times New Roman" w:hAnsi="Times New Roman" w:cs="Times New Roman"/>
                <w:sz w:val="20"/>
                <w:szCs w:val="20"/>
                <w:vertAlign w:val="superscript"/>
                <w:lang w:val="en-GB"/>
              </w:rPr>
              <w:t>b</w:t>
            </w:r>
          </w:p>
          <w:p w14:paraId="41DD11BE" w14:textId="77777777"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Moderate</w:t>
            </w:r>
          </w:p>
          <w:p w14:paraId="58FE7F69" w14:textId="77777777"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High</w:t>
            </w:r>
          </w:p>
        </w:tc>
        <w:tc>
          <w:tcPr>
            <w:tcW w:w="1687" w:type="dxa"/>
          </w:tcPr>
          <w:p w14:paraId="366AD3BC" w14:textId="77777777" w:rsidR="00CF60A0" w:rsidRPr="00607F80" w:rsidRDefault="00CF60A0" w:rsidP="00B963D7">
            <w:pPr>
              <w:pStyle w:val="ListParagraph"/>
              <w:spacing w:after="0"/>
              <w:ind w:left="0"/>
              <w:rPr>
                <w:rFonts w:ascii="Times New Roman" w:hAnsi="Times New Roman" w:cs="Times New Roman"/>
                <w:sz w:val="20"/>
                <w:szCs w:val="20"/>
              </w:rPr>
            </w:pPr>
          </w:p>
          <w:p w14:paraId="3B499F0D" w14:textId="77777777" w:rsidR="00CF60A0" w:rsidRPr="00607F80"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0.547*** (0.096)</w:t>
            </w:r>
          </w:p>
          <w:p w14:paraId="126781B4" w14:textId="77777777" w:rsidR="00CF60A0" w:rsidRPr="00607F80" w:rsidRDefault="00CF60A0" w:rsidP="00B963D7">
            <w:pPr>
              <w:pStyle w:val="ListParagraph"/>
              <w:spacing w:after="0"/>
              <w:ind w:left="0"/>
              <w:rPr>
                <w:rFonts w:ascii="Times New Roman" w:hAnsi="Times New Roman" w:cs="Times New Roman"/>
                <w:sz w:val="20"/>
                <w:szCs w:val="20"/>
              </w:rPr>
            </w:pPr>
            <w:r w:rsidRPr="00607F80">
              <w:rPr>
                <w:rFonts w:ascii="Times New Roman" w:hAnsi="Times New Roman" w:cs="Times New Roman"/>
                <w:sz w:val="20"/>
                <w:szCs w:val="20"/>
              </w:rPr>
              <w:t xml:space="preserve">0.362*** </w:t>
            </w:r>
            <w:r>
              <w:rPr>
                <w:rFonts w:ascii="Times New Roman" w:hAnsi="Times New Roman" w:cs="Times New Roman"/>
                <w:sz w:val="20"/>
                <w:szCs w:val="20"/>
              </w:rPr>
              <w:t>(0.079)</w:t>
            </w:r>
          </w:p>
          <w:p w14:paraId="27E790E9" w14:textId="77777777" w:rsidR="00CF60A0" w:rsidRPr="00607F80" w:rsidRDefault="00CF60A0" w:rsidP="00B963D7">
            <w:pPr>
              <w:pStyle w:val="ListParagraph"/>
              <w:spacing w:after="0"/>
              <w:ind w:left="0"/>
              <w:rPr>
                <w:rFonts w:ascii="Times New Roman" w:hAnsi="Times New Roman" w:cs="Times New Roman"/>
                <w:sz w:val="20"/>
                <w:szCs w:val="20"/>
              </w:rPr>
            </w:pPr>
            <w:r w:rsidRPr="00607F80">
              <w:rPr>
                <w:rFonts w:ascii="Times New Roman" w:hAnsi="Times New Roman" w:cs="Times New Roman"/>
                <w:sz w:val="20"/>
                <w:szCs w:val="20"/>
              </w:rPr>
              <w:t>-0.909***</w:t>
            </w:r>
            <w:r>
              <w:rPr>
                <w:rFonts w:ascii="Times New Roman" w:hAnsi="Times New Roman" w:cs="Times New Roman"/>
                <w:sz w:val="20"/>
                <w:szCs w:val="20"/>
              </w:rPr>
              <w:t>(0.169)</w:t>
            </w:r>
          </w:p>
        </w:tc>
        <w:tc>
          <w:tcPr>
            <w:tcW w:w="898" w:type="dxa"/>
            <w:vAlign w:val="center"/>
          </w:tcPr>
          <w:p w14:paraId="79AF0F29" w14:textId="3913E390" w:rsidR="00CF60A0" w:rsidRPr="007111F0" w:rsidRDefault="00CF60A0" w:rsidP="00B963D7">
            <w:pPr>
              <w:pStyle w:val="ListParagraph"/>
              <w:spacing w:after="0"/>
              <w:ind w:left="0"/>
              <w:rPr>
                <w:rFonts w:ascii="Times New Roman" w:hAnsi="Times New Roman" w:cs="Times New Roman"/>
                <w:sz w:val="20"/>
                <w:szCs w:val="20"/>
              </w:rPr>
            </w:pPr>
            <w:r w:rsidRPr="007111F0">
              <w:rPr>
                <w:rFonts w:ascii="Times New Roman" w:hAnsi="Times New Roman" w:cs="Times New Roman"/>
                <w:sz w:val="20"/>
                <w:szCs w:val="20"/>
              </w:rPr>
              <w:t>35.5%</w:t>
            </w:r>
          </w:p>
        </w:tc>
        <w:tc>
          <w:tcPr>
            <w:tcW w:w="1696" w:type="dxa"/>
          </w:tcPr>
          <w:p w14:paraId="4BE593E7" w14:textId="77777777" w:rsidR="00CF60A0" w:rsidRPr="007B3AF8" w:rsidRDefault="00CF60A0" w:rsidP="00B963D7">
            <w:pPr>
              <w:pStyle w:val="ListParagraph"/>
              <w:spacing w:after="0"/>
              <w:ind w:left="0"/>
              <w:rPr>
                <w:rFonts w:ascii="Times New Roman" w:hAnsi="Times New Roman" w:cs="Times New Roman"/>
                <w:sz w:val="20"/>
                <w:szCs w:val="20"/>
              </w:rPr>
            </w:pPr>
          </w:p>
          <w:p w14:paraId="4167D012" w14:textId="77777777" w:rsidR="00CF60A0" w:rsidRPr="007B3AF8" w:rsidRDefault="00CF60A0" w:rsidP="00B963D7">
            <w:pPr>
              <w:pStyle w:val="ListParagraph"/>
              <w:spacing w:after="0"/>
              <w:ind w:left="0"/>
              <w:rPr>
                <w:rFonts w:ascii="Times New Roman" w:hAnsi="Times New Roman" w:cs="Times New Roman"/>
                <w:sz w:val="20"/>
                <w:szCs w:val="20"/>
              </w:rPr>
            </w:pPr>
            <w:r w:rsidRPr="007B3AF8">
              <w:rPr>
                <w:rFonts w:ascii="Times New Roman" w:hAnsi="Times New Roman" w:cs="Times New Roman"/>
                <w:sz w:val="20"/>
                <w:szCs w:val="20"/>
              </w:rPr>
              <w:t>-0.033</w:t>
            </w:r>
            <w:r>
              <w:rPr>
                <w:rFonts w:ascii="Times New Roman" w:hAnsi="Times New Roman" w:cs="Times New Roman"/>
                <w:sz w:val="20"/>
                <w:szCs w:val="20"/>
              </w:rPr>
              <w:t xml:space="preserve"> (0.115)</w:t>
            </w:r>
          </w:p>
          <w:p w14:paraId="46A6237F" w14:textId="77777777" w:rsidR="00CF60A0" w:rsidRPr="007B3AF8" w:rsidRDefault="00CF60A0" w:rsidP="00B963D7">
            <w:pPr>
              <w:pStyle w:val="ListParagraph"/>
              <w:spacing w:after="0"/>
              <w:ind w:left="0"/>
              <w:rPr>
                <w:rFonts w:ascii="Times New Roman" w:hAnsi="Times New Roman" w:cs="Times New Roman"/>
                <w:sz w:val="20"/>
                <w:szCs w:val="20"/>
              </w:rPr>
            </w:pPr>
            <w:r w:rsidRPr="007B3AF8">
              <w:rPr>
                <w:rFonts w:ascii="Times New Roman" w:hAnsi="Times New Roman" w:cs="Times New Roman"/>
                <w:sz w:val="20"/>
                <w:szCs w:val="20"/>
              </w:rPr>
              <w:t>0.35</w:t>
            </w:r>
            <w:r>
              <w:rPr>
                <w:rFonts w:ascii="Times New Roman" w:hAnsi="Times New Roman" w:cs="Times New Roman"/>
                <w:sz w:val="20"/>
                <w:szCs w:val="20"/>
              </w:rPr>
              <w:t>0*** (0.103)</w:t>
            </w:r>
          </w:p>
          <w:p w14:paraId="6EAC9A9F" w14:textId="77777777" w:rsidR="00CF60A0" w:rsidRPr="007B3AF8" w:rsidRDefault="00CF60A0" w:rsidP="00B963D7">
            <w:pPr>
              <w:pStyle w:val="ListParagraph"/>
              <w:spacing w:after="0"/>
              <w:ind w:left="0"/>
              <w:rPr>
                <w:rFonts w:ascii="Times New Roman" w:hAnsi="Times New Roman" w:cs="Times New Roman"/>
                <w:sz w:val="20"/>
                <w:szCs w:val="20"/>
              </w:rPr>
            </w:pPr>
            <w:r w:rsidRPr="007B3AF8">
              <w:rPr>
                <w:rFonts w:ascii="Times New Roman" w:hAnsi="Times New Roman" w:cs="Times New Roman"/>
                <w:sz w:val="20"/>
                <w:szCs w:val="20"/>
              </w:rPr>
              <w:t>-0.032</w:t>
            </w:r>
            <w:r>
              <w:rPr>
                <w:rFonts w:ascii="Times New Roman" w:hAnsi="Times New Roman" w:cs="Times New Roman"/>
                <w:sz w:val="20"/>
                <w:szCs w:val="20"/>
              </w:rPr>
              <w:t xml:space="preserve"> (0.211)</w:t>
            </w:r>
            <w:r w:rsidRPr="007B3AF8">
              <w:rPr>
                <w:rFonts w:ascii="Times New Roman" w:hAnsi="Times New Roman" w:cs="Times New Roman"/>
                <w:sz w:val="20"/>
                <w:szCs w:val="20"/>
              </w:rPr>
              <w:t xml:space="preserve"> </w:t>
            </w:r>
          </w:p>
        </w:tc>
        <w:tc>
          <w:tcPr>
            <w:tcW w:w="833" w:type="dxa"/>
            <w:vAlign w:val="center"/>
          </w:tcPr>
          <w:p w14:paraId="6EB4BDA5" w14:textId="4B0DE4ED" w:rsidR="00CF60A0" w:rsidRPr="007B3AF8" w:rsidRDefault="00CF60A0" w:rsidP="00B963D7">
            <w:pPr>
              <w:pStyle w:val="ListParagraph"/>
              <w:spacing w:after="0"/>
              <w:ind w:left="0"/>
              <w:jc w:val="center"/>
              <w:rPr>
                <w:rFonts w:ascii="Times New Roman" w:hAnsi="Times New Roman" w:cs="Times New Roman"/>
                <w:sz w:val="20"/>
                <w:szCs w:val="20"/>
              </w:rPr>
            </w:pPr>
            <w:r w:rsidRPr="007B3AF8">
              <w:rPr>
                <w:rFonts w:ascii="Times New Roman" w:hAnsi="Times New Roman" w:cs="Times New Roman"/>
                <w:sz w:val="20"/>
                <w:szCs w:val="20"/>
              </w:rPr>
              <w:t>47.9%</w:t>
            </w:r>
          </w:p>
        </w:tc>
        <w:tc>
          <w:tcPr>
            <w:tcW w:w="1680" w:type="dxa"/>
          </w:tcPr>
          <w:p w14:paraId="26DC54C2" w14:textId="77777777" w:rsidR="00CF60A0" w:rsidRPr="003D5215" w:rsidRDefault="00CF60A0" w:rsidP="00B963D7">
            <w:pPr>
              <w:pStyle w:val="ListParagraph"/>
              <w:spacing w:after="0"/>
              <w:ind w:left="0"/>
              <w:rPr>
                <w:rFonts w:ascii="Times New Roman" w:hAnsi="Times New Roman" w:cs="Times New Roman"/>
                <w:sz w:val="20"/>
                <w:szCs w:val="20"/>
              </w:rPr>
            </w:pPr>
          </w:p>
          <w:p w14:paraId="6DAC6D04" w14:textId="77777777" w:rsidR="00CF60A0" w:rsidRPr="003D5215" w:rsidRDefault="00CF60A0" w:rsidP="00B963D7">
            <w:pPr>
              <w:pStyle w:val="ListParagraph"/>
              <w:spacing w:after="0"/>
              <w:ind w:left="0"/>
              <w:rPr>
                <w:rFonts w:ascii="Times New Roman" w:hAnsi="Times New Roman" w:cs="Times New Roman"/>
                <w:sz w:val="20"/>
                <w:szCs w:val="20"/>
              </w:rPr>
            </w:pPr>
            <w:r w:rsidRPr="003D5215">
              <w:rPr>
                <w:rFonts w:ascii="Times New Roman" w:hAnsi="Times New Roman" w:cs="Times New Roman"/>
                <w:sz w:val="20"/>
                <w:szCs w:val="20"/>
              </w:rPr>
              <w:t>0.447</w:t>
            </w:r>
            <w:r>
              <w:rPr>
                <w:rFonts w:ascii="Times New Roman" w:hAnsi="Times New Roman" w:cs="Times New Roman"/>
                <w:sz w:val="20"/>
                <w:szCs w:val="20"/>
              </w:rPr>
              <w:t>*** (0.114)</w:t>
            </w:r>
          </w:p>
          <w:p w14:paraId="0ADF2ACB" w14:textId="77777777" w:rsidR="00CF60A0" w:rsidRPr="003D5215" w:rsidRDefault="00CF60A0" w:rsidP="00B963D7">
            <w:pPr>
              <w:pStyle w:val="ListParagraph"/>
              <w:spacing w:after="0"/>
              <w:ind w:left="0"/>
              <w:rPr>
                <w:rFonts w:ascii="Times New Roman" w:hAnsi="Times New Roman" w:cs="Times New Roman"/>
                <w:sz w:val="20"/>
                <w:szCs w:val="20"/>
              </w:rPr>
            </w:pPr>
            <w:r w:rsidRPr="003D5215">
              <w:rPr>
                <w:rFonts w:ascii="Times New Roman" w:hAnsi="Times New Roman" w:cs="Times New Roman"/>
                <w:sz w:val="20"/>
                <w:szCs w:val="20"/>
              </w:rPr>
              <w:t xml:space="preserve">0.272*** </w:t>
            </w:r>
            <w:r>
              <w:rPr>
                <w:rFonts w:ascii="Times New Roman" w:hAnsi="Times New Roman" w:cs="Times New Roman"/>
                <w:sz w:val="20"/>
                <w:szCs w:val="20"/>
              </w:rPr>
              <w:t>(0.098)</w:t>
            </w:r>
          </w:p>
          <w:p w14:paraId="2E79566F" w14:textId="77777777" w:rsidR="00CF60A0" w:rsidRPr="003D5215" w:rsidRDefault="00CF60A0" w:rsidP="00B963D7">
            <w:pPr>
              <w:pStyle w:val="ListParagraph"/>
              <w:spacing w:after="0"/>
              <w:ind w:left="0"/>
              <w:rPr>
                <w:rFonts w:ascii="Times New Roman" w:hAnsi="Times New Roman" w:cs="Times New Roman"/>
                <w:sz w:val="20"/>
                <w:szCs w:val="20"/>
              </w:rPr>
            </w:pPr>
            <w:r w:rsidRPr="003D5215">
              <w:rPr>
                <w:rFonts w:ascii="Times New Roman" w:hAnsi="Times New Roman" w:cs="Times New Roman"/>
                <w:sz w:val="20"/>
                <w:szCs w:val="20"/>
              </w:rPr>
              <w:t xml:space="preserve">-0.719*** </w:t>
            </w:r>
            <w:r>
              <w:rPr>
                <w:rFonts w:ascii="Times New Roman" w:hAnsi="Times New Roman" w:cs="Times New Roman"/>
                <w:sz w:val="20"/>
                <w:szCs w:val="20"/>
              </w:rPr>
              <w:t>(0.207)</w:t>
            </w:r>
          </w:p>
        </w:tc>
        <w:tc>
          <w:tcPr>
            <w:tcW w:w="910" w:type="dxa"/>
            <w:vAlign w:val="center"/>
          </w:tcPr>
          <w:p w14:paraId="7FF5AC00" w14:textId="6F143B3A" w:rsidR="00CF60A0" w:rsidRPr="006D4CA7" w:rsidRDefault="00CF60A0" w:rsidP="00B963D7">
            <w:pPr>
              <w:pStyle w:val="ListParagraph"/>
              <w:spacing w:after="0"/>
              <w:ind w:left="0"/>
              <w:rPr>
                <w:rFonts w:ascii="Times New Roman" w:hAnsi="Times New Roman" w:cs="Times New Roman"/>
                <w:sz w:val="20"/>
                <w:szCs w:val="20"/>
              </w:rPr>
            </w:pPr>
            <w:r w:rsidRPr="006D4CA7">
              <w:rPr>
                <w:rFonts w:ascii="Times New Roman" w:hAnsi="Times New Roman" w:cs="Times New Roman"/>
                <w:sz w:val="20"/>
                <w:szCs w:val="20"/>
              </w:rPr>
              <w:t>39.1%</w:t>
            </w:r>
          </w:p>
        </w:tc>
        <w:tc>
          <w:tcPr>
            <w:tcW w:w="1705" w:type="dxa"/>
          </w:tcPr>
          <w:p w14:paraId="0ED46760" w14:textId="77777777" w:rsidR="00CF60A0" w:rsidRPr="00E748E6" w:rsidRDefault="00CF60A0" w:rsidP="00B963D7">
            <w:pPr>
              <w:pStyle w:val="ListParagraph"/>
              <w:spacing w:after="0"/>
              <w:ind w:left="0"/>
              <w:rPr>
                <w:rFonts w:ascii="Times New Roman" w:hAnsi="Times New Roman" w:cs="Times New Roman"/>
                <w:sz w:val="20"/>
                <w:szCs w:val="20"/>
              </w:rPr>
            </w:pPr>
          </w:p>
          <w:p w14:paraId="058E8C98" w14:textId="77777777" w:rsidR="00CF60A0" w:rsidRPr="00E748E6"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-0.014 (0.126)</w:t>
            </w:r>
          </w:p>
          <w:p w14:paraId="48B457F8" w14:textId="77777777" w:rsidR="00CF60A0" w:rsidRPr="00E748E6" w:rsidRDefault="00CF60A0" w:rsidP="00B963D7">
            <w:pPr>
              <w:pStyle w:val="ListParagraph"/>
              <w:spacing w:after="0"/>
              <w:ind w:left="0"/>
              <w:rPr>
                <w:rFonts w:ascii="Times New Roman" w:hAnsi="Times New Roman" w:cs="Times New Roman"/>
                <w:sz w:val="20"/>
                <w:szCs w:val="20"/>
              </w:rPr>
            </w:pPr>
            <w:r w:rsidRPr="00E748E6">
              <w:rPr>
                <w:rFonts w:ascii="Times New Roman" w:hAnsi="Times New Roman" w:cs="Times New Roman"/>
                <w:sz w:val="20"/>
                <w:szCs w:val="20"/>
              </w:rPr>
              <w:t>0.29</w:t>
            </w:r>
            <w:r>
              <w:rPr>
                <w:rFonts w:ascii="Times New Roman" w:hAnsi="Times New Roman" w:cs="Times New Roman"/>
                <w:sz w:val="20"/>
                <w:szCs w:val="20"/>
              </w:rPr>
              <w:t>0</w:t>
            </w:r>
            <w:r w:rsidRPr="00E748E6">
              <w:rPr>
                <w:rFonts w:ascii="Times New Roman" w:hAnsi="Times New Roman" w:cs="Times New Roman"/>
                <w:sz w:val="20"/>
                <w:szCs w:val="20"/>
              </w:rPr>
              <w:t xml:space="preserve">*** </w:t>
            </w:r>
            <w:r>
              <w:rPr>
                <w:rFonts w:ascii="Times New Roman" w:hAnsi="Times New Roman" w:cs="Times New Roman"/>
                <w:sz w:val="20"/>
                <w:szCs w:val="20"/>
              </w:rPr>
              <w:t>(0.104)</w:t>
            </w:r>
          </w:p>
          <w:p w14:paraId="499F9A23" w14:textId="77777777" w:rsidR="00CF60A0" w:rsidRPr="00E748E6" w:rsidRDefault="00CF60A0" w:rsidP="00B963D7">
            <w:pPr>
              <w:pStyle w:val="ListParagraph"/>
              <w:spacing w:after="0"/>
              <w:ind w:left="0"/>
              <w:rPr>
                <w:rFonts w:ascii="Times New Roman" w:hAnsi="Times New Roman" w:cs="Times New Roman"/>
                <w:sz w:val="20"/>
                <w:szCs w:val="20"/>
              </w:rPr>
            </w:pPr>
            <w:r w:rsidRPr="00E748E6">
              <w:rPr>
                <w:rFonts w:ascii="Times New Roman" w:hAnsi="Times New Roman" w:cs="Times New Roman"/>
                <w:sz w:val="20"/>
                <w:szCs w:val="20"/>
              </w:rPr>
              <w:t>-0.275</w:t>
            </w:r>
            <w:r>
              <w:rPr>
                <w:rFonts w:ascii="Times New Roman" w:hAnsi="Times New Roman" w:cs="Times New Roman"/>
                <w:sz w:val="20"/>
                <w:szCs w:val="20"/>
              </w:rPr>
              <w:t xml:space="preserve"> (0.225)</w:t>
            </w:r>
            <w:r w:rsidRPr="00E748E6">
              <w:rPr>
                <w:rFonts w:ascii="Times New Roman" w:hAnsi="Times New Roman" w:cs="Times New Roman"/>
                <w:sz w:val="20"/>
                <w:szCs w:val="20"/>
              </w:rPr>
              <w:t xml:space="preserve"> </w:t>
            </w:r>
          </w:p>
        </w:tc>
        <w:tc>
          <w:tcPr>
            <w:tcW w:w="990" w:type="dxa"/>
            <w:vAlign w:val="center"/>
          </w:tcPr>
          <w:p w14:paraId="0AE910C7" w14:textId="77777777" w:rsidR="00CF60A0" w:rsidRPr="00BE5048" w:rsidRDefault="00CF60A0" w:rsidP="00B963D7">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32.76</w:t>
            </w:r>
            <w:r w:rsidRPr="00BE5048">
              <w:rPr>
                <w:rFonts w:ascii="Times New Roman" w:hAnsi="Times New Roman" w:cs="Times New Roman"/>
                <w:sz w:val="20"/>
                <w:szCs w:val="20"/>
              </w:rPr>
              <w:t>%</w:t>
            </w:r>
          </w:p>
        </w:tc>
      </w:tr>
      <w:tr w:rsidR="00CF60A0" w:rsidRPr="00621669" w14:paraId="205DD02E" w14:textId="77777777" w:rsidTr="004436A9">
        <w:trPr>
          <w:jc w:val="center"/>
        </w:trPr>
        <w:tc>
          <w:tcPr>
            <w:tcW w:w="3006" w:type="dxa"/>
            <w:vAlign w:val="center"/>
          </w:tcPr>
          <w:p w14:paraId="5A5F014A"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Calcium and Vitamin D status</w:t>
            </w:r>
          </w:p>
          <w:p w14:paraId="09C16135" w14:textId="5142CFE0"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included</w:t>
            </w:r>
            <w:r w:rsidRPr="00621669">
              <w:rPr>
                <w:rFonts w:ascii="Times New Roman" w:hAnsi="Times New Roman" w:cs="Times New Roman"/>
                <w:sz w:val="20"/>
                <w:szCs w:val="20"/>
                <w:vertAlign w:val="superscript"/>
                <w:lang w:val="en-GB"/>
              </w:rPr>
              <w:t>b</w:t>
            </w:r>
            <w:r w:rsidRPr="00621669">
              <w:rPr>
                <w:rFonts w:ascii="Times New Roman" w:hAnsi="Times New Roman" w:cs="Times New Roman"/>
                <w:sz w:val="20"/>
                <w:szCs w:val="20"/>
                <w:lang w:val="en-GB"/>
              </w:rPr>
              <w:t xml:space="preserve">  </w:t>
            </w:r>
          </w:p>
          <w:p w14:paraId="5ABAE241"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Supplements</w:t>
            </w:r>
          </w:p>
          <w:p w14:paraId="1B955F9B" w14:textId="2F07214F" w:rsidR="00CF60A0"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Nutrition and exposure</w:t>
            </w:r>
            <w:r w:rsidR="00D70B20">
              <w:rPr>
                <w:rFonts w:ascii="Times New Roman" w:hAnsi="Times New Roman" w:cs="Times New Roman"/>
                <w:sz w:val="20"/>
                <w:szCs w:val="20"/>
                <w:lang w:val="en-GB"/>
              </w:rPr>
              <w:t xml:space="preserve"> to</w:t>
            </w:r>
          </w:p>
          <w:p w14:paraId="4E86B3B3" w14:textId="2C7C2DEF" w:rsidR="00D70B20" w:rsidRPr="00664334" w:rsidRDefault="00D70B2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b/>
                <w:bCs/>
                <w:sz w:val="20"/>
                <w:szCs w:val="20"/>
                <w:lang w:val="en-GB"/>
              </w:rPr>
              <w:t xml:space="preserve">     </w:t>
            </w:r>
            <w:r>
              <w:rPr>
                <w:rFonts w:ascii="Times New Roman" w:hAnsi="Times New Roman" w:cs="Times New Roman"/>
                <w:sz w:val="20"/>
                <w:szCs w:val="20"/>
                <w:lang w:val="en-GB"/>
              </w:rPr>
              <w:t>sunlight</w:t>
            </w:r>
          </w:p>
        </w:tc>
        <w:tc>
          <w:tcPr>
            <w:tcW w:w="1687" w:type="dxa"/>
          </w:tcPr>
          <w:p w14:paraId="20A8BCEF" w14:textId="77777777" w:rsidR="00CF60A0" w:rsidRPr="00607F80" w:rsidRDefault="00CF60A0" w:rsidP="00B963D7">
            <w:pPr>
              <w:pStyle w:val="ListParagraph"/>
              <w:spacing w:after="0"/>
              <w:ind w:left="0"/>
              <w:rPr>
                <w:rFonts w:ascii="Times New Roman" w:hAnsi="Times New Roman" w:cs="Times New Roman"/>
                <w:sz w:val="20"/>
                <w:szCs w:val="20"/>
                <w:lang w:val="en-GB"/>
              </w:rPr>
            </w:pPr>
          </w:p>
          <w:p w14:paraId="0464EDAD" w14:textId="77777777" w:rsidR="00CF60A0" w:rsidRPr="00607F80"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0.470*** (0.227)</w:t>
            </w:r>
          </w:p>
          <w:p w14:paraId="2EFEB8F3" w14:textId="77777777" w:rsidR="00CF60A0" w:rsidRPr="00607F80" w:rsidRDefault="00CF60A0" w:rsidP="00B963D7">
            <w:pPr>
              <w:pStyle w:val="ListParagraph"/>
              <w:spacing w:after="0"/>
              <w:ind w:left="0"/>
              <w:rPr>
                <w:rFonts w:ascii="Times New Roman" w:hAnsi="Times New Roman" w:cs="Times New Roman"/>
                <w:sz w:val="20"/>
                <w:szCs w:val="20"/>
              </w:rPr>
            </w:pPr>
            <w:r w:rsidRPr="00607F80">
              <w:rPr>
                <w:rFonts w:ascii="Times New Roman" w:hAnsi="Times New Roman" w:cs="Times New Roman"/>
                <w:sz w:val="20"/>
                <w:szCs w:val="20"/>
              </w:rPr>
              <w:t>0.206**</w:t>
            </w:r>
            <w:r>
              <w:rPr>
                <w:rFonts w:ascii="Times New Roman" w:hAnsi="Times New Roman" w:cs="Times New Roman"/>
                <w:sz w:val="20"/>
                <w:szCs w:val="20"/>
              </w:rPr>
              <w:t>(0.091)</w:t>
            </w:r>
            <w:r w:rsidRPr="00607F80">
              <w:rPr>
                <w:rFonts w:ascii="Times New Roman" w:hAnsi="Times New Roman" w:cs="Times New Roman"/>
                <w:sz w:val="20"/>
                <w:szCs w:val="20"/>
              </w:rPr>
              <w:t xml:space="preserve"> </w:t>
            </w:r>
          </w:p>
          <w:p w14:paraId="7D0A1778" w14:textId="77777777" w:rsidR="00CF60A0" w:rsidRPr="00607F80" w:rsidRDefault="00CF60A0" w:rsidP="00B963D7">
            <w:pPr>
              <w:pStyle w:val="ListParagraph"/>
              <w:spacing w:after="0"/>
              <w:ind w:left="0"/>
              <w:rPr>
                <w:rFonts w:ascii="Times New Roman" w:hAnsi="Times New Roman" w:cs="Times New Roman"/>
                <w:sz w:val="20"/>
                <w:szCs w:val="20"/>
              </w:rPr>
            </w:pPr>
            <w:r w:rsidRPr="00607F80">
              <w:rPr>
                <w:rFonts w:ascii="Times New Roman" w:hAnsi="Times New Roman" w:cs="Times New Roman"/>
                <w:sz w:val="20"/>
                <w:szCs w:val="20"/>
              </w:rPr>
              <w:t>-0.676***</w:t>
            </w:r>
            <w:r>
              <w:rPr>
                <w:rFonts w:ascii="Times New Roman" w:hAnsi="Times New Roman" w:cs="Times New Roman"/>
                <w:sz w:val="20"/>
                <w:szCs w:val="20"/>
              </w:rPr>
              <w:t>(0.158)</w:t>
            </w:r>
          </w:p>
        </w:tc>
        <w:tc>
          <w:tcPr>
            <w:tcW w:w="898" w:type="dxa"/>
            <w:vAlign w:val="center"/>
          </w:tcPr>
          <w:p w14:paraId="07334498" w14:textId="763105D2" w:rsidR="00CF60A0" w:rsidRPr="007111F0" w:rsidRDefault="00CF60A0" w:rsidP="00B963D7">
            <w:pPr>
              <w:pStyle w:val="ListParagraph"/>
              <w:spacing w:after="0"/>
              <w:ind w:left="0"/>
              <w:rPr>
                <w:rFonts w:ascii="Times New Roman" w:hAnsi="Times New Roman" w:cs="Times New Roman"/>
                <w:sz w:val="20"/>
                <w:szCs w:val="20"/>
              </w:rPr>
            </w:pPr>
            <w:r w:rsidRPr="007111F0">
              <w:rPr>
                <w:rFonts w:ascii="Times New Roman" w:hAnsi="Times New Roman" w:cs="Times New Roman"/>
                <w:sz w:val="20"/>
                <w:szCs w:val="20"/>
              </w:rPr>
              <w:t>27.9%</w:t>
            </w:r>
          </w:p>
        </w:tc>
        <w:tc>
          <w:tcPr>
            <w:tcW w:w="1696" w:type="dxa"/>
          </w:tcPr>
          <w:p w14:paraId="54DB2135" w14:textId="77777777" w:rsidR="00CF60A0" w:rsidRPr="007B3AF8" w:rsidRDefault="00CF60A0" w:rsidP="00B963D7">
            <w:pPr>
              <w:pStyle w:val="ListParagraph"/>
              <w:spacing w:after="0"/>
              <w:ind w:left="0"/>
              <w:rPr>
                <w:rFonts w:ascii="Times New Roman" w:hAnsi="Times New Roman" w:cs="Times New Roman"/>
                <w:sz w:val="20"/>
                <w:szCs w:val="20"/>
                <w:lang w:val="en-GB"/>
              </w:rPr>
            </w:pPr>
          </w:p>
          <w:p w14:paraId="7595CB9D" w14:textId="77777777" w:rsidR="00CF60A0" w:rsidRPr="007B3AF8" w:rsidRDefault="00CF60A0" w:rsidP="00B963D7">
            <w:pPr>
              <w:pStyle w:val="ListParagraph"/>
              <w:spacing w:after="0"/>
              <w:ind w:left="0"/>
              <w:rPr>
                <w:rFonts w:ascii="Times New Roman" w:hAnsi="Times New Roman" w:cs="Times New Roman"/>
                <w:sz w:val="20"/>
                <w:szCs w:val="20"/>
                <w:lang w:val="en-GB"/>
              </w:rPr>
            </w:pPr>
            <w:r w:rsidRPr="007B3AF8">
              <w:rPr>
                <w:rFonts w:ascii="Times New Roman" w:hAnsi="Times New Roman" w:cs="Times New Roman"/>
                <w:sz w:val="20"/>
                <w:szCs w:val="20"/>
                <w:lang w:val="en-GB"/>
              </w:rPr>
              <w:t>-0.078</w:t>
            </w:r>
            <w:r>
              <w:rPr>
                <w:rFonts w:ascii="Times New Roman" w:hAnsi="Times New Roman" w:cs="Times New Roman"/>
                <w:sz w:val="20"/>
                <w:szCs w:val="20"/>
                <w:lang w:val="en-GB"/>
              </w:rPr>
              <w:t xml:space="preserve"> (0.286)</w:t>
            </w:r>
          </w:p>
          <w:p w14:paraId="0EB12C51" w14:textId="77777777" w:rsidR="00CF60A0" w:rsidRPr="007B3AF8" w:rsidRDefault="00CF60A0" w:rsidP="00B963D7">
            <w:pPr>
              <w:pStyle w:val="ListParagraph"/>
              <w:spacing w:after="0"/>
              <w:ind w:left="0"/>
              <w:rPr>
                <w:rFonts w:ascii="Times New Roman" w:hAnsi="Times New Roman" w:cs="Times New Roman"/>
                <w:sz w:val="20"/>
                <w:szCs w:val="20"/>
                <w:lang w:val="en-GB"/>
              </w:rPr>
            </w:pPr>
            <w:r w:rsidRPr="007B3AF8">
              <w:rPr>
                <w:rFonts w:ascii="Times New Roman" w:hAnsi="Times New Roman" w:cs="Times New Roman"/>
                <w:sz w:val="20"/>
                <w:szCs w:val="20"/>
                <w:lang w:val="en-GB"/>
              </w:rPr>
              <w:t>0.071</w:t>
            </w:r>
            <w:r>
              <w:rPr>
                <w:rFonts w:ascii="Times New Roman" w:hAnsi="Times New Roman" w:cs="Times New Roman"/>
                <w:sz w:val="20"/>
                <w:szCs w:val="20"/>
                <w:lang w:val="en-GB"/>
              </w:rPr>
              <w:t xml:space="preserve"> (0.114)</w:t>
            </w:r>
          </w:p>
          <w:p w14:paraId="3DFDD0A7" w14:textId="77777777" w:rsidR="00CF60A0" w:rsidRPr="007B3AF8" w:rsidRDefault="00CF60A0" w:rsidP="00B963D7">
            <w:pPr>
              <w:pStyle w:val="ListParagraph"/>
              <w:spacing w:after="0"/>
              <w:ind w:left="0"/>
              <w:rPr>
                <w:rFonts w:ascii="Times New Roman" w:hAnsi="Times New Roman" w:cs="Times New Roman"/>
                <w:sz w:val="20"/>
                <w:szCs w:val="20"/>
                <w:lang w:val="en-GB"/>
              </w:rPr>
            </w:pPr>
            <w:r w:rsidRPr="007B3AF8">
              <w:rPr>
                <w:rFonts w:ascii="Times New Roman" w:hAnsi="Times New Roman" w:cs="Times New Roman"/>
                <w:sz w:val="20"/>
                <w:szCs w:val="20"/>
                <w:lang w:val="en-GB"/>
              </w:rPr>
              <w:t xml:space="preserve">0.008 </w:t>
            </w:r>
            <w:r>
              <w:rPr>
                <w:rFonts w:ascii="Times New Roman" w:hAnsi="Times New Roman" w:cs="Times New Roman"/>
                <w:sz w:val="20"/>
                <w:szCs w:val="20"/>
                <w:lang w:val="en-GB"/>
              </w:rPr>
              <w:t>(0.205)</w:t>
            </w:r>
          </w:p>
        </w:tc>
        <w:tc>
          <w:tcPr>
            <w:tcW w:w="833" w:type="dxa"/>
            <w:vAlign w:val="center"/>
          </w:tcPr>
          <w:p w14:paraId="4D3A7D78" w14:textId="51B93CE7" w:rsidR="00CF60A0" w:rsidRPr="007B3AF8" w:rsidRDefault="00CF60A0" w:rsidP="00B963D7">
            <w:pPr>
              <w:pStyle w:val="ListParagraph"/>
              <w:spacing w:after="0"/>
              <w:ind w:left="0"/>
              <w:jc w:val="center"/>
              <w:rPr>
                <w:rFonts w:ascii="Times New Roman" w:hAnsi="Times New Roman" w:cs="Times New Roman"/>
                <w:sz w:val="20"/>
                <w:szCs w:val="20"/>
              </w:rPr>
            </w:pPr>
            <w:r w:rsidRPr="007B3AF8">
              <w:rPr>
                <w:rFonts w:ascii="Times New Roman" w:hAnsi="Times New Roman" w:cs="Times New Roman"/>
                <w:sz w:val="20"/>
                <w:szCs w:val="20"/>
              </w:rPr>
              <w:t>10.7%</w:t>
            </w:r>
          </w:p>
        </w:tc>
        <w:tc>
          <w:tcPr>
            <w:tcW w:w="1680" w:type="dxa"/>
          </w:tcPr>
          <w:p w14:paraId="57EC4686" w14:textId="77777777" w:rsidR="00CF60A0" w:rsidRPr="003D5215" w:rsidRDefault="00CF60A0" w:rsidP="00B963D7">
            <w:pPr>
              <w:pStyle w:val="ListParagraph"/>
              <w:spacing w:after="0"/>
              <w:ind w:left="0"/>
              <w:rPr>
                <w:rFonts w:ascii="Times New Roman" w:hAnsi="Times New Roman" w:cs="Times New Roman"/>
                <w:sz w:val="20"/>
                <w:szCs w:val="20"/>
                <w:lang w:val="en-GB"/>
              </w:rPr>
            </w:pPr>
          </w:p>
          <w:p w14:paraId="1E5A6C08" w14:textId="77777777" w:rsidR="00CF60A0" w:rsidRPr="003D5215" w:rsidRDefault="00CF60A0" w:rsidP="00B963D7">
            <w:pPr>
              <w:pStyle w:val="ListParagraph"/>
              <w:spacing w:after="0"/>
              <w:ind w:left="0"/>
              <w:rPr>
                <w:rFonts w:ascii="Times New Roman" w:hAnsi="Times New Roman" w:cs="Times New Roman"/>
                <w:sz w:val="20"/>
                <w:szCs w:val="20"/>
                <w:lang w:val="en-GB"/>
              </w:rPr>
            </w:pPr>
            <w:r w:rsidRPr="003D5215">
              <w:rPr>
                <w:rFonts w:ascii="Times New Roman" w:hAnsi="Times New Roman" w:cs="Times New Roman"/>
                <w:sz w:val="20"/>
                <w:szCs w:val="20"/>
                <w:lang w:val="en-GB"/>
              </w:rPr>
              <w:t>0.129</w:t>
            </w:r>
            <w:r>
              <w:rPr>
                <w:rFonts w:ascii="Times New Roman" w:hAnsi="Times New Roman" w:cs="Times New Roman"/>
                <w:sz w:val="20"/>
                <w:szCs w:val="20"/>
                <w:lang w:val="en-GB"/>
              </w:rPr>
              <w:t xml:space="preserve"> (0.274)</w:t>
            </w:r>
          </w:p>
          <w:p w14:paraId="0DEF3139" w14:textId="77777777" w:rsidR="00CF60A0" w:rsidRPr="003D5215" w:rsidRDefault="00CF60A0" w:rsidP="00B963D7">
            <w:pPr>
              <w:pStyle w:val="ListParagraph"/>
              <w:spacing w:after="0"/>
              <w:ind w:left="0"/>
              <w:rPr>
                <w:rFonts w:ascii="Times New Roman" w:hAnsi="Times New Roman" w:cs="Times New Roman"/>
                <w:sz w:val="20"/>
                <w:szCs w:val="20"/>
                <w:lang w:val="en-GB"/>
              </w:rPr>
            </w:pPr>
            <w:r w:rsidRPr="003D5215">
              <w:rPr>
                <w:rFonts w:ascii="Times New Roman" w:hAnsi="Times New Roman" w:cs="Times New Roman"/>
                <w:sz w:val="20"/>
                <w:szCs w:val="20"/>
                <w:lang w:val="en-GB"/>
              </w:rPr>
              <w:t xml:space="preserve">0.292*** </w:t>
            </w:r>
            <w:r>
              <w:rPr>
                <w:rFonts w:ascii="Times New Roman" w:hAnsi="Times New Roman" w:cs="Times New Roman"/>
                <w:sz w:val="20"/>
                <w:szCs w:val="20"/>
                <w:lang w:val="en-GB"/>
              </w:rPr>
              <w:t>(0.111)</w:t>
            </w:r>
          </w:p>
          <w:p w14:paraId="2C4001AB" w14:textId="77777777" w:rsidR="00CF60A0" w:rsidRPr="003D5215" w:rsidRDefault="00CF60A0" w:rsidP="00B963D7">
            <w:pPr>
              <w:pStyle w:val="ListParagraph"/>
              <w:spacing w:after="0"/>
              <w:ind w:left="0"/>
              <w:rPr>
                <w:rFonts w:ascii="Times New Roman" w:hAnsi="Times New Roman" w:cs="Times New Roman"/>
                <w:sz w:val="20"/>
                <w:szCs w:val="20"/>
                <w:lang w:val="en-GB"/>
              </w:rPr>
            </w:pPr>
            <w:r w:rsidRPr="003D5215">
              <w:rPr>
                <w:rFonts w:ascii="Times New Roman" w:hAnsi="Times New Roman" w:cs="Times New Roman"/>
                <w:sz w:val="20"/>
                <w:szCs w:val="20"/>
                <w:lang w:val="en-GB"/>
              </w:rPr>
              <w:t xml:space="preserve">-0.422** </w:t>
            </w:r>
            <w:r>
              <w:rPr>
                <w:rFonts w:ascii="Times New Roman" w:hAnsi="Times New Roman" w:cs="Times New Roman"/>
                <w:sz w:val="20"/>
                <w:szCs w:val="20"/>
                <w:lang w:val="en-GB"/>
              </w:rPr>
              <w:t>(0.194)</w:t>
            </w:r>
          </w:p>
        </w:tc>
        <w:tc>
          <w:tcPr>
            <w:tcW w:w="910" w:type="dxa"/>
            <w:vAlign w:val="center"/>
          </w:tcPr>
          <w:p w14:paraId="2E8CCC2C" w14:textId="4A624E3F" w:rsidR="00CF60A0" w:rsidRPr="006D4CA7" w:rsidRDefault="00CF60A0" w:rsidP="00B963D7">
            <w:pPr>
              <w:pStyle w:val="ListParagraph"/>
              <w:spacing w:after="0"/>
              <w:ind w:left="0"/>
              <w:rPr>
                <w:rFonts w:ascii="Times New Roman" w:hAnsi="Times New Roman" w:cs="Times New Roman"/>
                <w:sz w:val="20"/>
                <w:szCs w:val="20"/>
              </w:rPr>
            </w:pPr>
            <w:r w:rsidRPr="006D4CA7">
              <w:rPr>
                <w:rFonts w:ascii="Times New Roman" w:hAnsi="Times New Roman" w:cs="Times New Roman"/>
                <w:sz w:val="20"/>
                <w:szCs w:val="20"/>
              </w:rPr>
              <w:t>23.9%</w:t>
            </w:r>
          </w:p>
        </w:tc>
        <w:tc>
          <w:tcPr>
            <w:tcW w:w="1705" w:type="dxa"/>
          </w:tcPr>
          <w:p w14:paraId="6A817FA9" w14:textId="77777777" w:rsidR="00CF60A0" w:rsidRPr="00E748E6" w:rsidRDefault="00CF60A0" w:rsidP="00B963D7">
            <w:pPr>
              <w:pStyle w:val="ListParagraph"/>
              <w:spacing w:after="0"/>
              <w:ind w:left="0"/>
              <w:rPr>
                <w:rFonts w:ascii="Times New Roman" w:hAnsi="Times New Roman" w:cs="Times New Roman"/>
                <w:sz w:val="20"/>
                <w:szCs w:val="20"/>
                <w:lang w:val="en-GB"/>
              </w:rPr>
            </w:pPr>
          </w:p>
          <w:p w14:paraId="050B61C5" w14:textId="77777777" w:rsidR="00CF60A0" w:rsidRPr="00E748E6"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-0.033 (0.291)</w:t>
            </w:r>
          </w:p>
          <w:p w14:paraId="20B28135" w14:textId="77777777" w:rsidR="00CF60A0" w:rsidRPr="00E748E6" w:rsidRDefault="00CF60A0" w:rsidP="00B963D7">
            <w:pPr>
              <w:pStyle w:val="ListParagraph"/>
              <w:spacing w:after="0"/>
              <w:ind w:left="0"/>
              <w:rPr>
                <w:rFonts w:ascii="Times New Roman" w:hAnsi="Times New Roman" w:cs="Times New Roman"/>
                <w:sz w:val="20"/>
                <w:szCs w:val="20"/>
                <w:lang w:val="en-GB"/>
              </w:rPr>
            </w:pPr>
            <w:r w:rsidRPr="00E748E6">
              <w:rPr>
                <w:rFonts w:ascii="Times New Roman" w:hAnsi="Times New Roman" w:cs="Times New Roman"/>
                <w:sz w:val="20"/>
                <w:szCs w:val="20"/>
                <w:lang w:val="en-GB"/>
              </w:rPr>
              <w:t>0.196*</w:t>
            </w:r>
            <w:r>
              <w:rPr>
                <w:rFonts w:ascii="Times New Roman" w:hAnsi="Times New Roman" w:cs="Times New Roman"/>
                <w:sz w:val="20"/>
                <w:szCs w:val="20"/>
                <w:lang w:val="en-GB"/>
              </w:rPr>
              <w:t xml:space="preserve"> (0.113)</w:t>
            </w:r>
            <w:r w:rsidRPr="00E748E6">
              <w:rPr>
                <w:rFonts w:ascii="Times New Roman" w:hAnsi="Times New Roman" w:cs="Times New Roman"/>
                <w:sz w:val="20"/>
                <w:szCs w:val="20"/>
                <w:lang w:val="en-GB"/>
              </w:rPr>
              <w:t xml:space="preserve"> </w:t>
            </w:r>
          </w:p>
          <w:p w14:paraId="7B13A265" w14:textId="77777777" w:rsidR="00CF60A0" w:rsidRPr="00E748E6" w:rsidRDefault="00CF60A0" w:rsidP="00B963D7">
            <w:pPr>
              <w:pStyle w:val="ListParagraph"/>
              <w:spacing w:after="0"/>
              <w:ind w:left="0"/>
              <w:rPr>
                <w:rFonts w:ascii="Times New Roman" w:hAnsi="Times New Roman" w:cs="Times New Roman"/>
                <w:sz w:val="20"/>
                <w:szCs w:val="20"/>
                <w:lang w:val="en-GB"/>
              </w:rPr>
            </w:pPr>
            <w:r w:rsidRPr="00E748E6">
              <w:rPr>
                <w:rFonts w:ascii="Times New Roman" w:hAnsi="Times New Roman" w:cs="Times New Roman"/>
                <w:sz w:val="20"/>
                <w:szCs w:val="20"/>
                <w:lang w:val="en-GB"/>
              </w:rPr>
              <w:t xml:space="preserve">-0.163 </w:t>
            </w:r>
            <w:r>
              <w:rPr>
                <w:rFonts w:ascii="Times New Roman" w:hAnsi="Times New Roman" w:cs="Times New Roman"/>
                <w:sz w:val="20"/>
                <w:szCs w:val="20"/>
                <w:lang w:val="en-GB"/>
              </w:rPr>
              <w:t>(0.215)</w:t>
            </w:r>
          </w:p>
        </w:tc>
        <w:tc>
          <w:tcPr>
            <w:tcW w:w="990" w:type="dxa"/>
            <w:vAlign w:val="center"/>
          </w:tcPr>
          <w:p w14:paraId="3B49FC38" w14:textId="77777777" w:rsidR="00CF60A0" w:rsidRPr="00BE5048" w:rsidRDefault="00CF60A0" w:rsidP="00B963D7">
            <w:pPr>
              <w:pStyle w:val="ListParagraph"/>
              <w:spacing w:after="0"/>
              <w:ind w:left="0"/>
              <w:jc w:val="center"/>
              <w:rPr>
                <w:rFonts w:ascii="Times New Roman" w:hAnsi="Times New Roman" w:cs="Times New Roman"/>
                <w:sz w:val="20"/>
                <w:szCs w:val="20"/>
              </w:rPr>
            </w:pPr>
            <w:r w:rsidRPr="00BE5048">
              <w:rPr>
                <w:rFonts w:ascii="Times New Roman" w:hAnsi="Times New Roman" w:cs="Times New Roman"/>
                <w:sz w:val="20"/>
                <w:szCs w:val="20"/>
              </w:rPr>
              <w:t>20.8</w:t>
            </w:r>
            <w:r>
              <w:rPr>
                <w:rFonts w:ascii="Times New Roman" w:hAnsi="Times New Roman" w:cs="Times New Roman"/>
                <w:sz w:val="20"/>
                <w:szCs w:val="20"/>
              </w:rPr>
              <w:t>4</w:t>
            </w:r>
            <w:r w:rsidRPr="00BE5048">
              <w:rPr>
                <w:rFonts w:ascii="Times New Roman" w:hAnsi="Times New Roman" w:cs="Times New Roman"/>
                <w:sz w:val="20"/>
                <w:szCs w:val="20"/>
              </w:rPr>
              <w:t>%</w:t>
            </w:r>
          </w:p>
        </w:tc>
      </w:tr>
      <w:tr w:rsidR="00CF60A0" w:rsidRPr="00621669" w14:paraId="6DF4F3E6" w14:textId="77777777" w:rsidTr="004436A9">
        <w:trPr>
          <w:jc w:val="center"/>
        </w:trPr>
        <w:tc>
          <w:tcPr>
            <w:tcW w:w="3006" w:type="dxa"/>
            <w:vAlign w:val="center"/>
          </w:tcPr>
          <w:p w14:paraId="4A083466"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Smoking</w:t>
            </w:r>
          </w:p>
          <w:p w14:paraId="37CF1608" w14:textId="0B2D9620"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included</w:t>
            </w:r>
            <w:r w:rsidRPr="00621669">
              <w:rPr>
                <w:rFonts w:ascii="Times New Roman" w:hAnsi="Times New Roman" w:cs="Times New Roman"/>
                <w:sz w:val="20"/>
                <w:szCs w:val="20"/>
                <w:vertAlign w:val="superscript"/>
                <w:lang w:val="en-GB"/>
              </w:rPr>
              <w:t>b</w:t>
            </w:r>
            <w:r w:rsidRPr="00621669">
              <w:rPr>
                <w:rFonts w:ascii="Times New Roman" w:hAnsi="Times New Roman" w:cs="Times New Roman"/>
                <w:sz w:val="20"/>
                <w:szCs w:val="20"/>
                <w:lang w:val="en-GB"/>
              </w:rPr>
              <w:t xml:space="preserve">  </w:t>
            </w:r>
          </w:p>
          <w:p w14:paraId="1E8CF6BE" w14:textId="77777777"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Quit smoking</w:t>
            </w:r>
          </w:p>
        </w:tc>
        <w:tc>
          <w:tcPr>
            <w:tcW w:w="1687" w:type="dxa"/>
            <w:shd w:val="clear" w:color="auto" w:fill="auto"/>
          </w:tcPr>
          <w:p w14:paraId="20E29597" w14:textId="77777777" w:rsidR="00CF60A0" w:rsidRPr="002C33DF" w:rsidRDefault="00CF60A0" w:rsidP="00B963D7">
            <w:pPr>
              <w:pStyle w:val="ListParagraph"/>
              <w:spacing w:after="0"/>
              <w:ind w:left="0"/>
              <w:rPr>
                <w:rFonts w:ascii="Times New Roman" w:hAnsi="Times New Roman" w:cs="Times New Roman"/>
                <w:sz w:val="20"/>
                <w:szCs w:val="20"/>
                <w:lang w:val="en-GB"/>
              </w:rPr>
            </w:pPr>
          </w:p>
          <w:p w14:paraId="2F918F08" w14:textId="77777777" w:rsidR="00CF60A0" w:rsidRPr="00607F80"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-0.071 (0.096)</w:t>
            </w:r>
          </w:p>
          <w:p w14:paraId="7E290330" w14:textId="77777777" w:rsidR="00CF60A0" w:rsidRPr="00607F80"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0.071 (0.096)</w:t>
            </w:r>
          </w:p>
        </w:tc>
        <w:tc>
          <w:tcPr>
            <w:tcW w:w="898" w:type="dxa"/>
            <w:vAlign w:val="center"/>
          </w:tcPr>
          <w:p w14:paraId="066C4E1D" w14:textId="3860A90B" w:rsidR="00CF60A0" w:rsidRPr="007111F0" w:rsidRDefault="00CF60A0" w:rsidP="00B963D7">
            <w:pPr>
              <w:pStyle w:val="ListParagraph"/>
              <w:spacing w:after="0"/>
              <w:ind w:left="0"/>
              <w:rPr>
                <w:rFonts w:ascii="Times New Roman" w:hAnsi="Times New Roman" w:cs="Times New Roman"/>
                <w:sz w:val="20"/>
                <w:szCs w:val="20"/>
              </w:rPr>
            </w:pPr>
            <w:r w:rsidRPr="007111F0">
              <w:rPr>
                <w:rFonts w:ascii="Times New Roman" w:hAnsi="Times New Roman" w:cs="Times New Roman"/>
                <w:sz w:val="20"/>
                <w:szCs w:val="20"/>
              </w:rPr>
              <w:t>1.7%</w:t>
            </w:r>
          </w:p>
        </w:tc>
        <w:tc>
          <w:tcPr>
            <w:tcW w:w="1696" w:type="dxa"/>
          </w:tcPr>
          <w:p w14:paraId="03FD63D0" w14:textId="77777777" w:rsidR="00CF60A0" w:rsidRPr="007B3AF8" w:rsidRDefault="00CF60A0" w:rsidP="00B963D7">
            <w:pPr>
              <w:pStyle w:val="ListParagraph"/>
              <w:spacing w:after="0"/>
              <w:ind w:left="0"/>
              <w:rPr>
                <w:rFonts w:ascii="Times New Roman" w:hAnsi="Times New Roman" w:cs="Times New Roman"/>
                <w:sz w:val="20"/>
                <w:szCs w:val="20"/>
              </w:rPr>
            </w:pPr>
          </w:p>
          <w:p w14:paraId="2AEADBA9" w14:textId="77777777" w:rsidR="00CF60A0" w:rsidRPr="007B3AF8" w:rsidRDefault="00CF60A0" w:rsidP="00B963D7">
            <w:pPr>
              <w:pStyle w:val="ListParagraph"/>
              <w:spacing w:after="0"/>
              <w:ind w:left="0"/>
              <w:rPr>
                <w:rFonts w:ascii="Times New Roman" w:hAnsi="Times New Roman" w:cs="Times New Roman"/>
                <w:sz w:val="20"/>
                <w:szCs w:val="20"/>
              </w:rPr>
            </w:pPr>
            <w:r w:rsidRPr="007B3AF8">
              <w:rPr>
                <w:rFonts w:ascii="Times New Roman" w:hAnsi="Times New Roman" w:cs="Times New Roman"/>
                <w:sz w:val="20"/>
                <w:szCs w:val="20"/>
              </w:rPr>
              <w:t>0.048</w:t>
            </w:r>
            <w:r>
              <w:rPr>
                <w:rFonts w:ascii="Times New Roman" w:hAnsi="Times New Roman" w:cs="Times New Roman"/>
                <w:sz w:val="20"/>
                <w:szCs w:val="20"/>
              </w:rPr>
              <w:t xml:space="preserve"> (0.125)</w:t>
            </w:r>
          </w:p>
          <w:p w14:paraId="0EF9A59C" w14:textId="77777777" w:rsidR="00CF60A0" w:rsidRPr="007B3AF8" w:rsidRDefault="00CF60A0" w:rsidP="00B963D7">
            <w:pPr>
              <w:pStyle w:val="ListParagraph"/>
              <w:spacing w:after="0"/>
              <w:ind w:left="0"/>
              <w:rPr>
                <w:rFonts w:ascii="Times New Roman" w:hAnsi="Times New Roman" w:cs="Times New Roman"/>
                <w:sz w:val="20"/>
                <w:szCs w:val="20"/>
              </w:rPr>
            </w:pPr>
            <w:r w:rsidRPr="007B3AF8">
              <w:rPr>
                <w:rFonts w:ascii="Times New Roman" w:hAnsi="Times New Roman" w:cs="Times New Roman"/>
                <w:sz w:val="20"/>
                <w:szCs w:val="20"/>
              </w:rPr>
              <w:t xml:space="preserve">-0.048 </w:t>
            </w:r>
            <w:r>
              <w:rPr>
                <w:rFonts w:ascii="Times New Roman" w:hAnsi="Times New Roman" w:cs="Times New Roman"/>
                <w:sz w:val="20"/>
                <w:szCs w:val="20"/>
              </w:rPr>
              <w:t>(0.125)</w:t>
            </w:r>
          </w:p>
        </w:tc>
        <w:tc>
          <w:tcPr>
            <w:tcW w:w="833" w:type="dxa"/>
            <w:vAlign w:val="center"/>
          </w:tcPr>
          <w:p w14:paraId="1A530287" w14:textId="6F41E2E2" w:rsidR="00CF60A0" w:rsidRPr="007B3AF8" w:rsidRDefault="00CF60A0" w:rsidP="00B963D7">
            <w:pPr>
              <w:pStyle w:val="ListParagraph"/>
              <w:spacing w:after="0"/>
              <w:ind w:left="0"/>
              <w:jc w:val="center"/>
              <w:rPr>
                <w:rFonts w:ascii="Times New Roman" w:hAnsi="Times New Roman" w:cs="Times New Roman"/>
                <w:sz w:val="20"/>
                <w:szCs w:val="20"/>
              </w:rPr>
            </w:pPr>
            <w:r w:rsidRPr="007B3AF8">
              <w:rPr>
                <w:rFonts w:ascii="Times New Roman" w:hAnsi="Times New Roman" w:cs="Times New Roman"/>
                <w:sz w:val="20"/>
                <w:szCs w:val="20"/>
              </w:rPr>
              <w:t>3.</w:t>
            </w:r>
            <w:r w:rsidR="006771B8">
              <w:rPr>
                <w:rFonts w:ascii="Times New Roman" w:hAnsi="Times New Roman" w:cs="Times New Roman"/>
                <w:sz w:val="20"/>
                <w:szCs w:val="20"/>
              </w:rPr>
              <w:t>5</w:t>
            </w:r>
            <w:r w:rsidRPr="007B3AF8">
              <w:rPr>
                <w:rFonts w:ascii="Times New Roman" w:hAnsi="Times New Roman" w:cs="Times New Roman"/>
                <w:sz w:val="20"/>
                <w:szCs w:val="20"/>
              </w:rPr>
              <w:t>%</w:t>
            </w:r>
          </w:p>
        </w:tc>
        <w:tc>
          <w:tcPr>
            <w:tcW w:w="1680" w:type="dxa"/>
          </w:tcPr>
          <w:p w14:paraId="7D94B900" w14:textId="77777777" w:rsidR="00CF60A0" w:rsidRPr="003D5215" w:rsidRDefault="00CF60A0" w:rsidP="00B963D7">
            <w:pPr>
              <w:pStyle w:val="ListParagraph"/>
              <w:spacing w:after="0"/>
              <w:ind w:left="0"/>
              <w:rPr>
                <w:rFonts w:ascii="Times New Roman" w:hAnsi="Times New Roman" w:cs="Times New Roman"/>
                <w:sz w:val="20"/>
                <w:szCs w:val="20"/>
              </w:rPr>
            </w:pPr>
          </w:p>
          <w:p w14:paraId="4D8A2B89" w14:textId="77777777" w:rsidR="00CF60A0" w:rsidRPr="003D5215" w:rsidRDefault="00CF60A0" w:rsidP="00B963D7">
            <w:pPr>
              <w:pStyle w:val="ListParagraph"/>
              <w:spacing w:after="0"/>
              <w:ind w:left="0"/>
              <w:rPr>
                <w:rFonts w:ascii="Times New Roman" w:hAnsi="Times New Roman" w:cs="Times New Roman"/>
                <w:sz w:val="20"/>
                <w:szCs w:val="20"/>
              </w:rPr>
            </w:pPr>
            <w:r w:rsidRPr="003D5215">
              <w:rPr>
                <w:rFonts w:ascii="Times New Roman" w:hAnsi="Times New Roman" w:cs="Times New Roman"/>
                <w:sz w:val="20"/>
                <w:szCs w:val="20"/>
              </w:rPr>
              <w:t>0.146</w:t>
            </w:r>
            <w:r>
              <w:rPr>
                <w:rFonts w:ascii="Times New Roman" w:hAnsi="Times New Roman" w:cs="Times New Roman"/>
                <w:sz w:val="20"/>
                <w:szCs w:val="20"/>
              </w:rPr>
              <w:t xml:space="preserve"> (0.116)</w:t>
            </w:r>
          </w:p>
          <w:p w14:paraId="48B50E65" w14:textId="77777777" w:rsidR="00CF60A0" w:rsidRPr="003D5215" w:rsidRDefault="00CF60A0" w:rsidP="00B963D7">
            <w:pPr>
              <w:pStyle w:val="ListParagraph"/>
              <w:spacing w:after="0"/>
              <w:ind w:left="0"/>
              <w:rPr>
                <w:rFonts w:ascii="Times New Roman" w:hAnsi="Times New Roman" w:cs="Times New Roman"/>
                <w:sz w:val="20"/>
                <w:szCs w:val="20"/>
              </w:rPr>
            </w:pPr>
            <w:r w:rsidRPr="003D5215">
              <w:rPr>
                <w:rFonts w:ascii="Times New Roman" w:hAnsi="Times New Roman" w:cs="Times New Roman"/>
                <w:sz w:val="20"/>
                <w:szCs w:val="20"/>
              </w:rPr>
              <w:t xml:space="preserve">-0.146 </w:t>
            </w:r>
            <w:r>
              <w:rPr>
                <w:rFonts w:ascii="Times New Roman" w:hAnsi="Times New Roman" w:cs="Times New Roman"/>
                <w:sz w:val="20"/>
                <w:szCs w:val="20"/>
              </w:rPr>
              <w:t>(0.116)</w:t>
            </w:r>
          </w:p>
        </w:tc>
        <w:tc>
          <w:tcPr>
            <w:tcW w:w="910" w:type="dxa"/>
            <w:vAlign w:val="center"/>
          </w:tcPr>
          <w:p w14:paraId="64F61A8C" w14:textId="4DA9FAC7" w:rsidR="00CF60A0" w:rsidRPr="006D4CA7" w:rsidRDefault="00CF60A0" w:rsidP="00B963D7">
            <w:pPr>
              <w:pStyle w:val="ListParagraph"/>
              <w:spacing w:after="0"/>
              <w:ind w:left="0"/>
              <w:rPr>
                <w:rFonts w:ascii="Times New Roman" w:hAnsi="Times New Roman" w:cs="Times New Roman"/>
                <w:sz w:val="20"/>
                <w:szCs w:val="20"/>
              </w:rPr>
            </w:pPr>
            <w:r w:rsidRPr="006D4CA7">
              <w:rPr>
                <w:rFonts w:ascii="Times New Roman" w:hAnsi="Times New Roman" w:cs="Times New Roman"/>
                <w:sz w:val="20"/>
                <w:szCs w:val="20"/>
              </w:rPr>
              <w:t>4.</w:t>
            </w:r>
            <w:r w:rsidR="006771B8">
              <w:rPr>
                <w:rFonts w:ascii="Times New Roman" w:hAnsi="Times New Roman" w:cs="Times New Roman"/>
                <w:sz w:val="20"/>
                <w:szCs w:val="20"/>
              </w:rPr>
              <w:t>9</w:t>
            </w:r>
            <w:r w:rsidRPr="006D4CA7">
              <w:rPr>
                <w:rFonts w:ascii="Times New Roman" w:hAnsi="Times New Roman" w:cs="Times New Roman"/>
                <w:sz w:val="20"/>
                <w:szCs w:val="20"/>
              </w:rPr>
              <w:t>%</w:t>
            </w:r>
          </w:p>
        </w:tc>
        <w:tc>
          <w:tcPr>
            <w:tcW w:w="1705" w:type="dxa"/>
          </w:tcPr>
          <w:p w14:paraId="50654F3D" w14:textId="77777777" w:rsidR="00CF60A0" w:rsidRPr="00E748E6" w:rsidRDefault="00CF60A0" w:rsidP="00B963D7">
            <w:pPr>
              <w:pStyle w:val="ListParagraph"/>
              <w:spacing w:after="0"/>
              <w:ind w:left="0"/>
              <w:rPr>
                <w:rFonts w:ascii="Times New Roman" w:hAnsi="Times New Roman" w:cs="Times New Roman"/>
                <w:sz w:val="20"/>
                <w:szCs w:val="20"/>
              </w:rPr>
            </w:pPr>
          </w:p>
          <w:p w14:paraId="599DC3F4" w14:textId="77777777" w:rsidR="00CF60A0" w:rsidRPr="00E748E6"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0.248** (0.124)</w:t>
            </w:r>
          </w:p>
          <w:p w14:paraId="14735DF5" w14:textId="77777777" w:rsidR="00CF60A0" w:rsidRPr="00E748E6" w:rsidRDefault="00CF60A0" w:rsidP="00B963D7">
            <w:pPr>
              <w:pStyle w:val="ListParagraph"/>
              <w:spacing w:after="0"/>
              <w:ind w:left="0"/>
              <w:rPr>
                <w:rFonts w:ascii="Times New Roman" w:hAnsi="Times New Roman" w:cs="Times New Roman"/>
                <w:sz w:val="20"/>
                <w:szCs w:val="20"/>
              </w:rPr>
            </w:pPr>
            <w:r w:rsidRPr="00E748E6">
              <w:rPr>
                <w:rFonts w:ascii="Times New Roman" w:hAnsi="Times New Roman" w:cs="Times New Roman"/>
                <w:sz w:val="20"/>
                <w:szCs w:val="20"/>
              </w:rPr>
              <w:t>-0.248**</w:t>
            </w:r>
            <w:r>
              <w:rPr>
                <w:rFonts w:ascii="Times New Roman" w:hAnsi="Times New Roman" w:cs="Times New Roman"/>
                <w:sz w:val="20"/>
                <w:szCs w:val="20"/>
              </w:rPr>
              <w:t xml:space="preserve"> (0.124)</w:t>
            </w:r>
          </w:p>
        </w:tc>
        <w:tc>
          <w:tcPr>
            <w:tcW w:w="990" w:type="dxa"/>
            <w:vAlign w:val="center"/>
          </w:tcPr>
          <w:p w14:paraId="28E82C37" w14:textId="77777777" w:rsidR="00CF60A0" w:rsidRPr="00BE5048" w:rsidRDefault="00CF60A0" w:rsidP="00B963D7">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14.39</w:t>
            </w:r>
            <w:r w:rsidRPr="00BE5048">
              <w:rPr>
                <w:rFonts w:ascii="Times New Roman" w:hAnsi="Times New Roman" w:cs="Times New Roman"/>
                <w:sz w:val="20"/>
                <w:szCs w:val="20"/>
              </w:rPr>
              <w:t>%</w:t>
            </w:r>
          </w:p>
        </w:tc>
      </w:tr>
      <w:tr w:rsidR="00CF60A0" w:rsidRPr="00621669" w14:paraId="036977DB" w14:textId="77777777" w:rsidTr="004436A9">
        <w:trPr>
          <w:jc w:val="center"/>
        </w:trPr>
        <w:tc>
          <w:tcPr>
            <w:tcW w:w="3006" w:type="dxa"/>
            <w:vAlign w:val="center"/>
          </w:tcPr>
          <w:p w14:paraId="693DA80D" w14:textId="77777777" w:rsidR="00CF60A0" w:rsidRPr="00621669" w:rsidRDefault="00CF60A0" w:rsidP="00B963D7">
            <w:pPr>
              <w:pStyle w:val="ListParagraph"/>
              <w:spacing w:after="0"/>
              <w:ind w:left="0"/>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 xml:space="preserve">Alcohol consumption </w:t>
            </w:r>
          </w:p>
          <w:p w14:paraId="7D64F155" w14:textId="6EE5039E"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included</w:t>
            </w:r>
            <w:r w:rsidRPr="00621669">
              <w:rPr>
                <w:rFonts w:ascii="Times New Roman" w:hAnsi="Times New Roman" w:cs="Times New Roman"/>
                <w:sz w:val="20"/>
                <w:szCs w:val="20"/>
                <w:vertAlign w:val="superscript"/>
                <w:lang w:val="en-GB"/>
              </w:rPr>
              <w:t>b</w:t>
            </w:r>
            <w:r w:rsidRPr="00621669">
              <w:rPr>
                <w:rFonts w:ascii="Times New Roman" w:hAnsi="Times New Roman" w:cs="Times New Roman"/>
                <w:sz w:val="20"/>
                <w:szCs w:val="20"/>
                <w:lang w:val="en-GB"/>
              </w:rPr>
              <w:t xml:space="preserve">  </w:t>
            </w:r>
          </w:p>
          <w:p w14:paraId="248B3853" w14:textId="77777777"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Moderation</w:t>
            </w:r>
          </w:p>
        </w:tc>
        <w:tc>
          <w:tcPr>
            <w:tcW w:w="1687" w:type="dxa"/>
            <w:shd w:val="clear" w:color="auto" w:fill="auto"/>
          </w:tcPr>
          <w:p w14:paraId="0BFC981B" w14:textId="77777777" w:rsidR="00CF60A0" w:rsidRPr="002C33DF" w:rsidRDefault="00CF60A0" w:rsidP="00B963D7">
            <w:pPr>
              <w:pStyle w:val="ListParagraph"/>
              <w:spacing w:after="0"/>
              <w:ind w:left="0"/>
              <w:rPr>
                <w:rFonts w:ascii="Times New Roman" w:hAnsi="Times New Roman" w:cs="Times New Roman"/>
                <w:sz w:val="20"/>
                <w:szCs w:val="20"/>
                <w:lang w:val="en-GB"/>
              </w:rPr>
            </w:pPr>
          </w:p>
          <w:p w14:paraId="7463F003" w14:textId="77777777" w:rsidR="00CF60A0" w:rsidRPr="00607F80"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-0.231*** (0.096)</w:t>
            </w:r>
          </w:p>
          <w:p w14:paraId="38FBA9BD" w14:textId="77777777" w:rsidR="00CF60A0" w:rsidRPr="00607F80" w:rsidRDefault="00CF60A0" w:rsidP="00B963D7">
            <w:pPr>
              <w:pStyle w:val="ListParagraph"/>
              <w:spacing w:after="0"/>
              <w:ind w:left="0"/>
              <w:rPr>
                <w:rFonts w:ascii="Times New Roman" w:hAnsi="Times New Roman" w:cs="Times New Roman"/>
                <w:sz w:val="20"/>
                <w:szCs w:val="20"/>
              </w:rPr>
            </w:pPr>
            <w:r w:rsidRPr="00607F80">
              <w:rPr>
                <w:rFonts w:ascii="Times New Roman" w:hAnsi="Times New Roman" w:cs="Times New Roman"/>
                <w:sz w:val="20"/>
                <w:szCs w:val="20"/>
              </w:rPr>
              <w:t xml:space="preserve">0.231** </w:t>
            </w:r>
            <w:r>
              <w:rPr>
                <w:rFonts w:ascii="Times New Roman" w:hAnsi="Times New Roman" w:cs="Times New Roman"/>
                <w:sz w:val="20"/>
                <w:szCs w:val="20"/>
              </w:rPr>
              <w:t>(0.096)</w:t>
            </w:r>
          </w:p>
        </w:tc>
        <w:tc>
          <w:tcPr>
            <w:tcW w:w="898" w:type="dxa"/>
            <w:vAlign w:val="center"/>
          </w:tcPr>
          <w:p w14:paraId="29AB7ADF" w14:textId="0D0675BE" w:rsidR="00CF60A0" w:rsidRPr="007111F0" w:rsidRDefault="00CF60A0" w:rsidP="00B963D7">
            <w:pPr>
              <w:pStyle w:val="ListParagraph"/>
              <w:spacing w:after="0"/>
              <w:ind w:left="0"/>
              <w:rPr>
                <w:rFonts w:ascii="Times New Roman" w:hAnsi="Times New Roman" w:cs="Times New Roman"/>
                <w:sz w:val="20"/>
                <w:szCs w:val="20"/>
              </w:rPr>
            </w:pPr>
            <w:r w:rsidRPr="007111F0">
              <w:rPr>
                <w:rFonts w:ascii="Times New Roman" w:hAnsi="Times New Roman" w:cs="Times New Roman"/>
                <w:sz w:val="20"/>
                <w:szCs w:val="20"/>
              </w:rPr>
              <w:t>5.6%</w:t>
            </w:r>
          </w:p>
        </w:tc>
        <w:tc>
          <w:tcPr>
            <w:tcW w:w="1696" w:type="dxa"/>
          </w:tcPr>
          <w:p w14:paraId="3295943B" w14:textId="77777777" w:rsidR="00CF60A0" w:rsidRPr="007B3AF8" w:rsidRDefault="00CF60A0" w:rsidP="00B963D7">
            <w:pPr>
              <w:pStyle w:val="ListParagraph"/>
              <w:spacing w:after="0"/>
              <w:ind w:left="0"/>
              <w:rPr>
                <w:rFonts w:ascii="Times New Roman" w:hAnsi="Times New Roman" w:cs="Times New Roman"/>
                <w:sz w:val="20"/>
                <w:szCs w:val="20"/>
              </w:rPr>
            </w:pPr>
          </w:p>
          <w:p w14:paraId="2F645F65" w14:textId="77777777" w:rsidR="00CF60A0" w:rsidRPr="007B3AF8" w:rsidRDefault="00CF60A0" w:rsidP="00B963D7">
            <w:pPr>
              <w:pStyle w:val="ListParagraph"/>
              <w:spacing w:after="0"/>
              <w:ind w:left="0"/>
              <w:rPr>
                <w:rFonts w:ascii="Times New Roman" w:hAnsi="Times New Roman" w:cs="Times New Roman"/>
                <w:sz w:val="20"/>
                <w:szCs w:val="20"/>
              </w:rPr>
            </w:pPr>
            <w:r w:rsidRPr="007B3AF8">
              <w:rPr>
                <w:rFonts w:ascii="Times New Roman" w:hAnsi="Times New Roman" w:cs="Times New Roman"/>
                <w:sz w:val="20"/>
                <w:szCs w:val="20"/>
              </w:rPr>
              <w:t>-0.081</w:t>
            </w:r>
            <w:r>
              <w:rPr>
                <w:rFonts w:ascii="Times New Roman" w:hAnsi="Times New Roman" w:cs="Times New Roman"/>
                <w:sz w:val="20"/>
                <w:szCs w:val="20"/>
              </w:rPr>
              <w:t xml:space="preserve"> (0.125)</w:t>
            </w:r>
          </w:p>
          <w:p w14:paraId="38AC75DE" w14:textId="77777777" w:rsidR="00CF60A0" w:rsidRPr="007B3AF8" w:rsidRDefault="00CF60A0" w:rsidP="00B963D7">
            <w:pPr>
              <w:pStyle w:val="ListParagraph"/>
              <w:spacing w:after="0"/>
              <w:ind w:left="0"/>
              <w:rPr>
                <w:rFonts w:ascii="Times New Roman" w:hAnsi="Times New Roman" w:cs="Times New Roman"/>
                <w:sz w:val="20"/>
                <w:szCs w:val="20"/>
              </w:rPr>
            </w:pPr>
            <w:r w:rsidRPr="007B3AF8">
              <w:rPr>
                <w:rFonts w:ascii="Times New Roman" w:hAnsi="Times New Roman" w:cs="Times New Roman"/>
                <w:sz w:val="20"/>
                <w:szCs w:val="20"/>
              </w:rPr>
              <w:t xml:space="preserve">0.081 </w:t>
            </w:r>
            <w:r>
              <w:rPr>
                <w:rFonts w:ascii="Times New Roman" w:hAnsi="Times New Roman" w:cs="Times New Roman"/>
                <w:sz w:val="20"/>
                <w:szCs w:val="20"/>
              </w:rPr>
              <w:t>(0.125)</w:t>
            </w:r>
          </w:p>
        </w:tc>
        <w:tc>
          <w:tcPr>
            <w:tcW w:w="833" w:type="dxa"/>
            <w:vAlign w:val="center"/>
          </w:tcPr>
          <w:p w14:paraId="4B3286C3" w14:textId="4BDFBE82" w:rsidR="00CF60A0" w:rsidRPr="007B3AF8" w:rsidRDefault="00CF60A0" w:rsidP="00B963D7">
            <w:pPr>
              <w:pStyle w:val="ListParagraph"/>
              <w:spacing w:after="0"/>
              <w:ind w:left="0"/>
              <w:jc w:val="center"/>
              <w:rPr>
                <w:rFonts w:ascii="Times New Roman" w:hAnsi="Times New Roman" w:cs="Times New Roman"/>
                <w:sz w:val="20"/>
                <w:szCs w:val="20"/>
              </w:rPr>
            </w:pPr>
            <w:r w:rsidRPr="007B3AF8">
              <w:rPr>
                <w:rFonts w:ascii="Times New Roman" w:hAnsi="Times New Roman" w:cs="Times New Roman"/>
                <w:sz w:val="20"/>
                <w:szCs w:val="20"/>
              </w:rPr>
              <w:t>5.8%</w:t>
            </w:r>
          </w:p>
        </w:tc>
        <w:tc>
          <w:tcPr>
            <w:tcW w:w="1680" w:type="dxa"/>
          </w:tcPr>
          <w:p w14:paraId="6C68BAC2" w14:textId="77777777" w:rsidR="00CF60A0" w:rsidRPr="003D5215" w:rsidRDefault="00CF60A0" w:rsidP="00B963D7">
            <w:pPr>
              <w:pStyle w:val="ListParagraph"/>
              <w:spacing w:after="0"/>
              <w:ind w:left="0"/>
              <w:rPr>
                <w:rFonts w:ascii="Times New Roman" w:hAnsi="Times New Roman" w:cs="Times New Roman"/>
                <w:sz w:val="20"/>
                <w:szCs w:val="20"/>
              </w:rPr>
            </w:pPr>
          </w:p>
          <w:p w14:paraId="08D18F1A" w14:textId="77777777" w:rsidR="00CF60A0" w:rsidRPr="003D5215" w:rsidRDefault="00CF60A0" w:rsidP="00B963D7">
            <w:pPr>
              <w:pStyle w:val="ListParagraph"/>
              <w:spacing w:after="0"/>
              <w:ind w:left="0"/>
              <w:rPr>
                <w:rFonts w:ascii="Times New Roman" w:hAnsi="Times New Roman" w:cs="Times New Roman"/>
                <w:sz w:val="20"/>
                <w:szCs w:val="20"/>
              </w:rPr>
            </w:pPr>
            <w:r w:rsidRPr="003D5215">
              <w:rPr>
                <w:rFonts w:ascii="Times New Roman" w:hAnsi="Times New Roman" w:cs="Times New Roman"/>
                <w:sz w:val="20"/>
                <w:szCs w:val="20"/>
              </w:rPr>
              <w:t>-0.145</w:t>
            </w:r>
            <w:r>
              <w:rPr>
                <w:rFonts w:ascii="Times New Roman" w:hAnsi="Times New Roman" w:cs="Times New Roman"/>
                <w:sz w:val="20"/>
                <w:szCs w:val="20"/>
              </w:rPr>
              <w:t xml:space="preserve"> (0.121)</w:t>
            </w:r>
          </w:p>
          <w:p w14:paraId="6A6B9E34" w14:textId="77777777" w:rsidR="00CF60A0" w:rsidRPr="003D5215" w:rsidRDefault="00CF60A0" w:rsidP="00B963D7">
            <w:pPr>
              <w:pStyle w:val="ListParagraph"/>
              <w:spacing w:after="0"/>
              <w:ind w:left="0"/>
              <w:rPr>
                <w:rFonts w:ascii="Times New Roman" w:hAnsi="Times New Roman" w:cs="Times New Roman"/>
                <w:sz w:val="20"/>
                <w:szCs w:val="20"/>
              </w:rPr>
            </w:pPr>
            <w:r w:rsidRPr="003D5215">
              <w:rPr>
                <w:rFonts w:ascii="Times New Roman" w:hAnsi="Times New Roman" w:cs="Times New Roman"/>
                <w:sz w:val="20"/>
                <w:szCs w:val="20"/>
              </w:rPr>
              <w:t xml:space="preserve">0.145 </w:t>
            </w:r>
            <w:r>
              <w:rPr>
                <w:rFonts w:ascii="Times New Roman" w:hAnsi="Times New Roman" w:cs="Times New Roman"/>
                <w:sz w:val="20"/>
                <w:szCs w:val="20"/>
              </w:rPr>
              <w:t>(0.121)</w:t>
            </w:r>
          </w:p>
        </w:tc>
        <w:tc>
          <w:tcPr>
            <w:tcW w:w="910" w:type="dxa"/>
            <w:vAlign w:val="center"/>
          </w:tcPr>
          <w:p w14:paraId="3DA10EDA" w14:textId="619C5BD0" w:rsidR="00CF60A0" w:rsidRPr="006D4CA7" w:rsidRDefault="00CF60A0" w:rsidP="00B963D7">
            <w:pPr>
              <w:pStyle w:val="ListParagraph"/>
              <w:spacing w:after="0"/>
              <w:ind w:left="0"/>
              <w:rPr>
                <w:rFonts w:ascii="Times New Roman" w:hAnsi="Times New Roman" w:cs="Times New Roman"/>
                <w:sz w:val="20"/>
                <w:szCs w:val="20"/>
              </w:rPr>
            </w:pPr>
            <w:r w:rsidRPr="006D4CA7">
              <w:rPr>
                <w:rFonts w:ascii="Times New Roman" w:hAnsi="Times New Roman" w:cs="Times New Roman"/>
                <w:sz w:val="20"/>
                <w:szCs w:val="20"/>
              </w:rPr>
              <w:t>4.</w:t>
            </w:r>
            <w:r w:rsidR="006771B8">
              <w:rPr>
                <w:rFonts w:ascii="Times New Roman" w:hAnsi="Times New Roman" w:cs="Times New Roman"/>
                <w:sz w:val="20"/>
                <w:szCs w:val="20"/>
              </w:rPr>
              <w:t>9</w:t>
            </w:r>
            <w:r w:rsidRPr="006D4CA7">
              <w:rPr>
                <w:rFonts w:ascii="Times New Roman" w:hAnsi="Times New Roman" w:cs="Times New Roman"/>
                <w:sz w:val="20"/>
                <w:szCs w:val="20"/>
              </w:rPr>
              <w:t>%</w:t>
            </w:r>
          </w:p>
        </w:tc>
        <w:tc>
          <w:tcPr>
            <w:tcW w:w="1705" w:type="dxa"/>
          </w:tcPr>
          <w:p w14:paraId="66C3927E" w14:textId="77777777" w:rsidR="00CF60A0" w:rsidRPr="00E748E6" w:rsidRDefault="00CF60A0" w:rsidP="00B963D7">
            <w:pPr>
              <w:pStyle w:val="ListParagraph"/>
              <w:spacing w:after="0"/>
              <w:ind w:left="0"/>
              <w:rPr>
                <w:rFonts w:ascii="Times New Roman" w:hAnsi="Times New Roman" w:cs="Times New Roman"/>
                <w:sz w:val="20"/>
                <w:szCs w:val="20"/>
              </w:rPr>
            </w:pPr>
          </w:p>
          <w:p w14:paraId="77D7C8AE" w14:textId="77777777" w:rsidR="00CF60A0" w:rsidRPr="00E748E6"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0.032 (0.127)</w:t>
            </w:r>
          </w:p>
          <w:p w14:paraId="2C3AC468" w14:textId="77777777" w:rsidR="00CF60A0" w:rsidRPr="00E748E6" w:rsidRDefault="00CF60A0" w:rsidP="00B963D7">
            <w:pPr>
              <w:pStyle w:val="ListParagraph"/>
              <w:spacing w:after="0"/>
              <w:ind w:left="0"/>
              <w:rPr>
                <w:rFonts w:ascii="Times New Roman" w:hAnsi="Times New Roman" w:cs="Times New Roman"/>
                <w:sz w:val="20"/>
                <w:szCs w:val="20"/>
              </w:rPr>
            </w:pPr>
            <w:r w:rsidRPr="00E748E6">
              <w:rPr>
                <w:rFonts w:ascii="Times New Roman" w:hAnsi="Times New Roman" w:cs="Times New Roman"/>
                <w:sz w:val="20"/>
                <w:szCs w:val="20"/>
              </w:rPr>
              <w:t xml:space="preserve">-0.032 </w:t>
            </w:r>
            <w:r>
              <w:rPr>
                <w:rFonts w:ascii="Times New Roman" w:hAnsi="Times New Roman" w:cs="Times New Roman"/>
                <w:sz w:val="20"/>
                <w:szCs w:val="20"/>
              </w:rPr>
              <w:t>(0.127)</w:t>
            </w:r>
          </w:p>
        </w:tc>
        <w:tc>
          <w:tcPr>
            <w:tcW w:w="990" w:type="dxa"/>
            <w:vAlign w:val="center"/>
          </w:tcPr>
          <w:p w14:paraId="658D93BC" w14:textId="77777777" w:rsidR="00CF60A0" w:rsidRPr="00BE5048" w:rsidRDefault="00CF60A0" w:rsidP="00B963D7">
            <w:pPr>
              <w:pStyle w:val="ListParagraph"/>
              <w:spacing w:after="0"/>
              <w:ind w:left="0"/>
              <w:jc w:val="center"/>
              <w:rPr>
                <w:rFonts w:ascii="Times New Roman" w:hAnsi="Times New Roman" w:cs="Times New Roman"/>
                <w:sz w:val="20"/>
                <w:szCs w:val="20"/>
              </w:rPr>
            </w:pPr>
            <w:r w:rsidRPr="00BE5048">
              <w:rPr>
                <w:rFonts w:ascii="Times New Roman" w:hAnsi="Times New Roman" w:cs="Times New Roman"/>
                <w:sz w:val="20"/>
                <w:szCs w:val="20"/>
              </w:rPr>
              <w:t>1.88%</w:t>
            </w:r>
          </w:p>
        </w:tc>
      </w:tr>
      <w:tr w:rsidR="00CF60A0" w:rsidRPr="00621669" w14:paraId="78C5531A" w14:textId="77777777" w:rsidTr="004436A9">
        <w:trPr>
          <w:jc w:val="center"/>
        </w:trPr>
        <w:tc>
          <w:tcPr>
            <w:tcW w:w="3006" w:type="dxa"/>
            <w:vAlign w:val="center"/>
          </w:tcPr>
          <w:p w14:paraId="0027B6E6"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Body weight</w:t>
            </w:r>
          </w:p>
          <w:p w14:paraId="0EA03AB9" w14:textId="62C8B4DD"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included</w:t>
            </w:r>
            <w:r w:rsidRPr="00621669">
              <w:rPr>
                <w:rFonts w:ascii="Times New Roman" w:hAnsi="Times New Roman" w:cs="Times New Roman"/>
                <w:sz w:val="20"/>
                <w:szCs w:val="20"/>
                <w:vertAlign w:val="superscript"/>
                <w:lang w:val="en-GB"/>
              </w:rPr>
              <w:t>b</w:t>
            </w:r>
            <w:r w:rsidRPr="00621669">
              <w:rPr>
                <w:rFonts w:ascii="Times New Roman" w:hAnsi="Times New Roman" w:cs="Times New Roman"/>
                <w:sz w:val="20"/>
                <w:szCs w:val="20"/>
                <w:lang w:val="en-GB"/>
              </w:rPr>
              <w:t xml:space="preserve">  </w:t>
            </w:r>
          </w:p>
          <w:p w14:paraId="33F98248" w14:textId="77777777"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Ensure healthy body weight</w:t>
            </w:r>
          </w:p>
        </w:tc>
        <w:tc>
          <w:tcPr>
            <w:tcW w:w="1687" w:type="dxa"/>
          </w:tcPr>
          <w:p w14:paraId="0607D969" w14:textId="77777777" w:rsidR="00CF60A0" w:rsidRPr="00607F80" w:rsidRDefault="00CF60A0" w:rsidP="00B963D7">
            <w:pPr>
              <w:pStyle w:val="ListParagraph"/>
              <w:spacing w:after="0"/>
              <w:ind w:left="0"/>
              <w:rPr>
                <w:rFonts w:ascii="Times New Roman" w:hAnsi="Times New Roman" w:cs="Times New Roman"/>
                <w:sz w:val="20"/>
                <w:szCs w:val="20"/>
                <w:lang w:val="en-GB"/>
              </w:rPr>
            </w:pPr>
          </w:p>
          <w:p w14:paraId="762C413F" w14:textId="77777777" w:rsidR="00CF60A0" w:rsidRPr="00607F80"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-0.177* (0.103)</w:t>
            </w:r>
          </w:p>
          <w:p w14:paraId="1ACFFF41" w14:textId="77777777" w:rsidR="00CF60A0" w:rsidRPr="00607F80" w:rsidRDefault="00CF60A0" w:rsidP="00B963D7">
            <w:pPr>
              <w:pStyle w:val="ListParagraph"/>
              <w:spacing w:after="0"/>
              <w:ind w:left="0"/>
              <w:rPr>
                <w:rFonts w:ascii="Times New Roman" w:hAnsi="Times New Roman" w:cs="Times New Roman"/>
                <w:sz w:val="20"/>
                <w:szCs w:val="20"/>
              </w:rPr>
            </w:pPr>
            <w:r w:rsidRPr="00607F80">
              <w:rPr>
                <w:rFonts w:ascii="Times New Roman" w:hAnsi="Times New Roman" w:cs="Times New Roman"/>
                <w:sz w:val="20"/>
                <w:szCs w:val="20"/>
              </w:rPr>
              <w:t xml:space="preserve">0.177* </w:t>
            </w:r>
            <w:r>
              <w:rPr>
                <w:rFonts w:ascii="Times New Roman" w:hAnsi="Times New Roman" w:cs="Times New Roman"/>
                <w:sz w:val="20"/>
                <w:szCs w:val="20"/>
              </w:rPr>
              <w:t>(0.103)</w:t>
            </w:r>
          </w:p>
        </w:tc>
        <w:tc>
          <w:tcPr>
            <w:tcW w:w="898" w:type="dxa"/>
            <w:vAlign w:val="center"/>
          </w:tcPr>
          <w:p w14:paraId="388033B6" w14:textId="467B2B8E" w:rsidR="00CF60A0" w:rsidRPr="007111F0" w:rsidRDefault="00CF60A0" w:rsidP="00B963D7">
            <w:pPr>
              <w:pStyle w:val="ListParagraph"/>
              <w:spacing w:after="0"/>
              <w:ind w:left="0"/>
              <w:rPr>
                <w:rFonts w:ascii="Times New Roman" w:hAnsi="Times New Roman" w:cs="Times New Roman"/>
                <w:sz w:val="20"/>
                <w:szCs w:val="20"/>
              </w:rPr>
            </w:pPr>
            <w:r w:rsidRPr="007111F0">
              <w:rPr>
                <w:rFonts w:ascii="Times New Roman" w:hAnsi="Times New Roman" w:cs="Times New Roman"/>
                <w:sz w:val="20"/>
                <w:szCs w:val="20"/>
              </w:rPr>
              <w:t>4.3%</w:t>
            </w:r>
          </w:p>
        </w:tc>
        <w:tc>
          <w:tcPr>
            <w:tcW w:w="1696" w:type="dxa"/>
          </w:tcPr>
          <w:p w14:paraId="294C9174" w14:textId="77777777" w:rsidR="00CF60A0" w:rsidRPr="007B3AF8" w:rsidRDefault="00CF60A0" w:rsidP="00B963D7">
            <w:pPr>
              <w:pStyle w:val="ListParagraph"/>
              <w:spacing w:after="0"/>
              <w:ind w:left="0"/>
              <w:rPr>
                <w:rFonts w:ascii="Times New Roman" w:hAnsi="Times New Roman" w:cs="Times New Roman"/>
                <w:sz w:val="20"/>
                <w:szCs w:val="20"/>
                <w:lang w:val="en-GB"/>
              </w:rPr>
            </w:pPr>
          </w:p>
          <w:p w14:paraId="7974DBCA" w14:textId="77777777" w:rsidR="00CF60A0" w:rsidRPr="007B3AF8" w:rsidRDefault="00CF60A0" w:rsidP="00B963D7">
            <w:pPr>
              <w:pStyle w:val="ListParagraph"/>
              <w:spacing w:after="0"/>
              <w:ind w:left="0"/>
              <w:rPr>
                <w:rFonts w:ascii="Times New Roman" w:hAnsi="Times New Roman" w:cs="Times New Roman"/>
                <w:sz w:val="20"/>
                <w:szCs w:val="20"/>
                <w:lang w:val="en-GB"/>
              </w:rPr>
            </w:pPr>
            <w:r w:rsidRPr="007B3AF8">
              <w:rPr>
                <w:rFonts w:ascii="Times New Roman" w:hAnsi="Times New Roman" w:cs="Times New Roman"/>
                <w:sz w:val="20"/>
                <w:szCs w:val="20"/>
                <w:lang w:val="en-GB"/>
              </w:rPr>
              <w:t>-0.149</w:t>
            </w:r>
            <w:r>
              <w:rPr>
                <w:rFonts w:ascii="Times New Roman" w:hAnsi="Times New Roman" w:cs="Times New Roman"/>
                <w:sz w:val="20"/>
                <w:szCs w:val="20"/>
                <w:lang w:val="en-GB"/>
              </w:rPr>
              <w:t xml:space="preserve"> (0.129)</w:t>
            </w:r>
          </w:p>
          <w:p w14:paraId="1320CD9F" w14:textId="77777777" w:rsidR="00CF60A0" w:rsidRPr="007B3AF8" w:rsidRDefault="00CF60A0" w:rsidP="00B963D7">
            <w:pPr>
              <w:pStyle w:val="ListParagraph"/>
              <w:spacing w:after="0"/>
              <w:ind w:left="0"/>
              <w:rPr>
                <w:rFonts w:ascii="Times New Roman" w:hAnsi="Times New Roman" w:cs="Times New Roman"/>
                <w:sz w:val="20"/>
                <w:szCs w:val="20"/>
                <w:lang w:val="en-GB"/>
              </w:rPr>
            </w:pPr>
            <w:r w:rsidRPr="007B3AF8">
              <w:rPr>
                <w:rFonts w:ascii="Times New Roman" w:hAnsi="Times New Roman" w:cs="Times New Roman"/>
                <w:sz w:val="20"/>
                <w:szCs w:val="20"/>
                <w:lang w:val="en-GB"/>
              </w:rPr>
              <w:t xml:space="preserve">0.149 </w:t>
            </w:r>
            <w:r>
              <w:rPr>
                <w:rFonts w:ascii="Times New Roman" w:hAnsi="Times New Roman" w:cs="Times New Roman"/>
                <w:sz w:val="20"/>
                <w:szCs w:val="20"/>
                <w:lang w:val="en-GB"/>
              </w:rPr>
              <w:t>(0.129)</w:t>
            </w:r>
          </w:p>
        </w:tc>
        <w:tc>
          <w:tcPr>
            <w:tcW w:w="833" w:type="dxa"/>
            <w:vAlign w:val="center"/>
          </w:tcPr>
          <w:p w14:paraId="6C7CFC57" w14:textId="7E42BD20" w:rsidR="00CF60A0" w:rsidRPr="007B3AF8" w:rsidRDefault="00CF60A0" w:rsidP="00B963D7">
            <w:pPr>
              <w:pStyle w:val="ListParagraph"/>
              <w:spacing w:after="0"/>
              <w:ind w:left="0"/>
              <w:jc w:val="center"/>
              <w:rPr>
                <w:rFonts w:ascii="Times New Roman" w:hAnsi="Times New Roman" w:cs="Times New Roman"/>
                <w:sz w:val="20"/>
                <w:szCs w:val="20"/>
              </w:rPr>
            </w:pPr>
            <w:r w:rsidRPr="007B3AF8">
              <w:rPr>
                <w:rFonts w:ascii="Times New Roman" w:hAnsi="Times New Roman" w:cs="Times New Roman"/>
                <w:sz w:val="20"/>
                <w:szCs w:val="20"/>
              </w:rPr>
              <w:t>10.7%</w:t>
            </w:r>
          </w:p>
        </w:tc>
        <w:tc>
          <w:tcPr>
            <w:tcW w:w="1680" w:type="dxa"/>
          </w:tcPr>
          <w:p w14:paraId="11E97C8F" w14:textId="77777777" w:rsidR="00CF60A0" w:rsidRPr="003D5215" w:rsidRDefault="00CF60A0" w:rsidP="00B963D7">
            <w:pPr>
              <w:pStyle w:val="ListParagraph"/>
              <w:spacing w:after="0"/>
              <w:ind w:left="0"/>
              <w:rPr>
                <w:rFonts w:ascii="Times New Roman" w:hAnsi="Times New Roman" w:cs="Times New Roman"/>
                <w:sz w:val="20"/>
                <w:szCs w:val="20"/>
                <w:lang w:val="en-GB"/>
              </w:rPr>
            </w:pPr>
          </w:p>
          <w:p w14:paraId="455C439B" w14:textId="77777777" w:rsidR="00CF60A0" w:rsidRPr="003D5215" w:rsidRDefault="00CF60A0" w:rsidP="00B963D7">
            <w:pPr>
              <w:pStyle w:val="ListParagraph"/>
              <w:spacing w:after="0"/>
              <w:ind w:left="0"/>
              <w:rPr>
                <w:rFonts w:ascii="Times New Roman" w:hAnsi="Times New Roman" w:cs="Times New Roman"/>
                <w:sz w:val="20"/>
                <w:szCs w:val="20"/>
                <w:lang w:val="en-GB"/>
              </w:rPr>
            </w:pPr>
            <w:r w:rsidRPr="003D5215">
              <w:rPr>
                <w:rFonts w:ascii="Times New Roman" w:hAnsi="Times New Roman" w:cs="Times New Roman"/>
                <w:sz w:val="20"/>
                <w:szCs w:val="20"/>
                <w:lang w:val="en-GB"/>
              </w:rPr>
              <w:t>-0.129</w:t>
            </w:r>
            <w:r>
              <w:rPr>
                <w:rFonts w:ascii="Times New Roman" w:hAnsi="Times New Roman" w:cs="Times New Roman"/>
                <w:sz w:val="20"/>
                <w:szCs w:val="20"/>
                <w:lang w:val="en-GB"/>
              </w:rPr>
              <w:t xml:space="preserve"> (0.127)</w:t>
            </w:r>
          </w:p>
          <w:p w14:paraId="7F9A59FC" w14:textId="77777777" w:rsidR="00CF60A0" w:rsidRPr="003D5215" w:rsidRDefault="00CF60A0" w:rsidP="00B963D7">
            <w:pPr>
              <w:pStyle w:val="ListParagraph"/>
              <w:spacing w:after="0"/>
              <w:ind w:left="0"/>
              <w:rPr>
                <w:rFonts w:ascii="Times New Roman" w:hAnsi="Times New Roman" w:cs="Times New Roman"/>
                <w:sz w:val="20"/>
                <w:szCs w:val="20"/>
                <w:lang w:val="en-GB"/>
              </w:rPr>
            </w:pPr>
            <w:r w:rsidRPr="003D5215">
              <w:rPr>
                <w:rFonts w:ascii="Times New Roman" w:hAnsi="Times New Roman" w:cs="Times New Roman"/>
                <w:sz w:val="20"/>
                <w:szCs w:val="20"/>
                <w:lang w:val="en-GB"/>
              </w:rPr>
              <w:t xml:space="preserve">0.129 </w:t>
            </w:r>
            <w:r>
              <w:rPr>
                <w:rFonts w:ascii="Times New Roman" w:hAnsi="Times New Roman" w:cs="Times New Roman"/>
                <w:sz w:val="20"/>
                <w:szCs w:val="20"/>
                <w:lang w:val="en-GB"/>
              </w:rPr>
              <w:t>(0.127)</w:t>
            </w:r>
          </w:p>
        </w:tc>
        <w:tc>
          <w:tcPr>
            <w:tcW w:w="910" w:type="dxa"/>
            <w:vAlign w:val="center"/>
          </w:tcPr>
          <w:p w14:paraId="5F7B2017" w14:textId="615E6CF5" w:rsidR="00CF60A0" w:rsidRPr="006D4CA7" w:rsidRDefault="00CF60A0" w:rsidP="00B963D7">
            <w:pPr>
              <w:pStyle w:val="ListParagraph"/>
              <w:spacing w:after="0"/>
              <w:ind w:left="0"/>
              <w:rPr>
                <w:rFonts w:ascii="Times New Roman" w:hAnsi="Times New Roman" w:cs="Times New Roman"/>
                <w:sz w:val="20"/>
                <w:szCs w:val="20"/>
              </w:rPr>
            </w:pPr>
            <w:r w:rsidRPr="006D4CA7">
              <w:rPr>
                <w:rFonts w:ascii="Times New Roman" w:hAnsi="Times New Roman" w:cs="Times New Roman"/>
                <w:sz w:val="20"/>
                <w:szCs w:val="20"/>
              </w:rPr>
              <w:t>4.3%</w:t>
            </w:r>
          </w:p>
        </w:tc>
        <w:tc>
          <w:tcPr>
            <w:tcW w:w="1705" w:type="dxa"/>
          </w:tcPr>
          <w:p w14:paraId="118B02D3" w14:textId="77777777" w:rsidR="00CF60A0" w:rsidRPr="00E748E6" w:rsidRDefault="00CF60A0" w:rsidP="00B963D7">
            <w:pPr>
              <w:pStyle w:val="ListParagraph"/>
              <w:spacing w:after="0"/>
              <w:ind w:left="0"/>
              <w:rPr>
                <w:rFonts w:ascii="Times New Roman" w:hAnsi="Times New Roman" w:cs="Times New Roman"/>
                <w:sz w:val="20"/>
                <w:szCs w:val="20"/>
                <w:lang w:val="en-GB"/>
              </w:rPr>
            </w:pPr>
          </w:p>
          <w:p w14:paraId="1CF824C8" w14:textId="77777777" w:rsidR="00CF60A0" w:rsidRPr="00E748E6"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-0.125 (0.138)</w:t>
            </w:r>
          </w:p>
          <w:p w14:paraId="76A7D51C" w14:textId="77777777" w:rsidR="00CF60A0" w:rsidRPr="00E748E6" w:rsidRDefault="00CF60A0" w:rsidP="00B963D7">
            <w:pPr>
              <w:pStyle w:val="ListParagraph"/>
              <w:spacing w:after="0"/>
              <w:ind w:left="0"/>
              <w:rPr>
                <w:rFonts w:ascii="Times New Roman" w:hAnsi="Times New Roman" w:cs="Times New Roman"/>
                <w:sz w:val="20"/>
                <w:szCs w:val="20"/>
                <w:lang w:val="en-GB"/>
              </w:rPr>
            </w:pPr>
            <w:r w:rsidRPr="00E748E6">
              <w:rPr>
                <w:rFonts w:ascii="Times New Roman" w:hAnsi="Times New Roman" w:cs="Times New Roman"/>
                <w:sz w:val="20"/>
                <w:szCs w:val="20"/>
                <w:lang w:val="en-GB"/>
              </w:rPr>
              <w:t xml:space="preserve">0.125 </w:t>
            </w:r>
            <w:r>
              <w:rPr>
                <w:rFonts w:ascii="Times New Roman" w:hAnsi="Times New Roman" w:cs="Times New Roman"/>
                <w:sz w:val="20"/>
                <w:szCs w:val="20"/>
                <w:lang w:val="en-GB"/>
              </w:rPr>
              <w:t>(0.138)</w:t>
            </w:r>
          </w:p>
        </w:tc>
        <w:tc>
          <w:tcPr>
            <w:tcW w:w="990" w:type="dxa"/>
            <w:vAlign w:val="center"/>
          </w:tcPr>
          <w:p w14:paraId="1FA785D1" w14:textId="77777777" w:rsidR="00CF60A0" w:rsidRPr="00BE5048" w:rsidRDefault="00CF60A0" w:rsidP="00B963D7">
            <w:pPr>
              <w:pStyle w:val="ListParagraph"/>
              <w:spacing w:after="0"/>
              <w:ind w:left="0"/>
              <w:jc w:val="center"/>
              <w:rPr>
                <w:rFonts w:ascii="Times New Roman" w:hAnsi="Times New Roman" w:cs="Times New Roman"/>
                <w:sz w:val="20"/>
                <w:szCs w:val="20"/>
              </w:rPr>
            </w:pPr>
            <w:r w:rsidRPr="00BE5048">
              <w:rPr>
                <w:rFonts w:ascii="Times New Roman" w:hAnsi="Times New Roman" w:cs="Times New Roman"/>
                <w:sz w:val="20"/>
                <w:szCs w:val="20"/>
              </w:rPr>
              <w:t>7.26%</w:t>
            </w:r>
          </w:p>
        </w:tc>
      </w:tr>
      <w:tr w:rsidR="00CF60A0" w:rsidRPr="00621669" w14:paraId="63165959" w14:textId="77777777" w:rsidTr="004436A9">
        <w:trPr>
          <w:jc w:val="center"/>
        </w:trPr>
        <w:tc>
          <w:tcPr>
            <w:tcW w:w="3006" w:type="dxa"/>
            <w:vAlign w:val="center"/>
          </w:tcPr>
          <w:p w14:paraId="451204C8"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b/>
                <w:bCs/>
                <w:sz w:val="20"/>
                <w:szCs w:val="20"/>
                <w:lang w:val="en-GB"/>
              </w:rPr>
              <w:t>Fall prevention</w:t>
            </w:r>
          </w:p>
          <w:p w14:paraId="5F4E3BB4" w14:textId="59C29E9E" w:rsidR="00CF60A0" w:rsidRPr="00621669" w:rsidRDefault="00CF60A0" w:rsidP="00B963D7">
            <w:pPr>
              <w:pStyle w:val="ListParagraph"/>
              <w:spacing w:after="0"/>
              <w:ind w:left="0"/>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Not included</w:t>
            </w:r>
            <w:r w:rsidRPr="00621669">
              <w:rPr>
                <w:rFonts w:ascii="Times New Roman" w:hAnsi="Times New Roman" w:cs="Times New Roman"/>
                <w:sz w:val="20"/>
                <w:szCs w:val="20"/>
                <w:vertAlign w:val="superscript"/>
                <w:lang w:val="en-GB"/>
              </w:rPr>
              <w:t>b</w:t>
            </w:r>
            <w:r w:rsidRPr="00621669">
              <w:rPr>
                <w:rFonts w:ascii="Times New Roman" w:hAnsi="Times New Roman" w:cs="Times New Roman"/>
                <w:sz w:val="20"/>
                <w:szCs w:val="20"/>
                <w:lang w:val="en-GB"/>
              </w:rPr>
              <w:t xml:space="preserve">  </w:t>
            </w:r>
          </w:p>
          <w:p w14:paraId="57555A6E" w14:textId="77777777" w:rsidR="00CF60A0" w:rsidRPr="00621669" w:rsidRDefault="00CF60A0" w:rsidP="00B963D7">
            <w:pPr>
              <w:pStyle w:val="ListParagraph"/>
              <w:spacing w:after="0"/>
              <w:ind w:left="0"/>
              <w:jc w:val="both"/>
              <w:rPr>
                <w:rFonts w:ascii="Times New Roman" w:hAnsi="Times New Roman" w:cs="Times New Roman"/>
                <w:sz w:val="20"/>
                <w:szCs w:val="20"/>
                <w:lang w:val="en-GB"/>
              </w:rPr>
            </w:pPr>
            <w:r w:rsidRPr="00621669">
              <w:rPr>
                <w:rFonts w:ascii="Times New Roman" w:hAnsi="Times New Roman" w:cs="Times New Roman"/>
                <w:sz w:val="20"/>
                <w:szCs w:val="20"/>
                <w:lang w:val="en-GB"/>
              </w:rPr>
              <w:t xml:space="preserve">     General advice</w:t>
            </w:r>
          </w:p>
          <w:p w14:paraId="007B1956" w14:textId="77777777" w:rsidR="00CF60A0" w:rsidRPr="00621669" w:rsidRDefault="00CF60A0" w:rsidP="00B963D7">
            <w:pPr>
              <w:pStyle w:val="ListParagraph"/>
              <w:spacing w:after="0"/>
              <w:ind w:left="0"/>
              <w:jc w:val="both"/>
              <w:rPr>
                <w:rFonts w:ascii="Times New Roman" w:hAnsi="Times New Roman" w:cs="Times New Roman"/>
                <w:b/>
                <w:bCs/>
                <w:sz w:val="20"/>
                <w:szCs w:val="20"/>
                <w:lang w:val="en-GB"/>
              </w:rPr>
            </w:pPr>
            <w:r w:rsidRPr="00621669">
              <w:rPr>
                <w:rFonts w:ascii="Times New Roman" w:hAnsi="Times New Roman" w:cs="Times New Roman"/>
                <w:sz w:val="20"/>
                <w:szCs w:val="20"/>
                <w:lang w:val="en-GB"/>
              </w:rPr>
              <w:t xml:space="preserve">     Fall prevention program</w:t>
            </w:r>
          </w:p>
        </w:tc>
        <w:tc>
          <w:tcPr>
            <w:tcW w:w="1687" w:type="dxa"/>
          </w:tcPr>
          <w:p w14:paraId="0D87B6E3" w14:textId="77777777" w:rsidR="00CF60A0" w:rsidRPr="00607F80" w:rsidRDefault="00CF60A0" w:rsidP="00B963D7">
            <w:pPr>
              <w:pStyle w:val="ListParagraph"/>
              <w:spacing w:after="0"/>
              <w:ind w:left="0"/>
              <w:rPr>
                <w:rFonts w:ascii="Times New Roman" w:hAnsi="Times New Roman" w:cs="Times New Roman"/>
                <w:sz w:val="20"/>
                <w:szCs w:val="20"/>
                <w:lang w:val="en-GB"/>
              </w:rPr>
            </w:pPr>
          </w:p>
          <w:p w14:paraId="2A7FD040" w14:textId="77777777" w:rsidR="00CF60A0" w:rsidRPr="00607F80"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0.519*** (0.089)</w:t>
            </w:r>
          </w:p>
          <w:p w14:paraId="0464E58F" w14:textId="77777777" w:rsidR="00CF60A0" w:rsidRPr="00607F80" w:rsidRDefault="00CF60A0" w:rsidP="00B963D7">
            <w:pPr>
              <w:pStyle w:val="ListParagraph"/>
              <w:spacing w:after="0"/>
              <w:ind w:left="0"/>
              <w:rPr>
                <w:rFonts w:ascii="Times New Roman" w:hAnsi="Times New Roman" w:cs="Times New Roman"/>
                <w:sz w:val="20"/>
                <w:szCs w:val="20"/>
              </w:rPr>
            </w:pPr>
            <w:r w:rsidRPr="00607F80">
              <w:rPr>
                <w:rFonts w:ascii="Times New Roman" w:hAnsi="Times New Roman" w:cs="Times New Roman"/>
                <w:sz w:val="20"/>
                <w:szCs w:val="20"/>
              </w:rPr>
              <w:t xml:space="preserve">-0.016 </w:t>
            </w:r>
            <w:r>
              <w:rPr>
                <w:rFonts w:ascii="Times New Roman" w:hAnsi="Times New Roman" w:cs="Times New Roman"/>
                <w:sz w:val="20"/>
                <w:szCs w:val="20"/>
              </w:rPr>
              <w:t>(0.089)</w:t>
            </w:r>
          </w:p>
          <w:p w14:paraId="2DC7408E" w14:textId="77777777" w:rsidR="00CF60A0" w:rsidRPr="00607F80" w:rsidRDefault="00CF60A0" w:rsidP="00B963D7">
            <w:pPr>
              <w:pStyle w:val="ListParagraph"/>
              <w:spacing w:after="0"/>
              <w:ind w:left="0"/>
              <w:rPr>
                <w:rFonts w:ascii="Times New Roman" w:hAnsi="Times New Roman" w:cs="Times New Roman"/>
                <w:sz w:val="20"/>
                <w:szCs w:val="20"/>
              </w:rPr>
            </w:pPr>
            <w:r w:rsidRPr="00607F80">
              <w:rPr>
                <w:rFonts w:ascii="Times New Roman" w:hAnsi="Times New Roman" w:cs="Times New Roman"/>
                <w:sz w:val="20"/>
                <w:szCs w:val="20"/>
              </w:rPr>
              <w:t>-0.503***</w:t>
            </w:r>
            <w:r>
              <w:rPr>
                <w:rFonts w:ascii="Times New Roman" w:hAnsi="Times New Roman" w:cs="Times New Roman"/>
                <w:sz w:val="20"/>
                <w:szCs w:val="20"/>
              </w:rPr>
              <w:t>(0.158)</w:t>
            </w:r>
          </w:p>
        </w:tc>
        <w:tc>
          <w:tcPr>
            <w:tcW w:w="898" w:type="dxa"/>
            <w:vAlign w:val="center"/>
          </w:tcPr>
          <w:p w14:paraId="5004601D" w14:textId="188F1C8D" w:rsidR="00CF60A0" w:rsidRPr="007111F0" w:rsidRDefault="00CF60A0" w:rsidP="00B963D7">
            <w:pPr>
              <w:pStyle w:val="ListParagraph"/>
              <w:spacing w:after="0"/>
              <w:ind w:left="0"/>
              <w:rPr>
                <w:rFonts w:ascii="Times New Roman" w:hAnsi="Times New Roman" w:cs="Times New Roman"/>
                <w:sz w:val="20"/>
                <w:szCs w:val="20"/>
              </w:rPr>
            </w:pPr>
            <w:r w:rsidRPr="007111F0">
              <w:rPr>
                <w:rFonts w:ascii="Times New Roman" w:hAnsi="Times New Roman" w:cs="Times New Roman"/>
                <w:sz w:val="20"/>
                <w:szCs w:val="20"/>
              </w:rPr>
              <w:t>24.</w:t>
            </w:r>
            <w:r w:rsidR="006771B8">
              <w:rPr>
                <w:rFonts w:ascii="Times New Roman" w:hAnsi="Times New Roman" w:cs="Times New Roman"/>
                <w:sz w:val="20"/>
                <w:szCs w:val="20"/>
              </w:rPr>
              <w:t>9</w:t>
            </w:r>
            <w:r w:rsidRPr="007111F0">
              <w:rPr>
                <w:rFonts w:ascii="Times New Roman" w:hAnsi="Times New Roman" w:cs="Times New Roman"/>
                <w:sz w:val="20"/>
                <w:szCs w:val="20"/>
              </w:rPr>
              <w:t>%</w:t>
            </w:r>
          </w:p>
        </w:tc>
        <w:tc>
          <w:tcPr>
            <w:tcW w:w="1696" w:type="dxa"/>
          </w:tcPr>
          <w:p w14:paraId="52E81688" w14:textId="77777777" w:rsidR="00CF60A0" w:rsidRPr="007B3AF8" w:rsidRDefault="00CF60A0" w:rsidP="00B963D7">
            <w:pPr>
              <w:pStyle w:val="ListParagraph"/>
              <w:spacing w:after="0"/>
              <w:ind w:left="0"/>
              <w:rPr>
                <w:rFonts w:ascii="Times New Roman" w:hAnsi="Times New Roman" w:cs="Times New Roman"/>
                <w:sz w:val="20"/>
                <w:szCs w:val="20"/>
                <w:lang w:val="en-GB"/>
              </w:rPr>
            </w:pPr>
          </w:p>
          <w:p w14:paraId="2CB54769" w14:textId="77777777" w:rsidR="00CF60A0" w:rsidRPr="007B3AF8" w:rsidRDefault="00CF60A0" w:rsidP="00B963D7">
            <w:pPr>
              <w:pStyle w:val="ListParagraph"/>
              <w:spacing w:after="0"/>
              <w:ind w:left="0"/>
              <w:rPr>
                <w:rFonts w:ascii="Times New Roman" w:hAnsi="Times New Roman" w:cs="Times New Roman"/>
                <w:sz w:val="20"/>
                <w:szCs w:val="20"/>
                <w:lang w:val="en-GB"/>
              </w:rPr>
            </w:pPr>
            <w:r w:rsidRPr="007B3AF8">
              <w:rPr>
                <w:rFonts w:ascii="Times New Roman" w:hAnsi="Times New Roman" w:cs="Times New Roman"/>
                <w:sz w:val="20"/>
                <w:szCs w:val="20"/>
                <w:lang w:val="en-GB"/>
              </w:rPr>
              <w:t>0.099</w:t>
            </w:r>
            <w:r>
              <w:rPr>
                <w:rFonts w:ascii="Times New Roman" w:hAnsi="Times New Roman" w:cs="Times New Roman"/>
                <w:sz w:val="20"/>
                <w:szCs w:val="20"/>
                <w:lang w:val="en-GB"/>
              </w:rPr>
              <w:t xml:space="preserve"> (0.112)</w:t>
            </w:r>
          </w:p>
          <w:p w14:paraId="41813F1E" w14:textId="77777777" w:rsidR="00CF60A0" w:rsidRPr="007B3AF8" w:rsidRDefault="00CF60A0" w:rsidP="00B963D7">
            <w:pPr>
              <w:pStyle w:val="ListParagraph"/>
              <w:spacing w:after="0"/>
              <w:ind w:left="0"/>
              <w:rPr>
                <w:rFonts w:ascii="Times New Roman" w:hAnsi="Times New Roman" w:cs="Times New Roman"/>
                <w:sz w:val="20"/>
                <w:szCs w:val="20"/>
                <w:lang w:val="en-GB"/>
              </w:rPr>
            </w:pPr>
            <w:r w:rsidRPr="007B3AF8">
              <w:rPr>
                <w:rFonts w:ascii="Times New Roman" w:hAnsi="Times New Roman" w:cs="Times New Roman"/>
                <w:sz w:val="20"/>
                <w:szCs w:val="20"/>
                <w:lang w:val="en-GB"/>
              </w:rPr>
              <w:t xml:space="preserve">0.098 </w:t>
            </w:r>
            <w:r>
              <w:rPr>
                <w:rFonts w:ascii="Times New Roman" w:hAnsi="Times New Roman" w:cs="Times New Roman"/>
                <w:sz w:val="20"/>
                <w:szCs w:val="20"/>
                <w:lang w:val="en-GB"/>
              </w:rPr>
              <w:t>(0.117)</w:t>
            </w:r>
          </w:p>
          <w:p w14:paraId="165F2FAD" w14:textId="77777777" w:rsidR="00CF60A0" w:rsidRPr="007B3AF8" w:rsidRDefault="00CF60A0" w:rsidP="00B963D7">
            <w:pPr>
              <w:pStyle w:val="ListParagraph"/>
              <w:spacing w:after="0"/>
              <w:ind w:left="0"/>
              <w:rPr>
                <w:rFonts w:ascii="Times New Roman" w:hAnsi="Times New Roman" w:cs="Times New Roman"/>
                <w:sz w:val="20"/>
                <w:szCs w:val="20"/>
                <w:lang w:val="en-GB"/>
              </w:rPr>
            </w:pPr>
            <w:r w:rsidRPr="007B3AF8">
              <w:rPr>
                <w:rFonts w:ascii="Times New Roman" w:hAnsi="Times New Roman" w:cs="Times New Roman"/>
                <w:sz w:val="20"/>
                <w:szCs w:val="20"/>
                <w:lang w:val="en-GB"/>
              </w:rPr>
              <w:t xml:space="preserve">-0.197 </w:t>
            </w:r>
            <w:r>
              <w:rPr>
                <w:rFonts w:ascii="Times New Roman" w:hAnsi="Times New Roman" w:cs="Times New Roman"/>
                <w:sz w:val="20"/>
                <w:szCs w:val="20"/>
                <w:lang w:val="en-GB"/>
              </w:rPr>
              <w:t>(0.194)</w:t>
            </w:r>
          </w:p>
        </w:tc>
        <w:tc>
          <w:tcPr>
            <w:tcW w:w="833" w:type="dxa"/>
            <w:vAlign w:val="center"/>
          </w:tcPr>
          <w:p w14:paraId="5CB4C827" w14:textId="45471262" w:rsidR="00CF60A0" w:rsidRPr="007B3AF8" w:rsidRDefault="00CF60A0" w:rsidP="00B963D7">
            <w:pPr>
              <w:pStyle w:val="ListParagraph"/>
              <w:spacing w:after="0"/>
              <w:ind w:left="0"/>
              <w:jc w:val="center"/>
              <w:rPr>
                <w:rFonts w:ascii="Times New Roman" w:hAnsi="Times New Roman" w:cs="Times New Roman"/>
                <w:sz w:val="20"/>
                <w:szCs w:val="20"/>
              </w:rPr>
            </w:pPr>
            <w:r w:rsidRPr="007B3AF8">
              <w:rPr>
                <w:rFonts w:ascii="Times New Roman" w:hAnsi="Times New Roman" w:cs="Times New Roman"/>
                <w:sz w:val="20"/>
                <w:szCs w:val="20"/>
              </w:rPr>
              <w:t>21.3%</w:t>
            </w:r>
          </w:p>
        </w:tc>
        <w:tc>
          <w:tcPr>
            <w:tcW w:w="1680" w:type="dxa"/>
          </w:tcPr>
          <w:p w14:paraId="1E6F64E0" w14:textId="77777777" w:rsidR="00CF60A0" w:rsidRPr="003D5215" w:rsidRDefault="00CF60A0" w:rsidP="00B963D7">
            <w:pPr>
              <w:pStyle w:val="ListParagraph"/>
              <w:spacing w:after="0"/>
              <w:ind w:left="0"/>
              <w:rPr>
                <w:rFonts w:ascii="Times New Roman" w:hAnsi="Times New Roman" w:cs="Times New Roman"/>
                <w:sz w:val="20"/>
                <w:szCs w:val="20"/>
                <w:lang w:val="en-GB"/>
              </w:rPr>
            </w:pPr>
          </w:p>
          <w:p w14:paraId="327D9DA6" w14:textId="77777777" w:rsidR="00CF60A0" w:rsidRPr="003D5215" w:rsidRDefault="00CF60A0" w:rsidP="00B963D7">
            <w:pPr>
              <w:pStyle w:val="ListParagraph"/>
              <w:spacing w:after="0"/>
              <w:ind w:left="0"/>
              <w:rPr>
                <w:rFonts w:ascii="Times New Roman" w:hAnsi="Times New Roman" w:cs="Times New Roman"/>
                <w:sz w:val="20"/>
                <w:szCs w:val="20"/>
                <w:lang w:val="en-GB"/>
              </w:rPr>
            </w:pPr>
            <w:r w:rsidRPr="003D5215">
              <w:rPr>
                <w:rFonts w:ascii="Times New Roman" w:hAnsi="Times New Roman" w:cs="Times New Roman"/>
                <w:sz w:val="20"/>
                <w:szCs w:val="20"/>
                <w:lang w:val="en-GB"/>
              </w:rPr>
              <w:t>0.356</w:t>
            </w:r>
            <w:r>
              <w:rPr>
                <w:rFonts w:ascii="Times New Roman" w:hAnsi="Times New Roman" w:cs="Times New Roman"/>
                <w:sz w:val="20"/>
                <w:szCs w:val="20"/>
                <w:lang w:val="en-GB"/>
              </w:rPr>
              <w:t>*** (0.108)</w:t>
            </w:r>
          </w:p>
          <w:p w14:paraId="1815AC98" w14:textId="77777777" w:rsidR="00CF60A0" w:rsidRPr="003D5215" w:rsidRDefault="00CF60A0" w:rsidP="00B963D7">
            <w:pPr>
              <w:pStyle w:val="ListParagraph"/>
              <w:spacing w:after="0"/>
              <w:ind w:left="0"/>
              <w:rPr>
                <w:rFonts w:ascii="Times New Roman" w:hAnsi="Times New Roman" w:cs="Times New Roman"/>
                <w:sz w:val="20"/>
                <w:szCs w:val="20"/>
                <w:lang w:val="en-GB"/>
              </w:rPr>
            </w:pPr>
            <w:r w:rsidRPr="003D5215">
              <w:rPr>
                <w:rFonts w:ascii="Times New Roman" w:hAnsi="Times New Roman" w:cs="Times New Roman"/>
                <w:sz w:val="20"/>
                <w:szCs w:val="20"/>
                <w:lang w:val="en-GB"/>
              </w:rPr>
              <w:t>-0.03</w:t>
            </w:r>
            <w:r>
              <w:rPr>
                <w:rFonts w:ascii="Times New Roman" w:hAnsi="Times New Roman" w:cs="Times New Roman"/>
                <w:sz w:val="20"/>
                <w:szCs w:val="20"/>
                <w:lang w:val="en-GB"/>
              </w:rPr>
              <w:t>0</w:t>
            </w:r>
            <w:r w:rsidRPr="003D5215">
              <w:rPr>
                <w:rFonts w:ascii="Times New Roman" w:hAnsi="Times New Roman" w:cs="Times New Roman"/>
                <w:sz w:val="20"/>
                <w:szCs w:val="20"/>
                <w:lang w:val="en-GB"/>
              </w:rPr>
              <w:t xml:space="preserve"> </w:t>
            </w:r>
            <w:r>
              <w:rPr>
                <w:rFonts w:ascii="Times New Roman" w:hAnsi="Times New Roman" w:cs="Times New Roman"/>
                <w:sz w:val="20"/>
                <w:szCs w:val="20"/>
                <w:lang w:val="en-GB"/>
              </w:rPr>
              <w:t>(0.112)</w:t>
            </w:r>
          </w:p>
          <w:p w14:paraId="128AFB0B" w14:textId="77777777" w:rsidR="00CF60A0" w:rsidRPr="003D5215" w:rsidRDefault="00CF60A0" w:rsidP="00B963D7">
            <w:pPr>
              <w:pStyle w:val="ListParagraph"/>
              <w:spacing w:after="0"/>
              <w:ind w:left="0"/>
              <w:rPr>
                <w:rFonts w:ascii="Times New Roman" w:hAnsi="Times New Roman" w:cs="Times New Roman"/>
                <w:sz w:val="20"/>
                <w:szCs w:val="20"/>
                <w:lang w:val="en-GB"/>
              </w:rPr>
            </w:pPr>
            <w:r w:rsidRPr="003D5215">
              <w:rPr>
                <w:rFonts w:ascii="Times New Roman" w:hAnsi="Times New Roman" w:cs="Times New Roman"/>
                <w:sz w:val="20"/>
                <w:szCs w:val="20"/>
                <w:lang w:val="en-GB"/>
              </w:rPr>
              <w:t xml:space="preserve">-0.326* </w:t>
            </w:r>
            <w:r>
              <w:rPr>
                <w:rFonts w:ascii="Times New Roman" w:hAnsi="Times New Roman" w:cs="Times New Roman"/>
                <w:sz w:val="20"/>
                <w:szCs w:val="20"/>
                <w:lang w:val="en-GB"/>
              </w:rPr>
              <w:t>(0.191)</w:t>
            </w:r>
          </w:p>
        </w:tc>
        <w:tc>
          <w:tcPr>
            <w:tcW w:w="910" w:type="dxa"/>
            <w:vAlign w:val="center"/>
          </w:tcPr>
          <w:p w14:paraId="78CD94D5" w14:textId="5299062D" w:rsidR="00CF60A0" w:rsidRPr="006D4CA7" w:rsidRDefault="00CF60A0" w:rsidP="00B963D7">
            <w:pPr>
              <w:pStyle w:val="ListParagraph"/>
              <w:spacing w:after="0"/>
              <w:ind w:left="0"/>
              <w:rPr>
                <w:rFonts w:ascii="Times New Roman" w:hAnsi="Times New Roman" w:cs="Times New Roman"/>
                <w:sz w:val="20"/>
                <w:szCs w:val="20"/>
              </w:rPr>
            </w:pPr>
            <w:r>
              <w:rPr>
                <w:rFonts w:ascii="Times New Roman" w:hAnsi="Times New Roman" w:cs="Times New Roman"/>
                <w:sz w:val="20"/>
                <w:szCs w:val="20"/>
              </w:rPr>
              <w:t>22.</w:t>
            </w:r>
            <w:r w:rsidR="006771B8">
              <w:rPr>
                <w:rFonts w:ascii="Times New Roman" w:hAnsi="Times New Roman" w:cs="Times New Roman"/>
                <w:sz w:val="20"/>
                <w:szCs w:val="20"/>
              </w:rPr>
              <w:t>9</w:t>
            </w:r>
            <w:r w:rsidRPr="006D4CA7">
              <w:rPr>
                <w:rFonts w:ascii="Times New Roman" w:hAnsi="Times New Roman" w:cs="Times New Roman"/>
                <w:sz w:val="20"/>
                <w:szCs w:val="20"/>
              </w:rPr>
              <w:t>%</w:t>
            </w:r>
          </w:p>
        </w:tc>
        <w:tc>
          <w:tcPr>
            <w:tcW w:w="1705" w:type="dxa"/>
          </w:tcPr>
          <w:p w14:paraId="01D3A64B" w14:textId="77777777" w:rsidR="00CF60A0" w:rsidRPr="00E748E6" w:rsidRDefault="00CF60A0" w:rsidP="00B963D7">
            <w:pPr>
              <w:pStyle w:val="ListParagraph"/>
              <w:spacing w:after="0"/>
              <w:ind w:left="0"/>
              <w:rPr>
                <w:rFonts w:ascii="Times New Roman" w:hAnsi="Times New Roman" w:cs="Times New Roman"/>
                <w:sz w:val="20"/>
                <w:szCs w:val="20"/>
                <w:lang w:val="en-GB"/>
              </w:rPr>
            </w:pPr>
          </w:p>
          <w:p w14:paraId="2F9F48EA" w14:textId="77777777" w:rsidR="00CF60A0" w:rsidRPr="00E748E6" w:rsidRDefault="00CF60A0" w:rsidP="00B963D7">
            <w:pPr>
              <w:pStyle w:val="ListParagraph"/>
              <w:spacing w:after="0"/>
              <w:ind w:left="0"/>
              <w:rPr>
                <w:rFonts w:ascii="Times New Roman" w:hAnsi="Times New Roman" w:cs="Times New Roman"/>
                <w:sz w:val="20"/>
                <w:szCs w:val="20"/>
                <w:lang w:val="en-GB"/>
              </w:rPr>
            </w:pPr>
            <w:r>
              <w:rPr>
                <w:rFonts w:ascii="Times New Roman" w:hAnsi="Times New Roman" w:cs="Times New Roman"/>
                <w:sz w:val="20"/>
                <w:szCs w:val="20"/>
                <w:lang w:val="en-GB"/>
              </w:rPr>
              <w:t>0.220** (0.112)</w:t>
            </w:r>
          </w:p>
          <w:p w14:paraId="0CBCFF4C" w14:textId="77777777" w:rsidR="00CF60A0" w:rsidRPr="00E748E6" w:rsidRDefault="00CF60A0" w:rsidP="00B963D7">
            <w:pPr>
              <w:pStyle w:val="ListParagraph"/>
              <w:spacing w:after="0"/>
              <w:ind w:left="0"/>
              <w:rPr>
                <w:rFonts w:ascii="Times New Roman" w:hAnsi="Times New Roman" w:cs="Times New Roman"/>
                <w:sz w:val="20"/>
                <w:szCs w:val="20"/>
                <w:lang w:val="en-GB"/>
              </w:rPr>
            </w:pPr>
            <w:r w:rsidRPr="00E748E6">
              <w:rPr>
                <w:rFonts w:ascii="Times New Roman" w:hAnsi="Times New Roman" w:cs="Times New Roman"/>
                <w:sz w:val="20"/>
                <w:szCs w:val="20"/>
                <w:lang w:val="en-GB"/>
              </w:rPr>
              <w:t xml:space="preserve">-0.045 </w:t>
            </w:r>
            <w:r>
              <w:rPr>
                <w:rFonts w:ascii="Times New Roman" w:hAnsi="Times New Roman" w:cs="Times New Roman"/>
                <w:sz w:val="20"/>
                <w:szCs w:val="20"/>
                <w:lang w:val="en-GB"/>
              </w:rPr>
              <w:t>(0.127)</w:t>
            </w:r>
          </w:p>
          <w:p w14:paraId="499AB943" w14:textId="77777777" w:rsidR="00CF60A0" w:rsidRPr="00E748E6" w:rsidRDefault="00CF60A0" w:rsidP="00B963D7">
            <w:pPr>
              <w:pStyle w:val="ListParagraph"/>
              <w:spacing w:after="0"/>
              <w:ind w:left="0"/>
              <w:rPr>
                <w:rFonts w:ascii="Times New Roman" w:hAnsi="Times New Roman" w:cs="Times New Roman"/>
                <w:sz w:val="20"/>
                <w:szCs w:val="20"/>
                <w:lang w:val="en-GB"/>
              </w:rPr>
            </w:pPr>
            <w:r w:rsidRPr="00E748E6">
              <w:rPr>
                <w:rFonts w:ascii="Times New Roman" w:hAnsi="Times New Roman" w:cs="Times New Roman"/>
                <w:sz w:val="20"/>
                <w:szCs w:val="20"/>
                <w:lang w:val="en-GB"/>
              </w:rPr>
              <w:t xml:space="preserve">-0.175 </w:t>
            </w:r>
            <w:r>
              <w:rPr>
                <w:rFonts w:ascii="Times New Roman" w:hAnsi="Times New Roman" w:cs="Times New Roman"/>
                <w:sz w:val="20"/>
                <w:szCs w:val="20"/>
                <w:lang w:val="en-GB"/>
              </w:rPr>
              <w:t>(0.202)</w:t>
            </w:r>
          </w:p>
        </w:tc>
        <w:tc>
          <w:tcPr>
            <w:tcW w:w="990" w:type="dxa"/>
            <w:vAlign w:val="center"/>
          </w:tcPr>
          <w:p w14:paraId="4FC21116" w14:textId="77777777" w:rsidR="00CF60A0" w:rsidRPr="00BE5048" w:rsidRDefault="00CF60A0" w:rsidP="00B963D7">
            <w:pPr>
              <w:pStyle w:val="ListParagraph"/>
              <w:spacing w:after="0"/>
              <w:ind w:left="0"/>
              <w:jc w:val="center"/>
              <w:rPr>
                <w:rFonts w:ascii="Times New Roman" w:hAnsi="Times New Roman" w:cs="Times New Roman"/>
                <w:sz w:val="20"/>
                <w:szCs w:val="20"/>
              </w:rPr>
            </w:pPr>
            <w:r>
              <w:rPr>
                <w:rFonts w:ascii="Times New Roman" w:hAnsi="Times New Roman" w:cs="Times New Roman"/>
                <w:sz w:val="20"/>
                <w:szCs w:val="20"/>
              </w:rPr>
              <w:t>22.87</w:t>
            </w:r>
            <w:r w:rsidRPr="00BE5048">
              <w:rPr>
                <w:rFonts w:ascii="Times New Roman" w:hAnsi="Times New Roman" w:cs="Times New Roman"/>
                <w:sz w:val="20"/>
                <w:szCs w:val="20"/>
              </w:rPr>
              <w:t>%</w:t>
            </w:r>
          </w:p>
        </w:tc>
      </w:tr>
    </w:tbl>
    <w:p w14:paraId="6B6E9BCC" w14:textId="77777777" w:rsidR="00CF60A0" w:rsidRPr="00CF6191" w:rsidRDefault="00CF60A0" w:rsidP="00CF60A0">
      <w:pPr>
        <w:spacing w:after="0" w:line="240" w:lineRule="auto"/>
        <w:rPr>
          <w:rFonts w:ascii="Times New Roman" w:hAnsi="Times New Roman" w:cs="Times New Roman"/>
          <w:sz w:val="20"/>
          <w:szCs w:val="20"/>
        </w:rPr>
      </w:pPr>
      <w:r w:rsidRPr="00CF6191">
        <w:rPr>
          <w:rFonts w:ascii="Times New Roman" w:hAnsi="Times New Roman" w:cs="Times New Roman"/>
          <w:sz w:val="20"/>
          <w:szCs w:val="20"/>
        </w:rPr>
        <w:t>Coef coefficient, SE standard error, RI relative importance</w:t>
      </w:r>
    </w:p>
    <w:p w14:paraId="0D5BD39A" w14:textId="77777777" w:rsidR="00CF60A0" w:rsidRPr="00C03BBC" w:rsidRDefault="00CF60A0" w:rsidP="00CF60A0">
      <w:pPr>
        <w:pStyle w:val="ListParagraph"/>
        <w:spacing w:after="0" w:line="240" w:lineRule="auto"/>
        <w:ind w:left="0"/>
        <w:rPr>
          <w:rFonts w:ascii="Times New Roman" w:hAnsi="Times New Roman" w:cs="Times New Roman"/>
          <w:sz w:val="20"/>
          <w:szCs w:val="20"/>
          <w:lang w:val="en-GB"/>
        </w:rPr>
      </w:pPr>
      <w:r w:rsidRPr="00C03BBC">
        <w:rPr>
          <w:rFonts w:ascii="Times New Roman" w:hAnsi="Times New Roman" w:cs="Times New Roman"/>
          <w:sz w:val="20"/>
          <w:szCs w:val="20"/>
          <w:lang w:val="en-GB"/>
        </w:rPr>
        <w:t>*p&lt;0.1 ; **p&lt;0.05 ; ***p&lt;0.01</w:t>
      </w:r>
    </w:p>
    <w:p w14:paraId="16D18367" w14:textId="278841AB" w:rsidR="00CF60A0" w:rsidRPr="00C03BBC" w:rsidRDefault="00CF60A0" w:rsidP="00CF60A0">
      <w:pPr>
        <w:pStyle w:val="ListParagraph"/>
        <w:spacing w:after="0" w:line="240" w:lineRule="auto"/>
        <w:ind w:left="0"/>
        <w:rPr>
          <w:rFonts w:ascii="Times New Roman" w:hAnsi="Times New Roman" w:cs="Times New Roman"/>
          <w:sz w:val="20"/>
          <w:szCs w:val="20"/>
          <w:lang w:val="en-GB"/>
        </w:rPr>
      </w:pPr>
      <w:r w:rsidRPr="00C03BBC">
        <w:rPr>
          <w:rFonts w:ascii="Times New Roman" w:hAnsi="Times New Roman" w:cs="Times New Roman"/>
          <w:sz w:val="20"/>
          <w:szCs w:val="20"/>
          <w:vertAlign w:val="superscript"/>
          <w:lang w:val="en-GB"/>
        </w:rPr>
        <w:t>a</w:t>
      </w:r>
      <w:r w:rsidRPr="00C03BBC">
        <w:rPr>
          <w:rFonts w:ascii="Times New Roman" w:hAnsi="Times New Roman" w:cs="Times New Roman"/>
          <w:sz w:val="20"/>
          <w:szCs w:val="20"/>
          <w:lang w:val="en-GB"/>
        </w:rPr>
        <w:t xml:space="preserve"> A positive (negative) sign for a given level indicates a level has a positive (negative) effect on utility compared to the mean effect of the attribute</w:t>
      </w:r>
      <w:r w:rsidR="00D70B20">
        <w:rPr>
          <w:rFonts w:ascii="Times New Roman" w:hAnsi="Times New Roman" w:cs="Times New Roman"/>
          <w:sz w:val="20"/>
          <w:szCs w:val="20"/>
          <w:lang w:val="en-GB"/>
        </w:rPr>
        <w:t>.</w:t>
      </w:r>
    </w:p>
    <w:p w14:paraId="7EAAD2B1" w14:textId="1A4C01EC" w:rsidR="00CF60A0" w:rsidRDefault="00CF60A0" w:rsidP="00CF60A0">
      <w:pPr>
        <w:pStyle w:val="ListParagraph"/>
        <w:spacing w:after="0" w:line="240" w:lineRule="auto"/>
        <w:ind w:left="0"/>
        <w:rPr>
          <w:rFonts w:ascii="Times New Roman" w:hAnsi="Times New Roman" w:cs="Times New Roman"/>
          <w:sz w:val="20"/>
          <w:szCs w:val="20"/>
          <w:lang w:val="en-GB"/>
        </w:rPr>
      </w:pPr>
      <w:r w:rsidRPr="00C03BBC">
        <w:rPr>
          <w:rFonts w:ascii="Times New Roman" w:hAnsi="Times New Roman" w:cs="Times New Roman"/>
          <w:sz w:val="20"/>
          <w:szCs w:val="20"/>
          <w:vertAlign w:val="superscript"/>
          <w:lang w:val="en-GB"/>
        </w:rPr>
        <w:t>b</w:t>
      </w:r>
      <w:r w:rsidRPr="00C03BBC">
        <w:rPr>
          <w:rFonts w:ascii="Times New Roman" w:hAnsi="Times New Roman" w:cs="Times New Roman"/>
          <w:sz w:val="20"/>
          <w:szCs w:val="20"/>
          <w:lang w:val="en-GB"/>
        </w:rPr>
        <w:t xml:space="preserve"> The parameter estimates for other levels represent the difference in the preference of each level compared with the reference level of the variable.</w:t>
      </w:r>
    </w:p>
    <w:p w14:paraId="3946B02E" w14:textId="59B294B8" w:rsidR="00CF60A0" w:rsidRDefault="00CF60A0" w:rsidP="00CF60A0">
      <w:pPr>
        <w:pStyle w:val="ListParagraph"/>
        <w:spacing w:after="0" w:line="240" w:lineRule="auto"/>
        <w:ind w:left="0"/>
        <w:rPr>
          <w:rFonts w:ascii="Times New Roman" w:hAnsi="Times New Roman" w:cs="Times New Roman"/>
          <w:sz w:val="20"/>
          <w:szCs w:val="20"/>
          <w:lang w:val="en-GB"/>
        </w:rPr>
      </w:pPr>
      <w:r>
        <w:rPr>
          <w:rFonts w:ascii="Times New Roman" w:hAnsi="Times New Roman" w:cs="Times New Roman"/>
          <w:sz w:val="20"/>
          <w:szCs w:val="20"/>
          <w:lang w:val="en-GB"/>
        </w:rPr>
        <w:br w:type="page"/>
      </w:r>
    </w:p>
    <w:p w14:paraId="16F1C861" w14:textId="77777777" w:rsidR="00CF60A0" w:rsidRDefault="00CF60A0" w:rsidP="00CF60A0">
      <w:pPr>
        <w:pStyle w:val="ListParagraph"/>
        <w:spacing w:after="0" w:line="240" w:lineRule="auto"/>
        <w:ind w:left="0"/>
        <w:rPr>
          <w:rFonts w:ascii="Times New Roman" w:hAnsi="Times New Roman" w:cs="Times New Roman"/>
          <w:sz w:val="20"/>
          <w:szCs w:val="20"/>
          <w:lang w:val="en-GB"/>
        </w:rPr>
        <w:sectPr w:rsidR="00CF60A0" w:rsidSect="007D4E5D">
          <w:pgSz w:w="15840" w:h="12240" w:orient="landscape"/>
          <w:pgMar w:top="1440" w:right="1440" w:bottom="1440" w:left="1440" w:header="708" w:footer="708" w:gutter="0"/>
          <w:cols w:space="708"/>
          <w:docGrid w:linePitch="360"/>
        </w:sectPr>
      </w:pPr>
    </w:p>
    <w:p w14:paraId="33003987" w14:textId="4111FC1A" w:rsidR="00CF60A0" w:rsidRDefault="00B963D7" w:rsidP="00CF60A0">
      <w:pPr>
        <w:pStyle w:val="ListParagraph"/>
        <w:spacing w:after="0" w:line="240" w:lineRule="auto"/>
        <w:ind w:left="0"/>
        <w:rPr>
          <w:rFonts w:ascii="Times New Roman" w:hAnsi="Times New Roman" w:cs="Times New Roman"/>
          <w:sz w:val="20"/>
          <w:szCs w:val="20"/>
          <w:lang w:val="en-GB"/>
        </w:rPr>
      </w:pPr>
      <w:r>
        <w:rPr>
          <w:noProof/>
          <w:lang w:val="en-GB" w:eastAsia="en-GB"/>
        </w:rPr>
        <w:drawing>
          <wp:inline distT="0" distB="0" distL="0" distR="0" wp14:anchorId="2006406E" wp14:editId="5749B0D7">
            <wp:extent cx="5943600" cy="8959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895985"/>
                    </a:xfrm>
                    <a:prstGeom prst="rect">
                      <a:avLst/>
                    </a:prstGeom>
                  </pic:spPr>
                </pic:pic>
              </a:graphicData>
            </a:graphic>
          </wp:inline>
        </w:drawing>
      </w:r>
    </w:p>
    <w:p w14:paraId="6A013CAC" w14:textId="57463BD2" w:rsidR="00B963D7" w:rsidRDefault="00B963D7" w:rsidP="00CF60A0">
      <w:pPr>
        <w:pStyle w:val="ListParagraph"/>
        <w:spacing w:after="0" w:line="240" w:lineRule="auto"/>
        <w:ind w:left="0"/>
        <w:rPr>
          <w:rFonts w:ascii="Times New Roman" w:hAnsi="Times New Roman" w:cs="Times New Roman"/>
          <w:sz w:val="20"/>
          <w:szCs w:val="20"/>
          <w:lang w:val="en-GB"/>
        </w:rPr>
      </w:pPr>
      <w:r w:rsidRPr="00B963D7">
        <w:rPr>
          <w:rFonts w:ascii="Times New Roman" w:hAnsi="Times New Roman" w:cs="Times New Roman"/>
          <w:b/>
          <w:sz w:val="20"/>
          <w:szCs w:val="20"/>
          <w:lang w:val="en-GB"/>
        </w:rPr>
        <w:t>Figure 1. Example of choice task</w:t>
      </w:r>
    </w:p>
    <w:p w14:paraId="1FCB194C" w14:textId="77777777" w:rsidR="00B963D7" w:rsidRDefault="00B963D7" w:rsidP="00CF60A0">
      <w:pPr>
        <w:pStyle w:val="ListParagraph"/>
        <w:spacing w:after="0" w:line="240" w:lineRule="auto"/>
        <w:ind w:left="0"/>
        <w:rPr>
          <w:rFonts w:ascii="Times New Roman" w:hAnsi="Times New Roman" w:cs="Times New Roman"/>
          <w:sz w:val="20"/>
          <w:szCs w:val="20"/>
          <w:lang w:val="en-GB"/>
        </w:rPr>
      </w:pPr>
    </w:p>
    <w:p w14:paraId="7A61CD0E" w14:textId="4611175F" w:rsidR="00CF60A0" w:rsidRDefault="00CF60A0" w:rsidP="00CF60A0">
      <w:pPr>
        <w:pStyle w:val="ListParagraph"/>
        <w:spacing w:after="0" w:line="240" w:lineRule="auto"/>
        <w:ind w:left="0"/>
        <w:rPr>
          <w:rFonts w:ascii="Times New Roman" w:hAnsi="Times New Roman" w:cs="Times New Roman"/>
          <w:sz w:val="20"/>
          <w:szCs w:val="20"/>
          <w:lang w:val="en-GB"/>
        </w:rPr>
      </w:pPr>
    </w:p>
    <w:p w14:paraId="18BA7626" w14:textId="44535317" w:rsidR="00B16F62" w:rsidRDefault="00B16F62" w:rsidP="00CF60A0">
      <w:pPr>
        <w:pStyle w:val="ListParagraph"/>
        <w:spacing w:after="0" w:line="240" w:lineRule="auto"/>
        <w:ind w:left="0"/>
        <w:rPr>
          <w:rFonts w:ascii="Times New Roman" w:hAnsi="Times New Roman" w:cs="Times New Roman"/>
          <w:sz w:val="20"/>
          <w:szCs w:val="20"/>
          <w:lang w:val="en-GB"/>
        </w:rPr>
      </w:pPr>
    </w:p>
    <w:p w14:paraId="4BA7778A" w14:textId="4424A089" w:rsidR="00B16F62" w:rsidRDefault="00B16F62" w:rsidP="00CF60A0">
      <w:pPr>
        <w:pStyle w:val="ListParagraph"/>
        <w:spacing w:after="0" w:line="240" w:lineRule="auto"/>
        <w:ind w:left="0"/>
        <w:rPr>
          <w:rFonts w:ascii="Times New Roman" w:hAnsi="Times New Roman" w:cs="Times New Roman"/>
          <w:sz w:val="20"/>
          <w:szCs w:val="20"/>
          <w:lang w:val="en-GB"/>
        </w:rPr>
      </w:pPr>
      <w:r>
        <w:rPr>
          <w:noProof/>
          <w:lang w:val="en-GB" w:eastAsia="en-GB"/>
        </w:rPr>
        <w:drawing>
          <wp:inline distT="0" distB="0" distL="0" distR="0" wp14:anchorId="449BE6CA" wp14:editId="241AA806">
            <wp:extent cx="5943600" cy="3553760"/>
            <wp:effectExtent l="0" t="0" r="0" b="889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C2F82E2" w14:textId="12E1DC72" w:rsidR="00B16F62" w:rsidRPr="00B16F62" w:rsidRDefault="00B16F62" w:rsidP="00CF60A0">
      <w:pPr>
        <w:pStyle w:val="ListParagraph"/>
        <w:spacing w:after="0" w:line="240" w:lineRule="auto"/>
        <w:ind w:left="0"/>
        <w:rPr>
          <w:rFonts w:ascii="Times New Roman" w:hAnsi="Times New Roman" w:cs="Times New Roman"/>
          <w:b/>
          <w:sz w:val="20"/>
          <w:szCs w:val="20"/>
          <w:lang w:val="en-GB"/>
        </w:rPr>
      </w:pPr>
      <w:r w:rsidRPr="00B16F62">
        <w:rPr>
          <w:rFonts w:ascii="Times New Roman" w:hAnsi="Times New Roman" w:cs="Times New Roman"/>
          <w:b/>
          <w:sz w:val="20"/>
          <w:szCs w:val="20"/>
          <w:lang w:val="en-GB"/>
        </w:rPr>
        <w:t xml:space="preserve">Figure 2. </w:t>
      </w:r>
      <w:r w:rsidR="00D70B20">
        <w:rPr>
          <w:rFonts w:ascii="Times New Roman" w:hAnsi="Times New Roman" w:cs="Times New Roman"/>
          <w:b/>
          <w:sz w:val="20"/>
          <w:szCs w:val="20"/>
          <w:lang w:val="en-GB"/>
        </w:rPr>
        <w:t>Estimates of p</w:t>
      </w:r>
      <w:r w:rsidRPr="00B16F62">
        <w:rPr>
          <w:rFonts w:ascii="Times New Roman" w:hAnsi="Times New Roman" w:cs="Times New Roman"/>
          <w:b/>
          <w:sz w:val="20"/>
          <w:szCs w:val="20"/>
          <w:lang w:val="en-GB"/>
        </w:rPr>
        <w:t>atient preferences for the global model</w:t>
      </w:r>
    </w:p>
    <w:p w14:paraId="01FF1F61" w14:textId="77777777" w:rsidR="00B16F62" w:rsidRDefault="00B16F62" w:rsidP="00CF60A0">
      <w:pPr>
        <w:pStyle w:val="ListParagraph"/>
        <w:spacing w:after="0" w:line="240" w:lineRule="auto"/>
        <w:ind w:left="0"/>
        <w:rPr>
          <w:rFonts w:ascii="Times New Roman" w:hAnsi="Times New Roman" w:cs="Times New Roman"/>
          <w:sz w:val="20"/>
          <w:szCs w:val="20"/>
          <w:lang w:val="en-GB"/>
        </w:rPr>
      </w:pPr>
    </w:p>
    <w:p w14:paraId="15047C90" w14:textId="77777777" w:rsidR="00CF60A0" w:rsidRDefault="00CF60A0" w:rsidP="00CF60A0">
      <w:pPr>
        <w:pStyle w:val="ListParagraph"/>
        <w:spacing w:after="0" w:line="240" w:lineRule="auto"/>
        <w:ind w:left="0"/>
        <w:jc w:val="center"/>
        <w:rPr>
          <w:rFonts w:ascii="Times New Roman" w:hAnsi="Times New Roman" w:cs="Times New Roman"/>
          <w:sz w:val="20"/>
          <w:szCs w:val="20"/>
          <w:lang w:val="en-GB"/>
        </w:rPr>
      </w:pPr>
      <w:r>
        <w:rPr>
          <w:noProof/>
          <w:lang w:val="en-GB" w:eastAsia="en-GB"/>
        </w:rPr>
        <w:drawing>
          <wp:inline distT="0" distB="0" distL="0" distR="0" wp14:anchorId="61E0F68D" wp14:editId="0E5F7623">
            <wp:extent cx="6391275" cy="3000375"/>
            <wp:effectExtent l="0" t="0" r="9525"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E18B90" w14:textId="77777777" w:rsidR="00CF60A0" w:rsidRDefault="00CF60A0" w:rsidP="00CF60A0">
      <w:pPr>
        <w:pStyle w:val="ListParagraph"/>
        <w:spacing w:after="0" w:line="240" w:lineRule="auto"/>
        <w:ind w:left="0"/>
        <w:rPr>
          <w:rFonts w:ascii="Times New Roman" w:hAnsi="Times New Roman" w:cs="Times New Roman"/>
          <w:b/>
          <w:sz w:val="20"/>
          <w:szCs w:val="20"/>
          <w:lang w:val="en-GB"/>
        </w:rPr>
      </w:pPr>
    </w:p>
    <w:p w14:paraId="59E3F50F" w14:textId="12EF7E9C" w:rsidR="00915ACD" w:rsidRDefault="00CF60A0" w:rsidP="007D4E5D">
      <w:pPr>
        <w:pStyle w:val="ListParagraph"/>
        <w:spacing w:after="0" w:line="240" w:lineRule="auto"/>
        <w:ind w:left="0"/>
        <w:rPr>
          <w:rFonts w:ascii="Times New Roman" w:hAnsi="Times New Roman" w:cs="Times New Roman"/>
          <w:b/>
          <w:bCs/>
          <w:sz w:val="24"/>
          <w:szCs w:val="24"/>
          <w:lang w:val="en-GB"/>
        </w:rPr>
      </w:pPr>
      <w:r w:rsidRPr="00D23DAD">
        <w:rPr>
          <w:rFonts w:ascii="Times New Roman" w:hAnsi="Times New Roman" w:cs="Times New Roman"/>
          <w:b/>
          <w:sz w:val="20"/>
          <w:szCs w:val="20"/>
          <w:lang w:val="en-GB"/>
        </w:rPr>
        <w:t xml:space="preserve">Figure </w:t>
      </w:r>
      <w:r w:rsidR="00B16F62">
        <w:rPr>
          <w:rFonts w:ascii="Times New Roman" w:hAnsi="Times New Roman" w:cs="Times New Roman"/>
          <w:b/>
          <w:sz w:val="20"/>
          <w:szCs w:val="20"/>
          <w:lang w:val="en-GB"/>
        </w:rPr>
        <w:t>3</w:t>
      </w:r>
      <w:r w:rsidRPr="00D23DAD">
        <w:rPr>
          <w:rFonts w:ascii="Times New Roman" w:hAnsi="Times New Roman" w:cs="Times New Roman"/>
          <w:b/>
          <w:sz w:val="20"/>
          <w:szCs w:val="20"/>
          <w:lang w:val="en-GB"/>
        </w:rPr>
        <w:t xml:space="preserve"> Relative importance of attributes (in percentage) for all participants and </w:t>
      </w:r>
      <w:r w:rsidR="00323F46">
        <w:rPr>
          <w:rFonts w:ascii="Times New Roman" w:hAnsi="Times New Roman" w:cs="Times New Roman"/>
          <w:b/>
          <w:sz w:val="20"/>
          <w:szCs w:val="20"/>
          <w:lang w:val="en-GB"/>
        </w:rPr>
        <w:t>per</w:t>
      </w:r>
      <w:r w:rsidRPr="00D23DAD">
        <w:rPr>
          <w:rFonts w:ascii="Times New Roman" w:hAnsi="Times New Roman" w:cs="Times New Roman"/>
          <w:b/>
          <w:sz w:val="20"/>
          <w:szCs w:val="20"/>
          <w:lang w:val="en-GB"/>
        </w:rPr>
        <w:t xml:space="preserve"> coun</w:t>
      </w:r>
      <w:r w:rsidR="007D4E5D">
        <w:rPr>
          <w:rFonts w:ascii="Times New Roman" w:hAnsi="Times New Roman" w:cs="Times New Roman"/>
          <w:b/>
          <w:sz w:val="20"/>
          <w:szCs w:val="20"/>
          <w:lang w:val="en-GB"/>
        </w:rPr>
        <w:t>try</w:t>
      </w:r>
    </w:p>
    <w:sectPr w:rsidR="00915ACD" w:rsidSect="007D4E5D">
      <w:footerReference w:type="default" r:id="rId14"/>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67F3F" w14:textId="77777777" w:rsidR="002137FB" w:rsidRDefault="002137FB" w:rsidP="00915ACD">
      <w:pPr>
        <w:spacing w:after="0" w:line="240" w:lineRule="auto"/>
      </w:pPr>
      <w:r>
        <w:separator/>
      </w:r>
    </w:p>
  </w:endnote>
  <w:endnote w:type="continuationSeparator" w:id="0">
    <w:p w14:paraId="0EC8CEF5" w14:textId="77777777" w:rsidR="002137FB" w:rsidRDefault="002137FB" w:rsidP="00915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dvP47DFC8">
    <w:altName w:val="Calibri"/>
    <w:panose1 w:val="00000000000000000000"/>
    <w:charset w:val="00"/>
    <w:family w:val="swiss"/>
    <w:notTrueType/>
    <w:pitch w:val="default"/>
    <w:sig w:usb0="00000003" w:usb1="00000000" w:usb2="00000000" w:usb3="00000000" w:csb0="00000001" w:csb1="00000000"/>
  </w:font>
  <w:font w:name="AdvOT863180fb">
    <w:altName w:val="Cambria"/>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918980"/>
      <w:docPartObj>
        <w:docPartGallery w:val="Page Numbers (Bottom of Page)"/>
        <w:docPartUnique/>
      </w:docPartObj>
    </w:sdtPr>
    <w:sdtEndPr/>
    <w:sdtContent>
      <w:p w14:paraId="4D569537" w14:textId="0D66210A" w:rsidR="008F068E" w:rsidRDefault="008F068E">
        <w:pPr>
          <w:pStyle w:val="Footer"/>
          <w:jc w:val="right"/>
        </w:pPr>
        <w:r>
          <w:fldChar w:fldCharType="begin"/>
        </w:r>
        <w:r>
          <w:instrText>PAGE   \* MERGEFORMAT</w:instrText>
        </w:r>
        <w:r>
          <w:fldChar w:fldCharType="separate"/>
        </w:r>
        <w:r w:rsidR="00AC6318" w:rsidRPr="00AC6318">
          <w:rPr>
            <w:noProof/>
            <w:lang w:val="fr-FR"/>
          </w:rPr>
          <w:t>1</w:t>
        </w:r>
        <w:r>
          <w:fldChar w:fldCharType="end"/>
        </w:r>
      </w:p>
    </w:sdtContent>
  </w:sdt>
  <w:p w14:paraId="6954B8FE" w14:textId="77777777" w:rsidR="008F068E" w:rsidRDefault="008F068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2631939"/>
      <w:docPartObj>
        <w:docPartGallery w:val="Page Numbers (Bottom of Page)"/>
        <w:docPartUnique/>
      </w:docPartObj>
    </w:sdtPr>
    <w:sdtEndPr/>
    <w:sdtContent>
      <w:p w14:paraId="4C83110E" w14:textId="2F1C859F" w:rsidR="008F068E" w:rsidRDefault="008F068E">
        <w:pPr>
          <w:pStyle w:val="Footer"/>
          <w:jc w:val="right"/>
        </w:pPr>
        <w:r>
          <w:fldChar w:fldCharType="begin"/>
        </w:r>
        <w:r>
          <w:instrText>PAGE   \* MERGEFORMAT</w:instrText>
        </w:r>
        <w:r>
          <w:fldChar w:fldCharType="separate"/>
        </w:r>
        <w:r w:rsidR="00AC6318" w:rsidRPr="00AC6318">
          <w:rPr>
            <w:noProof/>
            <w:lang w:val="fr-FR"/>
          </w:rPr>
          <w:t>27</w:t>
        </w:r>
        <w:r>
          <w:fldChar w:fldCharType="end"/>
        </w:r>
      </w:p>
    </w:sdtContent>
  </w:sdt>
  <w:p w14:paraId="22D90682" w14:textId="77777777" w:rsidR="008F068E" w:rsidRDefault="008F068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EEBC8" w14:textId="77777777" w:rsidR="002137FB" w:rsidRDefault="002137FB" w:rsidP="00915ACD">
      <w:pPr>
        <w:spacing w:after="0" w:line="240" w:lineRule="auto"/>
      </w:pPr>
      <w:r>
        <w:separator/>
      </w:r>
    </w:p>
  </w:footnote>
  <w:footnote w:type="continuationSeparator" w:id="0">
    <w:p w14:paraId="772B7102" w14:textId="77777777" w:rsidR="002137FB" w:rsidRDefault="002137FB" w:rsidP="00915A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2026A8"/>
    <w:multiLevelType w:val="hybridMultilevel"/>
    <w:tmpl w:val="C7709DD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7B106425"/>
    <w:multiLevelType w:val="hybridMultilevel"/>
    <w:tmpl w:val="E4588B66"/>
    <w:lvl w:ilvl="0" w:tplc="B9929FB2">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147"/>
    <w:rsid w:val="00003110"/>
    <w:rsid w:val="0001080D"/>
    <w:rsid w:val="0001425E"/>
    <w:rsid w:val="00016D21"/>
    <w:rsid w:val="00017BB2"/>
    <w:rsid w:val="00032F7A"/>
    <w:rsid w:val="00036DBB"/>
    <w:rsid w:val="000370DA"/>
    <w:rsid w:val="00037F08"/>
    <w:rsid w:val="000406DF"/>
    <w:rsid w:val="0004300B"/>
    <w:rsid w:val="00063890"/>
    <w:rsid w:val="00066D48"/>
    <w:rsid w:val="000830AC"/>
    <w:rsid w:val="00091407"/>
    <w:rsid w:val="000A1724"/>
    <w:rsid w:val="000A62AA"/>
    <w:rsid w:val="000B0D10"/>
    <w:rsid w:val="000C75B6"/>
    <w:rsid w:val="000D7744"/>
    <w:rsid w:val="000E3C0D"/>
    <w:rsid w:val="00101E34"/>
    <w:rsid w:val="001051F9"/>
    <w:rsid w:val="00111FBA"/>
    <w:rsid w:val="00113796"/>
    <w:rsid w:val="001137C0"/>
    <w:rsid w:val="00131FB3"/>
    <w:rsid w:val="001321EF"/>
    <w:rsid w:val="00136081"/>
    <w:rsid w:val="00136B48"/>
    <w:rsid w:val="00144427"/>
    <w:rsid w:val="001454A4"/>
    <w:rsid w:val="00150AFE"/>
    <w:rsid w:val="001579D5"/>
    <w:rsid w:val="00162962"/>
    <w:rsid w:val="00164886"/>
    <w:rsid w:val="001701B0"/>
    <w:rsid w:val="00174C88"/>
    <w:rsid w:val="00175118"/>
    <w:rsid w:val="0019042E"/>
    <w:rsid w:val="00192C55"/>
    <w:rsid w:val="00192DDF"/>
    <w:rsid w:val="001A188D"/>
    <w:rsid w:val="001A1F6F"/>
    <w:rsid w:val="001A2CB5"/>
    <w:rsid w:val="001A5FE3"/>
    <w:rsid w:val="001B2F33"/>
    <w:rsid w:val="001C74A9"/>
    <w:rsid w:val="001D3F71"/>
    <w:rsid w:val="001F1772"/>
    <w:rsid w:val="001F3A44"/>
    <w:rsid w:val="001F68D0"/>
    <w:rsid w:val="0021130D"/>
    <w:rsid w:val="002137FB"/>
    <w:rsid w:val="0021421E"/>
    <w:rsid w:val="002214DD"/>
    <w:rsid w:val="0023756B"/>
    <w:rsid w:val="0024251C"/>
    <w:rsid w:val="0024313D"/>
    <w:rsid w:val="002433B6"/>
    <w:rsid w:val="002456A6"/>
    <w:rsid w:val="002459ED"/>
    <w:rsid w:val="00260182"/>
    <w:rsid w:val="0026776C"/>
    <w:rsid w:val="0027027E"/>
    <w:rsid w:val="002828C8"/>
    <w:rsid w:val="00286D7D"/>
    <w:rsid w:val="0029098B"/>
    <w:rsid w:val="00292713"/>
    <w:rsid w:val="00296DF6"/>
    <w:rsid w:val="002A03B2"/>
    <w:rsid w:val="002A0E89"/>
    <w:rsid w:val="002A68CC"/>
    <w:rsid w:val="002B6482"/>
    <w:rsid w:val="002C23D5"/>
    <w:rsid w:val="002C603B"/>
    <w:rsid w:val="002D4E65"/>
    <w:rsid w:val="002F2EDD"/>
    <w:rsid w:val="002F40BD"/>
    <w:rsid w:val="002F60FB"/>
    <w:rsid w:val="003009E9"/>
    <w:rsid w:val="00303834"/>
    <w:rsid w:val="003060E1"/>
    <w:rsid w:val="003066E4"/>
    <w:rsid w:val="0031022A"/>
    <w:rsid w:val="00310FBF"/>
    <w:rsid w:val="00323F46"/>
    <w:rsid w:val="0032415F"/>
    <w:rsid w:val="0032501C"/>
    <w:rsid w:val="00330FAD"/>
    <w:rsid w:val="003330EA"/>
    <w:rsid w:val="00333EF1"/>
    <w:rsid w:val="003365D5"/>
    <w:rsid w:val="0034268E"/>
    <w:rsid w:val="00343260"/>
    <w:rsid w:val="00344A1C"/>
    <w:rsid w:val="0035195E"/>
    <w:rsid w:val="003545EB"/>
    <w:rsid w:val="0035699B"/>
    <w:rsid w:val="00363531"/>
    <w:rsid w:val="00363D0F"/>
    <w:rsid w:val="00382585"/>
    <w:rsid w:val="00384E6D"/>
    <w:rsid w:val="0038590D"/>
    <w:rsid w:val="003A3A52"/>
    <w:rsid w:val="003B2223"/>
    <w:rsid w:val="003C1235"/>
    <w:rsid w:val="003C41DB"/>
    <w:rsid w:val="003D153E"/>
    <w:rsid w:val="003E19A0"/>
    <w:rsid w:val="003E4157"/>
    <w:rsid w:val="00400E5C"/>
    <w:rsid w:val="00401760"/>
    <w:rsid w:val="00404EF3"/>
    <w:rsid w:val="00404FC7"/>
    <w:rsid w:val="00413882"/>
    <w:rsid w:val="00414BEA"/>
    <w:rsid w:val="00422E78"/>
    <w:rsid w:val="0043794D"/>
    <w:rsid w:val="00442524"/>
    <w:rsid w:val="004436A9"/>
    <w:rsid w:val="00444D8B"/>
    <w:rsid w:val="00461086"/>
    <w:rsid w:val="0046416D"/>
    <w:rsid w:val="00464D4E"/>
    <w:rsid w:val="0046530E"/>
    <w:rsid w:val="004668C2"/>
    <w:rsid w:val="00470E65"/>
    <w:rsid w:val="00485D2F"/>
    <w:rsid w:val="00491C2D"/>
    <w:rsid w:val="00492685"/>
    <w:rsid w:val="004B118B"/>
    <w:rsid w:val="004B2EE2"/>
    <w:rsid w:val="004B552A"/>
    <w:rsid w:val="004C6FCB"/>
    <w:rsid w:val="004D189F"/>
    <w:rsid w:val="004E1067"/>
    <w:rsid w:val="004E230B"/>
    <w:rsid w:val="004E2687"/>
    <w:rsid w:val="004E45AB"/>
    <w:rsid w:val="004F1ED8"/>
    <w:rsid w:val="005011B4"/>
    <w:rsid w:val="00501BF1"/>
    <w:rsid w:val="00510BF0"/>
    <w:rsid w:val="0051728A"/>
    <w:rsid w:val="00520425"/>
    <w:rsid w:val="00534916"/>
    <w:rsid w:val="0054248F"/>
    <w:rsid w:val="0054280D"/>
    <w:rsid w:val="00542E3B"/>
    <w:rsid w:val="00545636"/>
    <w:rsid w:val="00572B3C"/>
    <w:rsid w:val="005771DA"/>
    <w:rsid w:val="00586E5B"/>
    <w:rsid w:val="00595BE7"/>
    <w:rsid w:val="005D5D20"/>
    <w:rsid w:val="005E06EE"/>
    <w:rsid w:val="005E65B9"/>
    <w:rsid w:val="005E6FBF"/>
    <w:rsid w:val="005E7737"/>
    <w:rsid w:val="005E795C"/>
    <w:rsid w:val="005F31CD"/>
    <w:rsid w:val="005F393E"/>
    <w:rsid w:val="005F684E"/>
    <w:rsid w:val="0060105D"/>
    <w:rsid w:val="0060288C"/>
    <w:rsid w:val="00602ED4"/>
    <w:rsid w:val="00603747"/>
    <w:rsid w:val="00640857"/>
    <w:rsid w:val="00654488"/>
    <w:rsid w:val="00663A32"/>
    <w:rsid w:val="00664334"/>
    <w:rsid w:val="00667135"/>
    <w:rsid w:val="00671147"/>
    <w:rsid w:val="00675763"/>
    <w:rsid w:val="006771B8"/>
    <w:rsid w:val="00686CC0"/>
    <w:rsid w:val="00692EF8"/>
    <w:rsid w:val="00693569"/>
    <w:rsid w:val="006B06A4"/>
    <w:rsid w:val="006B7039"/>
    <w:rsid w:val="006D77A8"/>
    <w:rsid w:val="006F24B1"/>
    <w:rsid w:val="006F7B9A"/>
    <w:rsid w:val="00707017"/>
    <w:rsid w:val="0070749B"/>
    <w:rsid w:val="0071669C"/>
    <w:rsid w:val="0071767E"/>
    <w:rsid w:val="007232CD"/>
    <w:rsid w:val="00730583"/>
    <w:rsid w:val="007309F7"/>
    <w:rsid w:val="0073103E"/>
    <w:rsid w:val="00733AFF"/>
    <w:rsid w:val="00743F86"/>
    <w:rsid w:val="007461C5"/>
    <w:rsid w:val="007517D7"/>
    <w:rsid w:val="00762022"/>
    <w:rsid w:val="007844D5"/>
    <w:rsid w:val="00793938"/>
    <w:rsid w:val="00793ADE"/>
    <w:rsid w:val="00796D08"/>
    <w:rsid w:val="00797F99"/>
    <w:rsid w:val="007A61B3"/>
    <w:rsid w:val="007B7AAC"/>
    <w:rsid w:val="007C3A46"/>
    <w:rsid w:val="007D046E"/>
    <w:rsid w:val="007D0929"/>
    <w:rsid w:val="007D103C"/>
    <w:rsid w:val="007D1D4F"/>
    <w:rsid w:val="007D1FFA"/>
    <w:rsid w:val="007D2118"/>
    <w:rsid w:val="007D4E5D"/>
    <w:rsid w:val="007D76DF"/>
    <w:rsid w:val="007E4F2A"/>
    <w:rsid w:val="007F0A8F"/>
    <w:rsid w:val="00805AC6"/>
    <w:rsid w:val="00816B28"/>
    <w:rsid w:val="00824F4C"/>
    <w:rsid w:val="00835114"/>
    <w:rsid w:val="0085433C"/>
    <w:rsid w:val="008614E7"/>
    <w:rsid w:val="00876766"/>
    <w:rsid w:val="00876F83"/>
    <w:rsid w:val="00883590"/>
    <w:rsid w:val="00886950"/>
    <w:rsid w:val="008A1ECA"/>
    <w:rsid w:val="008A2C2E"/>
    <w:rsid w:val="008A55F5"/>
    <w:rsid w:val="008A683B"/>
    <w:rsid w:val="008B40BF"/>
    <w:rsid w:val="008B4342"/>
    <w:rsid w:val="008D4ECF"/>
    <w:rsid w:val="008E0581"/>
    <w:rsid w:val="008E677A"/>
    <w:rsid w:val="008F068E"/>
    <w:rsid w:val="008F2297"/>
    <w:rsid w:val="009115E8"/>
    <w:rsid w:val="00915ACD"/>
    <w:rsid w:val="00931AA7"/>
    <w:rsid w:val="009333D2"/>
    <w:rsid w:val="009526DA"/>
    <w:rsid w:val="00953CA4"/>
    <w:rsid w:val="00972A6F"/>
    <w:rsid w:val="00977F6B"/>
    <w:rsid w:val="00985E45"/>
    <w:rsid w:val="009865D3"/>
    <w:rsid w:val="009B1BD9"/>
    <w:rsid w:val="009C1B55"/>
    <w:rsid w:val="009C4553"/>
    <w:rsid w:val="009D3785"/>
    <w:rsid w:val="009D5BE2"/>
    <w:rsid w:val="009D698E"/>
    <w:rsid w:val="009E71FD"/>
    <w:rsid w:val="009F2699"/>
    <w:rsid w:val="009F466F"/>
    <w:rsid w:val="009F4A4A"/>
    <w:rsid w:val="00A0684A"/>
    <w:rsid w:val="00A246B1"/>
    <w:rsid w:val="00A26755"/>
    <w:rsid w:val="00A3610D"/>
    <w:rsid w:val="00A64D86"/>
    <w:rsid w:val="00A6584C"/>
    <w:rsid w:val="00A66359"/>
    <w:rsid w:val="00A67423"/>
    <w:rsid w:val="00A7044E"/>
    <w:rsid w:val="00A73DB5"/>
    <w:rsid w:val="00A80735"/>
    <w:rsid w:val="00A82ACF"/>
    <w:rsid w:val="00A867BD"/>
    <w:rsid w:val="00AA0299"/>
    <w:rsid w:val="00AA7768"/>
    <w:rsid w:val="00AB0921"/>
    <w:rsid w:val="00AC6318"/>
    <w:rsid w:val="00AD0E35"/>
    <w:rsid w:val="00AD2EE3"/>
    <w:rsid w:val="00AD3B92"/>
    <w:rsid w:val="00AD61BA"/>
    <w:rsid w:val="00AE4AEF"/>
    <w:rsid w:val="00AE70F5"/>
    <w:rsid w:val="00AF3B74"/>
    <w:rsid w:val="00AF50F4"/>
    <w:rsid w:val="00AF666C"/>
    <w:rsid w:val="00B001C6"/>
    <w:rsid w:val="00B03FF8"/>
    <w:rsid w:val="00B16F62"/>
    <w:rsid w:val="00B173B3"/>
    <w:rsid w:val="00B20ED4"/>
    <w:rsid w:val="00B20EE5"/>
    <w:rsid w:val="00B2108C"/>
    <w:rsid w:val="00B22D80"/>
    <w:rsid w:val="00B23B59"/>
    <w:rsid w:val="00B25D3E"/>
    <w:rsid w:val="00B30DBF"/>
    <w:rsid w:val="00B3104D"/>
    <w:rsid w:val="00B32A83"/>
    <w:rsid w:val="00B32CD9"/>
    <w:rsid w:val="00B357AA"/>
    <w:rsid w:val="00B44C43"/>
    <w:rsid w:val="00B5039A"/>
    <w:rsid w:val="00B512B8"/>
    <w:rsid w:val="00B602C9"/>
    <w:rsid w:val="00B61446"/>
    <w:rsid w:val="00B62EC1"/>
    <w:rsid w:val="00B66739"/>
    <w:rsid w:val="00B66AD2"/>
    <w:rsid w:val="00B914FA"/>
    <w:rsid w:val="00B95EA9"/>
    <w:rsid w:val="00B963D7"/>
    <w:rsid w:val="00BA3C82"/>
    <w:rsid w:val="00BA425A"/>
    <w:rsid w:val="00BB0B67"/>
    <w:rsid w:val="00BB26F9"/>
    <w:rsid w:val="00BB73C7"/>
    <w:rsid w:val="00BC66D9"/>
    <w:rsid w:val="00BD22B6"/>
    <w:rsid w:val="00BE6BC9"/>
    <w:rsid w:val="00C11E23"/>
    <w:rsid w:val="00C204C9"/>
    <w:rsid w:val="00C2304D"/>
    <w:rsid w:val="00C245C7"/>
    <w:rsid w:val="00C33D84"/>
    <w:rsid w:val="00C41045"/>
    <w:rsid w:val="00C57197"/>
    <w:rsid w:val="00C57C46"/>
    <w:rsid w:val="00C63E0D"/>
    <w:rsid w:val="00C6687F"/>
    <w:rsid w:val="00C746E6"/>
    <w:rsid w:val="00C868B4"/>
    <w:rsid w:val="00C90EC8"/>
    <w:rsid w:val="00C92694"/>
    <w:rsid w:val="00C94A3B"/>
    <w:rsid w:val="00CA3D7A"/>
    <w:rsid w:val="00CB2FF0"/>
    <w:rsid w:val="00CC05E5"/>
    <w:rsid w:val="00CD36A4"/>
    <w:rsid w:val="00CD5160"/>
    <w:rsid w:val="00CE718D"/>
    <w:rsid w:val="00CF60A0"/>
    <w:rsid w:val="00D0127F"/>
    <w:rsid w:val="00D01F9B"/>
    <w:rsid w:val="00D10A0A"/>
    <w:rsid w:val="00D1762A"/>
    <w:rsid w:val="00D20B5A"/>
    <w:rsid w:val="00D3628D"/>
    <w:rsid w:val="00D37F96"/>
    <w:rsid w:val="00D43678"/>
    <w:rsid w:val="00D50A0A"/>
    <w:rsid w:val="00D6223E"/>
    <w:rsid w:val="00D70B20"/>
    <w:rsid w:val="00D7192D"/>
    <w:rsid w:val="00D73628"/>
    <w:rsid w:val="00D76F47"/>
    <w:rsid w:val="00D8099E"/>
    <w:rsid w:val="00D841E8"/>
    <w:rsid w:val="00D95952"/>
    <w:rsid w:val="00DA016C"/>
    <w:rsid w:val="00DA135F"/>
    <w:rsid w:val="00DC5D9F"/>
    <w:rsid w:val="00DD2029"/>
    <w:rsid w:val="00DD3EB3"/>
    <w:rsid w:val="00DE5506"/>
    <w:rsid w:val="00DF1599"/>
    <w:rsid w:val="00E02605"/>
    <w:rsid w:val="00E17044"/>
    <w:rsid w:val="00E251B0"/>
    <w:rsid w:val="00E30253"/>
    <w:rsid w:val="00E33CC7"/>
    <w:rsid w:val="00E34760"/>
    <w:rsid w:val="00E41B58"/>
    <w:rsid w:val="00E502F9"/>
    <w:rsid w:val="00E52BAE"/>
    <w:rsid w:val="00E622FC"/>
    <w:rsid w:val="00E62B95"/>
    <w:rsid w:val="00E67796"/>
    <w:rsid w:val="00E75E40"/>
    <w:rsid w:val="00E80A2D"/>
    <w:rsid w:val="00E832C8"/>
    <w:rsid w:val="00E96B34"/>
    <w:rsid w:val="00EA42DB"/>
    <w:rsid w:val="00EB5817"/>
    <w:rsid w:val="00EC0D60"/>
    <w:rsid w:val="00ED716E"/>
    <w:rsid w:val="00ED7C29"/>
    <w:rsid w:val="00EF0B66"/>
    <w:rsid w:val="00F044DB"/>
    <w:rsid w:val="00F31087"/>
    <w:rsid w:val="00F314EE"/>
    <w:rsid w:val="00F33E4E"/>
    <w:rsid w:val="00F57627"/>
    <w:rsid w:val="00F60439"/>
    <w:rsid w:val="00F8086D"/>
    <w:rsid w:val="00F92C2E"/>
    <w:rsid w:val="00F93FDE"/>
    <w:rsid w:val="00F9579C"/>
    <w:rsid w:val="00F95DE4"/>
    <w:rsid w:val="00F97510"/>
    <w:rsid w:val="00FB1BEF"/>
    <w:rsid w:val="00FB25E3"/>
    <w:rsid w:val="00FD24EF"/>
    <w:rsid w:val="00FE0B5B"/>
    <w:rsid w:val="00FE5BDB"/>
    <w:rsid w:val="00FF23E4"/>
    <w:rsid w:val="00FF453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428A5"/>
  <w15:chartTrackingRefBased/>
  <w15:docId w15:val="{67E40E32-A2A8-4DE5-85C7-125511E2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5A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5AC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15ACD"/>
  </w:style>
  <w:style w:type="paragraph" w:styleId="Footer">
    <w:name w:val="footer"/>
    <w:basedOn w:val="Normal"/>
    <w:link w:val="FooterChar"/>
    <w:uiPriority w:val="99"/>
    <w:unhideWhenUsed/>
    <w:rsid w:val="00915AC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15ACD"/>
  </w:style>
  <w:style w:type="character" w:styleId="Hyperlink">
    <w:name w:val="Hyperlink"/>
    <w:basedOn w:val="DefaultParagraphFont"/>
    <w:uiPriority w:val="99"/>
    <w:unhideWhenUsed/>
    <w:rsid w:val="00915ACD"/>
    <w:rPr>
      <w:color w:val="0000FF"/>
      <w:u w:val="single"/>
    </w:rPr>
  </w:style>
  <w:style w:type="character" w:customStyle="1" w:styleId="ref-lnk">
    <w:name w:val="ref-lnk"/>
    <w:basedOn w:val="DefaultParagraphFont"/>
    <w:rsid w:val="000406DF"/>
  </w:style>
  <w:style w:type="paragraph" w:styleId="ListParagraph">
    <w:name w:val="List Paragraph"/>
    <w:basedOn w:val="Normal"/>
    <w:link w:val="ListParagraphChar"/>
    <w:uiPriority w:val="34"/>
    <w:qFormat/>
    <w:rsid w:val="00CF60A0"/>
    <w:pPr>
      <w:spacing w:after="200" w:line="276" w:lineRule="auto"/>
      <w:ind w:left="720"/>
      <w:contextualSpacing/>
    </w:pPr>
    <w:rPr>
      <w:lang w:val="en-US"/>
    </w:rPr>
  </w:style>
  <w:style w:type="character" w:customStyle="1" w:styleId="ListParagraphChar">
    <w:name w:val="List Paragraph Char"/>
    <w:basedOn w:val="DefaultParagraphFont"/>
    <w:link w:val="ListParagraph"/>
    <w:uiPriority w:val="34"/>
    <w:rsid w:val="00CF60A0"/>
    <w:rPr>
      <w:lang w:val="en-US"/>
    </w:rPr>
  </w:style>
  <w:style w:type="table" w:styleId="TableGrid">
    <w:name w:val="Table Grid"/>
    <w:basedOn w:val="TableNormal"/>
    <w:uiPriority w:val="39"/>
    <w:rsid w:val="00CF6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60A0"/>
    <w:pPr>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styleId="CommentReference">
    <w:name w:val="annotation reference"/>
    <w:basedOn w:val="DefaultParagraphFont"/>
    <w:uiPriority w:val="99"/>
    <w:semiHidden/>
    <w:unhideWhenUsed/>
    <w:rsid w:val="0023756B"/>
    <w:rPr>
      <w:sz w:val="16"/>
      <w:szCs w:val="16"/>
    </w:rPr>
  </w:style>
  <w:style w:type="paragraph" w:styleId="CommentText">
    <w:name w:val="annotation text"/>
    <w:basedOn w:val="Normal"/>
    <w:link w:val="CommentTextChar"/>
    <w:uiPriority w:val="99"/>
    <w:unhideWhenUsed/>
    <w:rsid w:val="0023756B"/>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23756B"/>
    <w:rPr>
      <w:sz w:val="20"/>
      <w:szCs w:val="20"/>
      <w:lang w:val="en-US"/>
    </w:rPr>
  </w:style>
  <w:style w:type="paragraph" w:styleId="CommentSubject">
    <w:name w:val="annotation subject"/>
    <w:basedOn w:val="CommentText"/>
    <w:next w:val="CommentText"/>
    <w:link w:val="CommentSubjectChar"/>
    <w:uiPriority w:val="99"/>
    <w:semiHidden/>
    <w:unhideWhenUsed/>
    <w:rsid w:val="004436A9"/>
    <w:pPr>
      <w:spacing w:after="160"/>
    </w:pPr>
    <w:rPr>
      <w:b/>
      <w:bCs/>
      <w:lang w:val="fr-BE"/>
    </w:rPr>
  </w:style>
  <w:style w:type="character" w:customStyle="1" w:styleId="CommentSubjectChar">
    <w:name w:val="Comment Subject Char"/>
    <w:basedOn w:val="CommentTextChar"/>
    <w:link w:val="CommentSubject"/>
    <w:uiPriority w:val="99"/>
    <w:semiHidden/>
    <w:rsid w:val="004436A9"/>
    <w:rPr>
      <w:b/>
      <w:bCs/>
      <w:sz w:val="20"/>
      <w:szCs w:val="20"/>
      <w:lang w:val="en-US"/>
    </w:rPr>
  </w:style>
  <w:style w:type="paragraph" w:styleId="BalloonText">
    <w:name w:val="Balloon Text"/>
    <w:basedOn w:val="Normal"/>
    <w:link w:val="BalloonTextChar"/>
    <w:uiPriority w:val="99"/>
    <w:semiHidden/>
    <w:unhideWhenUsed/>
    <w:rsid w:val="00443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6A9"/>
    <w:rPr>
      <w:rFonts w:ascii="Segoe UI" w:hAnsi="Segoe UI" w:cs="Segoe UI"/>
      <w:sz w:val="18"/>
      <w:szCs w:val="18"/>
    </w:rPr>
  </w:style>
  <w:style w:type="character" w:styleId="Emphasis">
    <w:name w:val="Emphasis"/>
    <w:basedOn w:val="DefaultParagraphFont"/>
    <w:uiPriority w:val="20"/>
    <w:qFormat/>
    <w:rsid w:val="0043794D"/>
    <w:rPr>
      <w:i/>
      <w:iCs/>
    </w:rPr>
  </w:style>
  <w:style w:type="paragraph" w:styleId="NormalWeb">
    <w:name w:val="Normal (Web)"/>
    <w:basedOn w:val="Normal"/>
    <w:uiPriority w:val="99"/>
    <w:semiHidden/>
    <w:unhideWhenUsed/>
    <w:rsid w:val="00B914FA"/>
    <w:pPr>
      <w:spacing w:after="0" w:line="240" w:lineRule="auto"/>
    </w:pPr>
    <w:rPr>
      <w:rFonts w:ascii="Times New Roman" w:hAnsi="Times New Roman" w:cs="Times New Roman"/>
      <w:sz w:val="24"/>
      <w:szCs w:val="24"/>
      <w:lang w:val="nl-NL" w:eastAsia="nl-NL"/>
    </w:rPr>
  </w:style>
  <w:style w:type="paragraph" w:styleId="NoSpacing">
    <w:name w:val="No Spacing"/>
    <w:basedOn w:val="Normal"/>
    <w:uiPriority w:val="1"/>
    <w:qFormat/>
    <w:rsid w:val="00FB25E3"/>
    <w:pPr>
      <w:spacing w:after="0" w:line="240" w:lineRule="auto"/>
    </w:pPr>
    <w:rPr>
      <w:rFonts w:ascii="Calibri" w:hAnsi="Calibri" w:cs="Calibri"/>
    </w:rPr>
  </w:style>
  <w:style w:type="character" w:customStyle="1" w:styleId="docsum-authors">
    <w:name w:val="docsum-authors"/>
    <w:basedOn w:val="DefaultParagraphFont"/>
    <w:rsid w:val="0085433C"/>
  </w:style>
  <w:style w:type="character" w:customStyle="1" w:styleId="docsum-journal-citation">
    <w:name w:val="docsum-journal-citation"/>
    <w:basedOn w:val="DefaultParagraphFont"/>
    <w:rsid w:val="0085433C"/>
  </w:style>
  <w:style w:type="paragraph" w:styleId="Revision">
    <w:name w:val="Revision"/>
    <w:hidden/>
    <w:uiPriority w:val="99"/>
    <w:semiHidden/>
    <w:rsid w:val="009D69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533363">
      <w:bodyDiv w:val="1"/>
      <w:marLeft w:val="0"/>
      <w:marRight w:val="0"/>
      <w:marTop w:val="0"/>
      <w:marBottom w:val="0"/>
      <w:divBdr>
        <w:top w:val="none" w:sz="0" w:space="0" w:color="auto"/>
        <w:left w:val="none" w:sz="0" w:space="0" w:color="auto"/>
        <w:bottom w:val="none" w:sz="0" w:space="0" w:color="auto"/>
        <w:right w:val="none" w:sz="0" w:space="0" w:color="auto"/>
      </w:divBdr>
    </w:div>
    <w:div w:id="192329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beaudart@maastrichtuniversity.nl" TargetMode="External"/><Relationship Id="rId13" Type="http://schemas.openxmlformats.org/officeDocument/2006/relationships/chart" Target="charts/chart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rcid.org/0000-0002-0827-5303"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70066226\Desktop\DCE%20char\Relative%20importance_OI%20Lifesiz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70066226\Desktop\DCE%20char\making%20figure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b="1">
                <a:solidFill>
                  <a:sysClr val="windowText" lastClr="000000"/>
                </a:solidFill>
                <a:latin typeface="Times New Roman" panose="02020603050405020304" pitchFamily="18" charset="0"/>
                <a:cs typeface="Times New Roman" panose="02020603050405020304" pitchFamily="18" charset="0"/>
              </a:rPr>
              <a:t>Global model</a:t>
            </a:r>
          </a:p>
        </c:rich>
      </c:tx>
      <c:overlay val="0"/>
      <c:spPr>
        <a:noFill/>
        <a:ln>
          <a:noFill/>
        </a:ln>
        <a:effectLst/>
      </c:spPr>
      <c:txPr>
        <a:bodyPr rot="0" spcFirstLastPara="1" vertOverflow="ellipsis" vert="horz" wrap="square" anchor="ctr" anchorCtr="1"/>
        <a:lstStyle/>
        <a:p>
          <a:pPr>
            <a:defRPr sz="11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rgbClr val="00B0F0"/>
            </a:solidFill>
            <a:ln>
              <a:noFill/>
            </a:ln>
            <a:effectLst/>
          </c:spPr>
          <c:invertIfNegative val="0"/>
          <c:errBars>
            <c:errBarType val="both"/>
            <c:errValType val="stdErr"/>
            <c:noEndCap val="0"/>
            <c:spPr>
              <a:noFill/>
              <a:ln w="6350" cap="flat" cmpd="sng" algn="ctr">
                <a:solidFill>
                  <a:schemeClr val="tx1"/>
                </a:solidFill>
                <a:round/>
              </a:ln>
              <a:effectLst/>
            </c:spPr>
          </c:errBars>
          <c:cat>
            <c:strRef>
              <c:f>'[Relative importance_OI Lifesize.xlsx]All'!$C$2:$C$21</c:f>
              <c:strCache>
                <c:ptCount val="20"/>
                <c:pt idx="0">
                  <c:v>Not included</c:v>
                </c:pt>
                <c:pt idx="1">
                  <c:v>Moderate</c:v>
                </c:pt>
                <c:pt idx="2">
                  <c:v>High</c:v>
                </c:pt>
                <c:pt idx="4">
                  <c:v>Not included</c:v>
                </c:pt>
                <c:pt idx="5">
                  <c:v>Supplements</c:v>
                </c:pt>
                <c:pt idx="6">
                  <c:v>Nutrition and sunlight exposure</c:v>
                </c:pt>
                <c:pt idx="8">
                  <c:v>Not included</c:v>
                </c:pt>
                <c:pt idx="9">
                  <c:v>Quit smoking</c:v>
                </c:pt>
                <c:pt idx="11">
                  <c:v>Not included</c:v>
                </c:pt>
                <c:pt idx="12">
                  <c:v>Moderation</c:v>
                </c:pt>
                <c:pt idx="14">
                  <c:v>Not included</c:v>
                </c:pt>
                <c:pt idx="15">
                  <c:v>Ensure a healthy body weight</c:v>
                </c:pt>
                <c:pt idx="17">
                  <c:v>Not included</c:v>
                </c:pt>
                <c:pt idx="18">
                  <c:v>General advice</c:v>
                </c:pt>
                <c:pt idx="19">
                  <c:v>Follow a falls prevention program</c:v>
                </c:pt>
              </c:strCache>
            </c:strRef>
          </c:cat>
          <c:val>
            <c:numRef>
              <c:f>'[Relative importance_OI Lifesize.xlsx]All'!$D$2:$D$21</c:f>
              <c:numCache>
                <c:formatCode>0.00000</c:formatCode>
                <c:ptCount val="20"/>
                <c:pt idx="0">
                  <c:v>0.37161000000000005</c:v>
                </c:pt>
                <c:pt idx="1">
                  <c:v>0.28721999999999998</c:v>
                </c:pt>
                <c:pt idx="2">
                  <c:v>-0.65883000000000003</c:v>
                </c:pt>
                <c:pt idx="4">
                  <c:v>0.10530999999999999</c:v>
                </c:pt>
                <c:pt idx="5">
                  <c:v>0.1353</c:v>
                </c:pt>
                <c:pt idx="6">
                  <c:v>-0.24060999999999999</c:v>
                </c:pt>
                <c:pt idx="8">
                  <c:v>4.2189999999999998E-2</c:v>
                </c:pt>
                <c:pt idx="9">
                  <c:v>-4.2189999999999998E-2</c:v>
                </c:pt>
                <c:pt idx="11">
                  <c:v>-0.13578000000000001</c:v>
                </c:pt>
                <c:pt idx="12">
                  <c:v>0.13578000000000001</c:v>
                </c:pt>
                <c:pt idx="14">
                  <c:v>-0.14210999999999999</c:v>
                </c:pt>
                <c:pt idx="15">
                  <c:v>0.14210999999999999</c:v>
                </c:pt>
                <c:pt idx="17">
                  <c:v>0.33296999999999999</c:v>
                </c:pt>
                <c:pt idx="18">
                  <c:v>3.3500000000000002E-2</c:v>
                </c:pt>
                <c:pt idx="19">
                  <c:v>-0.36647000000000002</c:v>
                </c:pt>
              </c:numCache>
            </c:numRef>
          </c:val>
          <c:extLst>
            <c:ext xmlns:c16="http://schemas.microsoft.com/office/drawing/2014/chart" uri="{C3380CC4-5D6E-409C-BE32-E72D297353CC}">
              <c16:uniqueId val="{00000000-0678-4291-BB78-04C8ED7DBBAB}"/>
            </c:ext>
          </c:extLst>
        </c:ser>
        <c:dLbls>
          <c:showLegendKey val="0"/>
          <c:showVal val="0"/>
          <c:showCatName val="0"/>
          <c:showSerName val="0"/>
          <c:showPercent val="0"/>
          <c:showBubbleSize val="0"/>
        </c:dLbls>
        <c:gapWidth val="106"/>
        <c:axId val="466989648"/>
        <c:axId val="466987352"/>
      </c:barChart>
      <c:catAx>
        <c:axId val="466989648"/>
        <c:scaling>
          <c:orientation val="minMax"/>
        </c:scaling>
        <c:delete val="0"/>
        <c:axPos val="b"/>
        <c:numFmt formatCode="#,##0.0" sourceLinked="0"/>
        <c:majorTickMark val="in"/>
        <c:minorTickMark val="out"/>
        <c:tickLblPos val="low"/>
        <c:spPr>
          <a:noFill/>
          <a:ln w="9525" cap="flat" cmpd="sng" algn="ctr">
            <a:solidFill>
              <a:schemeClr val="tx1">
                <a:lumMod val="15000"/>
                <a:lumOff val="85000"/>
              </a:schemeClr>
            </a:solidFill>
            <a:round/>
          </a:ln>
          <a:effectLst/>
        </c:spPr>
        <c:txPr>
          <a:bodyPr rot="0" spcFirstLastPara="1" vertOverflow="ellipsis" vert="eaVert" wrap="square" anchor="t" anchorCtr="0"/>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466987352"/>
        <c:crosses val="autoZero"/>
        <c:auto val="0"/>
        <c:lblAlgn val="ctr"/>
        <c:lblOffset val="80"/>
        <c:noMultiLvlLbl val="0"/>
      </c:catAx>
      <c:valAx>
        <c:axId val="466987352"/>
        <c:scaling>
          <c:orientation val="minMax"/>
          <c:max val="0.5"/>
          <c:min val="-1"/>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de-DE" sz="1000" b="1" i="0" baseline="0">
                    <a:solidFill>
                      <a:sysClr val="windowText" lastClr="000000"/>
                    </a:solidFill>
                    <a:effectLst/>
                    <a:latin typeface="Times New Roman" panose="02020603050405020304" pitchFamily="18" charset="0"/>
                    <a:cs typeface="Times New Roman" panose="02020603050405020304" pitchFamily="18" charset="0"/>
                  </a:rPr>
                  <a:t>preference  coefficient</a:t>
                </a:r>
                <a:endParaRPr lang="en-US" sz="1000" b="1">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out"/>
        <c:minorTickMark val="in"/>
        <c:tickLblPos val="nextTo"/>
        <c:spPr>
          <a:noFill/>
          <a:ln w="7620">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6989648"/>
        <c:crosses val="autoZero"/>
        <c:crossBetween val="between"/>
        <c:majorUnit val="0.5"/>
      </c:valAx>
      <c:spPr>
        <a:noFill/>
        <a:ln>
          <a:noFill/>
        </a:ln>
        <a:effectLst/>
      </c:spPr>
    </c:plotArea>
    <c:plotVisOnly val="1"/>
    <c:dispBlanksAs val="gap"/>
    <c:showDLblsOverMax val="0"/>
  </c:chart>
  <c:spPr>
    <a:solidFill>
      <a:schemeClr val="bg1"/>
    </a:solidFill>
    <a:ln w="0" cap="flat" cmpd="sng" algn="ctr">
      <a:solidFill>
        <a:schemeClr val="tx1">
          <a:lumMod val="15000"/>
          <a:lumOff val="85000"/>
        </a:schemeClr>
      </a:solidFill>
      <a:round/>
    </a:ln>
    <a:effectLst/>
  </c:spPr>
  <c:txPr>
    <a:bodyPr rot="0" anchor="t" anchorCtr="1"/>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Sheet1!$B$2</c:f>
              <c:strCache>
                <c:ptCount val="1"/>
                <c:pt idx="0">
                  <c:v>Physical activity</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Sheet1!$C$1:$J$1</c:f>
              <c:strCache>
                <c:ptCount val="8"/>
                <c:pt idx="0">
                  <c:v>Global model</c:v>
                </c:pt>
                <c:pt idx="1">
                  <c:v>UK</c:v>
                </c:pt>
                <c:pt idx="2">
                  <c:v>Ireland</c:v>
                </c:pt>
                <c:pt idx="3">
                  <c:v>Belgium</c:v>
                </c:pt>
                <c:pt idx="4">
                  <c:v>Netherlands</c:v>
                </c:pt>
                <c:pt idx="5">
                  <c:v>France</c:v>
                </c:pt>
                <c:pt idx="6">
                  <c:v>Switzerland</c:v>
                </c:pt>
                <c:pt idx="7">
                  <c:v>Spain</c:v>
                </c:pt>
              </c:strCache>
            </c:strRef>
          </c:cat>
          <c:val>
            <c:numRef>
              <c:f>Sheet1!$C$2:$J$2</c:f>
              <c:numCache>
                <c:formatCode>0.00%</c:formatCode>
                <c:ptCount val="8"/>
                <c:pt idx="0">
                  <c:v>0.42480000000000001</c:v>
                </c:pt>
                <c:pt idx="1">
                  <c:v>0.46550000000000002</c:v>
                </c:pt>
                <c:pt idx="2">
                  <c:v>0.4118</c:v>
                </c:pt>
                <c:pt idx="3">
                  <c:v>0.46410000000000001</c:v>
                </c:pt>
                <c:pt idx="4">
                  <c:v>0.35499999999999998</c:v>
                </c:pt>
                <c:pt idx="5">
                  <c:v>0.47970000000000002</c:v>
                </c:pt>
                <c:pt idx="6">
                  <c:v>0.39100000000000001</c:v>
                </c:pt>
                <c:pt idx="7">
                  <c:v>0.3276</c:v>
                </c:pt>
              </c:numCache>
            </c:numRef>
          </c:val>
          <c:extLst>
            <c:ext xmlns:c16="http://schemas.microsoft.com/office/drawing/2014/chart" uri="{C3380CC4-5D6E-409C-BE32-E72D297353CC}">
              <c16:uniqueId val="{00000000-356C-48BD-B0D4-E31C0B044C34}"/>
            </c:ext>
          </c:extLst>
        </c:ser>
        <c:ser>
          <c:idx val="1"/>
          <c:order val="1"/>
          <c:tx>
            <c:strRef>
              <c:f>Sheet1!$B$3</c:f>
              <c:strCache>
                <c:ptCount val="1"/>
                <c:pt idx="0">
                  <c:v>Calcium and Vitamin D status</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strRef>
              <c:f>Sheet1!$C$1:$J$1</c:f>
              <c:strCache>
                <c:ptCount val="8"/>
                <c:pt idx="0">
                  <c:v>Global model</c:v>
                </c:pt>
                <c:pt idx="1">
                  <c:v>UK</c:v>
                </c:pt>
                <c:pt idx="2">
                  <c:v>Ireland</c:v>
                </c:pt>
                <c:pt idx="3">
                  <c:v>Belgium</c:v>
                </c:pt>
                <c:pt idx="4">
                  <c:v>Netherlands</c:v>
                </c:pt>
                <c:pt idx="5">
                  <c:v>France</c:v>
                </c:pt>
                <c:pt idx="6">
                  <c:v>Switzerland</c:v>
                </c:pt>
                <c:pt idx="7">
                  <c:v>Spain</c:v>
                </c:pt>
              </c:strCache>
            </c:strRef>
          </c:cat>
          <c:val>
            <c:numRef>
              <c:f>Sheet1!$C$3:$J$3</c:f>
              <c:numCache>
                <c:formatCode>0.00%</c:formatCode>
                <c:ptCount val="8"/>
                <c:pt idx="0">
                  <c:v>0.155</c:v>
                </c:pt>
                <c:pt idx="1">
                  <c:v>0.2044</c:v>
                </c:pt>
                <c:pt idx="2">
                  <c:v>3.44E-2</c:v>
                </c:pt>
                <c:pt idx="3">
                  <c:v>0.17019999999999999</c:v>
                </c:pt>
                <c:pt idx="4">
                  <c:v>0.27929999999999999</c:v>
                </c:pt>
                <c:pt idx="5">
                  <c:v>0.1071</c:v>
                </c:pt>
                <c:pt idx="6">
                  <c:v>0.23930000000000001</c:v>
                </c:pt>
                <c:pt idx="7">
                  <c:v>0.2084</c:v>
                </c:pt>
              </c:numCache>
            </c:numRef>
          </c:val>
          <c:extLst>
            <c:ext xmlns:c16="http://schemas.microsoft.com/office/drawing/2014/chart" uri="{C3380CC4-5D6E-409C-BE32-E72D297353CC}">
              <c16:uniqueId val="{00000001-356C-48BD-B0D4-E31C0B044C34}"/>
            </c:ext>
          </c:extLst>
        </c:ser>
        <c:ser>
          <c:idx val="2"/>
          <c:order val="2"/>
          <c:tx>
            <c:strRef>
              <c:f>Sheet1!$B$4</c:f>
              <c:strCache>
                <c:ptCount val="1"/>
                <c:pt idx="0">
                  <c:v>Smoking</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cat>
            <c:strRef>
              <c:f>Sheet1!$C$1:$J$1</c:f>
              <c:strCache>
                <c:ptCount val="8"/>
                <c:pt idx="0">
                  <c:v>Global model</c:v>
                </c:pt>
                <c:pt idx="1">
                  <c:v>UK</c:v>
                </c:pt>
                <c:pt idx="2">
                  <c:v>Ireland</c:v>
                </c:pt>
                <c:pt idx="3">
                  <c:v>Belgium</c:v>
                </c:pt>
                <c:pt idx="4">
                  <c:v>Netherlands</c:v>
                </c:pt>
                <c:pt idx="5">
                  <c:v>France</c:v>
                </c:pt>
                <c:pt idx="6">
                  <c:v>Switzerland</c:v>
                </c:pt>
                <c:pt idx="7">
                  <c:v>Spain</c:v>
                </c:pt>
              </c:strCache>
            </c:strRef>
          </c:cat>
          <c:val>
            <c:numRef>
              <c:f>Sheet1!$C$4:$J$4</c:f>
              <c:numCache>
                <c:formatCode>0.00%</c:formatCode>
                <c:ptCount val="8"/>
                <c:pt idx="0">
                  <c:v>1.7399999999999999E-2</c:v>
                </c:pt>
                <c:pt idx="1">
                  <c:v>3.9199999999999999E-2</c:v>
                </c:pt>
                <c:pt idx="2">
                  <c:v>3.9199999999999999E-2</c:v>
                </c:pt>
                <c:pt idx="3">
                  <c:v>1.44E-2</c:v>
                </c:pt>
                <c:pt idx="4">
                  <c:v>1.72E-2</c:v>
                </c:pt>
                <c:pt idx="5">
                  <c:v>3.4599999999999999E-2</c:v>
                </c:pt>
                <c:pt idx="6">
                  <c:v>4.8899999999999999E-2</c:v>
                </c:pt>
                <c:pt idx="7">
                  <c:v>0.1439</c:v>
                </c:pt>
              </c:numCache>
            </c:numRef>
          </c:val>
          <c:extLst>
            <c:ext xmlns:c16="http://schemas.microsoft.com/office/drawing/2014/chart" uri="{C3380CC4-5D6E-409C-BE32-E72D297353CC}">
              <c16:uniqueId val="{00000002-356C-48BD-B0D4-E31C0B044C34}"/>
            </c:ext>
          </c:extLst>
        </c:ser>
        <c:ser>
          <c:idx val="3"/>
          <c:order val="3"/>
          <c:tx>
            <c:strRef>
              <c:f>Sheet1!$B$5</c:f>
              <c:strCache>
                <c:ptCount val="1"/>
                <c:pt idx="0">
                  <c:v>Alcohol consumption </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cat>
            <c:strRef>
              <c:f>Sheet1!$C$1:$J$1</c:f>
              <c:strCache>
                <c:ptCount val="8"/>
                <c:pt idx="0">
                  <c:v>Global model</c:v>
                </c:pt>
                <c:pt idx="1">
                  <c:v>UK</c:v>
                </c:pt>
                <c:pt idx="2">
                  <c:v>Ireland</c:v>
                </c:pt>
                <c:pt idx="3">
                  <c:v>Belgium</c:v>
                </c:pt>
                <c:pt idx="4">
                  <c:v>Netherlands</c:v>
                </c:pt>
                <c:pt idx="5">
                  <c:v>France</c:v>
                </c:pt>
                <c:pt idx="6">
                  <c:v>Switzerland</c:v>
                </c:pt>
                <c:pt idx="7">
                  <c:v>Spain</c:v>
                </c:pt>
              </c:strCache>
            </c:strRef>
          </c:cat>
          <c:val>
            <c:numRef>
              <c:f>Sheet1!$C$5:$J$5</c:f>
              <c:numCache>
                <c:formatCode>0.00%</c:formatCode>
                <c:ptCount val="8"/>
                <c:pt idx="0">
                  <c:v>5.6000000000000001E-2</c:v>
                </c:pt>
                <c:pt idx="1">
                  <c:v>7.8600000000000003E-2</c:v>
                </c:pt>
                <c:pt idx="2">
                  <c:v>3.7199999999999997E-2</c:v>
                </c:pt>
                <c:pt idx="3">
                  <c:v>5.7599999999999998E-2</c:v>
                </c:pt>
                <c:pt idx="4">
                  <c:v>5.6399999999999999E-2</c:v>
                </c:pt>
                <c:pt idx="5">
                  <c:v>5.8200000000000002E-2</c:v>
                </c:pt>
                <c:pt idx="6">
                  <c:v>4.87E-2</c:v>
                </c:pt>
                <c:pt idx="7">
                  <c:v>1.8800000000000001E-2</c:v>
                </c:pt>
              </c:numCache>
            </c:numRef>
          </c:val>
          <c:extLst>
            <c:ext xmlns:c16="http://schemas.microsoft.com/office/drawing/2014/chart" uri="{C3380CC4-5D6E-409C-BE32-E72D297353CC}">
              <c16:uniqueId val="{00000003-356C-48BD-B0D4-E31C0B044C34}"/>
            </c:ext>
          </c:extLst>
        </c:ser>
        <c:ser>
          <c:idx val="4"/>
          <c:order val="4"/>
          <c:tx>
            <c:strRef>
              <c:f>Sheet1!$B$6</c:f>
              <c:strCache>
                <c:ptCount val="1"/>
                <c:pt idx="0">
                  <c:v>Body weight</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cat>
            <c:strRef>
              <c:f>Sheet1!$C$1:$J$1</c:f>
              <c:strCache>
                <c:ptCount val="8"/>
                <c:pt idx="0">
                  <c:v>Global model</c:v>
                </c:pt>
                <c:pt idx="1">
                  <c:v>UK</c:v>
                </c:pt>
                <c:pt idx="2">
                  <c:v>Ireland</c:v>
                </c:pt>
                <c:pt idx="3">
                  <c:v>Belgium</c:v>
                </c:pt>
                <c:pt idx="4">
                  <c:v>Netherlands</c:v>
                </c:pt>
                <c:pt idx="5">
                  <c:v>France</c:v>
                </c:pt>
                <c:pt idx="6">
                  <c:v>Switzerland</c:v>
                </c:pt>
                <c:pt idx="7">
                  <c:v>Spain</c:v>
                </c:pt>
              </c:strCache>
            </c:strRef>
          </c:cat>
          <c:val>
            <c:numRef>
              <c:f>Sheet1!$C$6:$J$6</c:f>
              <c:numCache>
                <c:formatCode>0.00%</c:formatCode>
                <c:ptCount val="8"/>
                <c:pt idx="0">
                  <c:v>5.8599999999999999E-2</c:v>
                </c:pt>
                <c:pt idx="1">
                  <c:v>6.8199999999999997E-2</c:v>
                </c:pt>
                <c:pt idx="2">
                  <c:v>3.2899999999999999E-2</c:v>
                </c:pt>
                <c:pt idx="3">
                  <c:v>5.5500000000000001E-2</c:v>
                </c:pt>
                <c:pt idx="4">
                  <c:v>4.3200000000000002E-2</c:v>
                </c:pt>
                <c:pt idx="5">
                  <c:v>0.107</c:v>
                </c:pt>
                <c:pt idx="6">
                  <c:v>4.3299999999999998E-2</c:v>
                </c:pt>
                <c:pt idx="7">
                  <c:v>7.2599999999999998E-2</c:v>
                </c:pt>
              </c:numCache>
            </c:numRef>
          </c:val>
          <c:extLst>
            <c:ext xmlns:c16="http://schemas.microsoft.com/office/drawing/2014/chart" uri="{C3380CC4-5D6E-409C-BE32-E72D297353CC}">
              <c16:uniqueId val="{00000004-356C-48BD-B0D4-E31C0B044C34}"/>
            </c:ext>
          </c:extLst>
        </c:ser>
        <c:ser>
          <c:idx val="5"/>
          <c:order val="5"/>
          <c:tx>
            <c:strRef>
              <c:f>Sheet1!$B$7</c:f>
              <c:strCache>
                <c:ptCount val="1"/>
                <c:pt idx="0">
                  <c:v>Fall prevention</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cat>
            <c:strRef>
              <c:f>Sheet1!$C$1:$J$1</c:f>
              <c:strCache>
                <c:ptCount val="8"/>
                <c:pt idx="0">
                  <c:v>Global model</c:v>
                </c:pt>
                <c:pt idx="1">
                  <c:v>UK</c:v>
                </c:pt>
                <c:pt idx="2">
                  <c:v>Ireland</c:v>
                </c:pt>
                <c:pt idx="3">
                  <c:v>Belgium</c:v>
                </c:pt>
                <c:pt idx="4">
                  <c:v>Netherlands</c:v>
                </c:pt>
                <c:pt idx="5">
                  <c:v>France</c:v>
                </c:pt>
                <c:pt idx="6">
                  <c:v>Switzerland</c:v>
                </c:pt>
                <c:pt idx="7">
                  <c:v>Spain</c:v>
                </c:pt>
              </c:strCache>
            </c:strRef>
          </c:cat>
          <c:val>
            <c:numRef>
              <c:f>Sheet1!$C$7:$J$7</c:f>
              <c:numCache>
                <c:formatCode>0.00%</c:formatCode>
                <c:ptCount val="8"/>
                <c:pt idx="0">
                  <c:v>0.2883</c:v>
                </c:pt>
                <c:pt idx="1">
                  <c:v>0.14399999999999999</c:v>
                </c:pt>
                <c:pt idx="2">
                  <c:v>0.4446</c:v>
                </c:pt>
                <c:pt idx="3">
                  <c:v>0.23810000000000001</c:v>
                </c:pt>
                <c:pt idx="4">
                  <c:v>0.24890000000000001</c:v>
                </c:pt>
                <c:pt idx="5">
                  <c:v>0.21340000000000001</c:v>
                </c:pt>
                <c:pt idx="6">
                  <c:v>0.2288</c:v>
                </c:pt>
                <c:pt idx="7">
                  <c:v>0.22869999999999999</c:v>
                </c:pt>
              </c:numCache>
            </c:numRef>
          </c:val>
          <c:extLst>
            <c:ext xmlns:c16="http://schemas.microsoft.com/office/drawing/2014/chart" uri="{C3380CC4-5D6E-409C-BE32-E72D297353CC}">
              <c16:uniqueId val="{00000005-356C-48BD-B0D4-E31C0B044C34}"/>
            </c:ext>
          </c:extLst>
        </c:ser>
        <c:dLbls>
          <c:showLegendKey val="0"/>
          <c:showVal val="0"/>
          <c:showCatName val="0"/>
          <c:showSerName val="0"/>
          <c:showPercent val="0"/>
          <c:showBubbleSize val="0"/>
        </c:dLbls>
        <c:gapWidth val="100"/>
        <c:overlap val="-24"/>
        <c:axId val="451414440"/>
        <c:axId val="451407224"/>
      </c:barChart>
      <c:catAx>
        <c:axId val="4514144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51407224"/>
        <c:crosses val="autoZero"/>
        <c:auto val="1"/>
        <c:lblAlgn val="ctr"/>
        <c:lblOffset val="100"/>
        <c:noMultiLvlLbl val="0"/>
      </c:catAx>
      <c:valAx>
        <c:axId val="451407224"/>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51414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AA8F6-A37A-4847-A749-BF207E271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38322</Words>
  <Characters>218441</Characters>
  <Application>Microsoft Office Word</Application>
  <DocSecurity>4</DocSecurity>
  <Lines>1820</Lines>
  <Paragraphs>512</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256251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Beaudart</dc:creator>
  <cp:keywords/>
  <dc:description/>
  <cp:lastModifiedBy>Karen Drake</cp:lastModifiedBy>
  <cp:revision>2</cp:revision>
  <cp:lastPrinted>2022-01-31T11:06:00Z</cp:lastPrinted>
  <dcterms:created xsi:type="dcterms:W3CDTF">2022-01-31T11:56:00Z</dcterms:created>
  <dcterms:modified xsi:type="dcterms:W3CDTF">2022-01-31T11:56:00Z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http://www.zotero.org/styles/osteoporosis-international</vt:lpwstr>
  </property>
  <property fmtid="{D5CDD505-2E9C-101B-9397-08002B2CF9AE}" pid="4" name="Mendeley Unique User Id_1">
    <vt:lpwstr>366fed36-77c5-32c7-a74d-19411602433f</vt:lpwstr>
  </property>
  <property fmtid="{D5CDD505-2E9C-101B-9397-08002B2CF9AE}" pid="5" name="Mendeley Recent Style Id 0_1">
    <vt:lpwstr>http://www.zotero.org/styles/annual-reviews-author-date</vt:lpwstr>
  </property>
  <property fmtid="{D5CDD505-2E9C-101B-9397-08002B2CF9AE}" pid="6" name="Mendeley Recent Style Name 0_1">
    <vt:lpwstr>Annual Reviews (author-date)</vt:lpwstr>
  </property>
  <property fmtid="{D5CDD505-2E9C-101B-9397-08002B2CF9AE}" pid="7" name="Mendeley Recent Style Id 1_1">
    <vt:lpwstr>http://www.zotero.org/styles/british-journal-of-sports-medicine</vt:lpwstr>
  </property>
  <property fmtid="{D5CDD505-2E9C-101B-9397-08002B2CF9AE}" pid="8" name="Mendeley Recent Style Name 1_1">
    <vt:lpwstr>British Journal of Sports Medicine</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http://www.zotero.org/styles/drugs</vt:lpwstr>
  </property>
  <property fmtid="{D5CDD505-2E9C-101B-9397-08002B2CF9AE}" pid="12" name="Mendeley Recent Style Name 3_1">
    <vt:lpwstr>Drugs</vt:lpwstr>
  </property>
  <property fmtid="{D5CDD505-2E9C-101B-9397-08002B2CF9AE}" pid="13" name="Mendeley Recent Style Id 4_1">
    <vt:lpwstr>http://csl.mendeley.com/styles/546632391/elsevier-vancouver</vt:lpwstr>
  </property>
  <property fmtid="{D5CDD505-2E9C-101B-9397-08002B2CF9AE}" pid="14" name="Mendeley Recent Style Name 4_1">
    <vt:lpwstr>Elsevier - Vancouver - Anton Geerinck</vt:lpwstr>
  </property>
  <property fmtid="{D5CDD505-2E9C-101B-9397-08002B2CF9AE}" pid="15" name="Mendeley Recent Style Id 5_1">
    <vt:lpwstr>http://csl.mendeley.com/styles/252479551/elsevier-vancouver-2</vt:lpwstr>
  </property>
  <property fmtid="{D5CDD505-2E9C-101B-9397-08002B2CF9AE}" pid="16" name="Mendeley Recent Style Name 5_1">
    <vt:lpwstr>Elsevier - Vancouver - Charlotte Beaudart</vt:lpwstr>
  </property>
  <property fmtid="{D5CDD505-2E9C-101B-9397-08002B2CF9AE}" pid="17" name="Mendeley Recent Style Id 6_1">
    <vt:lpwstr>http://www.zotero.org/styles/osteoporosis-international</vt:lpwstr>
  </property>
  <property fmtid="{D5CDD505-2E9C-101B-9397-08002B2CF9AE}" pid="18" name="Mendeley Recent Style Name 6_1">
    <vt:lpwstr>Osteoporosis International</vt:lpwstr>
  </property>
  <property fmtid="{D5CDD505-2E9C-101B-9397-08002B2CF9AE}" pid="19" name="Mendeley Recent Style Id 7_1">
    <vt:lpwstr>http://www.zotero.org/styles/the-american-journal-of-sports-medicine</vt:lpwstr>
  </property>
  <property fmtid="{D5CDD505-2E9C-101B-9397-08002B2CF9AE}" pid="20" name="Mendeley Recent Style Name 7_1">
    <vt:lpwstr>The American Journal of Sports Medicine</vt:lpwstr>
  </property>
  <property fmtid="{D5CDD505-2E9C-101B-9397-08002B2CF9AE}" pid="21" name="Mendeley Recent Style Id 8_1">
    <vt:lpwstr>http://www.zotero.org/styles/value-in-health</vt:lpwstr>
  </property>
  <property fmtid="{D5CDD505-2E9C-101B-9397-08002B2CF9AE}" pid="22" name="Mendeley Recent Style Name 8_1">
    <vt:lpwstr>Value in Health</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