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D996D" w14:textId="674D9C81" w:rsidR="00FE74D0" w:rsidRPr="0049669B" w:rsidRDefault="004A7B31" w:rsidP="004E7EB4">
      <w:pPr>
        <w:spacing w:after="0" w:line="240" w:lineRule="auto"/>
        <w:jc w:val="both"/>
        <w:rPr>
          <w:rFonts w:cstheme="minorHAnsi"/>
          <w:b/>
          <w:color w:val="000000"/>
          <w:sz w:val="28"/>
          <w:szCs w:val="28"/>
        </w:rPr>
      </w:pPr>
      <w:r w:rsidRPr="0049669B">
        <w:rPr>
          <w:rFonts w:cstheme="minorHAnsi"/>
          <w:b/>
          <w:color w:val="000000"/>
          <w:sz w:val="28"/>
          <w:szCs w:val="28"/>
        </w:rPr>
        <w:t xml:space="preserve">Platform </w:t>
      </w:r>
      <w:r w:rsidR="006C7210" w:rsidRPr="0049669B">
        <w:rPr>
          <w:rFonts w:cstheme="minorHAnsi"/>
          <w:b/>
          <w:color w:val="000000"/>
          <w:sz w:val="28"/>
          <w:szCs w:val="28"/>
        </w:rPr>
        <w:t xml:space="preserve">Regulation of </w:t>
      </w:r>
      <w:r w:rsidR="00FE74D0" w:rsidRPr="0049669B">
        <w:rPr>
          <w:rFonts w:cstheme="minorHAnsi"/>
          <w:b/>
          <w:color w:val="000000"/>
          <w:sz w:val="28"/>
          <w:szCs w:val="28"/>
        </w:rPr>
        <w:t>Hate Speech</w:t>
      </w:r>
      <w:r w:rsidR="006825D1" w:rsidRPr="0049669B">
        <w:rPr>
          <w:rFonts w:cstheme="minorHAnsi"/>
          <w:b/>
          <w:color w:val="000000"/>
          <w:sz w:val="28"/>
          <w:szCs w:val="28"/>
        </w:rPr>
        <w:t xml:space="preserve"> </w:t>
      </w:r>
      <w:r w:rsidR="008C264D" w:rsidRPr="0049669B">
        <w:rPr>
          <w:rFonts w:cstheme="minorHAnsi"/>
          <w:b/>
          <w:color w:val="000000"/>
          <w:sz w:val="28"/>
          <w:szCs w:val="28"/>
        </w:rPr>
        <w:t>–</w:t>
      </w:r>
      <w:r w:rsidR="00223BD4" w:rsidRPr="0049669B">
        <w:rPr>
          <w:rFonts w:cstheme="minorHAnsi"/>
          <w:b/>
          <w:color w:val="000000"/>
          <w:sz w:val="28"/>
          <w:szCs w:val="28"/>
        </w:rPr>
        <w:t xml:space="preserve"> </w:t>
      </w:r>
      <w:r w:rsidR="008C264D" w:rsidRPr="0049669B">
        <w:rPr>
          <w:rFonts w:cstheme="minorHAnsi"/>
          <w:b/>
          <w:color w:val="000000"/>
          <w:sz w:val="28"/>
          <w:szCs w:val="28"/>
        </w:rPr>
        <w:t xml:space="preserve">A </w:t>
      </w:r>
      <w:r w:rsidR="00BD3869" w:rsidRPr="0049669B">
        <w:rPr>
          <w:rFonts w:cstheme="minorHAnsi"/>
          <w:b/>
          <w:color w:val="000000"/>
          <w:sz w:val="28"/>
          <w:szCs w:val="28"/>
        </w:rPr>
        <w:t xml:space="preserve">Transatlantic </w:t>
      </w:r>
      <w:r w:rsidRPr="0049669B">
        <w:rPr>
          <w:rFonts w:cstheme="minorHAnsi"/>
          <w:b/>
          <w:color w:val="000000"/>
          <w:sz w:val="28"/>
          <w:szCs w:val="28"/>
        </w:rPr>
        <w:t>Speech Compromise</w:t>
      </w:r>
      <w:r w:rsidR="00223BD4" w:rsidRPr="0049669B">
        <w:rPr>
          <w:rFonts w:cstheme="minorHAnsi"/>
          <w:b/>
          <w:color w:val="000000"/>
          <w:sz w:val="28"/>
          <w:szCs w:val="28"/>
        </w:rPr>
        <w:t xml:space="preserve">? </w:t>
      </w:r>
    </w:p>
    <w:p w14:paraId="3803C749" w14:textId="77777777" w:rsidR="00E5230C" w:rsidRPr="003B44D7" w:rsidRDefault="00E5230C" w:rsidP="004E7EB4">
      <w:pPr>
        <w:spacing w:after="0" w:line="240" w:lineRule="auto"/>
        <w:jc w:val="both"/>
        <w:rPr>
          <w:rFonts w:cstheme="minorHAnsi"/>
          <w:b/>
          <w:color w:val="000000"/>
          <w:sz w:val="24"/>
          <w:szCs w:val="24"/>
        </w:rPr>
      </w:pPr>
    </w:p>
    <w:p w14:paraId="04010973" w14:textId="3485C4DF" w:rsidR="00E5230C" w:rsidRDefault="00E5230C" w:rsidP="004E7EB4">
      <w:pPr>
        <w:spacing w:after="0" w:line="240" w:lineRule="auto"/>
        <w:jc w:val="both"/>
        <w:rPr>
          <w:rFonts w:cstheme="minorHAnsi"/>
          <w:color w:val="000000"/>
          <w:sz w:val="24"/>
          <w:szCs w:val="24"/>
        </w:rPr>
      </w:pPr>
      <w:r w:rsidRPr="003B44D7">
        <w:rPr>
          <w:rFonts w:cstheme="minorHAnsi"/>
          <w:color w:val="000000"/>
          <w:sz w:val="24"/>
          <w:szCs w:val="24"/>
        </w:rPr>
        <w:t>Uta Kohl</w:t>
      </w:r>
      <w:r w:rsidR="004E7EB4" w:rsidRPr="003B44D7">
        <w:rPr>
          <w:rFonts w:cstheme="minorHAnsi"/>
          <w:color w:val="000000"/>
          <w:sz w:val="24"/>
          <w:szCs w:val="24"/>
        </w:rPr>
        <w:t>*</w:t>
      </w:r>
    </w:p>
    <w:p w14:paraId="0ADE75B5" w14:textId="13565A4D" w:rsidR="00D67E75" w:rsidRDefault="00D67E75" w:rsidP="004E7EB4">
      <w:pPr>
        <w:spacing w:after="0" w:line="240" w:lineRule="auto"/>
        <w:jc w:val="both"/>
        <w:rPr>
          <w:rFonts w:cstheme="minorHAnsi"/>
          <w:color w:val="000000"/>
          <w:sz w:val="24"/>
          <w:szCs w:val="24"/>
        </w:rPr>
      </w:pPr>
    </w:p>
    <w:p w14:paraId="72D302A1" w14:textId="23334D5D" w:rsidR="00D67E75" w:rsidRPr="0049669B" w:rsidRDefault="00D67E75" w:rsidP="004E7EB4">
      <w:pPr>
        <w:spacing w:after="0" w:line="240" w:lineRule="auto"/>
        <w:jc w:val="both"/>
        <w:rPr>
          <w:rFonts w:cstheme="minorHAnsi"/>
          <w:color w:val="000000"/>
          <w:sz w:val="28"/>
          <w:szCs w:val="28"/>
        </w:rPr>
      </w:pPr>
      <w:r>
        <w:rPr>
          <w:rFonts w:cstheme="minorHAnsi"/>
          <w:color w:val="000000"/>
          <w:sz w:val="24"/>
          <w:szCs w:val="24"/>
        </w:rPr>
        <w:t xml:space="preserve">Forthcoming in the </w:t>
      </w:r>
      <w:r w:rsidRPr="00EB03EF">
        <w:rPr>
          <w:rFonts w:cstheme="minorHAnsi"/>
          <w:i/>
          <w:iCs/>
          <w:color w:val="000000"/>
          <w:sz w:val="24"/>
          <w:szCs w:val="24"/>
        </w:rPr>
        <w:t>Journal of Media Law</w:t>
      </w:r>
      <w:r>
        <w:rPr>
          <w:rFonts w:cstheme="minorHAnsi"/>
          <w:color w:val="000000"/>
          <w:sz w:val="24"/>
          <w:szCs w:val="24"/>
        </w:rPr>
        <w:t xml:space="preserve"> (2022)</w:t>
      </w:r>
    </w:p>
    <w:p w14:paraId="36D430A8" w14:textId="77777777" w:rsidR="00E5230C" w:rsidRPr="003B44D7" w:rsidRDefault="00E5230C" w:rsidP="004E7EB4">
      <w:pPr>
        <w:spacing w:after="0" w:line="240" w:lineRule="auto"/>
        <w:jc w:val="both"/>
        <w:rPr>
          <w:rFonts w:cstheme="minorHAnsi"/>
          <w:color w:val="000000"/>
          <w:sz w:val="24"/>
          <w:szCs w:val="24"/>
        </w:rPr>
      </w:pPr>
    </w:p>
    <w:p w14:paraId="055B797F" w14:textId="77777777" w:rsidR="00E5230C" w:rsidRPr="003B44D7" w:rsidRDefault="00E5230C" w:rsidP="004E7EB4">
      <w:pPr>
        <w:spacing w:after="0" w:line="240" w:lineRule="auto"/>
        <w:jc w:val="both"/>
        <w:rPr>
          <w:rFonts w:cstheme="minorHAnsi"/>
          <w:color w:val="000000"/>
          <w:sz w:val="24"/>
          <w:szCs w:val="24"/>
          <w:u w:val="single"/>
        </w:rPr>
      </w:pPr>
      <w:r w:rsidRPr="003B44D7">
        <w:rPr>
          <w:rFonts w:cstheme="minorHAnsi"/>
          <w:color w:val="000000"/>
          <w:sz w:val="24"/>
          <w:szCs w:val="24"/>
          <w:u w:val="single"/>
        </w:rPr>
        <w:t>Abstract</w:t>
      </w:r>
    </w:p>
    <w:p w14:paraId="2150B629" w14:textId="77777777" w:rsidR="00E5230C" w:rsidRPr="003B44D7" w:rsidRDefault="00E5230C" w:rsidP="004E7EB4">
      <w:pPr>
        <w:spacing w:after="0" w:line="240" w:lineRule="auto"/>
        <w:jc w:val="both"/>
        <w:rPr>
          <w:rFonts w:cstheme="minorHAnsi"/>
          <w:color w:val="000000"/>
          <w:sz w:val="24"/>
          <w:szCs w:val="24"/>
        </w:rPr>
      </w:pPr>
    </w:p>
    <w:p w14:paraId="3068FF23" w14:textId="6F48177C" w:rsidR="005C6529" w:rsidRPr="003B44D7" w:rsidRDefault="00F433DD" w:rsidP="004E7EB4">
      <w:pPr>
        <w:spacing w:after="0" w:line="240" w:lineRule="auto"/>
        <w:jc w:val="both"/>
        <w:rPr>
          <w:rFonts w:cstheme="minorHAnsi"/>
          <w:sz w:val="24"/>
          <w:szCs w:val="24"/>
        </w:rPr>
      </w:pPr>
      <w:r w:rsidRPr="003B44D7">
        <w:rPr>
          <w:rFonts w:cstheme="minorHAnsi"/>
          <w:color w:val="000000"/>
          <w:sz w:val="24"/>
          <w:szCs w:val="24"/>
        </w:rPr>
        <w:t>Continent</w:t>
      </w:r>
      <w:r w:rsidR="00AD31D1" w:rsidRPr="003B44D7">
        <w:rPr>
          <w:rFonts w:cstheme="minorHAnsi"/>
          <w:color w:val="000000"/>
          <w:sz w:val="24"/>
          <w:szCs w:val="24"/>
        </w:rPr>
        <w:t xml:space="preserve">al European law on hate speech </w:t>
      </w:r>
      <w:r w:rsidRPr="003B44D7">
        <w:rPr>
          <w:rFonts w:cstheme="minorHAnsi"/>
          <w:color w:val="000000"/>
          <w:sz w:val="24"/>
          <w:szCs w:val="24"/>
        </w:rPr>
        <w:t xml:space="preserve">may be read - against the historically strict hierarchical societies - as forms of </w:t>
      </w:r>
      <w:r w:rsidRPr="003B44D7">
        <w:rPr>
          <w:rFonts w:cstheme="minorHAnsi"/>
          <w:i/>
          <w:color w:val="000000"/>
          <w:sz w:val="24"/>
          <w:szCs w:val="24"/>
        </w:rPr>
        <w:t>levelling up</w:t>
      </w:r>
      <w:r w:rsidR="00AD31D1" w:rsidRPr="003B44D7">
        <w:rPr>
          <w:rFonts w:cstheme="minorHAnsi"/>
          <w:color w:val="000000"/>
          <w:sz w:val="24"/>
          <w:szCs w:val="24"/>
        </w:rPr>
        <w:t xml:space="preserve"> of </w:t>
      </w:r>
      <w:r w:rsidR="00EB0DD3" w:rsidRPr="003B44D7">
        <w:rPr>
          <w:rFonts w:cstheme="minorHAnsi"/>
          <w:color w:val="000000"/>
          <w:sz w:val="24"/>
          <w:szCs w:val="24"/>
        </w:rPr>
        <w:t>‘</w:t>
      </w:r>
      <w:r w:rsidR="00AD31D1" w:rsidRPr="003B44D7">
        <w:rPr>
          <w:rFonts w:cstheme="minorHAnsi"/>
          <w:color w:val="000000"/>
          <w:sz w:val="24"/>
          <w:szCs w:val="24"/>
        </w:rPr>
        <w:t>dignity</w:t>
      </w:r>
      <w:r w:rsidR="00EB0DD3" w:rsidRPr="003B44D7">
        <w:rPr>
          <w:rFonts w:cstheme="minorHAnsi"/>
          <w:color w:val="000000"/>
          <w:sz w:val="24"/>
          <w:szCs w:val="24"/>
        </w:rPr>
        <w:t>’</w:t>
      </w:r>
      <w:r w:rsidR="00AD31D1" w:rsidRPr="003B44D7">
        <w:rPr>
          <w:rFonts w:cstheme="minorHAnsi"/>
          <w:color w:val="000000"/>
          <w:sz w:val="24"/>
          <w:szCs w:val="24"/>
        </w:rPr>
        <w:t xml:space="preserve"> </w:t>
      </w:r>
      <w:r w:rsidR="004B61D6" w:rsidRPr="003B44D7">
        <w:rPr>
          <w:rFonts w:cstheme="minorHAnsi"/>
          <w:color w:val="000000"/>
          <w:sz w:val="24"/>
          <w:szCs w:val="24"/>
        </w:rPr>
        <w:t xml:space="preserve">which </w:t>
      </w:r>
      <w:r w:rsidR="00AD31D1" w:rsidRPr="003B44D7">
        <w:rPr>
          <w:rFonts w:cstheme="minorHAnsi"/>
          <w:color w:val="000000"/>
          <w:sz w:val="24"/>
          <w:szCs w:val="24"/>
        </w:rPr>
        <w:t xml:space="preserve">was </w:t>
      </w:r>
      <w:r w:rsidRPr="003B44D7">
        <w:rPr>
          <w:rFonts w:cstheme="minorHAnsi"/>
          <w:color w:val="000000"/>
          <w:sz w:val="24"/>
          <w:szCs w:val="24"/>
        </w:rPr>
        <w:t>traditionally reserved to the upper classes. Th</w:t>
      </w:r>
      <w:r w:rsidR="004E460E" w:rsidRPr="003B44D7">
        <w:rPr>
          <w:rFonts w:cstheme="minorHAnsi"/>
          <w:color w:val="000000"/>
          <w:sz w:val="24"/>
          <w:szCs w:val="24"/>
        </w:rPr>
        <w:t>is</w:t>
      </w:r>
      <w:r w:rsidRPr="003B44D7">
        <w:rPr>
          <w:rFonts w:cstheme="minorHAnsi"/>
          <w:color w:val="000000"/>
          <w:sz w:val="24"/>
          <w:szCs w:val="24"/>
        </w:rPr>
        <w:t xml:space="preserve"> democratisation of dignity which underlies European understanding of citizenry, recognises public insult and humiliation as tools for disempowerment and exclusion, and as inconsistent with legal and political equality. Yet, this construction of empowered ci</w:t>
      </w:r>
      <w:r w:rsidR="00AD31D1" w:rsidRPr="003B44D7">
        <w:rPr>
          <w:rFonts w:cstheme="minorHAnsi"/>
          <w:color w:val="000000"/>
          <w:sz w:val="24"/>
          <w:szCs w:val="24"/>
        </w:rPr>
        <w:t>tizenship enabled</w:t>
      </w:r>
      <w:r w:rsidR="00EB0DD3" w:rsidRPr="003B44D7">
        <w:rPr>
          <w:rFonts w:cstheme="minorHAnsi"/>
          <w:color w:val="000000"/>
          <w:sz w:val="24"/>
          <w:szCs w:val="24"/>
        </w:rPr>
        <w:t xml:space="preserve"> </w:t>
      </w:r>
      <w:r w:rsidR="00AD31D1" w:rsidRPr="003B44D7">
        <w:rPr>
          <w:rFonts w:cstheme="minorHAnsi"/>
          <w:color w:val="000000"/>
          <w:sz w:val="24"/>
          <w:szCs w:val="24"/>
        </w:rPr>
        <w:t>by the State</w:t>
      </w:r>
      <w:r w:rsidR="006825D1" w:rsidRPr="003B44D7">
        <w:rPr>
          <w:rFonts w:cstheme="minorHAnsi"/>
          <w:color w:val="000000"/>
          <w:sz w:val="24"/>
          <w:szCs w:val="24"/>
        </w:rPr>
        <w:t xml:space="preserve"> </w:t>
      </w:r>
      <w:r w:rsidR="004E460E" w:rsidRPr="00055444">
        <w:rPr>
          <w:rFonts w:cstheme="minorHAnsi"/>
          <w:i/>
          <w:iCs/>
          <w:color w:val="000000"/>
          <w:sz w:val="24"/>
          <w:szCs w:val="24"/>
        </w:rPr>
        <w:t>inter alia</w:t>
      </w:r>
      <w:r w:rsidR="004E460E" w:rsidRPr="003B44D7">
        <w:rPr>
          <w:rFonts w:cstheme="minorHAnsi"/>
          <w:color w:val="000000"/>
          <w:sz w:val="24"/>
          <w:szCs w:val="24"/>
        </w:rPr>
        <w:t xml:space="preserve"> </w:t>
      </w:r>
      <w:r w:rsidR="006825D1" w:rsidRPr="003B44D7">
        <w:rPr>
          <w:rFonts w:cstheme="minorHAnsi"/>
          <w:color w:val="000000"/>
          <w:sz w:val="24"/>
          <w:szCs w:val="24"/>
        </w:rPr>
        <w:t>t</w:t>
      </w:r>
      <w:r w:rsidRPr="003B44D7">
        <w:rPr>
          <w:rFonts w:cstheme="minorHAnsi"/>
          <w:color w:val="000000"/>
          <w:sz w:val="24"/>
          <w:szCs w:val="24"/>
        </w:rPr>
        <w:t>hrough hate speech laws is at od</w:t>
      </w:r>
      <w:r w:rsidR="004B61D6" w:rsidRPr="003B44D7">
        <w:rPr>
          <w:rFonts w:cstheme="minorHAnsi"/>
          <w:color w:val="000000"/>
          <w:sz w:val="24"/>
          <w:szCs w:val="24"/>
        </w:rPr>
        <w:t xml:space="preserve">ds with the American view of empowered citizenry. There free speech jurisprudence </w:t>
      </w:r>
      <w:r w:rsidR="004E460E" w:rsidRPr="003B44D7">
        <w:rPr>
          <w:rFonts w:cstheme="minorHAnsi"/>
          <w:color w:val="000000"/>
          <w:sz w:val="24"/>
          <w:szCs w:val="24"/>
        </w:rPr>
        <w:t>i</w:t>
      </w:r>
      <w:r w:rsidR="004B61D6" w:rsidRPr="003B44D7">
        <w:rPr>
          <w:rFonts w:cstheme="minorHAnsi"/>
          <w:color w:val="000000"/>
          <w:sz w:val="24"/>
          <w:szCs w:val="24"/>
        </w:rPr>
        <w:t>s</w:t>
      </w:r>
      <w:r w:rsidRPr="003B44D7">
        <w:rPr>
          <w:rFonts w:cstheme="minorHAnsi"/>
          <w:color w:val="000000"/>
          <w:sz w:val="24"/>
          <w:szCs w:val="24"/>
        </w:rPr>
        <w:t xml:space="preserve"> based on ‘liberty’ </w:t>
      </w:r>
      <w:r w:rsidR="004E460E" w:rsidRPr="003B44D7">
        <w:rPr>
          <w:rFonts w:cstheme="minorHAnsi"/>
          <w:color w:val="000000"/>
          <w:sz w:val="24"/>
          <w:szCs w:val="24"/>
        </w:rPr>
        <w:t xml:space="preserve">and </w:t>
      </w:r>
      <w:r w:rsidRPr="003B44D7">
        <w:rPr>
          <w:rFonts w:cstheme="minorHAnsi"/>
          <w:color w:val="000000"/>
          <w:sz w:val="24"/>
          <w:szCs w:val="24"/>
        </w:rPr>
        <w:t xml:space="preserve">deeply inscribed </w:t>
      </w:r>
      <w:r w:rsidRPr="003B44D7">
        <w:rPr>
          <w:rFonts w:cstheme="minorHAnsi"/>
          <w:sz w:val="24"/>
          <w:szCs w:val="24"/>
        </w:rPr>
        <w:t>with settler mentality, one of self-reliance and self-rule and distrust of government, whether the old-world governments left behind, or the colonial administrations belatedly encountered in the new world.</w:t>
      </w:r>
      <w:r w:rsidR="00AD31D1" w:rsidRPr="003B44D7">
        <w:rPr>
          <w:rFonts w:cstheme="minorHAnsi"/>
          <w:sz w:val="24"/>
          <w:szCs w:val="24"/>
        </w:rPr>
        <w:t xml:space="preserve"> This paper argues</w:t>
      </w:r>
      <w:r w:rsidR="004B61D6" w:rsidRPr="003B44D7">
        <w:rPr>
          <w:rFonts w:cstheme="minorHAnsi"/>
          <w:sz w:val="24"/>
          <w:szCs w:val="24"/>
        </w:rPr>
        <w:t xml:space="preserve"> that </w:t>
      </w:r>
      <w:r w:rsidR="00AD31D1" w:rsidRPr="003B44D7">
        <w:rPr>
          <w:rFonts w:cstheme="minorHAnsi"/>
          <w:sz w:val="24"/>
          <w:szCs w:val="24"/>
        </w:rPr>
        <w:t xml:space="preserve">this binary opposition in the divergent treatment of hate speech hides non-binary preoccupations that reflect different </w:t>
      </w:r>
      <w:r w:rsidR="00AD31D1" w:rsidRPr="003B44D7">
        <w:rPr>
          <w:rFonts w:cstheme="minorHAnsi"/>
          <w:i/>
          <w:iCs/>
          <w:sz w:val="24"/>
          <w:szCs w:val="24"/>
        </w:rPr>
        <w:t xml:space="preserve">primary </w:t>
      </w:r>
      <w:r w:rsidR="00AD31D1" w:rsidRPr="003B44D7">
        <w:rPr>
          <w:rFonts w:cstheme="minorHAnsi"/>
          <w:sz w:val="24"/>
          <w:szCs w:val="24"/>
        </w:rPr>
        <w:t xml:space="preserve">fears which do not fall along the same ‘scale’. </w:t>
      </w:r>
      <w:r w:rsidR="005C6529" w:rsidRPr="003B44D7">
        <w:rPr>
          <w:rFonts w:cstheme="minorHAnsi"/>
          <w:sz w:val="24"/>
          <w:szCs w:val="24"/>
        </w:rPr>
        <w:t>European liberal democracies fear the consequences of hate speech being left</w:t>
      </w:r>
      <w:r w:rsidR="00223BD4" w:rsidRPr="003B44D7">
        <w:rPr>
          <w:rFonts w:cstheme="minorHAnsi"/>
          <w:sz w:val="24"/>
          <w:szCs w:val="24"/>
        </w:rPr>
        <w:t xml:space="preserve"> uncensored</w:t>
      </w:r>
      <w:r w:rsidR="005C6529" w:rsidRPr="003B44D7">
        <w:rPr>
          <w:rFonts w:cstheme="minorHAnsi"/>
          <w:sz w:val="24"/>
          <w:szCs w:val="24"/>
        </w:rPr>
        <w:t xml:space="preserve"> in the public domain (a WHAT concern), whilst America fears the consequences of content interventions by government (a WHO concern). </w:t>
      </w:r>
      <w:r w:rsidR="004B61D6" w:rsidRPr="003B44D7">
        <w:rPr>
          <w:rFonts w:cstheme="minorHAnsi"/>
          <w:sz w:val="24"/>
          <w:szCs w:val="24"/>
        </w:rPr>
        <w:t xml:space="preserve">Flowing from this, </w:t>
      </w:r>
      <w:r w:rsidR="00AD31D1" w:rsidRPr="003B44D7">
        <w:rPr>
          <w:rFonts w:cstheme="minorHAnsi"/>
          <w:sz w:val="24"/>
          <w:szCs w:val="24"/>
        </w:rPr>
        <w:t>t</w:t>
      </w:r>
      <w:r w:rsidR="00223BD4" w:rsidRPr="003B44D7">
        <w:rPr>
          <w:rFonts w:cstheme="minorHAnsi"/>
          <w:sz w:val="24"/>
          <w:szCs w:val="24"/>
        </w:rPr>
        <w:t>his paper</w:t>
      </w:r>
      <w:r w:rsidR="00AD31D1" w:rsidRPr="003B44D7">
        <w:rPr>
          <w:rFonts w:cstheme="minorHAnsi"/>
          <w:sz w:val="24"/>
          <w:szCs w:val="24"/>
        </w:rPr>
        <w:t xml:space="preserve"> proposes</w:t>
      </w:r>
      <w:r w:rsidR="00223BD4" w:rsidRPr="003B44D7">
        <w:rPr>
          <w:rFonts w:cstheme="minorHAnsi"/>
          <w:sz w:val="24"/>
          <w:szCs w:val="24"/>
        </w:rPr>
        <w:t xml:space="preserve"> that t</w:t>
      </w:r>
      <w:r w:rsidR="005C6529" w:rsidRPr="003B44D7">
        <w:rPr>
          <w:rFonts w:cstheme="minorHAnsi"/>
          <w:sz w:val="24"/>
          <w:szCs w:val="24"/>
        </w:rPr>
        <w:t>he German Network Enforceme</w:t>
      </w:r>
      <w:r w:rsidR="00223BD4" w:rsidRPr="003B44D7">
        <w:rPr>
          <w:rFonts w:cstheme="minorHAnsi"/>
          <w:sz w:val="24"/>
          <w:szCs w:val="24"/>
        </w:rPr>
        <w:t>nt Law</w:t>
      </w:r>
      <w:r w:rsidR="0003363F">
        <w:rPr>
          <w:rFonts w:cstheme="minorHAnsi"/>
          <w:sz w:val="24"/>
          <w:szCs w:val="24"/>
        </w:rPr>
        <w:t xml:space="preserve"> (</w:t>
      </w:r>
      <w:r w:rsidR="00223BD4" w:rsidRPr="003B44D7">
        <w:rPr>
          <w:rFonts w:cstheme="minorHAnsi"/>
          <w:sz w:val="24"/>
          <w:szCs w:val="24"/>
        </w:rPr>
        <w:t>NetzDG</w:t>
      </w:r>
      <w:r w:rsidR="0003363F">
        <w:rPr>
          <w:rFonts w:cstheme="minorHAnsi"/>
          <w:sz w:val="24"/>
          <w:szCs w:val="24"/>
        </w:rPr>
        <w:t>)</w:t>
      </w:r>
      <w:r w:rsidR="00CF2D41" w:rsidRPr="003B44D7">
        <w:rPr>
          <w:rFonts w:cstheme="minorHAnsi"/>
          <w:sz w:val="24"/>
          <w:szCs w:val="24"/>
        </w:rPr>
        <w:t xml:space="preserve"> </w:t>
      </w:r>
      <w:r w:rsidR="00B26E9F" w:rsidRPr="003B44D7">
        <w:rPr>
          <w:rFonts w:cstheme="minorHAnsi"/>
          <w:sz w:val="24"/>
          <w:szCs w:val="24"/>
        </w:rPr>
        <w:t xml:space="preserve">of </w:t>
      </w:r>
      <w:r w:rsidR="00CF2D41" w:rsidRPr="003B44D7">
        <w:rPr>
          <w:rFonts w:cstheme="minorHAnsi"/>
          <w:sz w:val="24"/>
          <w:szCs w:val="24"/>
        </w:rPr>
        <w:t>201</w:t>
      </w:r>
      <w:r w:rsidR="0003363F">
        <w:rPr>
          <w:rFonts w:cstheme="minorHAnsi"/>
          <w:sz w:val="24"/>
          <w:szCs w:val="24"/>
        </w:rPr>
        <w:t>7</w:t>
      </w:r>
      <w:r w:rsidR="00223BD4" w:rsidRPr="003B44D7">
        <w:rPr>
          <w:rFonts w:cstheme="minorHAnsi"/>
          <w:sz w:val="24"/>
          <w:szCs w:val="24"/>
        </w:rPr>
        <w:t xml:space="preserve"> </w:t>
      </w:r>
      <w:r w:rsidR="004B61D6" w:rsidRPr="003B44D7">
        <w:rPr>
          <w:rFonts w:cstheme="minorHAnsi"/>
          <w:sz w:val="24"/>
          <w:szCs w:val="24"/>
        </w:rPr>
        <w:t xml:space="preserve">which </w:t>
      </w:r>
      <w:r w:rsidR="005C6529" w:rsidRPr="003B44D7">
        <w:rPr>
          <w:rFonts w:cstheme="minorHAnsi"/>
          <w:sz w:val="24"/>
          <w:szCs w:val="24"/>
        </w:rPr>
        <w:t>requires major platforms to moderate content in response to user takedown notices</w:t>
      </w:r>
      <w:r w:rsidR="00223BD4" w:rsidRPr="003B44D7">
        <w:rPr>
          <w:rFonts w:cstheme="minorHAnsi"/>
          <w:sz w:val="24"/>
          <w:szCs w:val="24"/>
        </w:rPr>
        <w:t xml:space="preserve"> based on German l</w:t>
      </w:r>
      <w:r w:rsidR="00EB0DD3" w:rsidRPr="003B44D7">
        <w:rPr>
          <w:rFonts w:cstheme="minorHAnsi"/>
          <w:sz w:val="24"/>
          <w:szCs w:val="24"/>
        </w:rPr>
        <w:t xml:space="preserve">egally imposed speech standards </w:t>
      </w:r>
      <w:r w:rsidR="00223BD4" w:rsidRPr="003B44D7">
        <w:rPr>
          <w:rFonts w:cstheme="minorHAnsi"/>
          <w:sz w:val="24"/>
          <w:szCs w:val="24"/>
        </w:rPr>
        <w:t>delivers a compromise solution, a bridge</w:t>
      </w:r>
      <w:r w:rsidR="00055444">
        <w:rPr>
          <w:rFonts w:cstheme="minorHAnsi"/>
          <w:sz w:val="24"/>
          <w:szCs w:val="24"/>
        </w:rPr>
        <w:t>,</w:t>
      </w:r>
      <w:r w:rsidR="00223BD4" w:rsidRPr="003B44D7">
        <w:rPr>
          <w:rFonts w:cstheme="minorHAnsi"/>
          <w:sz w:val="24"/>
          <w:szCs w:val="24"/>
        </w:rPr>
        <w:t xml:space="preserve"> </w:t>
      </w:r>
      <w:r w:rsidR="005C6529" w:rsidRPr="003B44D7">
        <w:rPr>
          <w:rFonts w:cstheme="minorHAnsi"/>
          <w:sz w:val="24"/>
          <w:szCs w:val="24"/>
        </w:rPr>
        <w:t xml:space="preserve">between American and European speech traditions. </w:t>
      </w:r>
      <w:r w:rsidR="00AD31D1" w:rsidRPr="003B44D7">
        <w:rPr>
          <w:rFonts w:cstheme="minorHAnsi"/>
          <w:sz w:val="24"/>
          <w:szCs w:val="24"/>
        </w:rPr>
        <w:t>T</w:t>
      </w:r>
      <w:r w:rsidR="005C6529" w:rsidRPr="003B44D7">
        <w:rPr>
          <w:rFonts w:cstheme="minorHAnsi"/>
          <w:sz w:val="24"/>
          <w:szCs w:val="24"/>
        </w:rPr>
        <w:t xml:space="preserve">he mechanism which NetzDG adopts, namely </w:t>
      </w:r>
      <w:r w:rsidR="005C6529" w:rsidRPr="003B44D7">
        <w:rPr>
          <w:rFonts w:cstheme="minorHAnsi"/>
          <w:i/>
          <w:sz w:val="24"/>
          <w:szCs w:val="24"/>
        </w:rPr>
        <w:t>public</w:t>
      </w:r>
      <w:r w:rsidR="000037EF">
        <w:rPr>
          <w:rFonts w:cstheme="minorHAnsi"/>
          <w:i/>
          <w:sz w:val="24"/>
          <w:szCs w:val="24"/>
        </w:rPr>
        <w:t xml:space="preserve"> </w:t>
      </w:r>
      <w:r w:rsidR="004E460E" w:rsidRPr="003B44D7">
        <w:rPr>
          <w:rFonts w:cstheme="minorHAnsi"/>
          <w:i/>
          <w:sz w:val="24"/>
          <w:szCs w:val="24"/>
        </w:rPr>
        <w:t>standard</w:t>
      </w:r>
      <w:r w:rsidR="008A1B29" w:rsidRPr="003B44D7">
        <w:rPr>
          <w:rFonts w:cstheme="minorHAnsi"/>
          <w:i/>
          <w:sz w:val="24"/>
          <w:szCs w:val="24"/>
        </w:rPr>
        <w:t>s</w:t>
      </w:r>
      <w:r w:rsidR="004E460E" w:rsidRPr="003B44D7">
        <w:rPr>
          <w:rFonts w:cstheme="minorHAnsi"/>
          <w:i/>
          <w:sz w:val="24"/>
          <w:szCs w:val="24"/>
        </w:rPr>
        <w:t xml:space="preserve"> </w:t>
      </w:r>
      <w:r w:rsidR="000037EF">
        <w:rPr>
          <w:rFonts w:cstheme="minorHAnsi"/>
          <w:i/>
          <w:sz w:val="24"/>
          <w:szCs w:val="24"/>
        </w:rPr>
        <w:t>embedded in</w:t>
      </w:r>
      <w:r w:rsidR="005C6529" w:rsidRPr="003B44D7">
        <w:rPr>
          <w:rFonts w:cstheme="minorHAnsi"/>
          <w:i/>
          <w:sz w:val="24"/>
          <w:szCs w:val="24"/>
        </w:rPr>
        <w:t xml:space="preserve"> private </w:t>
      </w:r>
      <w:r w:rsidR="004E460E" w:rsidRPr="003B44D7">
        <w:rPr>
          <w:rFonts w:cstheme="minorHAnsi"/>
          <w:i/>
          <w:sz w:val="24"/>
          <w:szCs w:val="24"/>
        </w:rPr>
        <w:t>processes</w:t>
      </w:r>
      <w:r w:rsidR="00B65A47">
        <w:rPr>
          <w:rFonts w:cstheme="minorHAnsi"/>
          <w:i/>
          <w:sz w:val="24"/>
          <w:szCs w:val="24"/>
        </w:rPr>
        <w:t>,</w:t>
      </w:r>
      <w:r w:rsidR="005C6529" w:rsidRPr="003B44D7">
        <w:rPr>
          <w:rFonts w:cstheme="minorHAnsi"/>
          <w:sz w:val="24"/>
          <w:szCs w:val="24"/>
        </w:rPr>
        <w:t xml:space="preserve"> is</w:t>
      </w:r>
      <w:r w:rsidR="00540A6F" w:rsidRPr="003B44D7">
        <w:rPr>
          <w:rFonts w:cstheme="minorHAnsi"/>
          <w:sz w:val="24"/>
          <w:szCs w:val="24"/>
        </w:rPr>
        <w:t xml:space="preserve"> arguably</w:t>
      </w:r>
      <w:r w:rsidR="005C6529" w:rsidRPr="003B44D7">
        <w:rPr>
          <w:rFonts w:cstheme="minorHAnsi"/>
          <w:sz w:val="24"/>
          <w:szCs w:val="24"/>
        </w:rPr>
        <w:t xml:space="preserve"> uniquely adept at simultaneously assuaging the </w:t>
      </w:r>
      <w:r w:rsidR="005C6529" w:rsidRPr="003B44D7">
        <w:rPr>
          <w:rFonts w:cstheme="minorHAnsi"/>
          <w:i/>
          <w:sz w:val="24"/>
          <w:szCs w:val="24"/>
        </w:rPr>
        <w:t xml:space="preserve">primary </w:t>
      </w:r>
      <w:r w:rsidR="005C6529" w:rsidRPr="003B44D7">
        <w:rPr>
          <w:rFonts w:cstheme="minorHAnsi"/>
          <w:sz w:val="24"/>
          <w:szCs w:val="24"/>
        </w:rPr>
        <w:t xml:space="preserve">European fear about the absence of effective speech controls </w:t>
      </w:r>
      <w:r w:rsidR="00223BD4" w:rsidRPr="003B44D7">
        <w:rPr>
          <w:rFonts w:cstheme="minorHAnsi"/>
          <w:sz w:val="24"/>
          <w:szCs w:val="24"/>
        </w:rPr>
        <w:t>in</w:t>
      </w:r>
      <w:r w:rsidR="005C6529" w:rsidRPr="003B44D7">
        <w:rPr>
          <w:rFonts w:cstheme="minorHAnsi"/>
          <w:sz w:val="24"/>
          <w:szCs w:val="24"/>
        </w:rPr>
        <w:t xml:space="preserve"> the public domain and the </w:t>
      </w:r>
      <w:r w:rsidR="005C6529" w:rsidRPr="003B44D7">
        <w:rPr>
          <w:rFonts w:cstheme="minorHAnsi"/>
          <w:i/>
          <w:sz w:val="24"/>
          <w:szCs w:val="24"/>
        </w:rPr>
        <w:t xml:space="preserve">primary </w:t>
      </w:r>
      <w:r w:rsidR="005C6529" w:rsidRPr="003B44D7">
        <w:rPr>
          <w:rFonts w:cstheme="minorHAnsi"/>
          <w:sz w:val="24"/>
          <w:szCs w:val="24"/>
        </w:rPr>
        <w:t xml:space="preserve">American fear about the presence of governmental censorship. </w:t>
      </w:r>
    </w:p>
    <w:p w14:paraId="4710BD0D" w14:textId="77777777" w:rsidR="00E5230C" w:rsidRPr="003B44D7" w:rsidRDefault="00E5230C" w:rsidP="004E7EB4">
      <w:pPr>
        <w:spacing w:after="0" w:line="240" w:lineRule="auto"/>
        <w:jc w:val="both"/>
        <w:rPr>
          <w:rFonts w:cstheme="minorHAnsi"/>
          <w:color w:val="000000"/>
          <w:sz w:val="24"/>
          <w:szCs w:val="24"/>
        </w:rPr>
      </w:pPr>
    </w:p>
    <w:p w14:paraId="683185AB" w14:textId="77777777" w:rsidR="00E5230C" w:rsidRPr="003B44D7" w:rsidRDefault="00E5230C" w:rsidP="004E7EB4">
      <w:pPr>
        <w:spacing w:after="0" w:line="240" w:lineRule="auto"/>
        <w:jc w:val="both"/>
        <w:rPr>
          <w:rFonts w:cstheme="minorHAnsi"/>
          <w:color w:val="000000"/>
          <w:sz w:val="24"/>
          <w:szCs w:val="24"/>
          <w:u w:val="single"/>
        </w:rPr>
      </w:pPr>
      <w:r w:rsidRPr="003B44D7">
        <w:rPr>
          <w:rFonts w:cstheme="minorHAnsi"/>
          <w:color w:val="000000"/>
          <w:sz w:val="24"/>
          <w:szCs w:val="24"/>
          <w:u w:val="single"/>
        </w:rPr>
        <w:t>Table of Contents</w:t>
      </w:r>
    </w:p>
    <w:p w14:paraId="4EE1EB2E" w14:textId="77777777" w:rsidR="00E5230C" w:rsidRPr="003B44D7" w:rsidRDefault="00E5230C" w:rsidP="004E7EB4">
      <w:pPr>
        <w:spacing w:after="0" w:line="240" w:lineRule="auto"/>
        <w:jc w:val="both"/>
        <w:rPr>
          <w:rFonts w:cstheme="minorHAnsi"/>
          <w:color w:val="000000"/>
          <w:sz w:val="24"/>
          <w:szCs w:val="24"/>
        </w:rPr>
      </w:pPr>
    </w:p>
    <w:p w14:paraId="1DB93E9B" w14:textId="494982E0" w:rsidR="00EB03EF" w:rsidRPr="00EB03EF" w:rsidRDefault="00565909">
      <w:pPr>
        <w:pStyle w:val="TOC1"/>
        <w:tabs>
          <w:tab w:val="left" w:pos="440"/>
          <w:tab w:val="right" w:leader="dot" w:pos="9016"/>
        </w:tabs>
        <w:rPr>
          <w:rFonts w:eastAsiaTheme="minorEastAsia" w:cstheme="minorBidi"/>
          <w:b w:val="0"/>
          <w:bCs w:val="0"/>
          <w:caps w:val="0"/>
          <w:noProof/>
          <w:sz w:val="22"/>
          <w:szCs w:val="22"/>
          <w:lang w:eastAsia="en-GB"/>
        </w:rPr>
      </w:pPr>
      <w:r w:rsidRPr="000037EF">
        <w:rPr>
          <w:b w:val="0"/>
          <w:color w:val="000000"/>
          <w:sz w:val="22"/>
          <w:szCs w:val="22"/>
        </w:rPr>
        <w:fldChar w:fldCharType="begin"/>
      </w:r>
      <w:r w:rsidRPr="000037EF">
        <w:rPr>
          <w:b w:val="0"/>
          <w:color w:val="000000"/>
          <w:sz w:val="22"/>
          <w:szCs w:val="22"/>
        </w:rPr>
        <w:instrText xml:space="preserve"> TOC \o "1-3" \h \z \u </w:instrText>
      </w:r>
      <w:r w:rsidRPr="000037EF">
        <w:rPr>
          <w:b w:val="0"/>
          <w:color w:val="000000"/>
          <w:sz w:val="22"/>
          <w:szCs w:val="22"/>
        </w:rPr>
        <w:fldChar w:fldCharType="separate"/>
      </w:r>
      <w:hyperlink w:anchor="_Toc95568717" w:history="1">
        <w:r w:rsidR="00EB03EF" w:rsidRPr="00EB03EF">
          <w:rPr>
            <w:rStyle w:val="Hyperlink"/>
            <w:noProof/>
            <w:sz w:val="22"/>
            <w:szCs w:val="22"/>
          </w:rPr>
          <w:t>1.</w:t>
        </w:r>
        <w:r w:rsidR="00EB03EF" w:rsidRPr="00EB03EF">
          <w:rPr>
            <w:rFonts w:eastAsiaTheme="minorEastAsia" w:cstheme="minorBidi"/>
            <w:b w:val="0"/>
            <w:bCs w:val="0"/>
            <w:caps w:val="0"/>
            <w:noProof/>
            <w:sz w:val="22"/>
            <w:szCs w:val="22"/>
            <w:lang w:eastAsia="en-GB"/>
          </w:rPr>
          <w:tab/>
        </w:r>
        <w:r w:rsidR="00EB03EF" w:rsidRPr="00EB03EF">
          <w:rPr>
            <w:rStyle w:val="Hyperlink"/>
            <w:noProof/>
            <w:sz w:val="22"/>
            <w:szCs w:val="22"/>
          </w:rPr>
          <w:t>Introduction</w:t>
        </w:r>
        <w:r w:rsidR="00EB03EF" w:rsidRPr="00EB03EF">
          <w:rPr>
            <w:noProof/>
            <w:webHidden/>
            <w:sz w:val="22"/>
            <w:szCs w:val="22"/>
          </w:rPr>
          <w:tab/>
        </w:r>
        <w:r w:rsidR="00EB03EF" w:rsidRPr="00EB03EF">
          <w:rPr>
            <w:noProof/>
            <w:webHidden/>
            <w:sz w:val="22"/>
            <w:szCs w:val="22"/>
          </w:rPr>
          <w:fldChar w:fldCharType="begin"/>
        </w:r>
        <w:r w:rsidR="00EB03EF" w:rsidRPr="00EB03EF">
          <w:rPr>
            <w:noProof/>
            <w:webHidden/>
            <w:sz w:val="22"/>
            <w:szCs w:val="22"/>
          </w:rPr>
          <w:instrText xml:space="preserve"> PAGEREF _Toc95568717 \h </w:instrText>
        </w:r>
        <w:r w:rsidR="00EB03EF" w:rsidRPr="00EB03EF">
          <w:rPr>
            <w:noProof/>
            <w:webHidden/>
            <w:sz w:val="22"/>
            <w:szCs w:val="22"/>
          </w:rPr>
        </w:r>
        <w:r w:rsidR="00EB03EF" w:rsidRPr="00EB03EF">
          <w:rPr>
            <w:noProof/>
            <w:webHidden/>
            <w:sz w:val="22"/>
            <w:szCs w:val="22"/>
          </w:rPr>
          <w:fldChar w:fldCharType="separate"/>
        </w:r>
        <w:r w:rsidR="00531BE6">
          <w:rPr>
            <w:noProof/>
            <w:webHidden/>
            <w:sz w:val="22"/>
            <w:szCs w:val="22"/>
          </w:rPr>
          <w:t>2</w:t>
        </w:r>
        <w:r w:rsidR="00EB03EF" w:rsidRPr="00EB03EF">
          <w:rPr>
            <w:noProof/>
            <w:webHidden/>
            <w:sz w:val="22"/>
            <w:szCs w:val="22"/>
          </w:rPr>
          <w:fldChar w:fldCharType="end"/>
        </w:r>
      </w:hyperlink>
    </w:p>
    <w:p w14:paraId="66A3908E" w14:textId="33F827AA" w:rsidR="00EB03EF" w:rsidRPr="00EB03EF" w:rsidRDefault="00DD552F">
      <w:pPr>
        <w:pStyle w:val="TOC1"/>
        <w:tabs>
          <w:tab w:val="left" w:pos="440"/>
          <w:tab w:val="right" w:leader="dot" w:pos="9016"/>
        </w:tabs>
        <w:rPr>
          <w:rFonts w:eastAsiaTheme="minorEastAsia" w:cstheme="minorBidi"/>
          <w:b w:val="0"/>
          <w:bCs w:val="0"/>
          <w:caps w:val="0"/>
          <w:noProof/>
          <w:sz w:val="22"/>
          <w:szCs w:val="22"/>
          <w:lang w:eastAsia="en-GB"/>
        </w:rPr>
      </w:pPr>
      <w:hyperlink w:anchor="_Toc95568718" w:history="1">
        <w:r w:rsidR="00EB03EF" w:rsidRPr="00EB03EF">
          <w:rPr>
            <w:rStyle w:val="Hyperlink"/>
            <w:noProof/>
            <w:sz w:val="22"/>
            <w:szCs w:val="22"/>
          </w:rPr>
          <w:t>2.</w:t>
        </w:r>
        <w:r w:rsidR="00EB03EF" w:rsidRPr="00EB03EF">
          <w:rPr>
            <w:rFonts w:eastAsiaTheme="minorEastAsia" w:cstheme="minorBidi"/>
            <w:b w:val="0"/>
            <w:bCs w:val="0"/>
            <w:caps w:val="0"/>
            <w:noProof/>
            <w:sz w:val="22"/>
            <w:szCs w:val="22"/>
            <w:lang w:eastAsia="en-GB"/>
          </w:rPr>
          <w:tab/>
        </w:r>
        <w:r w:rsidR="00EB03EF" w:rsidRPr="00EB03EF">
          <w:rPr>
            <w:rStyle w:val="Hyperlink"/>
            <w:noProof/>
            <w:sz w:val="22"/>
            <w:szCs w:val="22"/>
          </w:rPr>
          <w:t>Divergent conceptions of citizenry and their primary fears</w:t>
        </w:r>
        <w:r w:rsidR="00EB03EF" w:rsidRPr="00EB03EF">
          <w:rPr>
            <w:noProof/>
            <w:webHidden/>
            <w:sz w:val="22"/>
            <w:szCs w:val="22"/>
          </w:rPr>
          <w:tab/>
        </w:r>
        <w:r w:rsidR="00EB03EF" w:rsidRPr="00EB03EF">
          <w:rPr>
            <w:noProof/>
            <w:webHidden/>
            <w:sz w:val="22"/>
            <w:szCs w:val="22"/>
          </w:rPr>
          <w:fldChar w:fldCharType="begin"/>
        </w:r>
        <w:r w:rsidR="00EB03EF" w:rsidRPr="00EB03EF">
          <w:rPr>
            <w:noProof/>
            <w:webHidden/>
            <w:sz w:val="22"/>
            <w:szCs w:val="22"/>
          </w:rPr>
          <w:instrText xml:space="preserve"> PAGEREF _Toc95568718 \h </w:instrText>
        </w:r>
        <w:r w:rsidR="00EB03EF" w:rsidRPr="00EB03EF">
          <w:rPr>
            <w:noProof/>
            <w:webHidden/>
            <w:sz w:val="22"/>
            <w:szCs w:val="22"/>
          </w:rPr>
        </w:r>
        <w:r w:rsidR="00EB03EF" w:rsidRPr="00EB03EF">
          <w:rPr>
            <w:noProof/>
            <w:webHidden/>
            <w:sz w:val="22"/>
            <w:szCs w:val="22"/>
          </w:rPr>
          <w:fldChar w:fldCharType="separate"/>
        </w:r>
        <w:r w:rsidR="00531BE6">
          <w:rPr>
            <w:noProof/>
            <w:webHidden/>
            <w:sz w:val="22"/>
            <w:szCs w:val="22"/>
          </w:rPr>
          <w:t>5</w:t>
        </w:r>
        <w:r w:rsidR="00EB03EF" w:rsidRPr="00EB03EF">
          <w:rPr>
            <w:noProof/>
            <w:webHidden/>
            <w:sz w:val="22"/>
            <w:szCs w:val="22"/>
          </w:rPr>
          <w:fldChar w:fldCharType="end"/>
        </w:r>
      </w:hyperlink>
    </w:p>
    <w:p w14:paraId="2BED8608" w14:textId="43542D25" w:rsidR="00EB03EF" w:rsidRPr="00EB03EF" w:rsidRDefault="00DD552F">
      <w:pPr>
        <w:pStyle w:val="TOC1"/>
        <w:tabs>
          <w:tab w:val="left" w:pos="440"/>
          <w:tab w:val="right" w:leader="dot" w:pos="9016"/>
        </w:tabs>
        <w:rPr>
          <w:rFonts w:eastAsiaTheme="minorEastAsia" w:cstheme="minorBidi"/>
          <w:b w:val="0"/>
          <w:bCs w:val="0"/>
          <w:caps w:val="0"/>
          <w:noProof/>
          <w:sz w:val="22"/>
          <w:szCs w:val="22"/>
          <w:lang w:eastAsia="en-GB"/>
        </w:rPr>
      </w:pPr>
      <w:hyperlink w:anchor="_Toc95568719" w:history="1">
        <w:r w:rsidR="00EB03EF" w:rsidRPr="00EB03EF">
          <w:rPr>
            <w:rStyle w:val="Hyperlink"/>
            <w:noProof/>
            <w:sz w:val="22"/>
            <w:szCs w:val="22"/>
          </w:rPr>
          <w:t>3.</w:t>
        </w:r>
        <w:r w:rsidR="00EB03EF" w:rsidRPr="00EB03EF">
          <w:rPr>
            <w:rFonts w:eastAsiaTheme="minorEastAsia" w:cstheme="minorBidi"/>
            <w:b w:val="0"/>
            <w:bCs w:val="0"/>
            <w:caps w:val="0"/>
            <w:noProof/>
            <w:sz w:val="22"/>
            <w:szCs w:val="22"/>
            <w:lang w:eastAsia="en-GB"/>
          </w:rPr>
          <w:tab/>
        </w:r>
        <w:r w:rsidR="00EB03EF" w:rsidRPr="00EB03EF">
          <w:rPr>
            <w:rStyle w:val="Hyperlink"/>
            <w:noProof/>
            <w:sz w:val="22"/>
            <w:szCs w:val="22"/>
          </w:rPr>
          <w:t>A Compromise Solution? Public Standards and Private Processes</w:t>
        </w:r>
        <w:r w:rsidR="00EB03EF" w:rsidRPr="00EB03EF">
          <w:rPr>
            <w:noProof/>
            <w:webHidden/>
            <w:sz w:val="22"/>
            <w:szCs w:val="22"/>
          </w:rPr>
          <w:tab/>
        </w:r>
        <w:r w:rsidR="00EB03EF" w:rsidRPr="00EB03EF">
          <w:rPr>
            <w:noProof/>
            <w:webHidden/>
            <w:sz w:val="22"/>
            <w:szCs w:val="22"/>
          </w:rPr>
          <w:fldChar w:fldCharType="begin"/>
        </w:r>
        <w:r w:rsidR="00EB03EF" w:rsidRPr="00EB03EF">
          <w:rPr>
            <w:noProof/>
            <w:webHidden/>
            <w:sz w:val="22"/>
            <w:szCs w:val="22"/>
          </w:rPr>
          <w:instrText xml:space="preserve"> PAGEREF _Toc95568719 \h </w:instrText>
        </w:r>
        <w:r w:rsidR="00EB03EF" w:rsidRPr="00EB03EF">
          <w:rPr>
            <w:noProof/>
            <w:webHidden/>
            <w:sz w:val="22"/>
            <w:szCs w:val="22"/>
          </w:rPr>
        </w:r>
        <w:r w:rsidR="00EB03EF" w:rsidRPr="00EB03EF">
          <w:rPr>
            <w:noProof/>
            <w:webHidden/>
            <w:sz w:val="22"/>
            <w:szCs w:val="22"/>
          </w:rPr>
          <w:fldChar w:fldCharType="separate"/>
        </w:r>
        <w:r w:rsidR="00531BE6">
          <w:rPr>
            <w:noProof/>
            <w:webHidden/>
            <w:sz w:val="22"/>
            <w:szCs w:val="22"/>
          </w:rPr>
          <w:t>10</w:t>
        </w:r>
        <w:r w:rsidR="00EB03EF" w:rsidRPr="00EB03EF">
          <w:rPr>
            <w:noProof/>
            <w:webHidden/>
            <w:sz w:val="22"/>
            <w:szCs w:val="22"/>
          </w:rPr>
          <w:fldChar w:fldCharType="end"/>
        </w:r>
      </w:hyperlink>
    </w:p>
    <w:p w14:paraId="523BB0B4" w14:textId="3E712038" w:rsidR="00EB03EF" w:rsidRPr="00EB03EF" w:rsidRDefault="00DD552F">
      <w:pPr>
        <w:pStyle w:val="TOC2"/>
        <w:tabs>
          <w:tab w:val="left" w:pos="880"/>
          <w:tab w:val="right" w:leader="dot" w:pos="9016"/>
        </w:tabs>
        <w:rPr>
          <w:rFonts w:eastAsiaTheme="minorEastAsia" w:cstheme="minorBidi"/>
          <w:smallCaps w:val="0"/>
          <w:noProof/>
          <w:sz w:val="22"/>
          <w:szCs w:val="22"/>
          <w:lang w:eastAsia="en-GB"/>
        </w:rPr>
      </w:pPr>
      <w:hyperlink w:anchor="_Toc95568720" w:history="1">
        <w:r w:rsidR="00EB03EF" w:rsidRPr="00EB03EF">
          <w:rPr>
            <w:rStyle w:val="Hyperlink"/>
            <w:noProof/>
            <w:sz w:val="22"/>
            <w:szCs w:val="22"/>
          </w:rPr>
          <w:t>3.1.</w:t>
        </w:r>
        <w:r w:rsidR="00EB03EF" w:rsidRPr="00EB03EF">
          <w:rPr>
            <w:rFonts w:eastAsiaTheme="minorEastAsia" w:cstheme="minorBidi"/>
            <w:smallCaps w:val="0"/>
            <w:noProof/>
            <w:sz w:val="22"/>
            <w:szCs w:val="22"/>
            <w:lang w:eastAsia="en-GB"/>
          </w:rPr>
          <w:tab/>
        </w:r>
        <w:r w:rsidR="00EB03EF" w:rsidRPr="00EB03EF">
          <w:rPr>
            <w:rStyle w:val="Hyperlink"/>
            <w:noProof/>
            <w:sz w:val="22"/>
            <w:szCs w:val="22"/>
          </w:rPr>
          <w:t>Germany’s NetzDG</w:t>
        </w:r>
        <w:r w:rsidR="00EB03EF" w:rsidRPr="00EB03EF">
          <w:rPr>
            <w:noProof/>
            <w:webHidden/>
            <w:sz w:val="22"/>
            <w:szCs w:val="22"/>
          </w:rPr>
          <w:tab/>
        </w:r>
        <w:r w:rsidR="00EB03EF" w:rsidRPr="00EB03EF">
          <w:rPr>
            <w:noProof/>
            <w:webHidden/>
            <w:sz w:val="22"/>
            <w:szCs w:val="22"/>
          </w:rPr>
          <w:fldChar w:fldCharType="begin"/>
        </w:r>
        <w:r w:rsidR="00EB03EF" w:rsidRPr="00EB03EF">
          <w:rPr>
            <w:noProof/>
            <w:webHidden/>
            <w:sz w:val="22"/>
            <w:szCs w:val="22"/>
          </w:rPr>
          <w:instrText xml:space="preserve"> PAGEREF _Toc95568720 \h </w:instrText>
        </w:r>
        <w:r w:rsidR="00EB03EF" w:rsidRPr="00EB03EF">
          <w:rPr>
            <w:noProof/>
            <w:webHidden/>
            <w:sz w:val="22"/>
            <w:szCs w:val="22"/>
          </w:rPr>
        </w:r>
        <w:r w:rsidR="00EB03EF" w:rsidRPr="00EB03EF">
          <w:rPr>
            <w:noProof/>
            <w:webHidden/>
            <w:sz w:val="22"/>
            <w:szCs w:val="22"/>
          </w:rPr>
          <w:fldChar w:fldCharType="separate"/>
        </w:r>
        <w:r w:rsidR="00531BE6">
          <w:rPr>
            <w:noProof/>
            <w:webHidden/>
            <w:sz w:val="22"/>
            <w:szCs w:val="22"/>
          </w:rPr>
          <w:t>10</w:t>
        </w:r>
        <w:r w:rsidR="00EB03EF" w:rsidRPr="00EB03EF">
          <w:rPr>
            <w:noProof/>
            <w:webHidden/>
            <w:sz w:val="22"/>
            <w:szCs w:val="22"/>
          </w:rPr>
          <w:fldChar w:fldCharType="end"/>
        </w:r>
      </w:hyperlink>
    </w:p>
    <w:p w14:paraId="56F6D463" w14:textId="05C7935C" w:rsidR="00EB03EF" w:rsidRPr="00EB03EF" w:rsidRDefault="00DD552F">
      <w:pPr>
        <w:pStyle w:val="TOC2"/>
        <w:tabs>
          <w:tab w:val="left" w:pos="880"/>
          <w:tab w:val="right" w:leader="dot" w:pos="9016"/>
        </w:tabs>
        <w:rPr>
          <w:rFonts w:eastAsiaTheme="minorEastAsia" w:cstheme="minorBidi"/>
          <w:smallCaps w:val="0"/>
          <w:noProof/>
          <w:sz w:val="22"/>
          <w:szCs w:val="22"/>
          <w:lang w:eastAsia="en-GB"/>
        </w:rPr>
      </w:pPr>
      <w:hyperlink w:anchor="_Toc95568721" w:history="1">
        <w:r w:rsidR="00EB03EF" w:rsidRPr="00EB03EF">
          <w:rPr>
            <w:rStyle w:val="Hyperlink"/>
            <w:noProof/>
            <w:sz w:val="22"/>
            <w:szCs w:val="22"/>
          </w:rPr>
          <w:t>3.2.</w:t>
        </w:r>
        <w:r w:rsidR="00EB03EF" w:rsidRPr="00EB03EF">
          <w:rPr>
            <w:rFonts w:eastAsiaTheme="minorEastAsia" w:cstheme="minorBidi"/>
            <w:smallCaps w:val="0"/>
            <w:noProof/>
            <w:sz w:val="22"/>
            <w:szCs w:val="22"/>
            <w:lang w:eastAsia="en-GB"/>
          </w:rPr>
          <w:tab/>
        </w:r>
        <w:r w:rsidR="00EB03EF" w:rsidRPr="00EB03EF">
          <w:rPr>
            <w:rStyle w:val="Hyperlink"/>
            <w:noProof/>
            <w:sz w:val="22"/>
            <w:szCs w:val="22"/>
          </w:rPr>
          <w:t>Undue Private Censorship: ‘privatised processes’</w:t>
        </w:r>
        <w:r w:rsidR="00EB03EF" w:rsidRPr="00EB03EF">
          <w:rPr>
            <w:noProof/>
            <w:webHidden/>
            <w:sz w:val="22"/>
            <w:szCs w:val="22"/>
          </w:rPr>
          <w:tab/>
        </w:r>
        <w:r w:rsidR="00EB03EF" w:rsidRPr="00EB03EF">
          <w:rPr>
            <w:noProof/>
            <w:webHidden/>
            <w:sz w:val="22"/>
            <w:szCs w:val="22"/>
          </w:rPr>
          <w:fldChar w:fldCharType="begin"/>
        </w:r>
        <w:r w:rsidR="00EB03EF" w:rsidRPr="00EB03EF">
          <w:rPr>
            <w:noProof/>
            <w:webHidden/>
            <w:sz w:val="22"/>
            <w:szCs w:val="22"/>
          </w:rPr>
          <w:instrText xml:space="preserve"> PAGEREF _Toc95568721 \h </w:instrText>
        </w:r>
        <w:r w:rsidR="00EB03EF" w:rsidRPr="00EB03EF">
          <w:rPr>
            <w:noProof/>
            <w:webHidden/>
            <w:sz w:val="22"/>
            <w:szCs w:val="22"/>
          </w:rPr>
        </w:r>
        <w:r w:rsidR="00EB03EF" w:rsidRPr="00EB03EF">
          <w:rPr>
            <w:noProof/>
            <w:webHidden/>
            <w:sz w:val="22"/>
            <w:szCs w:val="22"/>
          </w:rPr>
          <w:fldChar w:fldCharType="separate"/>
        </w:r>
        <w:r w:rsidR="00531BE6">
          <w:rPr>
            <w:noProof/>
            <w:webHidden/>
            <w:sz w:val="22"/>
            <w:szCs w:val="22"/>
          </w:rPr>
          <w:t>12</w:t>
        </w:r>
        <w:r w:rsidR="00EB03EF" w:rsidRPr="00EB03EF">
          <w:rPr>
            <w:noProof/>
            <w:webHidden/>
            <w:sz w:val="22"/>
            <w:szCs w:val="22"/>
          </w:rPr>
          <w:fldChar w:fldCharType="end"/>
        </w:r>
      </w:hyperlink>
    </w:p>
    <w:p w14:paraId="563EC27D" w14:textId="719D92A5" w:rsidR="00EB03EF" w:rsidRPr="00EB03EF" w:rsidRDefault="00DD552F">
      <w:pPr>
        <w:pStyle w:val="TOC2"/>
        <w:tabs>
          <w:tab w:val="left" w:pos="880"/>
          <w:tab w:val="right" w:leader="dot" w:pos="9016"/>
        </w:tabs>
        <w:rPr>
          <w:rFonts w:eastAsiaTheme="minorEastAsia" w:cstheme="minorBidi"/>
          <w:smallCaps w:val="0"/>
          <w:noProof/>
          <w:sz w:val="22"/>
          <w:szCs w:val="22"/>
          <w:lang w:eastAsia="en-GB"/>
        </w:rPr>
      </w:pPr>
      <w:hyperlink w:anchor="_Toc95568722" w:history="1">
        <w:r w:rsidR="00EB03EF" w:rsidRPr="00EB03EF">
          <w:rPr>
            <w:rStyle w:val="Hyperlink"/>
            <w:noProof/>
            <w:sz w:val="22"/>
            <w:szCs w:val="22"/>
          </w:rPr>
          <w:t>3.3.</w:t>
        </w:r>
        <w:r w:rsidR="00EB03EF" w:rsidRPr="00EB03EF">
          <w:rPr>
            <w:rFonts w:eastAsiaTheme="minorEastAsia" w:cstheme="minorBidi"/>
            <w:smallCaps w:val="0"/>
            <w:noProof/>
            <w:sz w:val="22"/>
            <w:szCs w:val="22"/>
            <w:lang w:eastAsia="en-GB"/>
          </w:rPr>
          <w:tab/>
        </w:r>
        <w:r w:rsidR="00EB03EF" w:rsidRPr="00EB03EF">
          <w:rPr>
            <w:rStyle w:val="Hyperlink"/>
            <w:noProof/>
            <w:sz w:val="22"/>
            <w:szCs w:val="22"/>
          </w:rPr>
          <w:t>Undue Public Censorship: ‘</w:t>
        </w:r>
        <w:r w:rsidR="00EB03EF" w:rsidRPr="00EB03EF">
          <w:rPr>
            <w:rStyle w:val="Hyperlink"/>
            <w:i/>
            <w:iCs/>
            <w:noProof/>
            <w:sz w:val="22"/>
            <w:szCs w:val="22"/>
          </w:rPr>
          <w:t>official</w:t>
        </w:r>
        <w:r w:rsidR="00EB03EF" w:rsidRPr="00EB03EF">
          <w:rPr>
            <w:rStyle w:val="Hyperlink"/>
            <w:noProof/>
            <w:sz w:val="22"/>
            <w:szCs w:val="22"/>
          </w:rPr>
          <w:t xml:space="preserve"> speech standards’</w:t>
        </w:r>
        <w:r w:rsidR="00EB03EF" w:rsidRPr="00EB03EF">
          <w:rPr>
            <w:noProof/>
            <w:webHidden/>
            <w:sz w:val="22"/>
            <w:szCs w:val="22"/>
          </w:rPr>
          <w:tab/>
        </w:r>
        <w:r w:rsidR="00EB03EF" w:rsidRPr="00EB03EF">
          <w:rPr>
            <w:noProof/>
            <w:webHidden/>
            <w:sz w:val="22"/>
            <w:szCs w:val="22"/>
          </w:rPr>
          <w:fldChar w:fldCharType="begin"/>
        </w:r>
        <w:r w:rsidR="00EB03EF" w:rsidRPr="00EB03EF">
          <w:rPr>
            <w:noProof/>
            <w:webHidden/>
            <w:sz w:val="22"/>
            <w:szCs w:val="22"/>
          </w:rPr>
          <w:instrText xml:space="preserve"> PAGEREF _Toc95568722 \h </w:instrText>
        </w:r>
        <w:r w:rsidR="00EB03EF" w:rsidRPr="00EB03EF">
          <w:rPr>
            <w:noProof/>
            <w:webHidden/>
            <w:sz w:val="22"/>
            <w:szCs w:val="22"/>
          </w:rPr>
        </w:r>
        <w:r w:rsidR="00EB03EF" w:rsidRPr="00EB03EF">
          <w:rPr>
            <w:noProof/>
            <w:webHidden/>
            <w:sz w:val="22"/>
            <w:szCs w:val="22"/>
          </w:rPr>
          <w:fldChar w:fldCharType="separate"/>
        </w:r>
        <w:r w:rsidR="00531BE6">
          <w:rPr>
            <w:noProof/>
            <w:webHidden/>
            <w:sz w:val="22"/>
            <w:szCs w:val="22"/>
          </w:rPr>
          <w:t>15</w:t>
        </w:r>
        <w:r w:rsidR="00EB03EF" w:rsidRPr="00EB03EF">
          <w:rPr>
            <w:noProof/>
            <w:webHidden/>
            <w:sz w:val="22"/>
            <w:szCs w:val="22"/>
          </w:rPr>
          <w:fldChar w:fldCharType="end"/>
        </w:r>
      </w:hyperlink>
    </w:p>
    <w:p w14:paraId="40B81E29" w14:textId="07384489" w:rsidR="00EB03EF" w:rsidRPr="00EB03EF" w:rsidRDefault="00DD552F">
      <w:pPr>
        <w:pStyle w:val="TOC1"/>
        <w:tabs>
          <w:tab w:val="left" w:pos="440"/>
          <w:tab w:val="right" w:leader="dot" w:pos="9016"/>
        </w:tabs>
        <w:rPr>
          <w:rFonts w:eastAsiaTheme="minorEastAsia" w:cstheme="minorBidi"/>
          <w:b w:val="0"/>
          <w:bCs w:val="0"/>
          <w:caps w:val="0"/>
          <w:noProof/>
          <w:sz w:val="22"/>
          <w:szCs w:val="22"/>
          <w:lang w:eastAsia="en-GB"/>
        </w:rPr>
      </w:pPr>
      <w:hyperlink w:anchor="_Toc95568723" w:history="1">
        <w:r w:rsidR="00EB03EF" w:rsidRPr="00EB03EF">
          <w:rPr>
            <w:rStyle w:val="Hyperlink"/>
            <w:noProof/>
            <w:sz w:val="22"/>
            <w:szCs w:val="22"/>
          </w:rPr>
          <w:t>4.</w:t>
        </w:r>
        <w:r w:rsidR="00EB03EF" w:rsidRPr="00EB03EF">
          <w:rPr>
            <w:rFonts w:eastAsiaTheme="minorEastAsia" w:cstheme="minorBidi"/>
            <w:b w:val="0"/>
            <w:bCs w:val="0"/>
            <w:caps w:val="0"/>
            <w:noProof/>
            <w:sz w:val="22"/>
            <w:szCs w:val="22"/>
            <w:lang w:eastAsia="en-GB"/>
          </w:rPr>
          <w:tab/>
        </w:r>
        <w:r w:rsidR="00EB03EF" w:rsidRPr="00EB03EF">
          <w:rPr>
            <w:rStyle w:val="Hyperlink"/>
            <w:noProof/>
            <w:sz w:val="22"/>
            <w:szCs w:val="22"/>
          </w:rPr>
          <w:t>Conclusion</w:t>
        </w:r>
        <w:r w:rsidR="00EB03EF" w:rsidRPr="00EB03EF">
          <w:rPr>
            <w:noProof/>
            <w:webHidden/>
            <w:sz w:val="22"/>
            <w:szCs w:val="22"/>
          </w:rPr>
          <w:tab/>
        </w:r>
        <w:r w:rsidR="00EB03EF" w:rsidRPr="00EB03EF">
          <w:rPr>
            <w:noProof/>
            <w:webHidden/>
            <w:sz w:val="22"/>
            <w:szCs w:val="22"/>
          </w:rPr>
          <w:fldChar w:fldCharType="begin"/>
        </w:r>
        <w:r w:rsidR="00EB03EF" w:rsidRPr="00EB03EF">
          <w:rPr>
            <w:noProof/>
            <w:webHidden/>
            <w:sz w:val="22"/>
            <w:szCs w:val="22"/>
          </w:rPr>
          <w:instrText xml:space="preserve"> PAGEREF _Toc95568723 \h </w:instrText>
        </w:r>
        <w:r w:rsidR="00EB03EF" w:rsidRPr="00EB03EF">
          <w:rPr>
            <w:noProof/>
            <w:webHidden/>
            <w:sz w:val="22"/>
            <w:szCs w:val="22"/>
          </w:rPr>
        </w:r>
        <w:r w:rsidR="00EB03EF" w:rsidRPr="00EB03EF">
          <w:rPr>
            <w:noProof/>
            <w:webHidden/>
            <w:sz w:val="22"/>
            <w:szCs w:val="22"/>
          </w:rPr>
          <w:fldChar w:fldCharType="separate"/>
        </w:r>
        <w:r w:rsidR="00531BE6">
          <w:rPr>
            <w:noProof/>
            <w:webHidden/>
            <w:sz w:val="22"/>
            <w:szCs w:val="22"/>
          </w:rPr>
          <w:t>21</w:t>
        </w:r>
        <w:r w:rsidR="00EB03EF" w:rsidRPr="00EB03EF">
          <w:rPr>
            <w:noProof/>
            <w:webHidden/>
            <w:sz w:val="22"/>
            <w:szCs w:val="22"/>
          </w:rPr>
          <w:fldChar w:fldCharType="end"/>
        </w:r>
      </w:hyperlink>
    </w:p>
    <w:p w14:paraId="3CA978B9" w14:textId="7269E22F" w:rsidR="00E5230C" w:rsidRPr="000037EF" w:rsidRDefault="00565909" w:rsidP="004E7EB4">
      <w:pPr>
        <w:spacing w:after="0" w:line="240" w:lineRule="auto"/>
        <w:jc w:val="both"/>
        <w:rPr>
          <w:rFonts w:cstheme="minorHAnsi"/>
          <w:color w:val="000000"/>
        </w:rPr>
      </w:pPr>
      <w:r w:rsidRPr="000037EF">
        <w:rPr>
          <w:rFonts w:cstheme="minorHAnsi"/>
          <w:bCs/>
          <w:color w:val="000000"/>
        </w:rPr>
        <w:fldChar w:fldCharType="end"/>
      </w:r>
    </w:p>
    <w:p w14:paraId="4C891983" w14:textId="77777777" w:rsidR="00E5230C" w:rsidRPr="000037EF" w:rsidRDefault="00E5230C" w:rsidP="004E7EB4">
      <w:pPr>
        <w:spacing w:after="0" w:line="240" w:lineRule="auto"/>
        <w:jc w:val="both"/>
        <w:rPr>
          <w:rFonts w:cstheme="minorHAnsi"/>
          <w:color w:val="000000"/>
        </w:rPr>
      </w:pPr>
    </w:p>
    <w:p w14:paraId="42A49B4B" w14:textId="77777777" w:rsidR="00F433DD" w:rsidRPr="000037EF" w:rsidRDefault="00F433DD" w:rsidP="004E7EB4">
      <w:pPr>
        <w:spacing w:after="0" w:line="240" w:lineRule="auto"/>
        <w:jc w:val="both"/>
        <w:rPr>
          <w:rFonts w:cstheme="minorHAnsi"/>
          <w:color w:val="000000"/>
        </w:rPr>
      </w:pPr>
    </w:p>
    <w:p w14:paraId="3FE66AE1" w14:textId="77777777" w:rsidR="00F433DD" w:rsidRPr="000037EF" w:rsidRDefault="00F433DD" w:rsidP="004E7EB4">
      <w:pPr>
        <w:spacing w:after="0" w:line="240" w:lineRule="auto"/>
        <w:jc w:val="both"/>
        <w:rPr>
          <w:rFonts w:cstheme="minorHAnsi"/>
          <w:color w:val="000000"/>
        </w:rPr>
      </w:pPr>
    </w:p>
    <w:p w14:paraId="42F2FB52" w14:textId="77777777" w:rsidR="00E5230C" w:rsidRPr="00D66448" w:rsidRDefault="00E5230C" w:rsidP="004E7EB4">
      <w:pPr>
        <w:pStyle w:val="Heading1"/>
        <w:numPr>
          <w:ilvl w:val="0"/>
          <w:numId w:val="13"/>
        </w:numPr>
        <w:spacing w:before="0" w:line="240" w:lineRule="auto"/>
        <w:jc w:val="both"/>
        <w:rPr>
          <w:rFonts w:asciiTheme="minorHAnsi" w:hAnsiTheme="minorHAnsi" w:cstheme="minorHAnsi"/>
          <w:sz w:val="28"/>
          <w:szCs w:val="28"/>
        </w:rPr>
      </w:pPr>
      <w:bookmarkStart w:id="0" w:name="_Toc95568717"/>
      <w:r w:rsidRPr="00D66448">
        <w:rPr>
          <w:rFonts w:asciiTheme="minorHAnsi" w:hAnsiTheme="minorHAnsi" w:cstheme="minorHAnsi"/>
          <w:sz w:val="28"/>
          <w:szCs w:val="28"/>
        </w:rPr>
        <w:lastRenderedPageBreak/>
        <w:t>Introduction</w:t>
      </w:r>
      <w:bookmarkEnd w:id="0"/>
      <w:r w:rsidRPr="00D66448">
        <w:rPr>
          <w:rFonts w:asciiTheme="minorHAnsi" w:hAnsiTheme="minorHAnsi" w:cstheme="minorHAnsi"/>
          <w:sz w:val="28"/>
          <w:szCs w:val="28"/>
        </w:rPr>
        <w:t xml:space="preserve"> </w:t>
      </w:r>
    </w:p>
    <w:p w14:paraId="7EA05BD7" w14:textId="77777777" w:rsidR="00205D10" w:rsidRPr="003B44D7" w:rsidRDefault="00205D10" w:rsidP="004E7EB4">
      <w:pPr>
        <w:spacing w:after="0" w:line="240" w:lineRule="auto"/>
        <w:jc w:val="both"/>
        <w:rPr>
          <w:rFonts w:cstheme="minorHAnsi"/>
          <w:color w:val="000000"/>
          <w:sz w:val="24"/>
          <w:szCs w:val="24"/>
        </w:rPr>
      </w:pPr>
    </w:p>
    <w:p w14:paraId="68F04C40" w14:textId="5D3FDEF8" w:rsidR="00AD50CC" w:rsidRPr="003B44D7" w:rsidRDefault="00EF231C" w:rsidP="004E7EB4">
      <w:pPr>
        <w:spacing w:after="0" w:line="240" w:lineRule="auto"/>
        <w:jc w:val="both"/>
        <w:rPr>
          <w:rFonts w:cstheme="minorHAnsi"/>
          <w:sz w:val="24"/>
          <w:szCs w:val="24"/>
        </w:rPr>
      </w:pPr>
      <w:r w:rsidRPr="003B44D7">
        <w:rPr>
          <w:rFonts w:cstheme="minorHAnsi"/>
          <w:color w:val="000000"/>
          <w:sz w:val="24"/>
          <w:szCs w:val="24"/>
        </w:rPr>
        <w:t>H</w:t>
      </w:r>
      <w:r w:rsidR="001E4DA2" w:rsidRPr="003B44D7">
        <w:rPr>
          <w:rFonts w:cstheme="minorHAnsi"/>
          <w:color w:val="000000"/>
          <w:sz w:val="24"/>
          <w:szCs w:val="24"/>
        </w:rPr>
        <w:t>ate speech is not harmless</w:t>
      </w:r>
      <w:r w:rsidRPr="003B44D7">
        <w:rPr>
          <w:rFonts w:cstheme="minorHAnsi"/>
          <w:color w:val="000000"/>
          <w:sz w:val="24"/>
          <w:szCs w:val="24"/>
        </w:rPr>
        <w:t>.</w:t>
      </w:r>
      <w:r w:rsidR="00674334" w:rsidRPr="003B44D7">
        <w:rPr>
          <w:rStyle w:val="FootnoteReference"/>
          <w:rFonts w:cstheme="minorHAnsi"/>
          <w:color w:val="000000"/>
          <w:sz w:val="24"/>
          <w:szCs w:val="24"/>
        </w:rPr>
        <w:footnoteReference w:id="1"/>
      </w:r>
      <w:r w:rsidRPr="003B44D7">
        <w:rPr>
          <w:rFonts w:cstheme="minorHAnsi"/>
          <w:color w:val="000000"/>
          <w:sz w:val="24"/>
          <w:szCs w:val="24"/>
        </w:rPr>
        <w:t xml:space="preserve"> </w:t>
      </w:r>
      <w:r w:rsidR="00EB16E1" w:rsidRPr="003B44D7">
        <w:rPr>
          <w:rFonts w:cstheme="minorHAnsi"/>
          <w:color w:val="000000"/>
          <w:sz w:val="24"/>
          <w:szCs w:val="24"/>
        </w:rPr>
        <w:t>Group lib</w:t>
      </w:r>
      <w:r w:rsidR="00EB17F8" w:rsidRPr="003B44D7">
        <w:rPr>
          <w:rFonts w:cstheme="minorHAnsi"/>
          <w:color w:val="000000"/>
          <w:sz w:val="24"/>
          <w:szCs w:val="24"/>
        </w:rPr>
        <w:t>el</w:t>
      </w:r>
      <w:r w:rsidR="00B26E9F" w:rsidRPr="003B44D7">
        <w:rPr>
          <w:rFonts w:cstheme="minorHAnsi"/>
          <w:color w:val="000000"/>
          <w:sz w:val="24"/>
          <w:szCs w:val="24"/>
        </w:rPr>
        <w:t xml:space="preserve"> -</w:t>
      </w:r>
      <w:r w:rsidR="00AD50CC" w:rsidRPr="003B44D7">
        <w:rPr>
          <w:rFonts w:cstheme="minorHAnsi"/>
          <w:color w:val="000000"/>
          <w:sz w:val="24"/>
          <w:szCs w:val="24"/>
        </w:rPr>
        <w:t xml:space="preserve"> or</w:t>
      </w:r>
      <w:r w:rsidR="00EB17F8" w:rsidRPr="003B44D7">
        <w:rPr>
          <w:rFonts w:cstheme="minorHAnsi"/>
          <w:color w:val="000000"/>
          <w:sz w:val="24"/>
          <w:szCs w:val="24"/>
        </w:rPr>
        <w:t xml:space="preserve"> the</w:t>
      </w:r>
      <w:r w:rsidR="003716DB" w:rsidRPr="003B44D7">
        <w:rPr>
          <w:rFonts w:cstheme="minorHAnsi"/>
          <w:color w:val="000000"/>
          <w:sz w:val="24"/>
          <w:szCs w:val="24"/>
        </w:rPr>
        <w:t xml:space="preserve"> expressions </w:t>
      </w:r>
      <w:r w:rsidR="00EB16E1" w:rsidRPr="003B44D7">
        <w:rPr>
          <w:rFonts w:cstheme="minorHAnsi"/>
          <w:color w:val="000000"/>
          <w:sz w:val="24"/>
          <w:szCs w:val="24"/>
        </w:rPr>
        <w:t xml:space="preserve">of national, racial or religious </w:t>
      </w:r>
      <w:r w:rsidR="00054BC7" w:rsidRPr="003B44D7">
        <w:rPr>
          <w:rFonts w:cstheme="minorHAnsi"/>
          <w:color w:val="000000"/>
          <w:sz w:val="24"/>
          <w:szCs w:val="24"/>
        </w:rPr>
        <w:t>contempt</w:t>
      </w:r>
      <w:r w:rsidR="00582789" w:rsidRPr="003B44D7">
        <w:rPr>
          <w:rFonts w:cstheme="minorHAnsi"/>
          <w:color w:val="000000"/>
          <w:sz w:val="24"/>
          <w:szCs w:val="24"/>
        </w:rPr>
        <w:t xml:space="preserve"> </w:t>
      </w:r>
      <w:r w:rsidR="00054BC7" w:rsidRPr="003B44D7">
        <w:rPr>
          <w:rFonts w:cstheme="minorHAnsi"/>
          <w:color w:val="000000"/>
          <w:sz w:val="24"/>
          <w:szCs w:val="24"/>
        </w:rPr>
        <w:t>to</w:t>
      </w:r>
      <w:r w:rsidR="00582789" w:rsidRPr="003B44D7">
        <w:rPr>
          <w:rFonts w:cstheme="minorHAnsi"/>
          <w:color w:val="000000"/>
          <w:sz w:val="24"/>
          <w:szCs w:val="24"/>
        </w:rPr>
        <w:t xml:space="preserve"> </w:t>
      </w:r>
      <w:r w:rsidR="00EB16E1" w:rsidRPr="003B44D7">
        <w:rPr>
          <w:rFonts w:cstheme="minorHAnsi"/>
          <w:color w:val="000000"/>
          <w:sz w:val="24"/>
          <w:szCs w:val="24"/>
        </w:rPr>
        <w:t xml:space="preserve">incite </w:t>
      </w:r>
      <w:r w:rsidR="005A5D42" w:rsidRPr="003B44D7">
        <w:rPr>
          <w:rFonts w:cstheme="minorHAnsi"/>
          <w:color w:val="000000"/>
          <w:sz w:val="24"/>
          <w:szCs w:val="24"/>
        </w:rPr>
        <w:t>hat</w:t>
      </w:r>
      <w:r w:rsidR="00EB17F8" w:rsidRPr="003B44D7">
        <w:rPr>
          <w:rFonts w:cstheme="minorHAnsi"/>
          <w:color w:val="000000"/>
          <w:sz w:val="24"/>
          <w:szCs w:val="24"/>
        </w:rPr>
        <w:t>r</w:t>
      </w:r>
      <w:r w:rsidR="005A5D42" w:rsidRPr="003B44D7">
        <w:rPr>
          <w:rFonts w:cstheme="minorHAnsi"/>
          <w:color w:val="000000"/>
          <w:sz w:val="24"/>
          <w:szCs w:val="24"/>
        </w:rPr>
        <w:t>e</w:t>
      </w:r>
      <w:r w:rsidR="00BB304F" w:rsidRPr="003B44D7">
        <w:rPr>
          <w:rFonts w:cstheme="minorHAnsi"/>
          <w:color w:val="000000"/>
          <w:sz w:val="24"/>
          <w:szCs w:val="24"/>
        </w:rPr>
        <w:t>d</w:t>
      </w:r>
      <w:r w:rsidR="00EB17F8" w:rsidRPr="003B44D7">
        <w:rPr>
          <w:rFonts w:cstheme="minorHAnsi"/>
          <w:color w:val="000000"/>
          <w:sz w:val="24"/>
          <w:szCs w:val="24"/>
        </w:rPr>
        <w:t xml:space="preserve"> </w:t>
      </w:r>
      <w:r w:rsidR="00B26E9F" w:rsidRPr="003B44D7">
        <w:rPr>
          <w:rFonts w:cstheme="minorHAnsi"/>
          <w:color w:val="000000"/>
          <w:sz w:val="24"/>
          <w:szCs w:val="24"/>
        </w:rPr>
        <w:t>–</w:t>
      </w:r>
      <w:r w:rsidR="00BB304F" w:rsidRPr="003B44D7">
        <w:rPr>
          <w:rFonts w:cstheme="minorHAnsi"/>
          <w:color w:val="000000"/>
          <w:sz w:val="24"/>
          <w:szCs w:val="24"/>
        </w:rPr>
        <w:t xml:space="preserve"> </w:t>
      </w:r>
      <w:r w:rsidR="005A5D42" w:rsidRPr="003B44D7">
        <w:rPr>
          <w:rFonts w:cstheme="minorHAnsi"/>
          <w:color w:val="000000"/>
          <w:sz w:val="24"/>
          <w:szCs w:val="24"/>
        </w:rPr>
        <w:t>i</w:t>
      </w:r>
      <w:r w:rsidR="00B26E9F" w:rsidRPr="003B44D7">
        <w:rPr>
          <w:rFonts w:cstheme="minorHAnsi"/>
          <w:color w:val="000000"/>
          <w:sz w:val="24"/>
          <w:szCs w:val="24"/>
        </w:rPr>
        <w:t>s liable to result in</w:t>
      </w:r>
      <w:r w:rsidR="005A5D42" w:rsidRPr="003B44D7">
        <w:rPr>
          <w:rFonts w:cstheme="minorHAnsi"/>
          <w:color w:val="000000"/>
          <w:sz w:val="24"/>
          <w:szCs w:val="24"/>
        </w:rPr>
        <w:t xml:space="preserve"> </w:t>
      </w:r>
      <w:r w:rsidR="00582789" w:rsidRPr="003B44D7">
        <w:rPr>
          <w:rFonts w:cstheme="minorHAnsi"/>
          <w:color w:val="000000"/>
          <w:sz w:val="24"/>
          <w:szCs w:val="24"/>
        </w:rPr>
        <w:t xml:space="preserve">discrimination, </w:t>
      </w:r>
      <w:r w:rsidR="00EB16E1" w:rsidRPr="003B44D7">
        <w:rPr>
          <w:rFonts w:cstheme="minorHAnsi"/>
          <w:color w:val="000000"/>
          <w:sz w:val="24"/>
          <w:szCs w:val="24"/>
        </w:rPr>
        <w:t xml:space="preserve">hostility </w:t>
      </w:r>
      <w:r w:rsidR="00054BC7" w:rsidRPr="003B44D7">
        <w:rPr>
          <w:rFonts w:cstheme="minorHAnsi"/>
          <w:color w:val="000000"/>
          <w:sz w:val="24"/>
          <w:szCs w:val="24"/>
        </w:rPr>
        <w:t>and even</w:t>
      </w:r>
      <w:r w:rsidR="00582789" w:rsidRPr="003B44D7">
        <w:rPr>
          <w:rFonts w:cstheme="minorHAnsi"/>
          <w:color w:val="000000"/>
          <w:sz w:val="24"/>
          <w:szCs w:val="24"/>
        </w:rPr>
        <w:t xml:space="preserve"> violence</w:t>
      </w:r>
      <w:r w:rsidR="00EB16E1" w:rsidRPr="003B44D7">
        <w:rPr>
          <w:rFonts w:cstheme="minorHAnsi"/>
          <w:color w:val="000000"/>
          <w:sz w:val="24"/>
          <w:szCs w:val="24"/>
        </w:rPr>
        <w:t>,</w:t>
      </w:r>
      <w:r w:rsidR="00EB16E1" w:rsidRPr="003B44D7">
        <w:rPr>
          <w:rStyle w:val="FootnoteReference"/>
          <w:rFonts w:cstheme="minorHAnsi"/>
          <w:color w:val="000000"/>
          <w:sz w:val="24"/>
          <w:szCs w:val="24"/>
        </w:rPr>
        <w:footnoteReference w:id="2"/>
      </w:r>
      <w:r w:rsidR="00EB16E1" w:rsidRPr="003B44D7">
        <w:rPr>
          <w:rFonts w:cstheme="minorHAnsi"/>
          <w:color w:val="000000"/>
          <w:sz w:val="24"/>
          <w:szCs w:val="24"/>
        </w:rPr>
        <w:t xml:space="preserve"> </w:t>
      </w:r>
      <w:r w:rsidR="00EB17F8" w:rsidRPr="003B44D7">
        <w:rPr>
          <w:rFonts w:cstheme="minorHAnsi"/>
          <w:color w:val="000000"/>
          <w:sz w:val="24"/>
          <w:szCs w:val="24"/>
        </w:rPr>
        <w:t xml:space="preserve">and so </w:t>
      </w:r>
      <w:r w:rsidR="00582789" w:rsidRPr="003B44D7">
        <w:rPr>
          <w:rFonts w:cstheme="minorHAnsi"/>
          <w:color w:val="000000"/>
          <w:sz w:val="24"/>
          <w:szCs w:val="24"/>
        </w:rPr>
        <w:t>has real-life consequences</w:t>
      </w:r>
      <w:r w:rsidR="00C82E09" w:rsidRPr="003B44D7">
        <w:rPr>
          <w:rFonts w:cstheme="minorHAnsi"/>
          <w:color w:val="000000"/>
          <w:sz w:val="24"/>
          <w:szCs w:val="24"/>
        </w:rPr>
        <w:t xml:space="preserve"> for</w:t>
      </w:r>
      <w:r w:rsidR="00213F95" w:rsidRPr="003B44D7">
        <w:rPr>
          <w:rFonts w:cstheme="minorHAnsi"/>
          <w:color w:val="000000"/>
          <w:sz w:val="24"/>
          <w:szCs w:val="24"/>
        </w:rPr>
        <w:t xml:space="preserve"> members of</w:t>
      </w:r>
      <w:r w:rsidR="00C82E09" w:rsidRPr="003B44D7">
        <w:rPr>
          <w:rFonts w:cstheme="minorHAnsi"/>
          <w:color w:val="000000"/>
          <w:sz w:val="24"/>
          <w:szCs w:val="24"/>
        </w:rPr>
        <w:t xml:space="preserve"> vulnerable minorities and </w:t>
      </w:r>
      <w:r w:rsidR="00213F95" w:rsidRPr="003B44D7">
        <w:rPr>
          <w:rFonts w:cstheme="minorHAnsi"/>
          <w:color w:val="000000"/>
          <w:sz w:val="24"/>
          <w:szCs w:val="24"/>
        </w:rPr>
        <w:t xml:space="preserve">for </w:t>
      </w:r>
      <w:r w:rsidR="00C82E09" w:rsidRPr="003B44D7">
        <w:rPr>
          <w:rFonts w:cstheme="minorHAnsi"/>
          <w:color w:val="000000"/>
          <w:sz w:val="24"/>
          <w:szCs w:val="24"/>
        </w:rPr>
        <w:t>society at large.</w:t>
      </w:r>
      <w:r w:rsidR="002A1796" w:rsidRPr="003B44D7">
        <w:rPr>
          <w:rStyle w:val="FootnoteReference"/>
          <w:rFonts w:cstheme="minorHAnsi"/>
          <w:color w:val="000000"/>
          <w:sz w:val="24"/>
          <w:szCs w:val="24"/>
        </w:rPr>
        <w:footnoteReference w:id="3"/>
      </w:r>
      <w:r w:rsidR="00C82E09" w:rsidRPr="003B44D7">
        <w:rPr>
          <w:rFonts w:cstheme="minorHAnsi"/>
          <w:color w:val="000000"/>
          <w:sz w:val="24"/>
          <w:szCs w:val="24"/>
        </w:rPr>
        <w:t xml:space="preserve"> </w:t>
      </w:r>
      <w:r w:rsidR="00BB304F" w:rsidRPr="003B44D7">
        <w:rPr>
          <w:rFonts w:cstheme="minorHAnsi"/>
          <w:color w:val="000000"/>
          <w:sz w:val="24"/>
          <w:szCs w:val="24"/>
        </w:rPr>
        <w:t>O</w:t>
      </w:r>
      <w:r w:rsidR="005A5D42" w:rsidRPr="003B44D7">
        <w:rPr>
          <w:rFonts w:cstheme="minorHAnsi"/>
          <w:color w:val="000000"/>
          <w:sz w:val="24"/>
          <w:szCs w:val="24"/>
        </w:rPr>
        <w:t xml:space="preserve">n a more diffuse </w:t>
      </w:r>
      <w:r w:rsidR="00BB304F" w:rsidRPr="003B44D7">
        <w:rPr>
          <w:rFonts w:cstheme="minorHAnsi"/>
          <w:color w:val="000000"/>
          <w:sz w:val="24"/>
          <w:szCs w:val="24"/>
        </w:rPr>
        <w:t xml:space="preserve">but perhaps even more important </w:t>
      </w:r>
      <w:r w:rsidR="005A5D42" w:rsidRPr="003B44D7">
        <w:rPr>
          <w:rFonts w:cstheme="minorHAnsi"/>
          <w:color w:val="000000"/>
          <w:sz w:val="24"/>
          <w:szCs w:val="24"/>
        </w:rPr>
        <w:t>register</w:t>
      </w:r>
      <w:r w:rsidR="00DA6DF4" w:rsidRPr="003B44D7">
        <w:rPr>
          <w:rFonts w:cstheme="minorHAnsi"/>
          <w:color w:val="000000"/>
          <w:sz w:val="24"/>
          <w:szCs w:val="24"/>
        </w:rPr>
        <w:t>,</w:t>
      </w:r>
      <w:r w:rsidR="00BB304F" w:rsidRPr="003B44D7">
        <w:rPr>
          <w:rFonts w:cstheme="minorHAnsi"/>
          <w:color w:val="000000"/>
          <w:sz w:val="24"/>
          <w:szCs w:val="24"/>
        </w:rPr>
        <w:t xml:space="preserve"> hate speech present</w:t>
      </w:r>
      <w:r w:rsidR="00EB17F8" w:rsidRPr="003B44D7">
        <w:rPr>
          <w:rFonts w:cstheme="minorHAnsi"/>
          <w:color w:val="000000"/>
          <w:sz w:val="24"/>
          <w:szCs w:val="24"/>
        </w:rPr>
        <w:t>s</w:t>
      </w:r>
      <w:r w:rsidR="005A5D42" w:rsidRPr="003B44D7">
        <w:rPr>
          <w:rFonts w:cstheme="minorHAnsi"/>
          <w:color w:val="000000"/>
          <w:sz w:val="24"/>
          <w:szCs w:val="24"/>
        </w:rPr>
        <w:t xml:space="preserve"> ‘</w:t>
      </w:r>
      <w:r w:rsidR="00C82E09" w:rsidRPr="003B44D7">
        <w:rPr>
          <w:rFonts w:cstheme="minorHAnsi"/>
          <w:color w:val="000000"/>
          <w:sz w:val="24"/>
          <w:szCs w:val="24"/>
        </w:rPr>
        <w:t>a calculated affront to the dignity of vulnerable members of society and a calculated assault on the public good of inclusiveness</w:t>
      </w:r>
      <w:r w:rsidR="00216A90" w:rsidRPr="003B44D7">
        <w:rPr>
          <w:rFonts w:cstheme="minorHAnsi"/>
          <w:color w:val="000000"/>
          <w:sz w:val="24"/>
          <w:szCs w:val="24"/>
        </w:rPr>
        <w:t>.</w:t>
      </w:r>
      <w:r w:rsidR="00C82E09" w:rsidRPr="003B44D7">
        <w:rPr>
          <w:rFonts w:cstheme="minorHAnsi"/>
          <w:color w:val="000000"/>
          <w:sz w:val="24"/>
          <w:szCs w:val="24"/>
        </w:rPr>
        <w:t>’</w:t>
      </w:r>
      <w:r w:rsidR="00216A90" w:rsidRPr="003B44D7">
        <w:rPr>
          <w:rStyle w:val="FootnoteReference"/>
          <w:rFonts w:cstheme="minorHAnsi"/>
          <w:color w:val="000000"/>
          <w:sz w:val="24"/>
          <w:szCs w:val="24"/>
        </w:rPr>
        <w:footnoteReference w:id="4"/>
      </w:r>
      <w:r w:rsidR="00417D75">
        <w:rPr>
          <w:rFonts w:cstheme="minorHAnsi"/>
          <w:color w:val="000000"/>
          <w:sz w:val="24"/>
          <w:szCs w:val="24"/>
        </w:rPr>
        <w:t xml:space="preserve"> </w:t>
      </w:r>
      <w:r w:rsidR="0068291B" w:rsidRPr="003B44D7">
        <w:rPr>
          <w:rFonts w:cstheme="minorHAnsi"/>
          <w:color w:val="000000"/>
          <w:sz w:val="24"/>
          <w:szCs w:val="24"/>
        </w:rPr>
        <w:t>The</w:t>
      </w:r>
      <w:r w:rsidR="00D77A35" w:rsidRPr="003B44D7">
        <w:rPr>
          <w:rFonts w:cstheme="minorHAnsi"/>
          <w:color w:val="000000"/>
          <w:sz w:val="24"/>
          <w:szCs w:val="24"/>
        </w:rPr>
        <w:t xml:space="preserve"> harm potentials</w:t>
      </w:r>
      <w:r w:rsidR="00480EC4" w:rsidRPr="003B44D7">
        <w:rPr>
          <w:rFonts w:cstheme="minorHAnsi"/>
          <w:color w:val="000000"/>
          <w:sz w:val="24"/>
          <w:szCs w:val="24"/>
        </w:rPr>
        <w:t xml:space="preserve"> of hate speech are - </w:t>
      </w:r>
      <w:r w:rsidR="00D77A35" w:rsidRPr="003B44D7">
        <w:rPr>
          <w:rFonts w:cstheme="minorHAnsi"/>
          <w:color w:val="000000"/>
          <w:sz w:val="24"/>
          <w:szCs w:val="24"/>
        </w:rPr>
        <w:t>with</w:t>
      </w:r>
      <w:r w:rsidR="00430C41" w:rsidRPr="003B44D7">
        <w:rPr>
          <w:rFonts w:cstheme="minorHAnsi"/>
          <w:color w:val="000000"/>
          <w:sz w:val="24"/>
          <w:szCs w:val="24"/>
        </w:rPr>
        <w:t xml:space="preserve"> </w:t>
      </w:r>
      <w:r w:rsidR="00213F95" w:rsidRPr="003B44D7">
        <w:rPr>
          <w:rFonts w:cstheme="minorHAnsi"/>
          <w:color w:val="000000"/>
          <w:sz w:val="24"/>
          <w:szCs w:val="24"/>
        </w:rPr>
        <w:t>variations</w:t>
      </w:r>
      <w:r w:rsidR="00480EC4" w:rsidRPr="003B44D7">
        <w:rPr>
          <w:rFonts w:cstheme="minorHAnsi"/>
          <w:color w:val="000000"/>
          <w:sz w:val="24"/>
          <w:szCs w:val="24"/>
        </w:rPr>
        <w:t xml:space="preserve"> in the detail -</w:t>
      </w:r>
      <w:r w:rsidR="00213F95" w:rsidRPr="003B44D7">
        <w:rPr>
          <w:rFonts w:cstheme="minorHAnsi"/>
          <w:color w:val="000000"/>
          <w:sz w:val="24"/>
          <w:szCs w:val="24"/>
        </w:rPr>
        <w:t xml:space="preserve"> widely</w:t>
      </w:r>
      <w:r w:rsidR="00E25BE4" w:rsidRPr="003B44D7">
        <w:rPr>
          <w:rFonts w:cstheme="minorHAnsi"/>
          <w:color w:val="000000"/>
          <w:sz w:val="24"/>
          <w:szCs w:val="24"/>
        </w:rPr>
        <w:t xml:space="preserve"> </w:t>
      </w:r>
      <w:r w:rsidR="00221B49" w:rsidRPr="003B44D7">
        <w:rPr>
          <w:rFonts w:cstheme="minorHAnsi"/>
          <w:color w:val="000000"/>
          <w:sz w:val="24"/>
          <w:szCs w:val="24"/>
        </w:rPr>
        <w:t>accepted</w:t>
      </w:r>
      <w:r w:rsidR="00B26E9F" w:rsidRPr="003B44D7">
        <w:rPr>
          <w:rFonts w:cstheme="minorHAnsi"/>
          <w:color w:val="000000"/>
          <w:sz w:val="24"/>
          <w:szCs w:val="24"/>
        </w:rPr>
        <w:t>, and</w:t>
      </w:r>
      <w:r w:rsidR="00D725A7" w:rsidRPr="003B44D7">
        <w:rPr>
          <w:rFonts w:cstheme="minorHAnsi"/>
          <w:color w:val="000000"/>
          <w:sz w:val="24"/>
          <w:szCs w:val="24"/>
        </w:rPr>
        <w:t xml:space="preserve"> are </w:t>
      </w:r>
      <w:r w:rsidR="00430C41" w:rsidRPr="003B44D7">
        <w:rPr>
          <w:rFonts w:cstheme="minorHAnsi"/>
          <w:color w:val="000000"/>
          <w:sz w:val="24"/>
          <w:szCs w:val="24"/>
        </w:rPr>
        <w:t xml:space="preserve">not </w:t>
      </w:r>
      <w:r w:rsidR="00003757" w:rsidRPr="003B44D7">
        <w:rPr>
          <w:rFonts w:cstheme="minorHAnsi"/>
          <w:color w:val="000000"/>
          <w:sz w:val="24"/>
          <w:szCs w:val="24"/>
        </w:rPr>
        <w:t>even</w:t>
      </w:r>
      <w:r w:rsidR="004A6925" w:rsidRPr="003B44D7">
        <w:rPr>
          <w:rFonts w:cstheme="minorHAnsi"/>
          <w:color w:val="000000"/>
          <w:sz w:val="24"/>
          <w:szCs w:val="24"/>
        </w:rPr>
        <w:t xml:space="preserve"> principally</w:t>
      </w:r>
      <w:r w:rsidR="00003757" w:rsidRPr="003B44D7">
        <w:rPr>
          <w:rFonts w:cstheme="minorHAnsi"/>
          <w:color w:val="000000"/>
          <w:sz w:val="24"/>
          <w:szCs w:val="24"/>
        </w:rPr>
        <w:t xml:space="preserve"> </w:t>
      </w:r>
      <w:r w:rsidR="00430C41" w:rsidRPr="003B44D7">
        <w:rPr>
          <w:rFonts w:cstheme="minorHAnsi"/>
          <w:color w:val="000000"/>
          <w:sz w:val="24"/>
          <w:szCs w:val="24"/>
        </w:rPr>
        <w:t xml:space="preserve">disputed </w:t>
      </w:r>
      <w:r w:rsidR="00014643" w:rsidRPr="003B44D7">
        <w:rPr>
          <w:rFonts w:cstheme="minorHAnsi"/>
          <w:color w:val="000000"/>
          <w:sz w:val="24"/>
          <w:szCs w:val="24"/>
        </w:rPr>
        <w:t xml:space="preserve">in the US </w:t>
      </w:r>
      <w:r w:rsidR="00254A39" w:rsidRPr="003B44D7">
        <w:rPr>
          <w:rFonts w:cstheme="minorHAnsi"/>
          <w:color w:val="000000"/>
          <w:sz w:val="24"/>
          <w:szCs w:val="24"/>
        </w:rPr>
        <w:t>where</w:t>
      </w:r>
      <w:r w:rsidR="00AD50CC" w:rsidRPr="003B44D7">
        <w:rPr>
          <w:rFonts w:cstheme="minorHAnsi"/>
          <w:color w:val="000000"/>
          <w:sz w:val="24"/>
          <w:szCs w:val="24"/>
        </w:rPr>
        <w:t xml:space="preserve"> </w:t>
      </w:r>
      <w:r w:rsidR="00E8482E" w:rsidRPr="003B44D7">
        <w:rPr>
          <w:rFonts w:cstheme="minorHAnsi"/>
          <w:color w:val="000000"/>
          <w:sz w:val="24"/>
          <w:szCs w:val="24"/>
        </w:rPr>
        <w:t>it</w:t>
      </w:r>
      <w:r w:rsidR="00AD50CC" w:rsidRPr="003B44D7">
        <w:rPr>
          <w:rFonts w:cstheme="minorHAnsi"/>
          <w:color w:val="000000"/>
          <w:sz w:val="24"/>
          <w:szCs w:val="24"/>
        </w:rPr>
        <w:t xml:space="preserve"> is</w:t>
      </w:r>
      <w:r w:rsidR="001E4DA2" w:rsidRPr="003B44D7">
        <w:rPr>
          <w:rFonts w:cstheme="minorHAnsi"/>
          <w:color w:val="000000"/>
          <w:sz w:val="24"/>
          <w:szCs w:val="24"/>
        </w:rPr>
        <w:t xml:space="preserve"> constitutional</w:t>
      </w:r>
      <w:r w:rsidR="00221B49" w:rsidRPr="003B44D7">
        <w:rPr>
          <w:rFonts w:cstheme="minorHAnsi"/>
          <w:color w:val="000000"/>
          <w:sz w:val="24"/>
          <w:szCs w:val="24"/>
        </w:rPr>
        <w:t>ly</w:t>
      </w:r>
      <w:r w:rsidR="001E4DA2" w:rsidRPr="003B44D7">
        <w:rPr>
          <w:rFonts w:cstheme="minorHAnsi"/>
          <w:color w:val="000000"/>
          <w:sz w:val="24"/>
          <w:szCs w:val="24"/>
        </w:rPr>
        <w:t xml:space="preserve"> protected</w:t>
      </w:r>
      <w:r w:rsidR="00B26E9F" w:rsidRPr="003B44D7">
        <w:rPr>
          <w:rFonts w:cstheme="minorHAnsi"/>
          <w:color w:val="000000"/>
          <w:sz w:val="24"/>
          <w:szCs w:val="24"/>
        </w:rPr>
        <w:t xml:space="preserve"> speech</w:t>
      </w:r>
      <w:r w:rsidR="001E4DA2" w:rsidRPr="003B44D7">
        <w:rPr>
          <w:rFonts w:cstheme="minorHAnsi"/>
          <w:color w:val="000000"/>
          <w:sz w:val="24"/>
          <w:szCs w:val="24"/>
        </w:rPr>
        <w:t>.</w:t>
      </w:r>
      <w:r w:rsidR="00221B49" w:rsidRPr="003B44D7">
        <w:rPr>
          <w:rStyle w:val="FootnoteReference"/>
          <w:rFonts w:cstheme="minorHAnsi"/>
          <w:color w:val="000000"/>
          <w:sz w:val="24"/>
          <w:szCs w:val="24"/>
        </w:rPr>
        <w:footnoteReference w:id="5"/>
      </w:r>
      <w:r w:rsidR="001E4DA2" w:rsidRPr="003B44D7">
        <w:rPr>
          <w:rFonts w:cstheme="minorHAnsi"/>
          <w:color w:val="000000"/>
          <w:sz w:val="24"/>
          <w:szCs w:val="24"/>
        </w:rPr>
        <w:t xml:space="preserve"> </w:t>
      </w:r>
      <w:r w:rsidR="005A5D42" w:rsidRPr="003B44D7">
        <w:rPr>
          <w:rFonts w:cstheme="minorHAnsi"/>
          <w:color w:val="000000"/>
          <w:sz w:val="24"/>
          <w:szCs w:val="24"/>
        </w:rPr>
        <w:t xml:space="preserve">In the words </w:t>
      </w:r>
      <w:r w:rsidR="00C82E09" w:rsidRPr="003B44D7">
        <w:rPr>
          <w:rFonts w:cstheme="minorHAnsi"/>
          <w:sz w:val="24"/>
          <w:szCs w:val="24"/>
        </w:rPr>
        <w:t>Frederic Schauer</w:t>
      </w:r>
      <w:r w:rsidR="00B26E9F" w:rsidRPr="003B44D7">
        <w:rPr>
          <w:rFonts w:cstheme="minorHAnsi"/>
          <w:sz w:val="24"/>
          <w:szCs w:val="24"/>
        </w:rPr>
        <w:t xml:space="preserve">: </w:t>
      </w:r>
      <w:r w:rsidR="00C82E09" w:rsidRPr="003B44D7">
        <w:rPr>
          <w:rFonts w:cstheme="minorHAnsi"/>
          <w:sz w:val="24"/>
          <w:szCs w:val="24"/>
        </w:rPr>
        <w:t>‘we must appreciate that freedom of expression protects the expression of information and ideas not because such expression is typically inconsequential or harmless, but</w:t>
      </w:r>
      <w:r w:rsidR="00C82E09" w:rsidRPr="003B44D7">
        <w:rPr>
          <w:rFonts w:cstheme="minorHAnsi"/>
          <w:i/>
          <w:sz w:val="24"/>
          <w:szCs w:val="24"/>
        </w:rPr>
        <w:t xml:space="preserve"> despite</w:t>
      </w:r>
      <w:r w:rsidR="00C82E09" w:rsidRPr="003B44D7">
        <w:rPr>
          <w:rFonts w:cstheme="minorHAnsi"/>
          <w:sz w:val="24"/>
          <w:szCs w:val="24"/>
        </w:rPr>
        <w:t xml:space="preserve"> the harm and consequences that expression may produce.’</w:t>
      </w:r>
      <w:r w:rsidR="00C82E09" w:rsidRPr="003B44D7">
        <w:rPr>
          <w:rStyle w:val="FootnoteReference"/>
          <w:rFonts w:cstheme="minorHAnsi"/>
          <w:sz w:val="24"/>
          <w:szCs w:val="24"/>
        </w:rPr>
        <w:footnoteReference w:id="6"/>
      </w:r>
      <w:r w:rsidR="00AD50CC" w:rsidRPr="003B44D7">
        <w:rPr>
          <w:rFonts w:cstheme="minorHAnsi"/>
          <w:sz w:val="24"/>
          <w:szCs w:val="24"/>
        </w:rPr>
        <w:t xml:space="preserve"> </w:t>
      </w:r>
      <w:r w:rsidR="00BB683B" w:rsidRPr="003B44D7">
        <w:rPr>
          <w:rFonts w:cstheme="minorHAnsi"/>
          <w:sz w:val="24"/>
          <w:szCs w:val="24"/>
        </w:rPr>
        <w:t>First Amendment protection</w:t>
      </w:r>
      <w:r w:rsidR="00B25614" w:rsidRPr="003B44D7">
        <w:rPr>
          <w:rFonts w:cstheme="minorHAnsi"/>
          <w:sz w:val="24"/>
          <w:szCs w:val="24"/>
        </w:rPr>
        <w:t xml:space="preserve"> neither</w:t>
      </w:r>
      <w:r w:rsidR="00D725A7" w:rsidRPr="003B44D7">
        <w:rPr>
          <w:rFonts w:cstheme="minorHAnsi"/>
          <w:sz w:val="24"/>
          <w:szCs w:val="24"/>
        </w:rPr>
        <w:t xml:space="preserve"> </w:t>
      </w:r>
      <w:r w:rsidR="00B25614" w:rsidRPr="003B44D7">
        <w:rPr>
          <w:rFonts w:cstheme="minorHAnsi"/>
          <w:sz w:val="24"/>
          <w:szCs w:val="24"/>
        </w:rPr>
        <w:t>denies</w:t>
      </w:r>
      <w:r w:rsidR="00003757" w:rsidRPr="003B44D7">
        <w:rPr>
          <w:rFonts w:cstheme="minorHAnsi"/>
          <w:sz w:val="24"/>
          <w:szCs w:val="24"/>
        </w:rPr>
        <w:t xml:space="preserve"> the harm </w:t>
      </w:r>
      <w:r w:rsidR="00D725A7" w:rsidRPr="003B44D7">
        <w:rPr>
          <w:rFonts w:cstheme="minorHAnsi"/>
          <w:sz w:val="24"/>
          <w:szCs w:val="24"/>
        </w:rPr>
        <w:t>of hate speech nor seeks</w:t>
      </w:r>
      <w:r w:rsidR="00AD50CC" w:rsidRPr="003B44D7">
        <w:rPr>
          <w:rFonts w:cstheme="minorHAnsi"/>
          <w:sz w:val="24"/>
          <w:szCs w:val="24"/>
        </w:rPr>
        <w:t xml:space="preserve"> to sanction or promote the ideas behind </w:t>
      </w:r>
      <w:r w:rsidR="00D725A7" w:rsidRPr="003B44D7">
        <w:rPr>
          <w:rFonts w:cstheme="minorHAnsi"/>
          <w:sz w:val="24"/>
          <w:szCs w:val="24"/>
        </w:rPr>
        <w:t xml:space="preserve">such speech; rather it seeks </w:t>
      </w:r>
      <w:r w:rsidR="00AD50CC" w:rsidRPr="003B44D7">
        <w:rPr>
          <w:rFonts w:cstheme="minorHAnsi"/>
          <w:sz w:val="24"/>
          <w:szCs w:val="24"/>
        </w:rPr>
        <w:t>to guard the sanctity of the expressive act</w:t>
      </w:r>
      <w:r w:rsidR="003716DB" w:rsidRPr="003B44D7">
        <w:rPr>
          <w:rFonts w:cstheme="minorHAnsi"/>
          <w:sz w:val="24"/>
          <w:szCs w:val="24"/>
        </w:rPr>
        <w:t xml:space="preserve"> </w:t>
      </w:r>
      <w:r w:rsidR="00AD50CC" w:rsidRPr="003B44D7">
        <w:rPr>
          <w:rFonts w:cstheme="minorHAnsi"/>
          <w:sz w:val="24"/>
          <w:szCs w:val="24"/>
        </w:rPr>
        <w:t>itself</w:t>
      </w:r>
      <w:r w:rsidR="00862080" w:rsidRPr="003B44D7">
        <w:rPr>
          <w:rFonts w:cstheme="minorHAnsi"/>
          <w:sz w:val="24"/>
          <w:szCs w:val="24"/>
        </w:rPr>
        <w:t xml:space="preserve"> from governmental interference</w:t>
      </w:r>
      <w:r w:rsidR="00BB683B" w:rsidRPr="003B44D7">
        <w:rPr>
          <w:rFonts w:cstheme="minorHAnsi"/>
          <w:sz w:val="24"/>
          <w:szCs w:val="24"/>
        </w:rPr>
        <w:t>:</w:t>
      </w:r>
      <w:r w:rsidR="00D77A35" w:rsidRPr="003B44D7">
        <w:rPr>
          <w:rStyle w:val="FootnoteReference"/>
          <w:rFonts w:cstheme="minorHAnsi"/>
          <w:sz w:val="24"/>
          <w:szCs w:val="24"/>
        </w:rPr>
        <w:footnoteReference w:id="7"/>
      </w:r>
      <w:r w:rsidR="004A6925" w:rsidRPr="003B44D7">
        <w:rPr>
          <w:rFonts w:cstheme="minorHAnsi"/>
          <w:sz w:val="24"/>
          <w:szCs w:val="24"/>
        </w:rPr>
        <w:t xml:space="preserve"> </w:t>
      </w:r>
      <w:r w:rsidR="00BB683B" w:rsidRPr="003B44D7">
        <w:rPr>
          <w:rFonts w:cstheme="minorHAnsi"/>
          <w:sz w:val="24"/>
          <w:szCs w:val="24"/>
        </w:rPr>
        <w:t xml:space="preserve">‘In the competition for influence, government remains on the sidelines, a neutral </w:t>
      </w:r>
      <w:r w:rsidR="00D725A7" w:rsidRPr="003B44D7">
        <w:rPr>
          <w:rFonts w:cstheme="minorHAnsi"/>
          <w:sz w:val="24"/>
          <w:szCs w:val="24"/>
        </w:rPr>
        <w:t>observer.’</w:t>
      </w:r>
      <w:r w:rsidR="00AD50CC" w:rsidRPr="003B44D7">
        <w:rPr>
          <w:rStyle w:val="FootnoteReference"/>
          <w:rFonts w:cstheme="minorHAnsi"/>
          <w:sz w:val="24"/>
          <w:szCs w:val="24"/>
        </w:rPr>
        <w:footnoteReference w:id="8"/>
      </w:r>
      <w:r w:rsidR="00B25614" w:rsidRPr="003B44D7">
        <w:rPr>
          <w:rFonts w:cstheme="minorHAnsi"/>
          <w:sz w:val="24"/>
          <w:szCs w:val="24"/>
        </w:rPr>
        <w:t xml:space="preserve"> The expressive</w:t>
      </w:r>
      <w:r w:rsidR="00AD50CC" w:rsidRPr="003B44D7">
        <w:rPr>
          <w:rFonts w:cstheme="minorHAnsi"/>
          <w:i/>
          <w:sz w:val="24"/>
          <w:szCs w:val="24"/>
        </w:rPr>
        <w:t xml:space="preserve"> </w:t>
      </w:r>
      <w:r w:rsidR="00AD50CC" w:rsidRPr="003B44D7">
        <w:rPr>
          <w:rFonts w:cstheme="minorHAnsi"/>
          <w:sz w:val="24"/>
          <w:szCs w:val="24"/>
        </w:rPr>
        <w:t>act</w:t>
      </w:r>
      <w:r w:rsidR="00D77A35" w:rsidRPr="003B44D7">
        <w:rPr>
          <w:rFonts w:cstheme="minorHAnsi"/>
          <w:sz w:val="24"/>
          <w:szCs w:val="24"/>
        </w:rPr>
        <w:t xml:space="preserve"> </w:t>
      </w:r>
      <w:r w:rsidR="00AD50CC" w:rsidRPr="003B44D7">
        <w:rPr>
          <w:rFonts w:cstheme="minorHAnsi"/>
          <w:sz w:val="24"/>
          <w:szCs w:val="24"/>
        </w:rPr>
        <w:t>i</w:t>
      </w:r>
      <w:r w:rsidR="00DA6DF4" w:rsidRPr="003B44D7">
        <w:rPr>
          <w:rFonts w:cstheme="minorHAnsi"/>
          <w:sz w:val="24"/>
          <w:szCs w:val="24"/>
        </w:rPr>
        <w:t>s sacred given its constitutive</w:t>
      </w:r>
      <w:r w:rsidR="00AD50CC" w:rsidRPr="003B44D7">
        <w:rPr>
          <w:rFonts w:cstheme="minorHAnsi"/>
          <w:sz w:val="24"/>
          <w:szCs w:val="24"/>
        </w:rPr>
        <w:t xml:space="preserve"> role for the</w:t>
      </w:r>
      <w:r w:rsidR="007D1AF1" w:rsidRPr="003B44D7">
        <w:rPr>
          <w:rFonts w:cstheme="minorHAnsi"/>
          <w:sz w:val="24"/>
          <w:szCs w:val="24"/>
        </w:rPr>
        <w:t xml:space="preserve"> individual - </w:t>
      </w:r>
      <w:r w:rsidR="00D77A35" w:rsidRPr="003B44D7">
        <w:rPr>
          <w:rFonts w:cstheme="minorHAnsi"/>
          <w:sz w:val="24"/>
          <w:szCs w:val="24"/>
        </w:rPr>
        <w:t xml:space="preserve">autonomy, self-disclosure </w:t>
      </w:r>
      <w:r w:rsidR="00AD50CC" w:rsidRPr="003B44D7">
        <w:rPr>
          <w:rFonts w:cstheme="minorHAnsi"/>
          <w:sz w:val="24"/>
          <w:szCs w:val="24"/>
        </w:rPr>
        <w:t>and self-rea</w:t>
      </w:r>
      <w:r w:rsidR="007D1AF1" w:rsidRPr="003B44D7">
        <w:rPr>
          <w:rFonts w:cstheme="minorHAnsi"/>
          <w:sz w:val="24"/>
          <w:szCs w:val="24"/>
        </w:rPr>
        <w:t xml:space="preserve">lisation - </w:t>
      </w:r>
      <w:r w:rsidR="00254A39" w:rsidRPr="003B44D7">
        <w:rPr>
          <w:rFonts w:cstheme="minorHAnsi"/>
          <w:sz w:val="24"/>
          <w:szCs w:val="24"/>
        </w:rPr>
        <w:t xml:space="preserve">and for society, </w:t>
      </w:r>
      <w:r w:rsidR="00B25614" w:rsidRPr="003B44D7">
        <w:rPr>
          <w:rFonts w:cstheme="minorHAnsi"/>
          <w:sz w:val="24"/>
          <w:szCs w:val="24"/>
        </w:rPr>
        <w:t>in particular</w:t>
      </w:r>
      <w:r w:rsidR="00DA6DF4" w:rsidRPr="003B44D7">
        <w:rPr>
          <w:rFonts w:cstheme="minorHAnsi"/>
          <w:sz w:val="24"/>
          <w:szCs w:val="24"/>
        </w:rPr>
        <w:t xml:space="preserve"> for</w:t>
      </w:r>
      <w:r w:rsidR="00B25614" w:rsidRPr="003B44D7">
        <w:rPr>
          <w:rFonts w:cstheme="minorHAnsi"/>
          <w:sz w:val="24"/>
          <w:szCs w:val="24"/>
        </w:rPr>
        <w:t xml:space="preserve"> </w:t>
      </w:r>
      <w:r w:rsidR="00AD50CC" w:rsidRPr="003B44D7">
        <w:rPr>
          <w:rFonts w:cstheme="minorHAnsi"/>
          <w:sz w:val="24"/>
          <w:szCs w:val="24"/>
        </w:rPr>
        <w:t>democratic self-government.</w:t>
      </w:r>
      <w:r w:rsidR="00AD50CC" w:rsidRPr="003B44D7">
        <w:rPr>
          <w:rStyle w:val="FootnoteReference"/>
          <w:rFonts w:cstheme="minorHAnsi"/>
          <w:sz w:val="24"/>
          <w:szCs w:val="24"/>
        </w:rPr>
        <w:footnoteReference w:id="9"/>
      </w:r>
      <w:r w:rsidR="00AD50CC" w:rsidRPr="003B44D7">
        <w:rPr>
          <w:rFonts w:cstheme="minorHAnsi"/>
          <w:sz w:val="24"/>
          <w:szCs w:val="24"/>
        </w:rPr>
        <w:t xml:space="preserve"> Other </w:t>
      </w:r>
      <w:r w:rsidR="001E4DA2" w:rsidRPr="003B44D7">
        <w:rPr>
          <w:rFonts w:cstheme="minorHAnsi"/>
          <w:color w:val="000000"/>
          <w:sz w:val="24"/>
          <w:szCs w:val="24"/>
        </w:rPr>
        <w:t>liberal democracies</w:t>
      </w:r>
      <w:r w:rsidR="00B10B30" w:rsidRPr="003B44D7">
        <w:rPr>
          <w:rFonts w:cstheme="minorHAnsi"/>
          <w:color w:val="000000"/>
          <w:sz w:val="24"/>
          <w:szCs w:val="24"/>
        </w:rPr>
        <w:t>, most prominently Europe</w:t>
      </w:r>
      <w:r w:rsidR="00254A39" w:rsidRPr="003B44D7">
        <w:rPr>
          <w:rFonts w:cstheme="minorHAnsi"/>
          <w:color w:val="000000"/>
          <w:sz w:val="24"/>
          <w:szCs w:val="24"/>
        </w:rPr>
        <w:t xml:space="preserve">an </w:t>
      </w:r>
      <w:r w:rsidR="009402CA" w:rsidRPr="003B44D7">
        <w:rPr>
          <w:rFonts w:cstheme="minorHAnsi"/>
          <w:color w:val="000000"/>
          <w:sz w:val="24"/>
          <w:szCs w:val="24"/>
        </w:rPr>
        <w:t>societies</w:t>
      </w:r>
      <w:r w:rsidR="001E081E" w:rsidRPr="003B44D7">
        <w:rPr>
          <w:rFonts w:cstheme="minorHAnsi"/>
          <w:color w:val="000000"/>
          <w:sz w:val="24"/>
          <w:szCs w:val="24"/>
        </w:rPr>
        <w:t xml:space="preserve">, </w:t>
      </w:r>
      <w:r w:rsidR="00AD50CC" w:rsidRPr="003B44D7">
        <w:rPr>
          <w:rFonts w:cstheme="minorHAnsi"/>
          <w:color w:val="000000"/>
          <w:sz w:val="24"/>
          <w:szCs w:val="24"/>
        </w:rPr>
        <w:t xml:space="preserve">agree that a commitment to freedom of expression is not about protecting niceties </w:t>
      </w:r>
      <w:r w:rsidR="00254A39" w:rsidRPr="003B44D7">
        <w:rPr>
          <w:rFonts w:cstheme="minorHAnsi"/>
          <w:color w:val="000000"/>
          <w:sz w:val="24"/>
          <w:szCs w:val="24"/>
        </w:rPr>
        <w:t>or -</w:t>
      </w:r>
      <w:r w:rsidR="0068291B" w:rsidRPr="003B44D7">
        <w:rPr>
          <w:rFonts w:cstheme="minorHAnsi"/>
          <w:color w:val="000000"/>
          <w:sz w:val="24"/>
          <w:szCs w:val="24"/>
        </w:rPr>
        <w:t xml:space="preserve"> or</w:t>
      </w:r>
      <w:r w:rsidR="00AD50CC" w:rsidRPr="003B44D7">
        <w:rPr>
          <w:rFonts w:cstheme="minorHAnsi"/>
          <w:color w:val="000000"/>
          <w:sz w:val="24"/>
          <w:szCs w:val="24"/>
        </w:rPr>
        <w:t xml:space="preserve"> as the European Court of Human Rights </w:t>
      </w:r>
      <w:r w:rsidR="00DA6DF4" w:rsidRPr="003B44D7">
        <w:rPr>
          <w:rFonts w:cstheme="minorHAnsi"/>
          <w:color w:val="000000"/>
          <w:sz w:val="24"/>
          <w:szCs w:val="24"/>
        </w:rPr>
        <w:t xml:space="preserve">[ECtHR] </w:t>
      </w:r>
      <w:r w:rsidR="00AD50CC" w:rsidRPr="003B44D7">
        <w:rPr>
          <w:rFonts w:cstheme="minorHAnsi"/>
          <w:color w:val="000000"/>
          <w:sz w:val="24"/>
          <w:szCs w:val="24"/>
        </w:rPr>
        <w:t>put it</w:t>
      </w:r>
      <w:r w:rsidR="00254A39" w:rsidRPr="003B44D7">
        <w:rPr>
          <w:rFonts w:cstheme="minorHAnsi"/>
          <w:color w:val="000000"/>
          <w:sz w:val="24"/>
          <w:szCs w:val="24"/>
        </w:rPr>
        <w:t xml:space="preserve"> </w:t>
      </w:r>
      <w:r w:rsidR="00213F95" w:rsidRPr="003B44D7">
        <w:rPr>
          <w:rFonts w:cstheme="minorHAnsi"/>
          <w:color w:val="000000"/>
          <w:sz w:val="24"/>
          <w:szCs w:val="24"/>
        </w:rPr>
        <w:t>–</w:t>
      </w:r>
      <w:r w:rsidR="001E081E" w:rsidRPr="003B44D7">
        <w:rPr>
          <w:rFonts w:cstheme="minorHAnsi"/>
          <w:color w:val="000000"/>
          <w:sz w:val="24"/>
          <w:szCs w:val="24"/>
        </w:rPr>
        <w:t xml:space="preserve"> </w:t>
      </w:r>
      <w:r w:rsidR="00AD50CC" w:rsidRPr="003B44D7">
        <w:rPr>
          <w:rFonts w:cstheme="minorHAnsi"/>
          <w:color w:val="000000"/>
          <w:sz w:val="24"/>
          <w:szCs w:val="24"/>
        </w:rPr>
        <w:t xml:space="preserve">communications that are ‘favourably received or </w:t>
      </w:r>
      <w:r w:rsidR="00AD50CC" w:rsidRPr="003B44D7">
        <w:rPr>
          <w:rFonts w:cstheme="minorHAnsi"/>
          <w:sz w:val="24"/>
          <w:szCs w:val="24"/>
        </w:rPr>
        <w:t xml:space="preserve">regarded as </w:t>
      </w:r>
      <w:r w:rsidR="00AD50CC" w:rsidRPr="003B44D7">
        <w:rPr>
          <w:rFonts w:cstheme="minorHAnsi"/>
          <w:sz w:val="24"/>
          <w:szCs w:val="24"/>
        </w:rPr>
        <w:lastRenderedPageBreak/>
        <w:t xml:space="preserve">inoffensive or as a matter of indifference’ but </w:t>
      </w:r>
      <w:r w:rsidR="00862080" w:rsidRPr="003B44D7">
        <w:rPr>
          <w:rFonts w:cstheme="minorHAnsi"/>
          <w:sz w:val="24"/>
          <w:szCs w:val="24"/>
        </w:rPr>
        <w:t xml:space="preserve">rather </w:t>
      </w:r>
      <w:r w:rsidR="00213F95" w:rsidRPr="003B44D7">
        <w:rPr>
          <w:rFonts w:cstheme="minorHAnsi"/>
          <w:sz w:val="24"/>
          <w:szCs w:val="24"/>
        </w:rPr>
        <w:t xml:space="preserve">about </w:t>
      </w:r>
      <w:r w:rsidR="00862080" w:rsidRPr="003B44D7">
        <w:rPr>
          <w:rFonts w:cstheme="minorHAnsi"/>
          <w:sz w:val="24"/>
          <w:szCs w:val="24"/>
        </w:rPr>
        <w:t xml:space="preserve">those </w:t>
      </w:r>
      <w:r w:rsidR="00AD50CC" w:rsidRPr="003B44D7">
        <w:rPr>
          <w:rFonts w:cstheme="minorHAnsi"/>
          <w:sz w:val="24"/>
          <w:szCs w:val="24"/>
        </w:rPr>
        <w:t>‘that offend, shock or disturb the State or any sector of the population.’</w:t>
      </w:r>
      <w:r w:rsidR="00AD50CC" w:rsidRPr="003B44D7">
        <w:rPr>
          <w:rStyle w:val="FootnoteReference"/>
          <w:rFonts w:cstheme="minorHAnsi"/>
          <w:sz w:val="24"/>
          <w:szCs w:val="24"/>
        </w:rPr>
        <w:footnoteReference w:id="10"/>
      </w:r>
      <w:r w:rsidR="00DA6DF4" w:rsidRPr="003B44D7">
        <w:rPr>
          <w:rFonts w:cstheme="minorHAnsi"/>
          <w:sz w:val="24"/>
          <w:szCs w:val="24"/>
        </w:rPr>
        <w:t xml:space="preserve"> Yet, for these liberal democracies</w:t>
      </w:r>
      <w:r w:rsidR="007D1AF1" w:rsidRPr="003B44D7">
        <w:rPr>
          <w:rFonts w:cstheme="minorHAnsi"/>
          <w:sz w:val="24"/>
          <w:szCs w:val="24"/>
        </w:rPr>
        <w:t xml:space="preserve"> </w:t>
      </w:r>
      <w:r w:rsidR="00254A39" w:rsidRPr="003B44D7">
        <w:rPr>
          <w:rFonts w:cstheme="minorHAnsi"/>
          <w:sz w:val="24"/>
          <w:szCs w:val="24"/>
        </w:rPr>
        <w:t>the self-realisation of the individual a</w:t>
      </w:r>
      <w:r w:rsidR="00862080" w:rsidRPr="003B44D7">
        <w:rPr>
          <w:rFonts w:cstheme="minorHAnsi"/>
          <w:sz w:val="24"/>
          <w:szCs w:val="24"/>
        </w:rPr>
        <w:t>nd</w:t>
      </w:r>
      <w:r w:rsidR="00254A39" w:rsidRPr="003B44D7">
        <w:rPr>
          <w:rFonts w:cstheme="minorHAnsi"/>
          <w:sz w:val="24"/>
          <w:szCs w:val="24"/>
        </w:rPr>
        <w:t xml:space="preserve"> democratic self-government </w:t>
      </w:r>
      <w:r w:rsidR="00430C41" w:rsidRPr="003B44D7">
        <w:rPr>
          <w:rFonts w:cstheme="minorHAnsi"/>
          <w:sz w:val="24"/>
          <w:szCs w:val="24"/>
        </w:rPr>
        <w:t>would</w:t>
      </w:r>
      <w:r w:rsidR="00D725A7" w:rsidRPr="003B44D7">
        <w:rPr>
          <w:rFonts w:cstheme="minorHAnsi"/>
          <w:sz w:val="24"/>
          <w:szCs w:val="24"/>
        </w:rPr>
        <w:t xml:space="preserve"> be</w:t>
      </w:r>
      <w:r w:rsidR="00862080" w:rsidRPr="003B44D7">
        <w:rPr>
          <w:rFonts w:cstheme="minorHAnsi"/>
          <w:sz w:val="24"/>
          <w:szCs w:val="24"/>
        </w:rPr>
        <w:t xml:space="preserve"> </w:t>
      </w:r>
      <w:r w:rsidR="00003757" w:rsidRPr="003B44D7">
        <w:rPr>
          <w:rFonts w:cstheme="minorHAnsi"/>
          <w:sz w:val="24"/>
          <w:szCs w:val="24"/>
        </w:rPr>
        <w:t>undermined</w:t>
      </w:r>
      <w:r w:rsidR="00862080" w:rsidRPr="003B44D7">
        <w:rPr>
          <w:rFonts w:cstheme="minorHAnsi"/>
          <w:sz w:val="24"/>
          <w:szCs w:val="24"/>
        </w:rPr>
        <w:t xml:space="preserve"> </w:t>
      </w:r>
      <w:r w:rsidR="001E081E" w:rsidRPr="003B44D7">
        <w:rPr>
          <w:rFonts w:cstheme="minorHAnsi"/>
          <w:sz w:val="24"/>
          <w:szCs w:val="24"/>
        </w:rPr>
        <w:t xml:space="preserve">if </w:t>
      </w:r>
      <w:r w:rsidR="00254A39" w:rsidRPr="003B44D7">
        <w:rPr>
          <w:rFonts w:cstheme="minorHAnsi"/>
          <w:sz w:val="24"/>
          <w:szCs w:val="24"/>
        </w:rPr>
        <w:t>hate speech</w:t>
      </w:r>
      <w:r w:rsidR="00783D82" w:rsidRPr="003B44D7">
        <w:rPr>
          <w:rFonts w:cstheme="minorHAnsi"/>
          <w:sz w:val="24"/>
          <w:szCs w:val="24"/>
        </w:rPr>
        <w:t xml:space="preserve"> </w:t>
      </w:r>
      <w:r w:rsidR="0068291B" w:rsidRPr="003B44D7">
        <w:rPr>
          <w:rFonts w:cstheme="minorHAnsi"/>
          <w:sz w:val="24"/>
          <w:szCs w:val="24"/>
        </w:rPr>
        <w:t xml:space="preserve">in the public domain </w:t>
      </w:r>
      <w:r w:rsidR="001E081E" w:rsidRPr="003B44D7">
        <w:rPr>
          <w:rFonts w:cstheme="minorHAnsi"/>
          <w:sz w:val="24"/>
          <w:szCs w:val="24"/>
        </w:rPr>
        <w:t>were to be</w:t>
      </w:r>
      <w:r w:rsidR="00254A39" w:rsidRPr="003B44D7">
        <w:rPr>
          <w:rFonts w:cstheme="minorHAnsi"/>
          <w:sz w:val="24"/>
          <w:szCs w:val="24"/>
        </w:rPr>
        <w:t xml:space="preserve"> left uncensored</w:t>
      </w:r>
      <w:r w:rsidR="00003757" w:rsidRPr="003B44D7">
        <w:rPr>
          <w:rFonts w:cstheme="minorHAnsi"/>
          <w:sz w:val="24"/>
          <w:szCs w:val="24"/>
        </w:rPr>
        <w:t>.</w:t>
      </w:r>
      <w:r w:rsidR="001C1403" w:rsidRPr="003B44D7">
        <w:rPr>
          <w:rFonts w:cstheme="minorHAnsi"/>
          <w:sz w:val="24"/>
          <w:szCs w:val="24"/>
        </w:rPr>
        <w:t xml:space="preserve"> </w:t>
      </w:r>
      <w:r w:rsidR="00430C41" w:rsidRPr="003B44D7">
        <w:rPr>
          <w:rFonts w:cstheme="minorHAnsi"/>
          <w:sz w:val="24"/>
          <w:szCs w:val="24"/>
        </w:rPr>
        <w:t xml:space="preserve">So although </w:t>
      </w:r>
      <w:r w:rsidR="00254A39" w:rsidRPr="003B44D7">
        <w:rPr>
          <w:rFonts w:cstheme="minorHAnsi"/>
          <w:color w:val="000000"/>
          <w:sz w:val="24"/>
          <w:szCs w:val="24"/>
        </w:rPr>
        <w:t xml:space="preserve">America </w:t>
      </w:r>
      <w:r w:rsidR="00213F95" w:rsidRPr="003B44D7">
        <w:rPr>
          <w:rFonts w:cstheme="minorHAnsi"/>
          <w:color w:val="000000"/>
          <w:sz w:val="24"/>
          <w:szCs w:val="24"/>
        </w:rPr>
        <w:t>and other liberal democracies</w:t>
      </w:r>
      <w:r w:rsidR="00D77A35" w:rsidRPr="003B44D7">
        <w:rPr>
          <w:rFonts w:cstheme="minorHAnsi"/>
          <w:color w:val="000000"/>
          <w:sz w:val="24"/>
          <w:szCs w:val="24"/>
        </w:rPr>
        <w:t xml:space="preserve"> agree on the i</w:t>
      </w:r>
      <w:r w:rsidR="00530E78" w:rsidRPr="003B44D7">
        <w:rPr>
          <w:rFonts w:cstheme="minorHAnsi"/>
          <w:color w:val="000000"/>
          <w:sz w:val="24"/>
          <w:szCs w:val="24"/>
        </w:rPr>
        <w:t>mportance of freedom of expression and</w:t>
      </w:r>
      <w:r w:rsidR="003E0041" w:rsidRPr="003B44D7">
        <w:rPr>
          <w:rFonts w:cstheme="minorHAnsi"/>
          <w:color w:val="000000"/>
          <w:sz w:val="24"/>
          <w:szCs w:val="24"/>
        </w:rPr>
        <w:t xml:space="preserve"> </w:t>
      </w:r>
      <w:r w:rsidR="00EF6A23" w:rsidRPr="003B44D7">
        <w:rPr>
          <w:rFonts w:cstheme="minorHAnsi"/>
          <w:color w:val="000000"/>
          <w:sz w:val="24"/>
          <w:szCs w:val="24"/>
        </w:rPr>
        <w:t xml:space="preserve">even </w:t>
      </w:r>
      <w:r w:rsidR="003E0041" w:rsidRPr="003B44D7">
        <w:rPr>
          <w:rFonts w:cstheme="minorHAnsi"/>
          <w:color w:val="000000"/>
          <w:sz w:val="24"/>
          <w:szCs w:val="24"/>
        </w:rPr>
        <w:t>broadly</w:t>
      </w:r>
      <w:r w:rsidR="00EE4DBF" w:rsidRPr="003B44D7">
        <w:rPr>
          <w:rFonts w:cstheme="minorHAnsi"/>
          <w:color w:val="000000"/>
          <w:sz w:val="24"/>
          <w:szCs w:val="24"/>
        </w:rPr>
        <w:t xml:space="preserve"> </w:t>
      </w:r>
      <w:r w:rsidR="0068291B" w:rsidRPr="003B44D7">
        <w:rPr>
          <w:rFonts w:cstheme="minorHAnsi"/>
          <w:color w:val="000000"/>
          <w:sz w:val="24"/>
          <w:szCs w:val="24"/>
        </w:rPr>
        <w:t xml:space="preserve">on </w:t>
      </w:r>
      <w:r w:rsidR="00530E78" w:rsidRPr="003B44D7">
        <w:rPr>
          <w:rFonts w:cstheme="minorHAnsi"/>
          <w:color w:val="000000"/>
          <w:sz w:val="24"/>
          <w:szCs w:val="24"/>
        </w:rPr>
        <w:t xml:space="preserve">the </w:t>
      </w:r>
      <w:r w:rsidR="00862080" w:rsidRPr="003B44D7">
        <w:rPr>
          <w:rFonts w:cstheme="minorHAnsi"/>
          <w:color w:val="000000"/>
          <w:sz w:val="24"/>
          <w:szCs w:val="24"/>
        </w:rPr>
        <w:t>harmful consequences</w:t>
      </w:r>
      <w:r w:rsidR="00530E78" w:rsidRPr="003B44D7">
        <w:rPr>
          <w:rFonts w:cstheme="minorHAnsi"/>
          <w:color w:val="000000"/>
          <w:sz w:val="24"/>
          <w:szCs w:val="24"/>
        </w:rPr>
        <w:t xml:space="preserve"> of hate speech</w:t>
      </w:r>
      <w:r w:rsidR="00862080" w:rsidRPr="003B44D7">
        <w:rPr>
          <w:rFonts w:cstheme="minorHAnsi"/>
          <w:color w:val="000000"/>
          <w:sz w:val="24"/>
          <w:szCs w:val="24"/>
        </w:rPr>
        <w:t xml:space="preserve">, </w:t>
      </w:r>
      <w:r w:rsidR="00430C41" w:rsidRPr="003B44D7">
        <w:rPr>
          <w:rFonts w:cstheme="minorHAnsi"/>
          <w:color w:val="000000"/>
          <w:sz w:val="24"/>
          <w:szCs w:val="24"/>
        </w:rPr>
        <w:t>they</w:t>
      </w:r>
      <w:r w:rsidR="00862080" w:rsidRPr="003B44D7">
        <w:rPr>
          <w:rFonts w:cstheme="minorHAnsi"/>
          <w:color w:val="000000"/>
          <w:sz w:val="24"/>
          <w:szCs w:val="24"/>
        </w:rPr>
        <w:t xml:space="preserve"> </w:t>
      </w:r>
      <w:r w:rsidR="00783D82" w:rsidRPr="003B44D7">
        <w:rPr>
          <w:rFonts w:cstheme="minorHAnsi"/>
          <w:color w:val="000000"/>
          <w:sz w:val="24"/>
          <w:szCs w:val="24"/>
        </w:rPr>
        <w:t xml:space="preserve">sharply </w:t>
      </w:r>
      <w:r w:rsidR="00862080" w:rsidRPr="003B44D7">
        <w:rPr>
          <w:rFonts w:cstheme="minorHAnsi"/>
          <w:color w:val="000000"/>
          <w:sz w:val="24"/>
          <w:szCs w:val="24"/>
        </w:rPr>
        <w:t>disagree on whether it is</w:t>
      </w:r>
      <w:r w:rsidR="00E25BE4" w:rsidRPr="003B44D7">
        <w:rPr>
          <w:rFonts w:cstheme="minorHAnsi"/>
          <w:color w:val="000000"/>
          <w:sz w:val="24"/>
          <w:szCs w:val="24"/>
        </w:rPr>
        <w:t xml:space="preserve"> </w:t>
      </w:r>
      <w:r w:rsidR="00862080" w:rsidRPr="003B44D7">
        <w:rPr>
          <w:rFonts w:cstheme="minorHAnsi"/>
          <w:color w:val="000000"/>
          <w:sz w:val="24"/>
          <w:szCs w:val="24"/>
        </w:rPr>
        <w:t xml:space="preserve">beneficial </w:t>
      </w:r>
      <w:r w:rsidR="00E25BE4" w:rsidRPr="003B44D7">
        <w:rPr>
          <w:rFonts w:cstheme="minorHAnsi"/>
          <w:color w:val="000000"/>
          <w:sz w:val="24"/>
          <w:szCs w:val="24"/>
        </w:rPr>
        <w:t xml:space="preserve">for </w:t>
      </w:r>
      <w:r w:rsidR="00003757" w:rsidRPr="003B44D7">
        <w:rPr>
          <w:rFonts w:cstheme="minorHAnsi"/>
          <w:color w:val="000000"/>
          <w:sz w:val="24"/>
          <w:szCs w:val="24"/>
        </w:rPr>
        <w:t xml:space="preserve">the </w:t>
      </w:r>
      <w:r w:rsidR="00E25BE4" w:rsidRPr="003B44D7">
        <w:rPr>
          <w:rFonts w:cstheme="minorHAnsi"/>
          <w:color w:val="000000"/>
          <w:sz w:val="24"/>
          <w:szCs w:val="24"/>
        </w:rPr>
        <w:t>State to interv</w:t>
      </w:r>
      <w:r w:rsidR="00DB6A7B" w:rsidRPr="003B44D7">
        <w:rPr>
          <w:rFonts w:cstheme="minorHAnsi"/>
          <w:color w:val="000000"/>
          <w:sz w:val="24"/>
          <w:szCs w:val="24"/>
        </w:rPr>
        <w:t>ene.</w:t>
      </w:r>
      <w:r w:rsidR="001514CA" w:rsidRPr="003B44D7">
        <w:rPr>
          <w:rStyle w:val="FootnoteReference"/>
          <w:rFonts w:cstheme="minorHAnsi"/>
          <w:color w:val="000000"/>
          <w:sz w:val="24"/>
          <w:szCs w:val="24"/>
        </w:rPr>
        <w:footnoteReference w:id="11"/>
      </w:r>
      <w:r w:rsidR="00DB6A7B" w:rsidRPr="003B44D7">
        <w:rPr>
          <w:rFonts w:cstheme="minorHAnsi"/>
          <w:color w:val="000000"/>
          <w:sz w:val="24"/>
          <w:szCs w:val="24"/>
        </w:rPr>
        <w:t xml:space="preserve"> One might characterise this </w:t>
      </w:r>
      <w:r w:rsidR="00E25BE4" w:rsidRPr="003B44D7">
        <w:rPr>
          <w:rFonts w:cstheme="minorHAnsi"/>
          <w:color w:val="000000"/>
          <w:sz w:val="24"/>
          <w:szCs w:val="24"/>
        </w:rPr>
        <w:t xml:space="preserve">difference </w:t>
      </w:r>
      <w:r w:rsidR="00530E78" w:rsidRPr="003B44D7">
        <w:rPr>
          <w:rFonts w:cstheme="minorHAnsi"/>
          <w:color w:val="000000"/>
          <w:sz w:val="24"/>
          <w:szCs w:val="24"/>
        </w:rPr>
        <w:t>as</w:t>
      </w:r>
      <w:r w:rsidR="00D725A7" w:rsidRPr="003B44D7">
        <w:rPr>
          <w:rFonts w:cstheme="minorHAnsi"/>
          <w:color w:val="000000"/>
          <w:sz w:val="24"/>
          <w:szCs w:val="24"/>
        </w:rPr>
        <w:t xml:space="preserve"> </w:t>
      </w:r>
      <w:r w:rsidR="00C048F1" w:rsidRPr="003B44D7">
        <w:rPr>
          <w:rFonts w:cstheme="minorHAnsi"/>
          <w:color w:val="000000"/>
          <w:sz w:val="24"/>
          <w:szCs w:val="24"/>
        </w:rPr>
        <w:t xml:space="preserve">one about </w:t>
      </w:r>
      <w:r w:rsidR="00C048F1" w:rsidRPr="003B44D7">
        <w:rPr>
          <w:rFonts w:cstheme="minorHAnsi"/>
          <w:i/>
          <w:color w:val="000000"/>
          <w:sz w:val="24"/>
          <w:szCs w:val="24"/>
        </w:rPr>
        <w:t>process</w:t>
      </w:r>
      <w:r w:rsidR="003E0041" w:rsidRPr="003B44D7">
        <w:rPr>
          <w:rFonts w:cstheme="minorHAnsi"/>
          <w:color w:val="000000"/>
          <w:sz w:val="24"/>
          <w:szCs w:val="24"/>
        </w:rPr>
        <w:t xml:space="preserve"> - </w:t>
      </w:r>
      <w:r w:rsidR="00530E78" w:rsidRPr="003B44D7">
        <w:rPr>
          <w:rFonts w:cstheme="minorHAnsi"/>
          <w:color w:val="000000"/>
          <w:sz w:val="24"/>
          <w:szCs w:val="24"/>
        </w:rPr>
        <w:t xml:space="preserve">what is the best </w:t>
      </w:r>
      <w:r w:rsidR="004A6925" w:rsidRPr="003B44D7">
        <w:rPr>
          <w:rFonts w:cstheme="minorHAnsi"/>
          <w:color w:val="000000"/>
          <w:sz w:val="24"/>
          <w:szCs w:val="24"/>
        </w:rPr>
        <w:t>avenue</w:t>
      </w:r>
      <w:r w:rsidR="00943FE4" w:rsidRPr="003B44D7">
        <w:rPr>
          <w:rFonts w:cstheme="minorHAnsi"/>
          <w:color w:val="000000"/>
          <w:sz w:val="24"/>
          <w:szCs w:val="24"/>
        </w:rPr>
        <w:t xml:space="preserve"> for </w:t>
      </w:r>
      <w:r w:rsidR="003E0041" w:rsidRPr="003B44D7">
        <w:rPr>
          <w:rFonts w:cstheme="minorHAnsi"/>
          <w:color w:val="000000"/>
          <w:sz w:val="24"/>
          <w:szCs w:val="24"/>
        </w:rPr>
        <w:t xml:space="preserve">neutralising hate speech - </w:t>
      </w:r>
      <w:r w:rsidR="00DB6A7B" w:rsidRPr="003B44D7">
        <w:rPr>
          <w:rFonts w:cstheme="minorHAnsi"/>
          <w:color w:val="000000"/>
          <w:sz w:val="24"/>
          <w:szCs w:val="24"/>
        </w:rPr>
        <w:t>as opposed to one abou</w:t>
      </w:r>
      <w:r w:rsidR="00E25BE4" w:rsidRPr="003B44D7">
        <w:rPr>
          <w:rFonts w:cstheme="minorHAnsi"/>
          <w:color w:val="000000"/>
          <w:sz w:val="24"/>
          <w:szCs w:val="24"/>
        </w:rPr>
        <w:t xml:space="preserve">t </w:t>
      </w:r>
      <w:r w:rsidR="00783D82" w:rsidRPr="003B44D7">
        <w:rPr>
          <w:rFonts w:cstheme="minorHAnsi"/>
          <w:i/>
          <w:color w:val="000000"/>
          <w:sz w:val="24"/>
          <w:szCs w:val="24"/>
        </w:rPr>
        <w:t>substance</w:t>
      </w:r>
      <w:r w:rsidR="007D1AF1" w:rsidRPr="003B44D7">
        <w:rPr>
          <w:rFonts w:cstheme="minorHAnsi"/>
          <w:color w:val="000000"/>
          <w:sz w:val="24"/>
          <w:szCs w:val="24"/>
        </w:rPr>
        <w:t>, that is</w:t>
      </w:r>
      <w:r w:rsidR="00003757" w:rsidRPr="003B44D7">
        <w:rPr>
          <w:rFonts w:cstheme="minorHAnsi"/>
          <w:color w:val="000000"/>
          <w:sz w:val="24"/>
          <w:szCs w:val="24"/>
        </w:rPr>
        <w:t xml:space="preserve"> </w:t>
      </w:r>
      <w:r w:rsidR="00783D82" w:rsidRPr="003B44D7">
        <w:rPr>
          <w:rFonts w:cstheme="minorHAnsi"/>
          <w:color w:val="000000"/>
          <w:sz w:val="24"/>
          <w:szCs w:val="24"/>
        </w:rPr>
        <w:t xml:space="preserve">the nature of hate speech, its </w:t>
      </w:r>
      <w:r w:rsidR="00E25BE4" w:rsidRPr="003B44D7">
        <w:rPr>
          <w:rFonts w:cstheme="minorHAnsi"/>
          <w:color w:val="000000"/>
          <w:sz w:val="24"/>
          <w:szCs w:val="24"/>
        </w:rPr>
        <w:t xml:space="preserve">harmful </w:t>
      </w:r>
      <w:r w:rsidR="00783D82" w:rsidRPr="003B44D7">
        <w:rPr>
          <w:rFonts w:cstheme="minorHAnsi"/>
          <w:color w:val="000000"/>
          <w:sz w:val="24"/>
          <w:szCs w:val="24"/>
        </w:rPr>
        <w:t>consequences</w:t>
      </w:r>
      <w:r w:rsidR="00E25BE4" w:rsidRPr="003B44D7">
        <w:rPr>
          <w:rFonts w:cstheme="minorHAnsi"/>
          <w:color w:val="000000"/>
          <w:sz w:val="24"/>
          <w:szCs w:val="24"/>
        </w:rPr>
        <w:t xml:space="preserve"> or the</w:t>
      </w:r>
      <w:r w:rsidR="00943FE4" w:rsidRPr="003B44D7">
        <w:rPr>
          <w:rFonts w:cstheme="minorHAnsi"/>
          <w:color w:val="000000"/>
          <w:sz w:val="24"/>
          <w:szCs w:val="24"/>
        </w:rPr>
        <w:t xml:space="preserve"> </w:t>
      </w:r>
      <w:r w:rsidR="00E25BE4" w:rsidRPr="003B44D7">
        <w:rPr>
          <w:rFonts w:cstheme="minorHAnsi"/>
          <w:color w:val="000000"/>
          <w:sz w:val="24"/>
          <w:szCs w:val="24"/>
        </w:rPr>
        <w:t>values protected by free speech</w:t>
      </w:r>
      <w:r w:rsidR="001514CA" w:rsidRPr="003B44D7">
        <w:rPr>
          <w:rFonts w:cstheme="minorHAnsi"/>
          <w:color w:val="000000"/>
          <w:sz w:val="24"/>
          <w:szCs w:val="24"/>
        </w:rPr>
        <w:t xml:space="preserve"> more generally</w:t>
      </w:r>
      <w:r w:rsidR="00783D82" w:rsidRPr="003B44D7">
        <w:rPr>
          <w:rFonts w:cstheme="minorHAnsi"/>
          <w:color w:val="000000"/>
          <w:sz w:val="24"/>
          <w:szCs w:val="24"/>
        </w:rPr>
        <w:t xml:space="preserve">. </w:t>
      </w:r>
    </w:p>
    <w:p w14:paraId="65AA2AE9" w14:textId="77777777" w:rsidR="00EF231C" w:rsidRPr="003B44D7" w:rsidRDefault="00EF231C" w:rsidP="004E7EB4">
      <w:pPr>
        <w:spacing w:after="0" w:line="240" w:lineRule="auto"/>
        <w:jc w:val="both"/>
        <w:rPr>
          <w:rFonts w:cstheme="minorHAnsi"/>
          <w:sz w:val="24"/>
          <w:szCs w:val="24"/>
        </w:rPr>
      </w:pPr>
    </w:p>
    <w:p w14:paraId="4C3D098E" w14:textId="744F02BC" w:rsidR="00296306" w:rsidRPr="003B44D7" w:rsidRDefault="001E081E" w:rsidP="004E7EB4">
      <w:pPr>
        <w:spacing w:after="0" w:line="240" w:lineRule="auto"/>
        <w:jc w:val="both"/>
        <w:rPr>
          <w:rFonts w:cstheme="minorHAnsi"/>
          <w:i/>
          <w:color w:val="000000"/>
          <w:sz w:val="24"/>
          <w:szCs w:val="24"/>
        </w:rPr>
      </w:pPr>
      <w:r w:rsidRPr="003B44D7">
        <w:rPr>
          <w:rFonts w:cstheme="minorHAnsi"/>
          <w:sz w:val="24"/>
          <w:szCs w:val="24"/>
        </w:rPr>
        <w:t xml:space="preserve">A </w:t>
      </w:r>
      <w:r w:rsidR="00E25BE4" w:rsidRPr="003B44D7">
        <w:rPr>
          <w:rFonts w:cstheme="minorHAnsi"/>
          <w:sz w:val="24"/>
          <w:szCs w:val="24"/>
        </w:rPr>
        <w:t>reminder of t</w:t>
      </w:r>
      <w:r w:rsidR="004B285F">
        <w:rPr>
          <w:rFonts w:cstheme="minorHAnsi"/>
          <w:sz w:val="24"/>
          <w:szCs w:val="24"/>
        </w:rPr>
        <w:t>he</w:t>
      </w:r>
      <w:r w:rsidR="00E25BE4" w:rsidRPr="003B44D7">
        <w:rPr>
          <w:rFonts w:cstheme="minorHAnsi"/>
          <w:sz w:val="24"/>
          <w:szCs w:val="24"/>
        </w:rPr>
        <w:t xml:space="preserve"> </w:t>
      </w:r>
      <w:r w:rsidR="00DB6A7B" w:rsidRPr="003B44D7">
        <w:rPr>
          <w:rFonts w:cstheme="minorHAnsi"/>
          <w:sz w:val="24"/>
          <w:szCs w:val="24"/>
        </w:rPr>
        <w:t>shared understandings</w:t>
      </w:r>
      <w:r w:rsidR="00B25614" w:rsidRPr="003B44D7">
        <w:rPr>
          <w:rFonts w:cstheme="minorHAnsi"/>
          <w:sz w:val="24"/>
          <w:szCs w:val="24"/>
        </w:rPr>
        <w:t>,</w:t>
      </w:r>
      <w:r w:rsidR="00DB6A7B" w:rsidRPr="003B44D7">
        <w:rPr>
          <w:rFonts w:cstheme="minorHAnsi"/>
          <w:sz w:val="24"/>
          <w:szCs w:val="24"/>
        </w:rPr>
        <w:t xml:space="preserve"> and</w:t>
      </w:r>
      <w:r w:rsidR="00E25BE4" w:rsidRPr="003B44D7">
        <w:rPr>
          <w:rFonts w:cstheme="minorHAnsi"/>
          <w:sz w:val="24"/>
          <w:szCs w:val="24"/>
        </w:rPr>
        <w:t xml:space="preserve"> </w:t>
      </w:r>
      <w:r w:rsidR="00DB6A7B" w:rsidRPr="003B44D7">
        <w:rPr>
          <w:rFonts w:cstheme="minorHAnsi"/>
          <w:sz w:val="24"/>
          <w:szCs w:val="24"/>
        </w:rPr>
        <w:t xml:space="preserve">of the nature of the </w:t>
      </w:r>
      <w:r w:rsidR="00E25BE4" w:rsidRPr="003B44D7">
        <w:rPr>
          <w:rFonts w:cstheme="minorHAnsi"/>
          <w:sz w:val="24"/>
          <w:szCs w:val="24"/>
        </w:rPr>
        <w:t>disagreement</w:t>
      </w:r>
      <w:r w:rsidR="00B25614" w:rsidRPr="003B44D7">
        <w:rPr>
          <w:rFonts w:cstheme="minorHAnsi"/>
          <w:sz w:val="24"/>
          <w:szCs w:val="24"/>
        </w:rPr>
        <w:t>,</w:t>
      </w:r>
      <w:r w:rsidR="00E25BE4" w:rsidRPr="003B44D7">
        <w:rPr>
          <w:rFonts w:cstheme="minorHAnsi"/>
          <w:sz w:val="24"/>
          <w:szCs w:val="24"/>
        </w:rPr>
        <w:t xml:space="preserve"> between American and European speech traditions </w:t>
      </w:r>
      <w:r w:rsidR="00783D82" w:rsidRPr="003B44D7">
        <w:rPr>
          <w:rFonts w:cstheme="minorHAnsi"/>
          <w:sz w:val="24"/>
          <w:szCs w:val="24"/>
        </w:rPr>
        <w:t>provides a</w:t>
      </w:r>
      <w:r w:rsidR="00213F95" w:rsidRPr="003B44D7">
        <w:rPr>
          <w:rFonts w:cstheme="minorHAnsi"/>
          <w:sz w:val="24"/>
          <w:szCs w:val="24"/>
        </w:rPr>
        <w:t xml:space="preserve"> </w:t>
      </w:r>
      <w:r w:rsidR="00D725A7" w:rsidRPr="003B44D7">
        <w:rPr>
          <w:rFonts w:cstheme="minorHAnsi"/>
          <w:sz w:val="24"/>
          <w:szCs w:val="24"/>
        </w:rPr>
        <w:t xml:space="preserve">useful </w:t>
      </w:r>
      <w:r w:rsidR="00881FA8" w:rsidRPr="003B44D7">
        <w:rPr>
          <w:rFonts w:cstheme="minorHAnsi"/>
          <w:sz w:val="24"/>
          <w:szCs w:val="24"/>
        </w:rPr>
        <w:t>springboard for</w:t>
      </w:r>
      <w:r w:rsidR="00E25BE4" w:rsidRPr="003B44D7">
        <w:rPr>
          <w:rFonts w:cstheme="minorHAnsi"/>
          <w:sz w:val="24"/>
          <w:szCs w:val="24"/>
        </w:rPr>
        <w:t xml:space="preserve"> this paper </w:t>
      </w:r>
      <w:r w:rsidR="00C048F1" w:rsidRPr="003B44D7">
        <w:rPr>
          <w:rFonts w:cstheme="minorHAnsi"/>
          <w:sz w:val="24"/>
          <w:szCs w:val="24"/>
        </w:rPr>
        <w:t>which</w:t>
      </w:r>
      <w:r w:rsidR="00881FA8" w:rsidRPr="003B44D7">
        <w:rPr>
          <w:rFonts w:cstheme="minorHAnsi"/>
          <w:sz w:val="24"/>
          <w:szCs w:val="24"/>
        </w:rPr>
        <w:t xml:space="preserve"> examines </w:t>
      </w:r>
      <w:r w:rsidR="006E7786" w:rsidRPr="003B44D7">
        <w:rPr>
          <w:rFonts w:cstheme="minorHAnsi"/>
          <w:sz w:val="24"/>
          <w:szCs w:val="24"/>
        </w:rPr>
        <w:t>the clash</w:t>
      </w:r>
      <w:r w:rsidR="00141FF5" w:rsidRPr="003B44D7">
        <w:rPr>
          <w:rFonts w:cstheme="minorHAnsi"/>
          <w:sz w:val="24"/>
          <w:szCs w:val="24"/>
        </w:rPr>
        <w:t xml:space="preserve"> </w:t>
      </w:r>
      <w:r w:rsidR="006C4696" w:rsidRPr="003B44D7">
        <w:rPr>
          <w:rFonts w:cstheme="minorHAnsi"/>
          <w:sz w:val="24"/>
          <w:szCs w:val="24"/>
        </w:rPr>
        <w:t>of</w:t>
      </w:r>
      <w:r w:rsidR="00C048F1" w:rsidRPr="003B44D7">
        <w:rPr>
          <w:rFonts w:cstheme="minorHAnsi"/>
          <w:sz w:val="24"/>
          <w:szCs w:val="24"/>
        </w:rPr>
        <w:t xml:space="preserve"> the</w:t>
      </w:r>
      <w:r w:rsidR="009402CA" w:rsidRPr="003B44D7">
        <w:rPr>
          <w:rFonts w:cstheme="minorHAnsi"/>
          <w:sz w:val="24"/>
          <w:szCs w:val="24"/>
        </w:rPr>
        <w:t xml:space="preserve">se </w:t>
      </w:r>
      <w:r w:rsidR="00141FF5" w:rsidRPr="003B44D7">
        <w:rPr>
          <w:rFonts w:cstheme="minorHAnsi"/>
          <w:sz w:val="24"/>
          <w:szCs w:val="24"/>
        </w:rPr>
        <w:t>speech cultures</w:t>
      </w:r>
      <w:r w:rsidR="00DA6DF4" w:rsidRPr="003B44D7">
        <w:rPr>
          <w:rFonts w:cstheme="minorHAnsi"/>
          <w:sz w:val="24"/>
          <w:szCs w:val="24"/>
        </w:rPr>
        <w:t xml:space="preserve"> in the online world</w:t>
      </w:r>
      <w:r w:rsidR="00141FF5" w:rsidRPr="003B44D7">
        <w:rPr>
          <w:rFonts w:cstheme="minorHAnsi"/>
          <w:sz w:val="24"/>
          <w:szCs w:val="24"/>
        </w:rPr>
        <w:t xml:space="preserve"> </w:t>
      </w:r>
      <w:r w:rsidR="00C048F1" w:rsidRPr="003B44D7">
        <w:rPr>
          <w:rFonts w:cstheme="minorHAnsi"/>
          <w:sz w:val="24"/>
          <w:szCs w:val="24"/>
        </w:rPr>
        <w:t xml:space="preserve">- and </w:t>
      </w:r>
      <w:r w:rsidR="00DA6DF4" w:rsidRPr="003B44D7">
        <w:rPr>
          <w:rFonts w:cstheme="minorHAnsi"/>
          <w:sz w:val="24"/>
          <w:szCs w:val="24"/>
        </w:rPr>
        <w:t>will do so</w:t>
      </w:r>
      <w:r w:rsidR="005C22AB" w:rsidRPr="003B44D7">
        <w:rPr>
          <w:rFonts w:cstheme="minorHAnsi"/>
          <w:sz w:val="24"/>
          <w:szCs w:val="24"/>
        </w:rPr>
        <w:t xml:space="preserve"> through </w:t>
      </w:r>
      <w:r w:rsidR="004A6925" w:rsidRPr="003B44D7">
        <w:rPr>
          <w:rFonts w:cstheme="minorHAnsi"/>
          <w:sz w:val="24"/>
          <w:szCs w:val="24"/>
        </w:rPr>
        <w:t xml:space="preserve">a </w:t>
      </w:r>
      <w:r w:rsidR="003E0041" w:rsidRPr="003B44D7">
        <w:rPr>
          <w:rFonts w:cstheme="minorHAnsi"/>
          <w:sz w:val="24"/>
          <w:szCs w:val="24"/>
        </w:rPr>
        <w:t>‘</w:t>
      </w:r>
      <w:r w:rsidR="005C22AB" w:rsidRPr="003B44D7">
        <w:rPr>
          <w:rFonts w:cstheme="minorHAnsi"/>
          <w:sz w:val="24"/>
          <w:szCs w:val="24"/>
        </w:rPr>
        <w:t>process</w:t>
      </w:r>
      <w:r w:rsidR="003E0041" w:rsidRPr="003B44D7">
        <w:rPr>
          <w:rFonts w:cstheme="minorHAnsi"/>
          <w:sz w:val="24"/>
          <w:szCs w:val="24"/>
        </w:rPr>
        <w:t>’</w:t>
      </w:r>
      <w:r w:rsidR="005C22AB" w:rsidRPr="003B44D7">
        <w:rPr>
          <w:rFonts w:cstheme="minorHAnsi"/>
          <w:sz w:val="24"/>
          <w:szCs w:val="24"/>
        </w:rPr>
        <w:t xml:space="preserve"> lens</w:t>
      </w:r>
      <w:r w:rsidR="00186ED8" w:rsidRPr="003B44D7">
        <w:rPr>
          <w:rFonts w:cstheme="minorHAnsi"/>
          <w:sz w:val="24"/>
          <w:szCs w:val="24"/>
        </w:rPr>
        <w:t>.</w:t>
      </w:r>
      <w:r w:rsidR="00F07766" w:rsidRPr="003B44D7">
        <w:rPr>
          <w:rFonts w:cstheme="minorHAnsi"/>
          <w:sz w:val="24"/>
          <w:szCs w:val="24"/>
        </w:rPr>
        <w:t xml:space="preserve"> The Internet has changed speech</w:t>
      </w:r>
      <w:r w:rsidR="003716DB" w:rsidRPr="003B44D7">
        <w:rPr>
          <w:rFonts w:cstheme="minorHAnsi"/>
          <w:sz w:val="24"/>
          <w:szCs w:val="24"/>
        </w:rPr>
        <w:t xml:space="preserve"> concerns in two significant ways.</w:t>
      </w:r>
      <w:r w:rsidR="00F07766" w:rsidRPr="003B44D7">
        <w:rPr>
          <w:rFonts w:cstheme="minorHAnsi"/>
          <w:sz w:val="24"/>
          <w:szCs w:val="24"/>
        </w:rPr>
        <w:t xml:space="preserve"> </w:t>
      </w:r>
      <w:r w:rsidR="004A6925" w:rsidRPr="003B44D7">
        <w:rPr>
          <w:rFonts w:cstheme="minorHAnsi"/>
          <w:i/>
          <w:iCs/>
          <w:sz w:val="24"/>
          <w:szCs w:val="24"/>
        </w:rPr>
        <w:t>F</w:t>
      </w:r>
      <w:r w:rsidR="00530E78" w:rsidRPr="003B44D7">
        <w:rPr>
          <w:rFonts w:cstheme="minorHAnsi"/>
          <w:i/>
          <w:iCs/>
          <w:sz w:val="24"/>
          <w:szCs w:val="24"/>
        </w:rPr>
        <w:t xml:space="preserve">irst, </w:t>
      </w:r>
      <w:r w:rsidR="003E0041" w:rsidRPr="003B44D7">
        <w:rPr>
          <w:rFonts w:cstheme="minorHAnsi"/>
          <w:sz w:val="24"/>
          <w:szCs w:val="24"/>
        </w:rPr>
        <w:t xml:space="preserve">it has led to an increase in the amount, </w:t>
      </w:r>
      <w:proofErr w:type="gramStart"/>
      <w:r w:rsidR="00F07766" w:rsidRPr="003B44D7">
        <w:rPr>
          <w:rFonts w:cstheme="minorHAnsi"/>
          <w:sz w:val="24"/>
          <w:szCs w:val="24"/>
        </w:rPr>
        <w:t>visibility</w:t>
      </w:r>
      <w:proofErr w:type="gramEnd"/>
      <w:r w:rsidR="004A6925" w:rsidRPr="003B44D7">
        <w:rPr>
          <w:rFonts w:cstheme="minorHAnsi"/>
          <w:sz w:val="24"/>
          <w:szCs w:val="24"/>
        </w:rPr>
        <w:t xml:space="preserve"> and permanence</w:t>
      </w:r>
      <w:r w:rsidR="00D725A7" w:rsidRPr="003B44D7">
        <w:rPr>
          <w:rFonts w:cstheme="minorHAnsi"/>
          <w:sz w:val="24"/>
          <w:szCs w:val="24"/>
        </w:rPr>
        <w:t xml:space="preserve"> of </w:t>
      </w:r>
      <w:r w:rsidR="006E6EDF" w:rsidRPr="003B44D7">
        <w:rPr>
          <w:rFonts w:cstheme="minorHAnsi"/>
          <w:sz w:val="24"/>
          <w:szCs w:val="24"/>
        </w:rPr>
        <w:t xml:space="preserve">unfiltered </w:t>
      </w:r>
      <w:r w:rsidR="00E8482E" w:rsidRPr="003B44D7">
        <w:rPr>
          <w:rFonts w:cstheme="minorHAnsi"/>
          <w:sz w:val="24"/>
          <w:szCs w:val="24"/>
        </w:rPr>
        <w:t xml:space="preserve">public </w:t>
      </w:r>
      <w:r w:rsidR="006E6EDF" w:rsidRPr="003B44D7">
        <w:rPr>
          <w:rFonts w:cstheme="minorHAnsi"/>
          <w:sz w:val="24"/>
          <w:szCs w:val="24"/>
        </w:rPr>
        <w:t>speech</w:t>
      </w:r>
      <w:r w:rsidR="003E0041" w:rsidRPr="003B44D7">
        <w:rPr>
          <w:rFonts w:cstheme="minorHAnsi"/>
          <w:sz w:val="24"/>
          <w:szCs w:val="24"/>
        </w:rPr>
        <w:t>, including hate speech, and thereby</w:t>
      </w:r>
      <w:r w:rsidR="00881FA8" w:rsidRPr="003B44D7">
        <w:rPr>
          <w:rFonts w:cstheme="minorHAnsi"/>
          <w:sz w:val="24"/>
          <w:szCs w:val="24"/>
        </w:rPr>
        <w:t xml:space="preserve"> confronted</w:t>
      </w:r>
      <w:r w:rsidR="00020342" w:rsidRPr="003B44D7">
        <w:rPr>
          <w:rFonts w:cstheme="minorHAnsi"/>
          <w:sz w:val="24"/>
          <w:szCs w:val="24"/>
        </w:rPr>
        <w:t xml:space="preserve"> </w:t>
      </w:r>
      <w:r w:rsidR="006C4B3D" w:rsidRPr="003B44D7">
        <w:rPr>
          <w:rFonts w:cstheme="minorHAnsi"/>
          <w:sz w:val="24"/>
          <w:szCs w:val="24"/>
        </w:rPr>
        <w:t xml:space="preserve">European </w:t>
      </w:r>
      <w:r w:rsidR="00213F95" w:rsidRPr="003B44D7">
        <w:rPr>
          <w:rFonts w:cstheme="minorHAnsi"/>
          <w:sz w:val="24"/>
          <w:szCs w:val="24"/>
        </w:rPr>
        <w:t xml:space="preserve">hate </w:t>
      </w:r>
      <w:r w:rsidR="00C048F1" w:rsidRPr="003B44D7">
        <w:rPr>
          <w:rFonts w:cstheme="minorHAnsi"/>
          <w:sz w:val="24"/>
          <w:szCs w:val="24"/>
        </w:rPr>
        <w:t xml:space="preserve">speech prohibitions </w:t>
      </w:r>
      <w:r w:rsidR="006C19B6" w:rsidRPr="003B44D7">
        <w:rPr>
          <w:rFonts w:cstheme="minorHAnsi"/>
          <w:sz w:val="24"/>
          <w:szCs w:val="24"/>
        </w:rPr>
        <w:t xml:space="preserve">with </w:t>
      </w:r>
      <w:r w:rsidR="006C4B3D" w:rsidRPr="003B44D7">
        <w:rPr>
          <w:rFonts w:cstheme="minorHAnsi"/>
          <w:sz w:val="24"/>
          <w:szCs w:val="24"/>
        </w:rPr>
        <w:t xml:space="preserve">a problem </w:t>
      </w:r>
      <w:r w:rsidR="006C19B6" w:rsidRPr="003B44D7">
        <w:rPr>
          <w:rFonts w:cstheme="minorHAnsi"/>
          <w:sz w:val="24"/>
          <w:szCs w:val="24"/>
        </w:rPr>
        <w:t xml:space="preserve">of </w:t>
      </w:r>
      <w:r w:rsidR="006C4B3D" w:rsidRPr="003B44D7">
        <w:rPr>
          <w:rFonts w:cstheme="minorHAnsi"/>
          <w:sz w:val="24"/>
          <w:szCs w:val="24"/>
        </w:rPr>
        <w:t xml:space="preserve">a </w:t>
      </w:r>
      <w:r w:rsidR="006C19B6" w:rsidRPr="003B44D7">
        <w:rPr>
          <w:rFonts w:cstheme="minorHAnsi"/>
          <w:sz w:val="24"/>
          <w:szCs w:val="24"/>
        </w:rPr>
        <w:t xml:space="preserve">different </w:t>
      </w:r>
      <w:r w:rsidR="006E6EDF" w:rsidRPr="003B44D7">
        <w:rPr>
          <w:rFonts w:cstheme="minorHAnsi"/>
          <w:sz w:val="24"/>
          <w:szCs w:val="24"/>
        </w:rPr>
        <w:t>order of magnitude</w:t>
      </w:r>
      <w:r w:rsidR="005A5D42" w:rsidRPr="003B44D7">
        <w:rPr>
          <w:rFonts w:cstheme="minorHAnsi"/>
          <w:sz w:val="24"/>
          <w:szCs w:val="24"/>
        </w:rPr>
        <w:t xml:space="preserve"> – one </w:t>
      </w:r>
      <w:r w:rsidR="003E0041" w:rsidRPr="003B44D7">
        <w:rPr>
          <w:rFonts w:cstheme="minorHAnsi"/>
          <w:sz w:val="24"/>
          <w:szCs w:val="24"/>
        </w:rPr>
        <w:t>that</w:t>
      </w:r>
      <w:r w:rsidR="003716DB" w:rsidRPr="003B44D7">
        <w:rPr>
          <w:rFonts w:cstheme="minorHAnsi"/>
          <w:sz w:val="24"/>
          <w:szCs w:val="24"/>
        </w:rPr>
        <w:t xml:space="preserve"> </w:t>
      </w:r>
      <w:r w:rsidRPr="003B44D7">
        <w:rPr>
          <w:rFonts w:cstheme="minorHAnsi"/>
          <w:sz w:val="24"/>
          <w:szCs w:val="24"/>
        </w:rPr>
        <w:t>demand</w:t>
      </w:r>
      <w:r w:rsidR="00D47E97" w:rsidRPr="003B44D7">
        <w:rPr>
          <w:rFonts w:cstheme="minorHAnsi"/>
          <w:sz w:val="24"/>
          <w:szCs w:val="24"/>
        </w:rPr>
        <w:t>s</w:t>
      </w:r>
      <w:r w:rsidRPr="003B44D7">
        <w:rPr>
          <w:rFonts w:cstheme="minorHAnsi"/>
          <w:sz w:val="24"/>
          <w:szCs w:val="24"/>
        </w:rPr>
        <w:t xml:space="preserve"> </w:t>
      </w:r>
      <w:r w:rsidR="0040386B" w:rsidRPr="003B44D7">
        <w:rPr>
          <w:rFonts w:cstheme="minorHAnsi"/>
          <w:sz w:val="24"/>
          <w:szCs w:val="24"/>
        </w:rPr>
        <w:t xml:space="preserve">a paradigmatic regulatory </w:t>
      </w:r>
      <w:r w:rsidR="000A7D3C" w:rsidRPr="003B44D7">
        <w:rPr>
          <w:rFonts w:cstheme="minorHAnsi"/>
          <w:sz w:val="24"/>
          <w:szCs w:val="24"/>
        </w:rPr>
        <w:t>rethink</w:t>
      </w:r>
      <w:r w:rsidR="006E6EDF" w:rsidRPr="003B44D7">
        <w:rPr>
          <w:rFonts w:cstheme="minorHAnsi"/>
          <w:sz w:val="24"/>
          <w:szCs w:val="24"/>
        </w:rPr>
        <w:t>.</w:t>
      </w:r>
      <w:r w:rsidR="00530E78" w:rsidRPr="003B44D7">
        <w:rPr>
          <w:rFonts w:cstheme="minorHAnsi"/>
          <w:sz w:val="24"/>
          <w:szCs w:val="24"/>
        </w:rPr>
        <w:t xml:space="preserve"> </w:t>
      </w:r>
      <w:r w:rsidR="00530E78" w:rsidRPr="003B44D7">
        <w:rPr>
          <w:rFonts w:cstheme="minorHAnsi"/>
          <w:i/>
          <w:iCs/>
          <w:sz w:val="24"/>
          <w:szCs w:val="24"/>
        </w:rPr>
        <w:t>Second,</w:t>
      </w:r>
      <w:r w:rsidR="00530E78" w:rsidRPr="003B44D7">
        <w:rPr>
          <w:rFonts w:cstheme="minorHAnsi"/>
          <w:sz w:val="24"/>
          <w:szCs w:val="24"/>
        </w:rPr>
        <w:t xml:space="preserve"> </w:t>
      </w:r>
      <w:r w:rsidR="004547D6" w:rsidRPr="003B44D7">
        <w:rPr>
          <w:rFonts w:cstheme="minorHAnsi"/>
          <w:sz w:val="24"/>
          <w:szCs w:val="24"/>
        </w:rPr>
        <w:t>the Interne</w:t>
      </w:r>
      <w:r w:rsidR="000A7D3C" w:rsidRPr="003B44D7">
        <w:rPr>
          <w:rFonts w:cstheme="minorHAnsi"/>
          <w:sz w:val="24"/>
          <w:szCs w:val="24"/>
        </w:rPr>
        <w:t xml:space="preserve">t has also ‘globalised’ speech and made </w:t>
      </w:r>
      <w:r w:rsidR="004547D6" w:rsidRPr="003B44D7">
        <w:rPr>
          <w:rFonts w:cstheme="minorHAnsi"/>
          <w:sz w:val="24"/>
          <w:szCs w:val="24"/>
        </w:rPr>
        <w:t xml:space="preserve">the </w:t>
      </w:r>
      <w:r w:rsidR="006E6EDF" w:rsidRPr="003B44D7">
        <w:rPr>
          <w:rFonts w:cstheme="minorHAnsi"/>
          <w:sz w:val="24"/>
          <w:szCs w:val="24"/>
        </w:rPr>
        <w:t>territorial silos within which divergent speech cultures</w:t>
      </w:r>
      <w:r w:rsidR="00BA1C9F" w:rsidRPr="003B44D7">
        <w:rPr>
          <w:rFonts w:cstheme="minorHAnsi"/>
          <w:sz w:val="24"/>
          <w:szCs w:val="24"/>
        </w:rPr>
        <w:t xml:space="preserve"> could</w:t>
      </w:r>
      <w:r w:rsidR="009402CA" w:rsidRPr="003B44D7">
        <w:rPr>
          <w:rFonts w:cstheme="minorHAnsi"/>
          <w:sz w:val="24"/>
          <w:szCs w:val="24"/>
        </w:rPr>
        <w:t xml:space="preserve"> previously</w:t>
      </w:r>
      <w:r w:rsidR="006E6EDF" w:rsidRPr="003B44D7">
        <w:rPr>
          <w:rFonts w:cstheme="minorHAnsi"/>
          <w:sz w:val="24"/>
          <w:szCs w:val="24"/>
        </w:rPr>
        <w:t xml:space="preserve"> be enacted</w:t>
      </w:r>
      <w:r w:rsidR="006C19B6" w:rsidRPr="003B44D7">
        <w:rPr>
          <w:rFonts w:cstheme="minorHAnsi"/>
          <w:sz w:val="24"/>
          <w:szCs w:val="24"/>
        </w:rPr>
        <w:t xml:space="preserve"> with </w:t>
      </w:r>
      <w:r w:rsidR="00E771D2" w:rsidRPr="003B44D7">
        <w:rPr>
          <w:rFonts w:cstheme="minorHAnsi"/>
          <w:sz w:val="24"/>
          <w:szCs w:val="24"/>
        </w:rPr>
        <w:t>relative</w:t>
      </w:r>
      <w:r w:rsidR="006C19B6" w:rsidRPr="003B44D7">
        <w:rPr>
          <w:rFonts w:cstheme="minorHAnsi"/>
          <w:sz w:val="24"/>
          <w:szCs w:val="24"/>
        </w:rPr>
        <w:t xml:space="preserve"> coherence</w:t>
      </w:r>
      <w:r w:rsidR="007C3CC9" w:rsidRPr="003B44D7">
        <w:rPr>
          <w:rFonts w:cstheme="minorHAnsi"/>
          <w:sz w:val="24"/>
          <w:szCs w:val="24"/>
        </w:rPr>
        <w:t xml:space="preserve"> not impossible</w:t>
      </w:r>
      <w:r w:rsidR="00214EF3" w:rsidRPr="003B44D7">
        <w:rPr>
          <w:rFonts w:cstheme="minorHAnsi"/>
          <w:sz w:val="24"/>
          <w:szCs w:val="24"/>
        </w:rPr>
        <w:t>,</w:t>
      </w:r>
      <w:r w:rsidR="006E6EDF" w:rsidRPr="003B44D7">
        <w:rPr>
          <w:rFonts w:cstheme="minorHAnsi"/>
          <w:sz w:val="24"/>
          <w:szCs w:val="24"/>
        </w:rPr>
        <w:t xml:space="preserve"> but </w:t>
      </w:r>
      <w:r w:rsidR="00B26E9F" w:rsidRPr="003B44D7">
        <w:rPr>
          <w:rFonts w:cstheme="minorHAnsi"/>
          <w:sz w:val="24"/>
          <w:szCs w:val="24"/>
        </w:rPr>
        <w:t xml:space="preserve">much </w:t>
      </w:r>
      <w:r w:rsidR="006E6EDF" w:rsidRPr="003B44D7">
        <w:rPr>
          <w:rFonts w:cstheme="minorHAnsi"/>
          <w:sz w:val="24"/>
          <w:szCs w:val="24"/>
        </w:rPr>
        <w:t>harder to realise.</w:t>
      </w:r>
      <w:r w:rsidR="00383DB9" w:rsidRPr="003B44D7">
        <w:rPr>
          <w:rStyle w:val="FootnoteReference"/>
          <w:rFonts w:cstheme="minorHAnsi"/>
          <w:sz w:val="24"/>
          <w:szCs w:val="24"/>
        </w:rPr>
        <w:footnoteReference w:id="12"/>
      </w:r>
      <w:r w:rsidR="000A7D3C" w:rsidRPr="003B44D7">
        <w:rPr>
          <w:rFonts w:cstheme="minorHAnsi"/>
          <w:sz w:val="24"/>
          <w:szCs w:val="24"/>
        </w:rPr>
        <w:t xml:space="preserve"> This paper </w:t>
      </w:r>
      <w:r w:rsidR="00D725A7" w:rsidRPr="003B44D7">
        <w:rPr>
          <w:rFonts w:cstheme="minorHAnsi"/>
          <w:sz w:val="24"/>
          <w:szCs w:val="24"/>
        </w:rPr>
        <w:t>proposes</w:t>
      </w:r>
      <w:r w:rsidR="000A7D3C" w:rsidRPr="003B44D7">
        <w:rPr>
          <w:rFonts w:cstheme="minorHAnsi"/>
          <w:sz w:val="24"/>
          <w:szCs w:val="24"/>
        </w:rPr>
        <w:t xml:space="preserve"> </w:t>
      </w:r>
      <w:r w:rsidR="006C19B6" w:rsidRPr="003B44D7">
        <w:rPr>
          <w:rFonts w:cstheme="minorHAnsi"/>
          <w:sz w:val="24"/>
          <w:szCs w:val="24"/>
        </w:rPr>
        <w:t xml:space="preserve">that the pressure towards </w:t>
      </w:r>
      <w:r w:rsidR="00E771D2" w:rsidRPr="003B44D7">
        <w:rPr>
          <w:rFonts w:cstheme="minorHAnsi"/>
          <w:sz w:val="24"/>
          <w:szCs w:val="24"/>
        </w:rPr>
        <w:t xml:space="preserve">a </w:t>
      </w:r>
      <w:r w:rsidR="006C19B6" w:rsidRPr="003B44D7">
        <w:rPr>
          <w:rFonts w:cstheme="minorHAnsi"/>
          <w:sz w:val="24"/>
          <w:szCs w:val="24"/>
        </w:rPr>
        <w:t xml:space="preserve">new regulatory </w:t>
      </w:r>
      <w:r w:rsidR="0040386B" w:rsidRPr="003B44D7">
        <w:rPr>
          <w:rFonts w:cstheme="minorHAnsi"/>
          <w:sz w:val="24"/>
          <w:szCs w:val="24"/>
        </w:rPr>
        <w:t>paradigm</w:t>
      </w:r>
      <w:r w:rsidR="006C19B6" w:rsidRPr="003B44D7">
        <w:rPr>
          <w:rFonts w:cstheme="minorHAnsi"/>
          <w:sz w:val="24"/>
          <w:szCs w:val="24"/>
        </w:rPr>
        <w:t xml:space="preserve">, on </w:t>
      </w:r>
      <w:r w:rsidR="00FD4110" w:rsidRPr="003B44D7">
        <w:rPr>
          <w:rFonts w:cstheme="minorHAnsi"/>
          <w:sz w:val="24"/>
          <w:szCs w:val="24"/>
        </w:rPr>
        <w:t xml:space="preserve">the </w:t>
      </w:r>
      <w:r w:rsidR="006C19B6" w:rsidRPr="003B44D7">
        <w:rPr>
          <w:rFonts w:cstheme="minorHAnsi"/>
          <w:sz w:val="24"/>
          <w:szCs w:val="24"/>
        </w:rPr>
        <w:t>one hand, and towards</w:t>
      </w:r>
      <w:r w:rsidR="00BA1C9F" w:rsidRPr="003B44D7">
        <w:rPr>
          <w:rFonts w:cstheme="minorHAnsi"/>
          <w:sz w:val="24"/>
          <w:szCs w:val="24"/>
        </w:rPr>
        <w:t xml:space="preserve"> </w:t>
      </w:r>
      <w:r w:rsidR="00E8482E" w:rsidRPr="003B44D7">
        <w:rPr>
          <w:rFonts w:cstheme="minorHAnsi"/>
          <w:sz w:val="24"/>
          <w:szCs w:val="24"/>
        </w:rPr>
        <w:t xml:space="preserve">some </w:t>
      </w:r>
      <w:r w:rsidR="009402CA" w:rsidRPr="003B44D7">
        <w:rPr>
          <w:rFonts w:cstheme="minorHAnsi"/>
          <w:sz w:val="24"/>
          <w:szCs w:val="24"/>
        </w:rPr>
        <w:t>reconciliation</w:t>
      </w:r>
      <w:r w:rsidR="0040386B" w:rsidRPr="003B44D7">
        <w:rPr>
          <w:rFonts w:cstheme="minorHAnsi"/>
          <w:sz w:val="24"/>
          <w:szCs w:val="24"/>
        </w:rPr>
        <w:t xml:space="preserve"> between</w:t>
      </w:r>
      <w:r w:rsidR="006C19B6" w:rsidRPr="003B44D7">
        <w:rPr>
          <w:rFonts w:cstheme="minorHAnsi"/>
          <w:sz w:val="24"/>
          <w:szCs w:val="24"/>
        </w:rPr>
        <w:t xml:space="preserve"> </w:t>
      </w:r>
      <w:r w:rsidR="00003757" w:rsidRPr="003B44D7">
        <w:rPr>
          <w:rFonts w:cstheme="minorHAnsi"/>
          <w:sz w:val="24"/>
          <w:szCs w:val="24"/>
        </w:rPr>
        <w:t>the</w:t>
      </w:r>
      <w:r w:rsidR="00C048F1" w:rsidRPr="003B44D7">
        <w:rPr>
          <w:rFonts w:cstheme="minorHAnsi"/>
          <w:sz w:val="24"/>
          <w:szCs w:val="24"/>
        </w:rPr>
        <w:t xml:space="preserve"> </w:t>
      </w:r>
      <w:r w:rsidR="00FD4110" w:rsidRPr="003B44D7">
        <w:rPr>
          <w:rFonts w:cstheme="minorHAnsi"/>
          <w:sz w:val="24"/>
          <w:szCs w:val="24"/>
        </w:rPr>
        <w:t>speech</w:t>
      </w:r>
      <w:r w:rsidR="0040386B" w:rsidRPr="003B44D7">
        <w:rPr>
          <w:rFonts w:cstheme="minorHAnsi"/>
          <w:sz w:val="24"/>
          <w:szCs w:val="24"/>
        </w:rPr>
        <w:t xml:space="preserve"> traditions</w:t>
      </w:r>
      <w:r w:rsidR="007C3CC9" w:rsidRPr="003B44D7">
        <w:rPr>
          <w:rFonts w:cstheme="minorHAnsi"/>
          <w:sz w:val="24"/>
          <w:szCs w:val="24"/>
        </w:rPr>
        <w:t xml:space="preserve">, on the other hand, </w:t>
      </w:r>
      <w:r w:rsidR="0068291B" w:rsidRPr="003B44D7">
        <w:rPr>
          <w:rFonts w:cstheme="minorHAnsi"/>
          <w:sz w:val="24"/>
          <w:szCs w:val="24"/>
        </w:rPr>
        <w:t>is</w:t>
      </w:r>
      <w:r w:rsidR="005B3E61" w:rsidRPr="003B44D7">
        <w:rPr>
          <w:rFonts w:cstheme="minorHAnsi"/>
          <w:sz w:val="24"/>
          <w:szCs w:val="24"/>
        </w:rPr>
        <w:t xml:space="preserve"> </w:t>
      </w:r>
      <w:r w:rsidR="0068291B" w:rsidRPr="003B44D7">
        <w:rPr>
          <w:rFonts w:cstheme="minorHAnsi"/>
          <w:sz w:val="24"/>
          <w:szCs w:val="24"/>
        </w:rPr>
        <w:t>unexpectedly</w:t>
      </w:r>
      <w:r w:rsidR="005B3E61" w:rsidRPr="003B44D7">
        <w:rPr>
          <w:rFonts w:cstheme="minorHAnsi"/>
          <w:sz w:val="24"/>
          <w:szCs w:val="24"/>
        </w:rPr>
        <w:t xml:space="preserve"> </w:t>
      </w:r>
      <w:r w:rsidR="006C19B6" w:rsidRPr="003B44D7">
        <w:rPr>
          <w:rFonts w:cstheme="minorHAnsi"/>
          <w:sz w:val="24"/>
          <w:szCs w:val="24"/>
        </w:rPr>
        <w:t>bearing fruit</w:t>
      </w:r>
      <w:r w:rsidR="006C4B3D" w:rsidRPr="003B44D7">
        <w:rPr>
          <w:rFonts w:cstheme="minorHAnsi"/>
          <w:sz w:val="24"/>
          <w:szCs w:val="24"/>
        </w:rPr>
        <w:t xml:space="preserve">. </w:t>
      </w:r>
      <w:r w:rsidR="00296306" w:rsidRPr="003B44D7">
        <w:rPr>
          <w:rFonts w:cstheme="minorHAnsi"/>
          <w:sz w:val="24"/>
          <w:szCs w:val="24"/>
        </w:rPr>
        <w:t xml:space="preserve">The German </w:t>
      </w:r>
      <w:r w:rsidR="00650E82" w:rsidRPr="00650E82">
        <w:rPr>
          <w:rFonts w:cstheme="minorHAnsi"/>
          <w:i/>
          <w:iCs/>
          <w:sz w:val="24"/>
          <w:szCs w:val="24"/>
        </w:rPr>
        <w:t xml:space="preserve">Law to Improve Law Enforcement on </w:t>
      </w:r>
      <w:r w:rsidR="00650E82">
        <w:rPr>
          <w:rFonts w:cstheme="minorHAnsi"/>
          <w:i/>
          <w:iCs/>
          <w:sz w:val="24"/>
          <w:szCs w:val="24"/>
        </w:rPr>
        <w:t xml:space="preserve">Social </w:t>
      </w:r>
      <w:r w:rsidR="00296306" w:rsidRPr="00650E82">
        <w:rPr>
          <w:rFonts w:cstheme="minorHAnsi"/>
          <w:i/>
          <w:iCs/>
          <w:sz w:val="24"/>
          <w:szCs w:val="24"/>
        </w:rPr>
        <w:t>Network</w:t>
      </w:r>
      <w:r w:rsidR="00650E82" w:rsidRPr="00650E82">
        <w:rPr>
          <w:rFonts w:cstheme="minorHAnsi"/>
          <w:i/>
          <w:iCs/>
          <w:sz w:val="24"/>
          <w:szCs w:val="24"/>
        </w:rPr>
        <w:t>s</w:t>
      </w:r>
      <w:r w:rsidR="00650E82">
        <w:rPr>
          <w:rFonts w:cstheme="minorHAnsi"/>
          <w:sz w:val="24"/>
          <w:szCs w:val="24"/>
        </w:rPr>
        <w:t xml:space="preserve"> </w:t>
      </w:r>
      <w:r w:rsidR="00296306" w:rsidRPr="003B44D7">
        <w:rPr>
          <w:rFonts w:cstheme="minorHAnsi"/>
          <w:sz w:val="24"/>
          <w:szCs w:val="24"/>
        </w:rPr>
        <w:t>(2017)</w:t>
      </w:r>
      <w:r w:rsidR="00296306" w:rsidRPr="003B44D7">
        <w:rPr>
          <w:rStyle w:val="FootnoteReference"/>
          <w:rFonts w:cstheme="minorHAnsi"/>
          <w:sz w:val="24"/>
          <w:szCs w:val="24"/>
        </w:rPr>
        <w:footnoteReference w:id="13"/>
      </w:r>
      <w:r w:rsidR="00296306" w:rsidRPr="003B44D7">
        <w:rPr>
          <w:rFonts w:cstheme="minorHAnsi"/>
          <w:sz w:val="24"/>
          <w:szCs w:val="24"/>
        </w:rPr>
        <w:t xml:space="preserve"> [hereafter NetzDG] is the first of </w:t>
      </w:r>
      <w:proofErr w:type="gramStart"/>
      <w:r w:rsidR="00296306" w:rsidRPr="003B44D7">
        <w:rPr>
          <w:rFonts w:cstheme="minorHAnsi"/>
          <w:sz w:val="24"/>
          <w:szCs w:val="24"/>
        </w:rPr>
        <w:t>a number of</w:t>
      </w:r>
      <w:proofErr w:type="gramEnd"/>
      <w:r w:rsidR="00296306" w:rsidRPr="003B44D7">
        <w:rPr>
          <w:rFonts w:cstheme="minorHAnsi"/>
          <w:sz w:val="24"/>
          <w:szCs w:val="24"/>
        </w:rPr>
        <w:t xml:space="preserve"> similar European initiatives,</w:t>
      </w:r>
      <w:r w:rsidR="00296306" w:rsidRPr="003B44D7">
        <w:rPr>
          <w:rStyle w:val="FootnoteReference"/>
          <w:rFonts w:cstheme="minorHAnsi"/>
          <w:sz w:val="24"/>
          <w:szCs w:val="24"/>
        </w:rPr>
        <w:footnoteReference w:id="14"/>
      </w:r>
      <w:r w:rsidR="00F638A9" w:rsidRPr="003B44D7">
        <w:rPr>
          <w:rStyle w:val="FootnoteReference"/>
          <w:rFonts w:cstheme="minorHAnsi"/>
          <w:sz w:val="24"/>
          <w:szCs w:val="24"/>
        </w:rPr>
        <w:t xml:space="preserve"> </w:t>
      </w:r>
      <w:r w:rsidR="00296306" w:rsidRPr="003B44D7">
        <w:rPr>
          <w:rFonts w:cstheme="minorHAnsi"/>
          <w:sz w:val="24"/>
          <w:szCs w:val="24"/>
        </w:rPr>
        <w:t>that requires major platforms to moderate content in response to user takedown notices, and thereby delivers, it is argued, a compromise between American and European speech traditions. As all compromises, NetzDG has left both sides - US platforms and First Amendment advocates, on one side,</w:t>
      </w:r>
      <w:r w:rsidR="003B44D7" w:rsidRPr="003B44D7">
        <w:rPr>
          <w:rFonts w:cstheme="minorHAnsi"/>
          <w:sz w:val="24"/>
          <w:szCs w:val="24"/>
        </w:rPr>
        <w:t xml:space="preserve"> </w:t>
      </w:r>
      <w:r w:rsidR="00296306" w:rsidRPr="003B44D7">
        <w:rPr>
          <w:rFonts w:cstheme="minorHAnsi"/>
          <w:sz w:val="24"/>
          <w:szCs w:val="24"/>
        </w:rPr>
        <w:t xml:space="preserve">and European </w:t>
      </w:r>
      <w:r w:rsidR="00825B64" w:rsidRPr="003B44D7">
        <w:rPr>
          <w:rFonts w:cstheme="minorHAnsi"/>
          <w:sz w:val="24"/>
          <w:szCs w:val="24"/>
        </w:rPr>
        <w:t xml:space="preserve">advocates </w:t>
      </w:r>
      <w:r w:rsidR="00825B64" w:rsidRPr="003B44D7">
        <w:rPr>
          <w:rFonts w:cstheme="minorHAnsi"/>
          <w:sz w:val="24"/>
          <w:szCs w:val="24"/>
        </w:rPr>
        <w:lastRenderedPageBreak/>
        <w:t>of speech restriction</w:t>
      </w:r>
      <w:r w:rsidR="003B44D7" w:rsidRPr="003B44D7">
        <w:rPr>
          <w:rFonts w:cstheme="minorHAnsi"/>
          <w:sz w:val="24"/>
          <w:szCs w:val="24"/>
        </w:rPr>
        <w:t>s</w:t>
      </w:r>
      <w:r w:rsidR="00825B64" w:rsidRPr="003B44D7">
        <w:rPr>
          <w:rFonts w:cstheme="minorHAnsi"/>
          <w:sz w:val="24"/>
          <w:szCs w:val="24"/>
        </w:rPr>
        <w:t xml:space="preserve"> to protect the rights of others</w:t>
      </w:r>
      <w:r w:rsidR="00296306" w:rsidRPr="003B44D7">
        <w:rPr>
          <w:rFonts w:cstheme="minorHAnsi"/>
          <w:sz w:val="24"/>
          <w:szCs w:val="24"/>
        </w:rPr>
        <w:t>, on the other side</w:t>
      </w:r>
      <w:r w:rsidR="00296306" w:rsidRPr="003B44D7">
        <w:rPr>
          <w:rStyle w:val="FootnoteReference"/>
          <w:rFonts w:cstheme="minorHAnsi"/>
          <w:sz w:val="24"/>
          <w:szCs w:val="24"/>
        </w:rPr>
        <w:footnoteReference w:id="15"/>
      </w:r>
      <w:r w:rsidR="007D1AF1" w:rsidRPr="003B44D7">
        <w:rPr>
          <w:rFonts w:cstheme="minorHAnsi"/>
          <w:sz w:val="24"/>
          <w:szCs w:val="24"/>
        </w:rPr>
        <w:t xml:space="preserve"> – feeling compromised</w:t>
      </w:r>
      <w:r w:rsidR="00296306" w:rsidRPr="003B44D7">
        <w:rPr>
          <w:rFonts w:cstheme="minorHAnsi"/>
          <w:sz w:val="24"/>
          <w:szCs w:val="24"/>
        </w:rPr>
        <w:t xml:space="preserve"> and not illegitimately so. Nevertheless, </w:t>
      </w:r>
      <w:r w:rsidR="007D1AF1" w:rsidRPr="003B44D7">
        <w:rPr>
          <w:rFonts w:cstheme="minorHAnsi"/>
          <w:sz w:val="24"/>
          <w:szCs w:val="24"/>
        </w:rPr>
        <w:t xml:space="preserve">the argument </w:t>
      </w:r>
      <w:r w:rsidR="00B26E9F" w:rsidRPr="003B44D7">
        <w:rPr>
          <w:rFonts w:cstheme="minorHAnsi"/>
          <w:sz w:val="24"/>
          <w:szCs w:val="24"/>
        </w:rPr>
        <w:t xml:space="preserve">here </w:t>
      </w:r>
      <w:r w:rsidR="007D1AF1" w:rsidRPr="003B44D7">
        <w:rPr>
          <w:rFonts w:cstheme="minorHAnsi"/>
          <w:sz w:val="24"/>
          <w:szCs w:val="24"/>
        </w:rPr>
        <w:t>is</w:t>
      </w:r>
      <w:r w:rsidR="00296306" w:rsidRPr="003B44D7">
        <w:rPr>
          <w:rFonts w:cstheme="minorHAnsi"/>
          <w:sz w:val="24"/>
          <w:szCs w:val="24"/>
        </w:rPr>
        <w:t xml:space="preserve"> that the mechanism which NetzDG adopts, namely a</w:t>
      </w:r>
      <w:r w:rsidR="004E460E" w:rsidRPr="003B44D7">
        <w:rPr>
          <w:rFonts w:cstheme="minorHAnsi"/>
          <w:i/>
          <w:sz w:val="24"/>
          <w:szCs w:val="24"/>
        </w:rPr>
        <w:t xml:space="preserve"> public standard setting enforced via private processes</w:t>
      </w:r>
      <w:r w:rsidR="00296306" w:rsidRPr="003B44D7">
        <w:rPr>
          <w:rFonts w:cstheme="minorHAnsi"/>
          <w:sz w:val="24"/>
          <w:szCs w:val="24"/>
        </w:rPr>
        <w:t xml:space="preserve">, is uniquely adept at simultaneously assuaging the </w:t>
      </w:r>
      <w:r w:rsidR="00296306" w:rsidRPr="003B44D7">
        <w:rPr>
          <w:rFonts w:cstheme="minorHAnsi"/>
          <w:i/>
          <w:sz w:val="24"/>
          <w:szCs w:val="24"/>
        </w:rPr>
        <w:t xml:space="preserve">primary </w:t>
      </w:r>
      <w:r w:rsidR="00296306" w:rsidRPr="003B44D7">
        <w:rPr>
          <w:rFonts w:cstheme="minorHAnsi"/>
          <w:sz w:val="24"/>
          <w:szCs w:val="24"/>
        </w:rPr>
        <w:t xml:space="preserve">European fear about the absence of effective speech controls </w:t>
      </w:r>
      <w:r w:rsidR="00223BD4" w:rsidRPr="003B44D7">
        <w:rPr>
          <w:rFonts w:cstheme="minorHAnsi"/>
          <w:sz w:val="24"/>
          <w:szCs w:val="24"/>
        </w:rPr>
        <w:t>in</w:t>
      </w:r>
      <w:r w:rsidR="007D1AF1" w:rsidRPr="003B44D7">
        <w:rPr>
          <w:rFonts w:cstheme="minorHAnsi"/>
          <w:sz w:val="24"/>
          <w:szCs w:val="24"/>
        </w:rPr>
        <w:t xml:space="preserve"> the public domain </w:t>
      </w:r>
      <w:r w:rsidR="00296306" w:rsidRPr="003B44D7">
        <w:rPr>
          <w:rFonts w:cstheme="minorHAnsi"/>
          <w:sz w:val="24"/>
          <w:szCs w:val="24"/>
        </w:rPr>
        <w:t xml:space="preserve">and the </w:t>
      </w:r>
      <w:r w:rsidR="00296306" w:rsidRPr="003B44D7">
        <w:rPr>
          <w:rFonts w:cstheme="minorHAnsi"/>
          <w:i/>
          <w:sz w:val="24"/>
          <w:szCs w:val="24"/>
        </w:rPr>
        <w:t xml:space="preserve">primary </w:t>
      </w:r>
      <w:r w:rsidR="00296306" w:rsidRPr="003B44D7">
        <w:rPr>
          <w:rFonts w:cstheme="minorHAnsi"/>
          <w:sz w:val="24"/>
          <w:szCs w:val="24"/>
        </w:rPr>
        <w:t>American fear about the presence of governmental censorship. Both fears are grounded in the</w:t>
      </w:r>
      <w:r w:rsidR="005A5D42" w:rsidRPr="003B44D7">
        <w:rPr>
          <w:rFonts w:cstheme="minorHAnsi"/>
          <w:sz w:val="24"/>
          <w:szCs w:val="24"/>
        </w:rPr>
        <w:t>ir</w:t>
      </w:r>
      <w:r w:rsidR="00296306" w:rsidRPr="003B44D7">
        <w:rPr>
          <w:rFonts w:cstheme="minorHAnsi"/>
          <w:sz w:val="24"/>
          <w:szCs w:val="24"/>
        </w:rPr>
        <w:t xml:space="preserve"> respective conceptions of citiz</w:t>
      </w:r>
      <w:r w:rsidR="005A5D42" w:rsidRPr="003B44D7">
        <w:rPr>
          <w:rFonts w:cstheme="minorHAnsi"/>
          <w:sz w:val="24"/>
          <w:szCs w:val="24"/>
        </w:rPr>
        <w:t>enry, which</w:t>
      </w:r>
      <w:r w:rsidR="00296306" w:rsidRPr="003B44D7">
        <w:rPr>
          <w:rFonts w:cstheme="minorHAnsi"/>
          <w:sz w:val="24"/>
          <w:szCs w:val="24"/>
        </w:rPr>
        <w:t xml:space="preserve"> are </w:t>
      </w:r>
      <w:r w:rsidR="00296306" w:rsidRPr="003B44D7">
        <w:rPr>
          <w:rFonts w:cstheme="minorHAnsi"/>
          <w:i/>
          <w:sz w:val="24"/>
          <w:szCs w:val="24"/>
        </w:rPr>
        <w:t>prima facie</w:t>
      </w:r>
      <w:r w:rsidR="00296306" w:rsidRPr="003B44D7">
        <w:rPr>
          <w:rFonts w:cstheme="minorHAnsi"/>
          <w:sz w:val="24"/>
          <w:szCs w:val="24"/>
        </w:rPr>
        <w:t xml:space="preserve"> as legitimate </w:t>
      </w:r>
      <w:proofErr w:type="gramStart"/>
      <w:r w:rsidR="00296306" w:rsidRPr="003B44D7">
        <w:rPr>
          <w:rFonts w:cstheme="minorHAnsi"/>
          <w:sz w:val="24"/>
          <w:szCs w:val="24"/>
        </w:rPr>
        <w:t>in their own right as</w:t>
      </w:r>
      <w:proofErr w:type="gramEnd"/>
      <w:r w:rsidR="00296306" w:rsidRPr="003B44D7">
        <w:rPr>
          <w:rFonts w:cstheme="minorHAnsi"/>
          <w:sz w:val="24"/>
          <w:szCs w:val="24"/>
        </w:rPr>
        <w:t xml:space="preserve"> they are </w:t>
      </w:r>
      <w:r w:rsidR="0068291B" w:rsidRPr="003B44D7">
        <w:rPr>
          <w:rFonts w:cstheme="minorHAnsi"/>
          <w:sz w:val="24"/>
          <w:szCs w:val="24"/>
        </w:rPr>
        <w:t>different from</w:t>
      </w:r>
      <w:r w:rsidR="00296306" w:rsidRPr="003B44D7">
        <w:rPr>
          <w:rFonts w:cstheme="minorHAnsi"/>
          <w:sz w:val="24"/>
          <w:szCs w:val="24"/>
        </w:rPr>
        <w:t xml:space="preserve"> each other. </w:t>
      </w:r>
    </w:p>
    <w:p w14:paraId="5CA46F6A" w14:textId="77777777" w:rsidR="00312705" w:rsidRPr="003B44D7" w:rsidRDefault="00312705" w:rsidP="004E7EB4">
      <w:pPr>
        <w:spacing w:after="0" w:line="240" w:lineRule="auto"/>
        <w:jc w:val="both"/>
        <w:rPr>
          <w:rFonts w:cstheme="minorHAnsi"/>
          <w:sz w:val="24"/>
          <w:szCs w:val="24"/>
        </w:rPr>
      </w:pPr>
    </w:p>
    <w:p w14:paraId="2B5325C1" w14:textId="4CB313FE" w:rsidR="00C7063B" w:rsidRPr="003B44D7" w:rsidRDefault="006C1C19" w:rsidP="004E7EB4">
      <w:pPr>
        <w:spacing w:after="0" w:line="240" w:lineRule="auto"/>
        <w:jc w:val="both"/>
        <w:rPr>
          <w:rFonts w:cstheme="minorHAnsi"/>
          <w:sz w:val="24"/>
          <w:szCs w:val="24"/>
        </w:rPr>
      </w:pPr>
      <w:r w:rsidRPr="003B44D7">
        <w:rPr>
          <w:rFonts w:cstheme="minorHAnsi"/>
          <w:sz w:val="24"/>
          <w:szCs w:val="24"/>
        </w:rPr>
        <w:t>Two p</w:t>
      </w:r>
      <w:r w:rsidR="00312705" w:rsidRPr="003B44D7">
        <w:rPr>
          <w:rFonts w:cstheme="minorHAnsi"/>
          <w:sz w:val="24"/>
          <w:szCs w:val="24"/>
        </w:rPr>
        <w:t>reliminary point</w:t>
      </w:r>
      <w:r w:rsidRPr="003B44D7">
        <w:rPr>
          <w:rFonts w:cstheme="minorHAnsi"/>
          <w:sz w:val="24"/>
          <w:szCs w:val="24"/>
        </w:rPr>
        <w:t xml:space="preserve">s are in order. </w:t>
      </w:r>
      <w:r w:rsidRPr="003B44D7">
        <w:rPr>
          <w:rFonts w:cstheme="minorHAnsi"/>
          <w:i/>
          <w:sz w:val="24"/>
          <w:szCs w:val="24"/>
        </w:rPr>
        <w:t>First</w:t>
      </w:r>
      <w:r w:rsidR="00594E6A" w:rsidRPr="003B44D7">
        <w:rPr>
          <w:rFonts w:cstheme="minorHAnsi"/>
          <w:sz w:val="24"/>
          <w:szCs w:val="24"/>
        </w:rPr>
        <w:t>,</w:t>
      </w:r>
      <w:r w:rsidR="00312705" w:rsidRPr="003B44D7">
        <w:rPr>
          <w:rFonts w:cstheme="minorHAnsi"/>
          <w:sz w:val="24"/>
          <w:szCs w:val="24"/>
        </w:rPr>
        <w:t xml:space="preserve"> it may be queried why European r</w:t>
      </w:r>
      <w:r w:rsidR="007D1AF1" w:rsidRPr="003B44D7">
        <w:rPr>
          <w:rFonts w:cstheme="minorHAnsi"/>
          <w:sz w:val="24"/>
          <w:szCs w:val="24"/>
        </w:rPr>
        <w:t xml:space="preserve">egulatory initiatives aimed at removing hate speech from </w:t>
      </w:r>
      <w:r w:rsidR="00C44D89" w:rsidRPr="003B44D7">
        <w:rPr>
          <w:rFonts w:cstheme="minorHAnsi"/>
          <w:i/>
          <w:sz w:val="24"/>
          <w:szCs w:val="24"/>
        </w:rPr>
        <w:t xml:space="preserve">national </w:t>
      </w:r>
      <w:r w:rsidR="00312705" w:rsidRPr="003B44D7">
        <w:rPr>
          <w:rFonts w:cstheme="minorHAnsi"/>
          <w:sz w:val="24"/>
          <w:szCs w:val="24"/>
        </w:rPr>
        <w:t>online space</w:t>
      </w:r>
      <w:r w:rsidR="00DA6DF4" w:rsidRPr="003B44D7">
        <w:rPr>
          <w:rFonts w:cstheme="minorHAnsi"/>
          <w:sz w:val="24"/>
          <w:szCs w:val="24"/>
        </w:rPr>
        <w:t>s</w:t>
      </w:r>
      <w:r w:rsidR="00146BDB" w:rsidRPr="003B44D7">
        <w:rPr>
          <w:rFonts w:cstheme="minorHAnsi"/>
          <w:sz w:val="24"/>
          <w:szCs w:val="24"/>
        </w:rPr>
        <w:t xml:space="preserve">, </w:t>
      </w:r>
      <w:r w:rsidR="007C3CC9" w:rsidRPr="003B44D7">
        <w:rPr>
          <w:rFonts w:cstheme="minorHAnsi"/>
          <w:sz w:val="24"/>
          <w:szCs w:val="24"/>
        </w:rPr>
        <w:t xml:space="preserve">should </w:t>
      </w:r>
      <w:r w:rsidR="00B25614" w:rsidRPr="003B44D7">
        <w:rPr>
          <w:rFonts w:cstheme="minorHAnsi"/>
          <w:sz w:val="24"/>
          <w:szCs w:val="24"/>
        </w:rPr>
        <w:t xml:space="preserve">at all </w:t>
      </w:r>
      <w:r w:rsidR="007C3CC9" w:rsidRPr="003B44D7">
        <w:rPr>
          <w:rFonts w:cstheme="minorHAnsi"/>
          <w:sz w:val="24"/>
          <w:szCs w:val="24"/>
        </w:rPr>
        <w:t xml:space="preserve">be </w:t>
      </w:r>
      <w:r w:rsidR="00312705" w:rsidRPr="003B44D7">
        <w:rPr>
          <w:rFonts w:cstheme="minorHAnsi"/>
          <w:sz w:val="24"/>
          <w:szCs w:val="24"/>
        </w:rPr>
        <w:t>cognizant</w:t>
      </w:r>
      <w:r w:rsidR="00527993" w:rsidRPr="003B44D7">
        <w:rPr>
          <w:rFonts w:cstheme="minorHAnsi"/>
          <w:sz w:val="24"/>
          <w:szCs w:val="24"/>
        </w:rPr>
        <w:t xml:space="preserve"> </w:t>
      </w:r>
      <w:r w:rsidR="00312705" w:rsidRPr="003B44D7">
        <w:rPr>
          <w:rFonts w:cstheme="minorHAnsi"/>
          <w:sz w:val="24"/>
          <w:szCs w:val="24"/>
        </w:rPr>
        <w:t xml:space="preserve">of American speech sensibilities. After all, customary international law on jurisdiction </w:t>
      </w:r>
      <w:r w:rsidR="00972983" w:rsidRPr="003B44D7">
        <w:rPr>
          <w:rFonts w:cstheme="minorHAnsi"/>
          <w:sz w:val="24"/>
          <w:szCs w:val="24"/>
        </w:rPr>
        <w:t>permits</w:t>
      </w:r>
      <w:r w:rsidR="00BA1C9F" w:rsidRPr="003B44D7">
        <w:rPr>
          <w:rFonts w:cstheme="minorHAnsi"/>
          <w:sz w:val="24"/>
          <w:szCs w:val="24"/>
        </w:rPr>
        <w:t xml:space="preserve"> each State </w:t>
      </w:r>
      <w:r w:rsidR="00972983" w:rsidRPr="003B44D7">
        <w:rPr>
          <w:rFonts w:cstheme="minorHAnsi"/>
          <w:sz w:val="24"/>
          <w:szCs w:val="24"/>
        </w:rPr>
        <w:t>to</w:t>
      </w:r>
      <w:r w:rsidR="00527993" w:rsidRPr="003B44D7">
        <w:rPr>
          <w:rFonts w:cstheme="minorHAnsi"/>
          <w:sz w:val="24"/>
          <w:szCs w:val="24"/>
        </w:rPr>
        <w:t xml:space="preserve"> </w:t>
      </w:r>
      <w:r w:rsidR="00972983" w:rsidRPr="003B44D7">
        <w:rPr>
          <w:rFonts w:cstheme="minorHAnsi"/>
          <w:sz w:val="24"/>
          <w:szCs w:val="24"/>
        </w:rPr>
        <w:t>apply</w:t>
      </w:r>
      <w:r w:rsidR="00527993" w:rsidRPr="003B44D7">
        <w:rPr>
          <w:rFonts w:cstheme="minorHAnsi"/>
          <w:sz w:val="24"/>
          <w:szCs w:val="24"/>
        </w:rPr>
        <w:t xml:space="preserve"> its laws to activities</w:t>
      </w:r>
      <w:r w:rsidR="00BA1C9F" w:rsidRPr="003B44D7">
        <w:rPr>
          <w:rFonts w:cstheme="minorHAnsi"/>
          <w:sz w:val="24"/>
          <w:szCs w:val="24"/>
        </w:rPr>
        <w:t xml:space="preserve"> </w:t>
      </w:r>
      <w:r w:rsidR="0097012B" w:rsidRPr="003B44D7">
        <w:rPr>
          <w:rFonts w:cstheme="minorHAnsi"/>
          <w:sz w:val="24"/>
          <w:szCs w:val="24"/>
        </w:rPr>
        <w:t>that affect its territory</w:t>
      </w:r>
      <w:r w:rsidR="0034475D" w:rsidRPr="003B44D7">
        <w:rPr>
          <w:rFonts w:cstheme="minorHAnsi"/>
          <w:sz w:val="24"/>
          <w:szCs w:val="24"/>
        </w:rPr>
        <w:t xml:space="preserve"> </w:t>
      </w:r>
      <w:r w:rsidR="00C84285" w:rsidRPr="003B44D7">
        <w:rPr>
          <w:rFonts w:cstheme="minorHAnsi"/>
          <w:sz w:val="24"/>
          <w:szCs w:val="24"/>
        </w:rPr>
        <w:t>even</w:t>
      </w:r>
      <w:r w:rsidR="0034475D" w:rsidRPr="003B44D7">
        <w:rPr>
          <w:rFonts w:cstheme="minorHAnsi"/>
          <w:sz w:val="24"/>
          <w:szCs w:val="24"/>
        </w:rPr>
        <w:t xml:space="preserve"> where</w:t>
      </w:r>
      <w:r w:rsidR="00C84285" w:rsidRPr="003B44D7">
        <w:rPr>
          <w:rFonts w:cstheme="minorHAnsi"/>
          <w:sz w:val="24"/>
          <w:szCs w:val="24"/>
        </w:rPr>
        <w:t xml:space="preserve"> they </w:t>
      </w:r>
      <w:r w:rsidR="00972983" w:rsidRPr="003B44D7">
        <w:rPr>
          <w:rFonts w:cstheme="minorHAnsi"/>
          <w:sz w:val="24"/>
          <w:szCs w:val="24"/>
        </w:rPr>
        <w:t>originate</w:t>
      </w:r>
      <w:r w:rsidR="00C84285" w:rsidRPr="003B44D7">
        <w:rPr>
          <w:rFonts w:cstheme="minorHAnsi"/>
          <w:sz w:val="24"/>
          <w:szCs w:val="24"/>
        </w:rPr>
        <w:t xml:space="preserve"> from </w:t>
      </w:r>
      <w:r w:rsidR="00FA760D" w:rsidRPr="003B44D7">
        <w:rPr>
          <w:rFonts w:cstheme="minorHAnsi"/>
          <w:sz w:val="24"/>
          <w:szCs w:val="24"/>
        </w:rPr>
        <w:t xml:space="preserve">the </w:t>
      </w:r>
      <w:r w:rsidR="00C84285" w:rsidRPr="003B44D7">
        <w:rPr>
          <w:rFonts w:cstheme="minorHAnsi"/>
          <w:sz w:val="24"/>
          <w:szCs w:val="24"/>
        </w:rPr>
        <w:t>outside</w:t>
      </w:r>
      <w:r w:rsidR="00972983" w:rsidRPr="003B44D7">
        <w:rPr>
          <w:rFonts w:cstheme="minorHAnsi"/>
          <w:sz w:val="24"/>
          <w:szCs w:val="24"/>
        </w:rPr>
        <w:t xml:space="preserve"> </w:t>
      </w:r>
      <w:r w:rsidR="0097012B" w:rsidRPr="003B44D7">
        <w:rPr>
          <w:rFonts w:cstheme="minorHAnsi"/>
          <w:sz w:val="24"/>
          <w:szCs w:val="24"/>
        </w:rPr>
        <w:t>and</w:t>
      </w:r>
      <w:r w:rsidR="00527993" w:rsidRPr="003B44D7">
        <w:rPr>
          <w:rFonts w:cstheme="minorHAnsi"/>
          <w:sz w:val="24"/>
          <w:szCs w:val="24"/>
        </w:rPr>
        <w:t xml:space="preserve"> this has long been extended to online activities</w:t>
      </w:r>
      <w:r w:rsidR="0097012B" w:rsidRPr="003B44D7">
        <w:rPr>
          <w:rFonts w:cstheme="minorHAnsi"/>
          <w:sz w:val="24"/>
          <w:szCs w:val="24"/>
        </w:rPr>
        <w:t>.</w:t>
      </w:r>
      <w:r w:rsidR="00527993" w:rsidRPr="003B44D7">
        <w:rPr>
          <w:rStyle w:val="FootnoteReference"/>
          <w:rFonts w:cstheme="minorHAnsi"/>
          <w:sz w:val="24"/>
          <w:szCs w:val="24"/>
        </w:rPr>
        <w:footnoteReference w:id="16"/>
      </w:r>
      <w:r w:rsidR="009479CE" w:rsidRPr="003B44D7">
        <w:rPr>
          <w:rFonts w:cstheme="minorHAnsi"/>
          <w:sz w:val="24"/>
          <w:szCs w:val="24"/>
        </w:rPr>
        <w:t xml:space="preserve"> </w:t>
      </w:r>
      <w:r w:rsidR="0097012B" w:rsidRPr="003B44D7">
        <w:rPr>
          <w:rFonts w:cstheme="minorHAnsi"/>
          <w:sz w:val="24"/>
          <w:szCs w:val="24"/>
        </w:rPr>
        <w:t xml:space="preserve">By </w:t>
      </w:r>
      <w:r w:rsidR="00527993" w:rsidRPr="003B44D7">
        <w:rPr>
          <w:rFonts w:cstheme="minorHAnsi"/>
          <w:sz w:val="24"/>
          <w:szCs w:val="24"/>
        </w:rPr>
        <w:t>implications,</w:t>
      </w:r>
      <w:r w:rsidR="0097012B" w:rsidRPr="003B44D7">
        <w:rPr>
          <w:rFonts w:cstheme="minorHAnsi"/>
          <w:sz w:val="24"/>
          <w:szCs w:val="24"/>
        </w:rPr>
        <w:t xml:space="preserve"> online </w:t>
      </w:r>
      <w:r w:rsidR="009479CE" w:rsidRPr="003B44D7">
        <w:rPr>
          <w:rFonts w:cstheme="minorHAnsi"/>
          <w:sz w:val="24"/>
          <w:szCs w:val="24"/>
        </w:rPr>
        <w:t xml:space="preserve">hosts generally, </w:t>
      </w:r>
      <w:r w:rsidR="00527993" w:rsidRPr="003B44D7">
        <w:rPr>
          <w:rFonts w:cstheme="minorHAnsi"/>
          <w:sz w:val="24"/>
          <w:szCs w:val="24"/>
        </w:rPr>
        <w:t>and</w:t>
      </w:r>
      <w:r w:rsidR="00594E6A" w:rsidRPr="003B44D7">
        <w:rPr>
          <w:rFonts w:cstheme="minorHAnsi"/>
          <w:sz w:val="24"/>
          <w:szCs w:val="24"/>
        </w:rPr>
        <w:t xml:space="preserve"> the large, predominately</w:t>
      </w:r>
      <w:r w:rsidR="0097012B" w:rsidRPr="003B44D7">
        <w:rPr>
          <w:rFonts w:cstheme="minorHAnsi"/>
          <w:sz w:val="24"/>
          <w:szCs w:val="24"/>
        </w:rPr>
        <w:t xml:space="preserve"> Ame</w:t>
      </w:r>
      <w:r w:rsidR="00594E6A" w:rsidRPr="003B44D7">
        <w:rPr>
          <w:rFonts w:cstheme="minorHAnsi"/>
          <w:sz w:val="24"/>
          <w:szCs w:val="24"/>
        </w:rPr>
        <w:t xml:space="preserve">rican </w:t>
      </w:r>
      <w:r w:rsidR="00527993" w:rsidRPr="003B44D7">
        <w:rPr>
          <w:rFonts w:cstheme="minorHAnsi"/>
          <w:sz w:val="24"/>
          <w:szCs w:val="24"/>
        </w:rPr>
        <w:t xml:space="preserve">platforms that target European users in particular, can legitimately </w:t>
      </w:r>
      <w:r w:rsidR="00780996" w:rsidRPr="003B44D7">
        <w:rPr>
          <w:rFonts w:cstheme="minorHAnsi"/>
          <w:sz w:val="24"/>
          <w:szCs w:val="24"/>
        </w:rPr>
        <w:t xml:space="preserve">be </w:t>
      </w:r>
      <w:r w:rsidR="00527993" w:rsidRPr="003B44D7">
        <w:rPr>
          <w:rFonts w:cstheme="minorHAnsi"/>
          <w:sz w:val="24"/>
          <w:szCs w:val="24"/>
        </w:rPr>
        <w:t>expected to comply with European obligations to moderate online content in respect of their localised services.</w:t>
      </w:r>
      <w:r w:rsidR="00146BDB" w:rsidRPr="003B44D7">
        <w:rPr>
          <w:rStyle w:val="FootnoteReference"/>
          <w:rFonts w:cstheme="minorHAnsi"/>
          <w:sz w:val="24"/>
          <w:szCs w:val="24"/>
        </w:rPr>
        <w:footnoteReference w:id="17"/>
      </w:r>
      <w:r w:rsidR="00527993" w:rsidRPr="003B44D7">
        <w:rPr>
          <w:rFonts w:cstheme="minorHAnsi"/>
          <w:sz w:val="24"/>
          <w:szCs w:val="24"/>
        </w:rPr>
        <w:t xml:space="preserve"> </w:t>
      </w:r>
      <w:r w:rsidR="00DA6DF4" w:rsidRPr="003B44D7">
        <w:rPr>
          <w:rFonts w:cstheme="minorHAnsi"/>
          <w:sz w:val="24"/>
          <w:szCs w:val="24"/>
        </w:rPr>
        <w:t xml:space="preserve">This is </w:t>
      </w:r>
      <w:r w:rsidR="00E82919" w:rsidRPr="003B44D7">
        <w:rPr>
          <w:rFonts w:cstheme="minorHAnsi"/>
          <w:sz w:val="24"/>
          <w:szCs w:val="24"/>
        </w:rPr>
        <w:t xml:space="preserve">jurisdictionally </w:t>
      </w:r>
      <w:r w:rsidR="00DA6DF4" w:rsidRPr="003B44D7">
        <w:rPr>
          <w:rFonts w:cstheme="minorHAnsi"/>
          <w:sz w:val="24"/>
          <w:szCs w:val="24"/>
        </w:rPr>
        <w:t>uncontroversial</w:t>
      </w:r>
      <w:r w:rsidR="001664BF" w:rsidRPr="003B44D7">
        <w:rPr>
          <w:rFonts w:cstheme="minorHAnsi"/>
          <w:sz w:val="24"/>
          <w:szCs w:val="24"/>
        </w:rPr>
        <w:t xml:space="preserve">. Still, </w:t>
      </w:r>
      <w:r w:rsidR="00E82919" w:rsidRPr="003B44D7">
        <w:rPr>
          <w:rFonts w:cstheme="minorHAnsi"/>
          <w:sz w:val="24"/>
          <w:szCs w:val="24"/>
        </w:rPr>
        <w:t xml:space="preserve">a </w:t>
      </w:r>
      <w:r w:rsidR="008D76E0" w:rsidRPr="003B44D7">
        <w:rPr>
          <w:rFonts w:cstheme="minorHAnsi"/>
          <w:sz w:val="24"/>
          <w:szCs w:val="24"/>
        </w:rPr>
        <w:t xml:space="preserve">subject’s </w:t>
      </w:r>
      <w:r w:rsidR="00E82919" w:rsidRPr="003B44D7">
        <w:rPr>
          <w:rFonts w:cstheme="minorHAnsi"/>
          <w:sz w:val="24"/>
          <w:szCs w:val="24"/>
        </w:rPr>
        <w:t xml:space="preserve">hostility to the </w:t>
      </w:r>
      <w:r w:rsidR="00E82919" w:rsidRPr="00CD5671">
        <w:rPr>
          <w:rFonts w:cstheme="minorHAnsi"/>
          <w:iCs/>
          <w:sz w:val="24"/>
          <w:szCs w:val="24"/>
        </w:rPr>
        <w:t>substance</w:t>
      </w:r>
      <w:r w:rsidR="00420CB4" w:rsidRPr="00CD5671">
        <w:rPr>
          <w:rFonts w:cstheme="minorHAnsi"/>
          <w:iCs/>
          <w:sz w:val="24"/>
          <w:szCs w:val="24"/>
        </w:rPr>
        <w:t xml:space="preserve"> </w:t>
      </w:r>
      <w:r w:rsidR="00420CB4" w:rsidRPr="003B44D7">
        <w:rPr>
          <w:rFonts w:cstheme="minorHAnsi"/>
          <w:sz w:val="24"/>
          <w:szCs w:val="24"/>
        </w:rPr>
        <w:t>of a law</w:t>
      </w:r>
      <w:r w:rsidR="00E82919" w:rsidRPr="003B44D7">
        <w:rPr>
          <w:rFonts w:cstheme="minorHAnsi"/>
          <w:sz w:val="24"/>
          <w:szCs w:val="24"/>
        </w:rPr>
        <w:t xml:space="preserve"> cannot but translate into</w:t>
      </w:r>
      <w:r w:rsidR="00041E06" w:rsidRPr="003B44D7">
        <w:rPr>
          <w:rFonts w:cstheme="minorHAnsi"/>
          <w:sz w:val="24"/>
          <w:szCs w:val="24"/>
        </w:rPr>
        <w:t xml:space="preserve"> </w:t>
      </w:r>
      <w:r w:rsidR="00E82919" w:rsidRPr="003B44D7">
        <w:rPr>
          <w:rFonts w:cstheme="minorHAnsi"/>
          <w:sz w:val="24"/>
          <w:szCs w:val="24"/>
        </w:rPr>
        <w:t>reluctant</w:t>
      </w:r>
      <w:r w:rsidR="000305BD">
        <w:rPr>
          <w:rFonts w:cstheme="minorHAnsi"/>
          <w:sz w:val="24"/>
          <w:szCs w:val="24"/>
        </w:rPr>
        <w:t>,</w:t>
      </w:r>
      <w:r w:rsidR="00530E78" w:rsidRPr="003B44D7">
        <w:rPr>
          <w:rFonts w:cstheme="minorHAnsi"/>
          <w:sz w:val="24"/>
          <w:szCs w:val="24"/>
        </w:rPr>
        <w:t xml:space="preserve"> even recalcitrant</w:t>
      </w:r>
      <w:r w:rsidR="00BC7955" w:rsidRPr="003B44D7">
        <w:rPr>
          <w:rFonts w:cstheme="minorHAnsi"/>
          <w:sz w:val="24"/>
          <w:szCs w:val="24"/>
        </w:rPr>
        <w:t xml:space="preserve"> </w:t>
      </w:r>
      <w:r w:rsidR="00E82919" w:rsidRPr="003B44D7">
        <w:rPr>
          <w:rFonts w:cstheme="minorHAnsi"/>
          <w:sz w:val="24"/>
          <w:szCs w:val="24"/>
        </w:rPr>
        <w:t>compliance.</w:t>
      </w:r>
      <w:r w:rsidR="000305BD">
        <w:rPr>
          <w:rFonts w:cstheme="minorHAnsi"/>
          <w:sz w:val="24"/>
          <w:szCs w:val="24"/>
        </w:rPr>
        <w:t xml:space="preserve"> </w:t>
      </w:r>
      <w:r w:rsidR="00E82919" w:rsidRPr="003B44D7">
        <w:rPr>
          <w:rFonts w:cstheme="minorHAnsi"/>
          <w:sz w:val="24"/>
          <w:szCs w:val="24"/>
        </w:rPr>
        <w:t xml:space="preserve">This </w:t>
      </w:r>
      <w:r w:rsidR="0040386B" w:rsidRPr="003B44D7">
        <w:rPr>
          <w:rFonts w:cstheme="minorHAnsi"/>
          <w:sz w:val="24"/>
          <w:szCs w:val="24"/>
        </w:rPr>
        <w:t>is</w:t>
      </w:r>
      <w:r w:rsidR="008D76E0" w:rsidRPr="003B44D7">
        <w:rPr>
          <w:rFonts w:cstheme="minorHAnsi"/>
          <w:sz w:val="24"/>
          <w:szCs w:val="24"/>
        </w:rPr>
        <w:t xml:space="preserve"> </w:t>
      </w:r>
      <w:r w:rsidR="00E82919" w:rsidRPr="003B44D7">
        <w:rPr>
          <w:rFonts w:cstheme="minorHAnsi"/>
          <w:sz w:val="24"/>
          <w:szCs w:val="24"/>
        </w:rPr>
        <w:t>pro</w:t>
      </w:r>
      <w:r w:rsidR="00594E6A" w:rsidRPr="003B44D7">
        <w:rPr>
          <w:rFonts w:cstheme="minorHAnsi"/>
          <w:sz w:val="24"/>
          <w:szCs w:val="24"/>
        </w:rPr>
        <w:t xml:space="preserve">blematic </w:t>
      </w:r>
      <w:r w:rsidR="0072049F" w:rsidRPr="003B44D7">
        <w:rPr>
          <w:rFonts w:cstheme="minorHAnsi"/>
          <w:sz w:val="24"/>
          <w:szCs w:val="24"/>
        </w:rPr>
        <w:t>for</w:t>
      </w:r>
      <w:r w:rsidR="00E82919" w:rsidRPr="003B44D7">
        <w:rPr>
          <w:rFonts w:cstheme="minorHAnsi"/>
          <w:sz w:val="24"/>
          <w:szCs w:val="24"/>
        </w:rPr>
        <w:t xml:space="preserve"> </w:t>
      </w:r>
      <w:r w:rsidR="0072049F" w:rsidRPr="003B44D7">
        <w:rPr>
          <w:rFonts w:cstheme="minorHAnsi"/>
          <w:sz w:val="24"/>
          <w:szCs w:val="24"/>
        </w:rPr>
        <w:t>the effectiveness of</w:t>
      </w:r>
      <w:r w:rsidR="00E82919" w:rsidRPr="003B44D7">
        <w:rPr>
          <w:rFonts w:cstheme="minorHAnsi"/>
          <w:sz w:val="24"/>
          <w:szCs w:val="24"/>
        </w:rPr>
        <w:t xml:space="preserve"> </w:t>
      </w:r>
      <w:r w:rsidR="00DA6DF4" w:rsidRPr="003B44D7">
        <w:rPr>
          <w:rFonts w:cstheme="minorHAnsi"/>
          <w:sz w:val="24"/>
          <w:szCs w:val="24"/>
        </w:rPr>
        <w:t>any law</w:t>
      </w:r>
      <w:r w:rsidR="00742D10">
        <w:rPr>
          <w:rFonts w:cstheme="minorHAnsi"/>
          <w:sz w:val="24"/>
          <w:szCs w:val="24"/>
        </w:rPr>
        <w:t xml:space="preserve"> especially </w:t>
      </w:r>
      <w:r w:rsidR="00DA6DF4" w:rsidRPr="003B44D7">
        <w:rPr>
          <w:rFonts w:cstheme="minorHAnsi"/>
          <w:sz w:val="24"/>
          <w:szCs w:val="24"/>
        </w:rPr>
        <w:t>where the</w:t>
      </w:r>
      <w:r w:rsidR="00041E06" w:rsidRPr="003B44D7">
        <w:rPr>
          <w:rFonts w:cstheme="minorHAnsi"/>
          <w:sz w:val="24"/>
          <w:szCs w:val="24"/>
        </w:rPr>
        <w:t xml:space="preserve"> </w:t>
      </w:r>
      <w:r w:rsidR="00E82919" w:rsidRPr="003B44D7">
        <w:rPr>
          <w:rFonts w:cstheme="minorHAnsi"/>
          <w:sz w:val="24"/>
          <w:szCs w:val="24"/>
        </w:rPr>
        <w:t>law</w:t>
      </w:r>
      <w:r w:rsidR="00041E06" w:rsidRPr="003B44D7">
        <w:rPr>
          <w:rFonts w:cstheme="minorHAnsi"/>
          <w:sz w:val="24"/>
          <w:szCs w:val="24"/>
        </w:rPr>
        <w:t xml:space="preserve"> is</w:t>
      </w:r>
      <w:r w:rsidR="0072049F" w:rsidRPr="003B44D7">
        <w:rPr>
          <w:rFonts w:cstheme="minorHAnsi"/>
          <w:sz w:val="24"/>
          <w:szCs w:val="24"/>
        </w:rPr>
        <w:t xml:space="preserve"> squarely grounded in</w:t>
      </w:r>
      <w:r w:rsidRPr="003B44D7">
        <w:rPr>
          <w:rFonts w:cstheme="minorHAnsi"/>
          <w:sz w:val="24"/>
          <w:szCs w:val="24"/>
        </w:rPr>
        <w:t xml:space="preserve"> private-public</w:t>
      </w:r>
      <w:r w:rsidR="0072049F" w:rsidRPr="003B44D7">
        <w:rPr>
          <w:rFonts w:cstheme="minorHAnsi"/>
          <w:sz w:val="24"/>
          <w:szCs w:val="24"/>
        </w:rPr>
        <w:t xml:space="preserve"> </w:t>
      </w:r>
      <w:r w:rsidR="00E82919" w:rsidRPr="003B44D7">
        <w:rPr>
          <w:rFonts w:cstheme="minorHAnsi"/>
          <w:sz w:val="24"/>
          <w:szCs w:val="24"/>
        </w:rPr>
        <w:t>cooperation</w:t>
      </w:r>
      <w:r w:rsidR="008E30AB" w:rsidRPr="003B44D7">
        <w:rPr>
          <w:rFonts w:cstheme="minorHAnsi"/>
          <w:sz w:val="24"/>
          <w:szCs w:val="24"/>
        </w:rPr>
        <w:t>, as</w:t>
      </w:r>
      <w:r w:rsidR="00AA4AF5" w:rsidRPr="003B44D7">
        <w:rPr>
          <w:rFonts w:cstheme="minorHAnsi"/>
          <w:sz w:val="24"/>
          <w:szCs w:val="24"/>
        </w:rPr>
        <w:t xml:space="preserve"> NetzDG</w:t>
      </w:r>
      <w:r w:rsidR="008E30AB" w:rsidRPr="003B44D7">
        <w:rPr>
          <w:rFonts w:cstheme="minorHAnsi"/>
          <w:sz w:val="24"/>
          <w:szCs w:val="24"/>
        </w:rPr>
        <w:t xml:space="preserve"> </w:t>
      </w:r>
      <w:r w:rsidR="00C7063B" w:rsidRPr="003B44D7">
        <w:rPr>
          <w:rFonts w:cstheme="minorHAnsi"/>
          <w:sz w:val="24"/>
          <w:szCs w:val="24"/>
        </w:rPr>
        <w:t>and like laws are</w:t>
      </w:r>
      <w:r w:rsidR="00AA4AF5" w:rsidRPr="003B44D7">
        <w:rPr>
          <w:rFonts w:cstheme="minorHAnsi"/>
          <w:sz w:val="24"/>
          <w:szCs w:val="24"/>
        </w:rPr>
        <w:t>,</w:t>
      </w:r>
      <w:r w:rsidR="00E82919" w:rsidRPr="003B44D7">
        <w:rPr>
          <w:rFonts w:cstheme="minorHAnsi"/>
          <w:sz w:val="24"/>
          <w:szCs w:val="24"/>
        </w:rPr>
        <w:t xml:space="preserve"> </w:t>
      </w:r>
      <w:r w:rsidR="0072049F" w:rsidRPr="003B44D7">
        <w:rPr>
          <w:rFonts w:cstheme="minorHAnsi"/>
          <w:sz w:val="24"/>
          <w:szCs w:val="24"/>
        </w:rPr>
        <w:t xml:space="preserve">and </w:t>
      </w:r>
      <w:r w:rsidRPr="003B44D7">
        <w:rPr>
          <w:rFonts w:cstheme="minorHAnsi"/>
          <w:sz w:val="24"/>
          <w:szCs w:val="24"/>
        </w:rPr>
        <w:t xml:space="preserve">so </w:t>
      </w:r>
      <w:r w:rsidR="0072049F" w:rsidRPr="003B44D7">
        <w:rPr>
          <w:rFonts w:cstheme="minorHAnsi"/>
          <w:sz w:val="24"/>
          <w:szCs w:val="24"/>
        </w:rPr>
        <w:t>require</w:t>
      </w:r>
      <w:r w:rsidR="00041E06" w:rsidRPr="003B44D7">
        <w:rPr>
          <w:rFonts w:cstheme="minorHAnsi"/>
          <w:sz w:val="24"/>
          <w:szCs w:val="24"/>
        </w:rPr>
        <w:t>s</w:t>
      </w:r>
      <w:r w:rsidR="006B4511" w:rsidRPr="003B44D7">
        <w:rPr>
          <w:rFonts w:cstheme="minorHAnsi"/>
          <w:sz w:val="24"/>
          <w:szCs w:val="24"/>
        </w:rPr>
        <w:t xml:space="preserve"> </w:t>
      </w:r>
      <w:r w:rsidR="0072049F" w:rsidRPr="003B44D7">
        <w:rPr>
          <w:rFonts w:cstheme="minorHAnsi"/>
          <w:sz w:val="24"/>
          <w:szCs w:val="24"/>
        </w:rPr>
        <w:t xml:space="preserve">more than </w:t>
      </w:r>
      <w:r w:rsidR="000005A3" w:rsidRPr="003B44D7">
        <w:rPr>
          <w:rFonts w:cstheme="minorHAnsi"/>
          <w:sz w:val="24"/>
          <w:szCs w:val="24"/>
        </w:rPr>
        <w:t>the normal</w:t>
      </w:r>
      <w:r w:rsidR="00E771D2" w:rsidRPr="003B44D7">
        <w:rPr>
          <w:rFonts w:cstheme="minorHAnsi"/>
          <w:sz w:val="24"/>
          <w:szCs w:val="24"/>
        </w:rPr>
        <w:t xml:space="preserve"> </w:t>
      </w:r>
      <w:r w:rsidR="00C7063B" w:rsidRPr="003B44D7">
        <w:rPr>
          <w:rFonts w:cstheme="minorHAnsi"/>
          <w:sz w:val="24"/>
          <w:szCs w:val="24"/>
        </w:rPr>
        <w:t>acceptance</w:t>
      </w:r>
      <w:r w:rsidR="0072049F" w:rsidRPr="003B44D7">
        <w:rPr>
          <w:rFonts w:cstheme="minorHAnsi"/>
          <w:sz w:val="24"/>
          <w:szCs w:val="24"/>
        </w:rPr>
        <w:t xml:space="preserve"> that</w:t>
      </w:r>
      <w:r w:rsidR="00E82919" w:rsidRPr="003B44D7">
        <w:rPr>
          <w:rFonts w:cstheme="minorHAnsi"/>
          <w:sz w:val="24"/>
          <w:szCs w:val="24"/>
        </w:rPr>
        <w:t xml:space="preserve"> </w:t>
      </w:r>
      <w:r w:rsidR="00DA7167" w:rsidRPr="003B44D7">
        <w:rPr>
          <w:rFonts w:cstheme="minorHAnsi"/>
          <w:sz w:val="24"/>
          <w:szCs w:val="24"/>
        </w:rPr>
        <w:t>render</w:t>
      </w:r>
      <w:r w:rsidR="00530E78" w:rsidRPr="003B44D7">
        <w:rPr>
          <w:rFonts w:cstheme="minorHAnsi"/>
          <w:sz w:val="24"/>
          <w:szCs w:val="24"/>
        </w:rPr>
        <w:t xml:space="preserve"> </w:t>
      </w:r>
      <w:r w:rsidR="00E771D2" w:rsidRPr="003B44D7">
        <w:rPr>
          <w:rFonts w:cstheme="minorHAnsi"/>
          <w:sz w:val="24"/>
          <w:szCs w:val="24"/>
        </w:rPr>
        <w:t>laws</w:t>
      </w:r>
      <w:r w:rsidR="00EA5C3B" w:rsidRPr="003B44D7">
        <w:rPr>
          <w:rFonts w:cstheme="minorHAnsi"/>
          <w:sz w:val="24"/>
          <w:szCs w:val="24"/>
        </w:rPr>
        <w:t xml:space="preserve"> </w:t>
      </w:r>
      <w:r w:rsidR="00041E06" w:rsidRPr="003B44D7">
        <w:rPr>
          <w:rFonts w:cstheme="minorHAnsi"/>
          <w:sz w:val="24"/>
          <w:szCs w:val="24"/>
        </w:rPr>
        <w:t>imposing obligations</w:t>
      </w:r>
      <w:r w:rsidR="002B03E4" w:rsidRPr="003B44D7">
        <w:rPr>
          <w:rFonts w:cstheme="minorHAnsi"/>
          <w:sz w:val="24"/>
          <w:szCs w:val="24"/>
        </w:rPr>
        <w:t xml:space="preserve"> more</w:t>
      </w:r>
      <w:r w:rsidR="00041E06" w:rsidRPr="003B44D7">
        <w:rPr>
          <w:rFonts w:cstheme="minorHAnsi"/>
          <w:sz w:val="24"/>
          <w:szCs w:val="24"/>
        </w:rPr>
        <w:t xml:space="preserve"> </w:t>
      </w:r>
      <w:r w:rsidR="00E771D2" w:rsidRPr="003B44D7">
        <w:rPr>
          <w:rFonts w:cstheme="minorHAnsi"/>
          <w:sz w:val="24"/>
          <w:szCs w:val="24"/>
        </w:rPr>
        <w:t>effective</w:t>
      </w:r>
      <w:r w:rsidR="000005A3" w:rsidRPr="003B44D7">
        <w:rPr>
          <w:rFonts w:cstheme="minorHAnsi"/>
          <w:sz w:val="24"/>
          <w:szCs w:val="24"/>
        </w:rPr>
        <w:t>.</w:t>
      </w:r>
      <w:r w:rsidR="002D1778" w:rsidRPr="003B44D7">
        <w:rPr>
          <w:rFonts w:cstheme="minorHAnsi"/>
          <w:sz w:val="24"/>
          <w:szCs w:val="24"/>
        </w:rPr>
        <w:t xml:space="preserve"> </w:t>
      </w:r>
      <w:r w:rsidR="008D76E0" w:rsidRPr="003B44D7">
        <w:rPr>
          <w:rFonts w:cstheme="minorHAnsi"/>
          <w:sz w:val="24"/>
          <w:szCs w:val="24"/>
        </w:rPr>
        <w:t>T</w:t>
      </w:r>
      <w:r w:rsidR="000005A3" w:rsidRPr="003B44D7">
        <w:rPr>
          <w:rFonts w:cstheme="minorHAnsi"/>
          <w:sz w:val="24"/>
          <w:szCs w:val="24"/>
        </w:rPr>
        <w:t>aking a social scientist’s lens to the importance of legitimacy for obedience</w:t>
      </w:r>
      <w:r w:rsidR="008D76E0" w:rsidRPr="003B44D7">
        <w:rPr>
          <w:rFonts w:cstheme="minorHAnsi"/>
          <w:sz w:val="24"/>
          <w:szCs w:val="24"/>
        </w:rPr>
        <w:t>,</w:t>
      </w:r>
      <w:r w:rsidR="000005A3" w:rsidRPr="003B44D7">
        <w:rPr>
          <w:rFonts w:cstheme="minorHAnsi"/>
          <w:sz w:val="24"/>
          <w:szCs w:val="24"/>
        </w:rPr>
        <w:t xml:space="preserve"> </w:t>
      </w:r>
      <w:r w:rsidR="008D76E0" w:rsidRPr="003B44D7">
        <w:rPr>
          <w:rFonts w:cstheme="minorHAnsi"/>
          <w:sz w:val="24"/>
          <w:szCs w:val="24"/>
        </w:rPr>
        <w:t xml:space="preserve">David Beetham observed in </w:t>
      </w:r>
      <w:r w:rsidR="008D76E0" w:rsidRPr="003B44D7">
        <w:rPr>
          <w:rFonts w:cstheme="minorHAnsi"/>
          <w:i/>
          <w:sz w:val="24"/>
          <w:szCs w:val="24"/>
        </w:rPr>
        <w:t>The Legitimation of Power</w:t>
      </w:r>
      <w:r w:rsidR="000005A3" w:rsidRPr="003B44D7">
        <w:rPr>
          <w:rFonts w:cstheme="minorHAnsi"/>
          <w:sz w:val="24"/>
          <w:szCs w:val="24"/>
        </w:rPr>
        <w:t>:</w:t>
      </w:r>
      <w:r w:rsidR="008D76E0" w:rsidRPr="003B44D7">
        <w:rPr>
          <w:rStyle w:val="FootnoteReference"/>
          <w:rFonts w:cstheme="minorHAnsi"/>
          <w:sz w:val="24"/>
          <w:szCs w:val="24"/>
        </w:rPr>
        <w:t xml:space="preserve"> </w:t>
      </w:r>
      <w:r w:rsidR="008D76E0" w:rsidRPr="003B44D7">
        <w:rPr>
          <w:rStyle w:val="FootnoteReference"/>
          <w:rFonts w:cstheme="minorHAnsi"/>
          <w:sz w:val="24"/>
          <w:szCs w:val="24"/>
        </w:rPr>
        <w:footnoteReference w:id="18"/>
      </w:r>
      <w:r w:rsidR="000005A3" w:rsidRPr="003B44D7">
        <w:rPr>
          <w:rFonts w:cstheme="minorHAnsi"/>
          <w:sz w:val="24"/>
          <w:szCs w:val="24"/>
        </w:rPr>
        <w:t xml:space="preserve"> </w:t>
      </w:r>
    </w:p>
    <w:p w14:paraId="2FDC1456" w14:textId="77777777" w:rsidR="00E52B3F" w:rsidRPr="003B44D7" w:rsidRDefault="00E52B3F" w:rsidP="004E7EB4">
      <w:pPr>
        <w:spacing w:after="0" w:line="240" w:lineRule="auto"/>
        <w:jc w:val="both"/>
        <w:rPr>
          <w:rFonts w:cstheme="minorHAnsi"/>
          <w:sz w:val="24"/>
          <w:szCs w:val="24"/>
        </w:rPr>
      </w:pPr>
    </w:p>
    <w:p w14:paraId="2904FC10" w14:textId="77777777" w:rsidR="00C7063B" w:rsidRPr="003B44D7" w:rsidRDefault="00C7063B" w:rsidP="004E7EB4">
      <w:pPr>
        <w:spacing w:after="0" w:line="240" w:lineRule="auto"/>
        <w:ind w:left="720"/>
        <w:jc w:val="both"/>
        <w:rPr>
          <w:rFonts w:cstheme="minorHAnsi"/>
          <w:sz w:val="24"/>
          <w:szCs w:val="24"/>
        </w:rPr>
      </w:pPr>
      <w:r w:rsidRPr="003B44D7">
        <w:rPr>
          <w:rFonts w:cstheme="minorHAnsi"/>
          <w:sz w:val="24"/>
          <w:szCs w:val="24"/>
        </w:rPr>
        <w:t>‘</w:t>
      </w:r>
      <w:proofErr w:type="gramStart"/>
      <w:r w:rsidRPr="003B44D7">
        <w:rPr>
          <w:rFonts w:cstheme="minorHAnsi"/>
          <w:sz w:val="24"/>
          <w:szCs w:val="24"/>
        </w:rPr>
        <w:t>when</w:t>
      </w:r>
      <w:proofErr w:type="gramEnd"/>
      <w:r w:rsidRPr="003B44D7">
        <w:rPr>
          <w:rFonts w:cstheme="minorHAnsi"/>
          <w:sz w:val="24"/>
          <w:szCs w:val="24"/>
        </w:rPr>
        <w:t xml:space="preserve"> legitimacy is eroded or absent… power does not necessarily collapse, or obedience cease, since it can continue to be kept in place by incentives and sanctions. However, coercion </w:t>
      </w:r>
      <w:proofErr w:type="gramStart"/>
      <w:r w:rsidRPr="003B44D7">
        <w:rPr>
          <w:rFonts w:cstheme="minorHAnsi"/>
          <w:sz w:val="24"/>
          <w:szCs w:val="24"/>
        </w:rPr>
        <w:t>has to</w:t>
      </w:r>
      <w:proofErr w:type="gramEnd"/>
      <w:r w:rsidRPr="003B44D7">
        <w:rPr>
          <w:rFonts w:cstheme="minorHAnsi"/>
          <w:sz w:val="24"/>
          <w:szCs w:val="24"/>
        </w:rPr>
        <w:t xml:space="preserve"> be much more extensive and omnipresent, and that is costly to maintain… Less dramatic, but equally important, is the effect a lack of legitimacy has on the </w:t>
      </w:r>
      <w:r w:rsidRPr="003B44D7">
        <w:rPr>
          <w:rFonts w:cstheme="minorHAnsi"/>
          <w:i/>
          <w:sz w:val="24"/>
          <w:szCs w:val="24"/>
        </w:rPr>
        <w:t xml:space="preserve">degree </w:t>
      </w:r>
      <w:r w:rsidRPr="003B44D7">
        <w:rPr>
          <w:rFonts w:cstheme="minorHAnsi"/>
          <w:sz w:val="24"/>
          <w:szCs w:val="24"/>
        </w:rPr>
        <w:t>of cooperation, and the</w:t>
      </w:r>
      <w:r w:rsidRPr="003B44D7">
        <w:rPr>
          <w:rFonts w:cstheme="minorHAnsi"/>
          <w:i/>
          <w:sz w:val="24"/>
          <w:szCs w:val="24"/>
        </w:rPr>
        <w:t xml:space="preserve"> quality</w:t>
      </w:r>
      <w:r w:rsidRPr="003B44D7">
        <w:rPr>
          <w:rFonts w:cstheme="minorHAnsi"/>
          <w:sz w:val="24"/>
          <w:szCs w:val="24"/>
        </w:rPr>
        <w:t xml:space="preserve"> of performance, that can be secured from them, and therefore on the ability of the powerful to achieve goals other than simply the maintenance of their position.’</w:t>
      </w:r>
      <w:r w:rsidRPr="003B44D7">
        <w:rPr>
          <w:rStyle w:val="FootnoteReference"/>
          <w:rFonts w:cstheme="minorHAnsi"/>
          <w:sz w:val="24"/>
          <w:szCs w:val="24"/>
        </w:rPr>
        <w:footnoteReference w:id="19"/>
      </w:r>
    </w:p>
    <w:p w14:paraId="3F46BCF7" w14:textId="77777777" w:rsidR="000005A3" w:rsidRPr="003B44D7" w:rsidRDefault="000005A3" w:rsidP="004E7EB4">
      <w:pPr>
        <w:spacing w:after="0" w:line="240" w:lineRule="auto"/>
        <w:jc w:val="both"/>
        <w:rPr>
          <w:rFonts w:cstheme="minorHAnsi"/>
          <w:sz w:val="24"/>
          <w:szCs w:val="24"/>
        </w:rPr>
      </w:pPr>
    </w:p>
    <w:p w14:paraId="17CC30B1" w14:textId="6062CC59" w:rsidR="00530E78" w:rsidRPr="003B44D7" w:rsidRDefault="001664BF" w:rsidP="004E7EB4">
      <w:pPr>
        <w:spacing w:after="0" w:line="240" w:lineRule="auto"/>
        <w:jc w:val="both"/>
        <w:rPr>
          <w:rFonts w:cstheme="minorHAnsi"/>
          <w:sz w:val="24"/>
          <w:szCs w:val="24"/>
        </w:rPr>
      </w:pPr>
      <w:proofErr w:type="gramStart"/>
      <w:r w:rsidRPr="003B44D7">
        <w:rPr>
          <w:rFonts w:cstheme="minorHAnsi"/>
          <w:sz w:val="24"/>
          <w:szCs w:val="24"/>
        </w:rPr>
        <w:t>Thus</w:t>
      </w:r>
      <w:proofErr w:type="gramEnd"/>
      <w:r w:rsidR="0068507E" w:rsidRPr="003B44D7">
        <w:rPr>
          <w:rFonts w:cstheme="minorHAnsi"/>
          <w:sz w:val="24"/>
          <w:szCs w:val="24"/>
        </w:rPr>
        <w:t xml:space="preserve"> </w:t>
      </w:r>
      <w:r w:rsidR="00E52B3F" w:rsidRPr="003B44D7">
        <w:rPr>
          <w:rFonts w:cstheme="minorHAnsi"/>
          <w:sz w:val="24"/>
          <w:szCs w:val="24"/>
        </w:rPr>
        <w:t xml:space="preserve">beyond any academic </w:t>
      </w:r>
      <w:r w:rsidR="000A7D3C" w:rsidRPr="003B44D7">
        <w:rPr>
          <w:rFonts w:cstheme="minorHAnsi"/>
          <w:sz w:val="24"/>
          <w:szCs w:val="24"/>
        </w:rPr>
        <w:t xml:space="preserve">interest in the </w:t>
      </w:r>
      <w:r w:rsidR="005A5D42" w:rsidRPr="003B44D7">
        <w:rPr>
          <w:rFonts w:cstheme="minorHAnsi"/>
          <w:sz w:val="24"/>
          <w:szCs w:val="24"/>
        </w:rPr>
        <w:t xml:space="preserve">constitutional compatibilities </w:t>
      </w:r>
      <w:r w:rsidR="000A7D3C" w:rsidRPr="003B44D7">
        <w:rPr>
          <w:rFonts w:cstheme="minorHAnsi"/>
          <w:sz w:val="24"/>
          <w:szCs w:val="24"/>
        </w:rPr>
        <w:t xml:space="preserve">of NetzDG’s regime, </w:t>
      </w:r>
      <w:r w:rsidR="0034475D" w:rsidRPr="003B44D7">
        <w:rPr>
          <w:rFonts w:cstheme="minorHAnsi"/>
          <w:sz w:val="24"/>
          <w:szCs w:val="24"/>
        </w:rPr>
        <w:t>legitimacy</w:t>
      </w:r>
      <w:r w:rsidR="000005A3" w:rsidRPr="003B44D7">
        <w:rPr>
          <w:rFonts w:cstheme="minorHAnsi"/>
          <w:sz w:val="24"/>
          <w:szCs w:val="24"/>
        </w:rPr>
        <w:t xml:space="preserve"> matters </w:t>
      </w:r>
      <w:r w:rsidR="007C3F3C" w:rsidRPr="003B44D7">
        <w:rPr>
          <w:rFonts w:cstheme="minorHAnsi"/>
          <w:sz w:val="24"/>
          <w:szCs w:val="24"/>
        </w:rPr>
        <w:t>practically</w:t>
      </w:r>
      <w:r w:rsidR="0034475D" w:rsidRPr="003B44D7">
        <w:rPr>
          <w:rFonts w:cstheme="minorHAnsi"/>
          <w:sz w:val="24"/>
          <w:szCs w:val="24"/>
        </w:rPr>
        <w:t xml:space="preserve"> a</w:t>
      </w:r>
      <w:r w:rsidR="006C54D3" w:rsidRPr="003B44D7">
        <w:rPr>
          <w:rFonts w:cstheme="minorHAnsi"/>
          <w:sz w:val="24"/>
          <w:szCs w:val="24"/>
        </w:rPr>
        <w:t>s it</w:t>
      </w:r>
      <w:r w:rsidR="0034475D" w:rsidRPr="003B44D7">
        <w:rPr>
          <w:rFonts w:cstheme="minorHAnsi"/>
          <w:sz w:val="24"/>
          <w:szCs w:val="24"/>
        </w:rPr>
        <w:t xml:space="preserve"> affects </w:t>
      </w:r>
      <w:r w:rsidR="00594E6A" w:rsidRPr="003B44D7">
        <w:rPr>
          <w:rFonts w:cstheme="minorHAnsi"/>
          <w:sz w:val="24"/>
          <w:szCs w:val="24"/>
        </w:rPr>
        <w:t>how American platforms</w:t>
      </w:r>
      <w:r w:rsidR="00E771D2" w:rsidRPr="003B44D7">
        <w:rPr>
          <w:rFonts w:cstheme="minorHAnsi"/>
          <w:sz w:val="24"/>
          <w:szCs w:val="24"/>
        </w:rPr>
        <w:t xml:space="preserve"> </w:t>
      </w:r>
      <w:r w:rsidR="00E771D2" w:rsidRPr="003B44D7">
        <w:rPr>
          <w:rFonts w:cstheme="minorHAnsi"/>
          <w:i/>
          <w:sz w:val="24"/>
          <w:szCs w:val="24"/>
        </w:rPr>
        <w:t>and</w:t>
      </w:r>
      <w:r w:rsidR="00E771D2" w:rsidRPr="003B44D7">
        <w:rPr>
          <w:rFonts w:cstheme="minorHAnsi"/>
          <w:sz w:val="24"/>
          <w:szCs w:val="24"/>
        </w:rPr>
        <w:t xml:space="preserve"> European users </w:t>
      </w:r>
      <w:r w:rsidR="008D76E0" w:rsidRPr="003B44D7">
        <w:rPr>
          <w:rFonts w:cstheme="minorHAnsi"/>
          <w:sz w:val="24"/>
          <w:szCs w:val="24"/>
        </w:rPr>
        <w:t>engage</w:t>
      </w:r>
      <w:r w:rsidR="00BE6406" w:rsidRPr="003B44D7">
        <w:rPr>
          <w:rFonts w:cstheme="minorHAnsi"/>
          <w:sz w:val="24"/>
          <w:szCs w:val="24"/>
        </w:rPr>
        <w:t xml:space="preserve"> with </w:t>
      </w:r>
      <w:r w:rsidR="006C54D3" w:rsidRPr="003B44D7">
        <w:rPr>
          <w:rFonts w:cstheme="minorHAnsi"/>
          <w:sz w:val="24"/>
          <w:szCs w:val="24"/>
        </w:rPr>
        <w:t>the</w:t>
      </w:r>
      <w:r w:rsidR="00D3142B">
        <w:rPr>
          <w:rFonts w:cstheme="minorHAnsi"/>
          <w:sz w:val="24"/>
          <w:szCs w:val="24"/>
        </w:rPr>
        <w:t xml:space="preserve"> content moderation</w:t>
      </w:r>
      <w:r w:rsidR="00B25614" w:rsidRPr="003B44D7">
        <w:rPr>
          <w:rFonts w:cstheme="minorHAnsi"/>
          <w:sz w:val="24"/>
          <w:szCs w:val="24"/>
        </w:rPr>
        <w:t xml:space="preserve"> framework</w:t>
      </w:r>
      <w:r w:rsidR="00D3142B">
        <w:rPr>
          <w:rFonts w:cstheme="minorHAnsi"/>
          <w:sz w:val="24"/>
          <w:szCs w:val="24"/>
        </w:rPr>
        <w:t>s</w:t>
      </w:r>
      <w:r w:rsidR="00EA5C3B" w:rsidRPr="003B44D7">
        <w:rPr>
          <w:rFonts w:cstheme="minorHAnsi"/>
          <w:sz w:val="24"/>
          <w:szCs w:val="24"/>
        </w:rPr>
        <w:t xml:space="preserve"> </w:t>
      </w:r>
      <w:r w:rsidR="004379D3" w:rsidRPr="003B44D7">
        <w:rPr>
          <w:rFonts w:cstheme="minorHAnsi"/>
          <w:sz w:val="24"/>
          <w:szCs w:val="24"/>
        </w:rPr>
        <w:t>within which they are active participants</w:t>
      </w:r>
      <w:r w:rsidR="00041E06" w:rsidRPr="003B44D7">
        <w:rPr>
          <w:rFonts w:cstheme="minorHAnsi"/>
          <w:sz w:val="24"/>
          <w:szCs w:val="24"/>
        </w:rPr>
        <w:t xml:space="preserve">. </w:t>
      </w:r>
      <w:r w:rsidR="00DA7167" w:rsidRPr="003B44D7">
        <w:rPr>
          <w:rFonts w:cstheme="minorHAnsi"/>
          <w:sz w:val="24"/>
          <w:szCs w:val="24"/>
        </w:rPr>
        <w:t>As a</w:t>
      </w:r>
      <w:r w:rsidR="00530E78" w:rsidRPr="003B44D7">
        <w:rPr>
          <w:rFonts w:cstheme="minorHAnsi"/>
          <w:sz w:val="24"/>
          <w:szCs w:val="24"/>
        </w:rPr>
        <w:t xml:space="preserve"> </w:t>
      </w:r>
      <w:r w:rsidR="00530E78" w:rsidRPr="003B44D7">
        <w:rPr>
          <w:rFonts w:cstheme="minorHAnsi"/>
          <w:i/>
          <w:sz w:val="24"/>
          <w:szCs w:val="24"/>
        </w:rPr>
        <w:t xml:space="preserve">second </w:t>
      </w:r>
      <w:r w:rsidR="00530E78" w:rsidRPr="003B44D7">
        <w:rPr>
          <w:rFonts w:cstheme="minorHAnsi"/>
          <w:sz w:val="24"/>
          <w:szCs w:val="24"/>
        </w:rPr>
        <w:t>and related</w:t>
      </w:r>
      <w:r w:rsidR="00530E78" w:rsidRPr="003B44D7">
        <w:rPr>
          <w:rFonts w:cstheme="minorHAnsi"/>
          <w:i/>
          <w:sz w:val="24"/>
          <w:szCs w:val="24"/>
        </w:rPr>
        <w:t xml:space="preserve"> </w:t>
      </w:r>
      <w:r w:rsidR="00530E78" w:rsidRPr="003B44D7">
        <w:rPr>
          <w:rFonts w:cstheme="minorHAnsi"/>
          <w:sz w:val="24"/>
          <w:szCs w:val="24"/>
        </w:rPr>
        <w:t>point, the discussi</w:t>
      </w:r>
      <w:r w:rsidR="005A5D42" w:rsidRPr="003B44D7">
        <w:rPr>
          <w:rFonts w:cstheme="minorHAnsi"/>
          <w:sz w:val="24"/>
          <w:szCs w:val="24"/>
        </w:rPr>
        <w:t xml:space="preserve">on does not suggest, nor depend </w:t>
      </w:r>
      <w:r w:rsidR="00530E78" w:rsidRPr="003B44D7">
        <w:rPr>
          <w:rFonts w:cstheme="minorHAnsi"/>
          <w:sz w:val="24"/>
          <w:szCs w:val="24"/>
        </w:rPr>
        <w:t xml:space="preserve">upon the suggestion, that accommodating American speech sensibilities was a conscious design behind </w:t>
      </w:r>
      <w:r w:rsidR="00530E78" w:rsidRPr="003B44D7">
        <w:rPr>
          <w:rFonts w:cstheme="minorHAnsi"/>
          <w:sz w:val="24"/>
          <w:szCs w:val="24"/>
        </w:rPr>
        <w:lastRenderedPageBreak/>
        <w:t>NetzDG, even if feasibility concerns may have brought issues about its acceptability within the field of vision of the law makers.</w:t>
      </w:r>
      <w:r w:rsidR="00530E78" w:rsidRPr="003B44D7">
        <w:rPr>
          <w:rStyle w:val="FootnoteReference"/>
          <w:rFonts w:cstheme="minorHAnsi"/>
          <w:sz w:val="24"/>
          <w:szCs w:val="24"/>
        </w:rPr>
        <w:footnoteReference w:id="20"/>
      </w:r>
      <w:r w:rsidR="00530E78" w:rsidRPr="003B44D7">
        <w:rPr>
          <w:rFonts w:cstheme="minorHAnsi"/>
          <w:sz w:val="24"/>
          <w:szCs w:val="24"/>
        </w:rPr>
        <w:t xml:space="preserve"> Rather the paper </w:t>
      </w:r>
      <w:r w:rsidR="005C22AB" w:rsidRPr="003B44D7">
        <w:rPr>
          <w:rFonts w:cstheme="minorHAnsi"/>
          <w:sz w:val="24"/>
          <w:szCs w:val="24"/>
        </w:rPr>
        <w:t>seeks to reposition</w:t>
      </w:r>
      <w:r w:rsidR="00530E78" w:rsidRPr="003B44D7">
        <w:rPr>
          <w:rFonts w:cstheme="minorHAnsi"/>
          <w:sz w:val="24"/>
          <w:szCs w:val="24"/>
        </w:rPr>
        <w:t xml:space="preserve"> the trend towards a </w:t>
      </w:r>
      <w:r w:rsidR="00566FDD" w:rsidRPr="003B44D7">
        <w:rPr>
          <w:rFonts w:cstheme="minorHAnsi"/>
          <w:i/>
          <w:sz w:val="24"/>
          <w:szCs w:val="24"/>
        </w:rPr>
        <w:t xml:space="preserve">public standard setting enforced </w:t>
      </w:r>
      <w:r w:rsidR="004379D3" w:rsidRPr="003B44D7">
        <w:rPr>
          <w:rFonts w:cstheme="minorHAnsi"/>
          <w:i/>
          <w:sz w:val="24"/>
          <w:szCs w:val="24"/>
        </w:rPr>
        <w:t xml:space="preserve">through </w:t>
      </w:r>
      <w:r w:rsidR="00566FDD" w:rsidRPr="003B44D7">
        <w:rPr>
          <w:rFonts w:cstheme="minorHAnsi"/>
          <w:i/>
          <w:sz w:val="24"/>
          <w:szCs w:val="24"/>
        </w:rPr>
        <w:t>private processes</w:t>
      </w:r>
      <w:r w:rsidR="00566FDD" w:rsidRPr="003B44D7">
        <w:rPr>
          <w:rFonts w:cstheme="minorHAnsi"/>
          <w:sz w:val="24"/>
          <w:szCs w:val="24"/>
        </w:rPr>
        <w:t xml:space="preserve"> </w:t>
      </w:r>
      <w:r w:rsidR="00530E78" w:rsidRPr="003B44D7">
        <w:rPr>
          <w:rFonts w:cstheme="minorHAnsi"/>
          <w:sz w:val="24"/>
          <w:szCs w:val="24"/>
        </w:rPr>
        <w:t xml:space="preserve">as a restructuring of legal processes </w:t>
      </w:r>
      <w:r w:rsidR="00B25C88" w:rsidRPr="003B44D7">
        <w:rPr>
          <w:rFonts w:cstheme="minorHAnsi"/>
          <w:sz w:val="24"/>
          <w:szCs w:val="24"/>
        </w:rPr>
        <w:t xml:space="preserve">in </w:t>
      </w:r>
      <w:r w:rsidR="004379D3" w:rsidRPr="003B44D7">
        <w:rPr>
          <w:rFonts w:cstheme="minorHAnsi"/>
          <w:sz w:val="24"/>
          <w:szCs w:val="24"/>
        </w:rPr>
        <w:t>response to</w:t>
      </w:r>
      <w:r w:rsidR="00530E78" w:rsidRPr="003B44D7">
        <w:rPr>
          <w:rFonts w:cstheme="minorHAnsi"/>
          <w:sz w:val="24"/>
          <w:szCs w:val="24"/>
        </w:rPr>
        <w:t xml:space="preserve"> a more complex, more heterogen</w:t>
      </w:r>
      <w:r w:rsidR="005C22AB" w:rsidRPr="003B44D7">
        <w:rPr>
          <w:rFonts w:cstheme="minorHAnsi"/>
          <w:sz w:val="24"/>
          <w:szCs w:val="24"/>
        </w:rPr>
        <w:t>eous and more global speech-</w:t>
      </w:r>
      <w:r w:rsidR="00530E78" w:rsidRPr="003B44D7">
        <w:rPr>
          <w:rFonts w:cstheme="minorHAnsi"/>
          <w:sz w:val="24"/>
          <w:szCs w:val="24"/>
        </w:rPr>
        <w:t xml:space="preserve">scape, </w:t>
      </w:r>
      <w:r w:rsidR="008B5C0C" w:rsidRPr="003B44D7">
        <w:rPr>
          <w:rFonts w:cstheme="minorHAnsi"/>
          <w:sz w:val="24"/>
          <w:szCs w:val="24"/>
        </w:rPr>
        <w:t xml:space="preserve">which </w:t>
      </w:r>
      <w:r w:rsidR="00530E78" w:rsidRPr="003B44D7">
        <w:rPr>
          <w:rFonts w:cstheme="minorHAnsi"/>
          <w:sz w:val="24"/>
          <w:szCs w:val="24"/>
        </w:rPr>
        <w:t>incidentally embeds</w:t>
      </w:r>
      <w:r w:rsidR="0068291B" w:rsidRPr="003B44D7">
        <w:rPr>
          <w:rFonts w:cstheme="minorHAnsi"/>
          <w:sz w:val="24"/>
          <w:szCs w:val="24"/>
        </w:rPr>
        <w:t xml:space="preserve"> </w:t>
      </w:r>
      <w:r w:rsidR="00530E78" w:rsidRPr="003B44D7">
        <w:rPr>
          <w:rFonts w:cstheme="minorHAnsi"/>
          <w:sz w:val="24"/>
          <w:szCs w:val="24"/>
        </w:rPr>
        <w:t>the conflicting constitutional demands</w:t>
      </w:r>
      <w:r w:rsidR="0068291B" w:rsidRPr="003B44D7">
        <w:rPr>
          <w:rFonts w:cstheme="minorHAnsi"/>
          <w:sz w:val="24"/>
          <w:szCs w:val="24"/>
        </w:rPr>
        <w:t xml:space="preserve">. </w:t>
      </w:r>
    </w:p>
    <w:p w14:paraId="0F74AB6E" w14:textId="77777777" w:rsidR="0068291B" w:rsidRPr="003B44D7" w:rsidRDefault="0068291B" w:rsidP="004E7EB4">
      <w:pPr>
        <w:spacing w:after="0" w:line="240" w:lineRule="auto"/>
        <w:jc w:val="both"/>
        <w:rPr>
          <w:rFonts w:cstheme="minorHAnsi"/>
          <w:sz w:val="24"/>
          <w:szCs w:val="24"/>
        </w:rPr>
      </w:pPr>
    </w:p>
    <w:p w14:paraId="09E14620" w14:textId="5E713E99" w:rsidR="002E2493" w:rsidRPr="003B44D7" w:rsidRDefault="002E2493" w:rsidP="004E7EB4">
      <w:pPr>
        <w:spacing w:after="0" w:line="240" w:lineRule="auto"/>
        <w:jc w:val="both"/>
        <w:rPr>
          <w:rFonts w:cstheme="minorHAnsi"/>
          <w:sz w:val="24"/>
          <w:szCs w:val="24"/>
        </w:rPr>
      </w:pPr>
      <w:proofErr w:type="gramStart"/>
      <w:r w:rsidRPr="003B44D7">
        <w:rPr>
          <w:rFonts w:cstheme="minorHAnsi"/>
          <w:sz w:val="24"/>
          <w:szCs w:val="24"/>
        </w:rPr>
        <w:t>With this in mind</w:t>
      </w:r>
      <w:r w:rsidR="00AA4AF5" w:rsidRPr="003B44D7">
        <w:rPr>
          <w:rFonts w:cstheme="minorHAnsi"/>
          <w:sz w:val="24"/>
          <w:szCs w:val="24"/>
        </w:rPr>
        <w:t xml:space="preserve">, </w:t>
      </w:r>
      <w:r w:rsidR="005C22AB" w:rsidRPr="003B44D7">
        <w:rPr>
          <w:rFonts w:cstheme="minorHAnsi"/>
          <w:sz w:val="24"/>
          <w:szCs w:val="24"/>
        </w:rPr>
        <w:t>the</w:t>
      </w:r>
      <w:proofErr w:type="gramEnd"/>
      <w:r w:rsidR="005C22AB" w:rsidRPr="003B44D7">
        <w:rPr>
          <w:rFonts w:cstheme="minorHAnsi"/>
          <w:sz w:val="24"/>
          <w:szCs w:val="24"/>
        </w:rPr>
        <w:t xml:space="preserve"> paper</w:t>
      </w:r>
      <w:r w:rsidR="004A6925" w:rsidRPr="003B44D7">
        <w:rPr>
          <w:rFonts w:cstheme="minorHAnsi"/>
          <w:sz w:val="24"/>
          <w:szCs w:val="24"/>
        </w:rPr>
        <w:t xml:space="preserve"> </w:t>
      </w:r>
      <w:r w:rsidR="00AA4AF5" w:rsidRPr="003B44D7">
        <w:rPr>
          <w:rFonts w:cstheme="minorHAnsi"/>
          <w:sz w:val="24"/>
          <w:szCs w:val="24"/>
        </w:rPr>
        <w:t xml:space="preserve">locates </w:t>
      </w:r>
      <w:r w:rsidR="00041E06" w:rsidRPr="003B44D7">
        <w:rPr>
          <w:rFonts w:cstheme="minorHAnsi"/>
          <w:sz w:val="24"/>
          <w:szCs w:val="24"/>
        </w:rPr>
        <w:t xml:space="preserve">the legitimacy of </w:t>
      </w:r>
      <w:r w:rsidR="00041E06" w:rsidRPr="003B44D7">
        <w:rPr>
          <w:rFonts w:cstheme="minorHAnsi"/>
          <w:i/>
          <w:sz w:val="24"/>
          <w:szCs w:val="24"/>
        </w:rPr>
        <w:t>each</w:t>
      </w:r>
      <w:r w:rsidR="001C1403" w:rsidRPr="003B44D7">
        <w:rPr>
          <w:rFonts w:cstheme="minorHAnsi"/>
          <w:sz w:val="24"/>
          <w:szCs w:val="24"/>
        </w:rPr>
        <w:t xml:space="preserve"> speech perspective in their </w:t>
      </w:r>
      <w:r w:rsidR="00041E06" w:rsidRPr="003B44D7">
        <w:rPr>
          <w:rFonts w:cstheme="minorHAnsi"/>
          <w:sz w:val="24"/>
          <w:szCs w:val="24"/>
        </w:rPr>
        <w:t>historically grounded</w:t>
      </w:r>
      <w:r w:rsidR="00AA4AF5" w:rsidRPr="003B44D7">
        <w:rPr>
          <w:rFonts w:cstheme="minorHAnsi"/>
          <w:sz w:val="24"/>
          <w:szCs w:val="24"/>
        </w:rPr>
        <w:t xml:space="preserve"> </w:t>
      </w:r>
      <w:r w:rsidR="0070156C" w:rsidRPr="003B44D7">
        <w:rPr>
          <w:rFonts w:cstheme="minorHAnsi"/>
          <w:sz w:val="24"/>
          <w:szCs w:val="24"/>
        </w:rPr>
        <w:t>construction</w:t>
      </w:r>
      <w:r w:rsidR="00041E06" w:rsidRPr="003B44D7">
        <w:rPr>
          <w:rFonts w:cstheme="minorHAnsi"/>
          <w:sz w:val="24"/>
          <w:szCs w:val="24"/>
        </w:rPr>
        <w:t xml:space="preserve"> of citizenry and the</w:t>
      </w:r>
      <w:r w:rsidR="00AA4AF5" w:rsidRPr="003B44D7">
        <w:rPr>
          <w:rFonts w:cstheme="minorHAnsi"/>
          <w:sz w:val="24"/>
          <w:szCs w:val="24"/>
        </w:rPr>
        <w:t xml:space="preserve"> attendant</w:t>
      </w:r>
      <w:r w:rsidR="00041E06" w:rsidRPr="003B44D7">
        <w:rPr>
          <w:rFonts w:cstheme="minorHAnsi"/>
          <w:sz w:val="24"/>
          <w:szCs w:val="24"/>
        </w:rPr>
        <w:t xml:space="preserve"> primary fear</w:t>
      </w:r>
      <w:r w:rsidR="00C44D89" w:rsidRPr="003B44D7">
        <w:rPr>
          <w:rFonts w:cstheme="minorHAnsi"/>
          <w:sz w:val="24"/>
          <w:szCs w:val="24"/>
        </w:rPr>
        <w:t xml:space="preserve"> </w:t>
      </w:r>
      <w:r w:rsidR="00041E06" w:rsidRPr="003B44D7">
        <w:rPr>
          <w:rFonts w:cstheme="minorHAnsi"/>
          <w:sz w:val="24"/>
          <w:szCs w:val="24"/>
        </w:rPr>
        <w:t xml:space="preserve">to which each </w:t>
      </w:r>
      <w:r w:rsidR="009479CE" w:rsidRPr="003B44D7">
        <w:rPr>
          <w:rFonts w:cstheme="minorHAnsi"/>
          <w:sz w:val="24"/>
          <w:szCs w:val="24"/>
        </w:rPr>
        <w:t>speech</w:t>
      </w:r>
      <w:r w:rsidR="008E30AB" w:rsidRPr="003B44D7">
        <w:rPr>
          <w:rFonts w:cstheme="minorHAnsi"/>
          <w:sz w:val="24"/>
          <w:szCs w:val="24"/>
        </w:rPr>
        <w:t xml:space="preserve"> regime</w:t>
      </w:r>
      <w:r w:rsidR="00AA4AF5" w:rsidRPr="003B44D7">
        <w:rPr>
          <w:rFonts w:cstheme="minorHAnsi"/>
          <w:sz w:val="24"/>
          <w:szCs w:val="24"/>
        </w:rPr>
        <w:t xml:space="preserve"> </w:t>
      </w:r>
      <w:r w:rsidR="00041E06" w:rsidRPr="003B44D7">
        <w:rPr>
          <w:rFonts w:cstheme="minorHAnsi"/>
          <w:sz w:val="24"/>
          <w:szCs w:val="24"/>
        </w:rPr>
        <w:t>sp</w:t>
      </w:r>
      <w:r w:rsidR="008E30AB" w:rsidRPr="003B44D7">
        <w:rPr>
          <w:rFonts w:cstheme="minorHAnsi"/>
          <w:sz w:val="24"/>
          <w:szCs w:val="24"/>
        </w:rPr>
        <w:t>eaks. It</w:t>
      </w:r>
      <w:r w:rsidR="00EF3B6B" w:rsidRPr="003B44D7">
        <w:rPr>
          <w:rFonts w:cstheme="minorHAnsi"/>
          <w:sz w:val="24"/>
          <w:szCs w:val="24"/>
        </w:rPr>
        <w:t xml:space="preserve"> then </w:t>
      </w:r>
      <w:r w:rsidR="008E30AB" w:rsidRPr="003B44D7">
        <w:rPr>
          <w:rFonts w:cstheme="minorHAnsi"/>
          <w:sz w:val="24"/>
          <w:szCs w:val="24"/>
        </w:rPr>
        <w:t>proposes that</w:t>
      </w:r>
      <w:r w:rsidR="000005A3" w:rsidRPr="003B44D7">
        <w:rPr>
          <w:rFonts w:cstheme="minorHAnsi"/>
          <w:sz w:val="24"/>
          <w:szCs w:val="24"/>
        </w:rPr>
        <w:t xml:space="preserve"> although NetzDG appears to </w:t>
      </w:r>
      <w:r w:rsidR="0090470D" w:rsidRPr="003B44D7">
        <w:rPr>
          <w:rFonts w:cstheme="minorHAnsi"/>
          <w:sz w:val="24"/>
          <w:szCs w:val="24"/>
        </w:rPr>
        <w:t xml:space="preserve">feed both fears for different reasons, on closer </w:t>
      </w:r>
      <w:r w:rsidR="00B25614" w:rsidRPr="003B44D7">
        <w:rPr>
          <w:rFonts w:cstheme="minorHAnsi"/>
          <w:sz w:val="24"/>
          <w:szCs w:val="24"/>
        </w:rPr>
        <w:t>inspection</w:t>
      </w:r>
      <w:r w:rsidR="0090470D" w:rsidRPr="003B44D7">
        <w:rPr>
          <w:rFonts w:cstheme="minorHAnsi"/>
          <w:sz w:val="24"/>
          <w:szCs w:val="24"/>
        </w:rPr>
        <w:t xml:space="preserve"> </w:t>
      </w:r>
      <w:r w:rsidR="00E52B3F" w:rsidRPr="003B44D7">
        <w:rPr>
          <w:rFonts w:cstheme="minorHAnsi"/>
          <w:sz w:val="24"/>
          <w:szCs w:val="24"/>
        </w:rPr>
        <w:t>its central</w:t>
      </w:r>
      <w:r w:rsidR="000005A3" w:rsidRPr="003B44D7">
        <w:rPr>
          <w:rFonts w:cstheme="minorHAnsi"/>
          <w:sz w:val="24"/>
          <w:szCs w:val="24"/>
        </w:rPr>
        <w:t xml:space="preserve"> </w:t>
      </w:r>
      <w:r w:rsidR="0090470D" w:rsidRPr="003B44D7">
        <w:rPr>
          <w:rFonts w:cstheme="minorHAnsi"/>
          <w:sz w:val="24"/>
          <w:szCs w:val="24"/>
        </w:rPr>
        <w:t>mechanism</w:t>
      </w:r>
      <w:r w:rsidR="00830D46" w:rsidRPr="003B44D7">
        <w:rPr>
          <w:rFonts w:cstheme="minorHAnsi"/>
          <w:sz w:val="24"/>
          <w:szCs w:val="24"/>
        </w:rPr>
        <w:t xml:space="preserve"> </w:t>
      </w:r>
      <w:r w:rsidR="000005A3" w:rsidRPr="003B44D7">
        <w:rPr>
          <w:rFonts w:cstheme="minorHAnsi"/>
          <w:sz w:val="24"/>
          <w:szCs w:val="24"/>
        </w:rPr>
        <w:t xml:space="preserve">of </w:t>
      </w:r>
      <w:r w:rsidR="000037EF" w:rsidRPr="003B44D7">
        <w:rPr>
          <w:rFonts w:cstheme="minorHAnsi"/>
          <w:i/>
          <w:sz w:val="24"/>
          <w:szCs w:val="24"/>
        </w:rPr>
        <w:t>public</w:t>
      </w:r>
      <w:r w:rsidR="000037EF">
        <w:rPr>
          <w:rFonts w:cstheme="minorHAnsi"/>
          <w:i/>
          <w:sz w:val="24"/>
          <w:szCs w:val="24"/>
        </w:rPr>
        <w:t xml:space="preserve"> (content and procedural fairness)</w:t>
      </w:r>
      <w:r w:rsidR="000037EF" w:rsidRPr="003B44D7">
        <w:rPr>
          <w:rFonts w:cstheme="minorHAnsi"/>
          <w:i/>
          <w:sz w:val="24"/>
          <w:szCs w:val="24"/>
        </w:rPr>
        <w:t xml:space="preserve"> standards </w:t>
      </w:r>
      <w:r w:rsidR="000037EF">
        <w:rPr>
          <w:rFonts w:cstheme="minorHAnsi"/>
          <w:i/>
          <w:sz w:val="24"/>
          <w:szCs w:val="24"/>
        </w:rPr>
        <w:t>embedded in</w:t>
      </w:r>
      <w:r w:rsidR="000037EF" w:rsidRPr="003B44D7">
        <w:rPr>
          <w:rFonts w:cstheme="minorHAnsi"/>
          <w:i/>
          <w:sz w:val="24"/>
          <w:szCs w:val="24"/>
        </w:rPr>
        <w:t xml:space="preserve"> private processes</w:t>
      </w:r>
      <w:r w:rsidR="000037EF" w:rsidRPr="003B44D7">
        <w:rPr>
          <w:rFonts w:cstheme="minorHAnsi"/>
          <w:sz w:val="24"/>
          <w:szCs w:val="24"/>
        </w:rPr>
        <w:t xml:space="preserve"> </w:t>
      </w:r>
      <w:r w:rsidR="008E30AB" w:rsidRPr="003B44D7">
        <w:rPr>
          <w:rFonts w:cstheme="minorHAnsi"/>
          <w:sz w:val="24"/>
          <w:szCs w:val="24"/>
        </w:rPr>
        <w:t>creates a bridge</w:t>
      </w:r>
      <w:r w:rsidR="008A1B29" w:rsidRPr="003B44D7">
        <w:rPr>
          <w:rFonts w:cstheme="minorHAnsi"/>
          <w:sz w:val="24"/>
          <w:szCs w:val="24"/>
        </w:rPr>
        <w:t xml:space="preserve"> of sorts</w:t>
      </w:r>
      <w:r w:rsidRPr="003B44D7">
        <w:rPr>
          <w:rFonts w:cstheme="minorHAnsi"/>
          <w:sz w:val="24"/>
          <w:szCs w:val="24"/>
        </w:rPr>
        <w:t xml:space="preserve"> </w:t>
      </w:r>
      <w:r w:rsidR="00C44D89" w:rsidRPr="003B44D7">
        <w:rPr>
          <w:rFonts w:cstheme="minorHAnsi"/>
          <w:sz w:val="24"/>
          <w:szCs w:val="24"/>
        </w:rPr>
        <w:t>between the</w:t>
      </w:r>
      <w:r w:rsidR="007C3F3C" w:rsidRPr="003B44D7">
        <w:rPr>
          <w:rFonts w:cstheme="minorHAnsi"/>
          <w:sz w:val="24"/>
          <w:szCs w:val="24"/>
        </w:rPr>
        <w:t>se historically grounded</w:t>
      </w:r>
      <w:r w:rsidR="00C44D89" w:rsidRPr="003B44D7">
        <w:rPr>
          <w:rFonts w:cstheme="minorHAnsi"/>
          <w:sz w:val="24"/>
          <w:szCs w:val="24"/>
        </w:rPr>
        <w:t xml:space="preserve"> speech traditions and</w:t>
      </w:r>
      <w:r w:rsidR="0090470D" w:rsidRPr="003B44D7">
        <w:rPr>
          <w:rFonts w:cstheme="minorHAnsi"/>
          <w:sz w:val="24"/>
          <w:szCs w:val="24"/>
        </w:rPr>
        <w:t xml:space="preserve"> </w:t>
      </w:r>
      <w:r w:rsidR="006C54D3" w:rsidRPr="003B44D7">
        <w:rPr>
          <w:rFonts w:cstheme="minorHAnsi"/>
          <w:sz w:val="24"/>
          <w:szCs w:val="24"/>
        </w:rPr>
        <w:t>addresses</w:t>
      </w:r>
      <w:r w:rsidR="00973182" w:rsidRPr="003B44D7">
        <w:rPr>
          <w:rFonts w:cstheme="minorHAnsi"/>
          <w:sz w:val="24"/>
          <w:szCs w:val="24"/>
        </w:rPr>
        <w:t xml:space="preserve"> </w:t>
      </w:r>
      <w:r w:rsidR="00C44D89" w:rsidRPr="003B44D7">
        <w:rPr>
          <w:rFonts w:cstheme="minorHAnsi"/>
          <w:sz w:val="24"/>
          <w:szCs w:val="24"/>
        </w:rPr>
        <w:t>their</w:t>
      </w:r>
      <w:r w:rsidR="00BE6406" w:rsidRPr="003B44D7">
        <w:rPr>
          <w:rFonts w:cstheme="minorHAnsi"/>
          <w:sz w:val="24"/>
          <w:szCs w:val="24"/>
        </w:rPr>
        <w:t xml:space="preserve"> </w:t>
      </w:r>
      <w:r w:rsidR="007C3F3C" w:rsidRPr="003B44D7">
        <w:rPr>
          <w:rFonts w:cstheme="minorHAnsi"/>
          <w:sz w:val="24"/>
          <w:szCs w:val="24"/>
        </w:rPr>
        <w:t>st</w:t>
      </w:r>
      <w:r w:rsidR="00BE6406" w:rsidRPr="003B44D7">
        <w:rPr>
          <w:rFonts w:cstheme="minorHAnsi"/>
          <w:sz w:val="24"/>
          <w:szCs w:val="24"/>
        </w:rPr>
        <w:t>ructural</w:t>
      </w:r>
      <w:r w:rsidR="0090470D" w:rsidRPr="003B44D7">
        <w:rPr>
          <w:rFonts w:cstheme="minorHAnsi"/>
          <w:sz w:val="24"/>
          <w:szCs w:val="24"/>
        </w:rPr>
        <w:t xml:space="preserve"> differences</w:t>
      </w:r>
      <w:r w:rsidR="0034475D" w:rsidRPr="003B44D7">
        <w:rPr>
          <w:rFonts w:cstheme="minorHAnsi"/>
          <w:sz w:val="24"/>
          <w:szCs w:val="24"/>
        </w:rPr>
        <w:t xml:space="preserve"> that go to the heart of the</w:t>
      </w:r>
      <w:r w:rsidR="002B03E4" w:rsidRPr="003B44D7">
        <w:rPr>
          <w:rFonts w:cstheme="minorHAnsi"/>
          <w:sz w:val="24"/>
          <w:szCs w:val="24"/>
        </w:rPr>
        <w:t>ir</w:t>
      </w:r>
      <w:r w:rsidR="0034475D" w:rsidRPr="003B44D7">
        <w:rPr>
          <w:rFonts w:cstheme="minorHAnsi"/>
          <w:sz w:val="24"/>
          <w:szCs w:val="24"/>
        </w:rPr>
        <w:t xml:space="preserve"> </w:t>
      </w:r>
      <w:r w:rsidR="0068729E" w:rsidRPr="003B44D7">
        <w:rPr>
          <w:rFonts w:cstheme="minorHAnsi"/>
          <w:sz w:val="24"/>
          <w:szCs w:val="24"/>
        </w:rPr>
        <w:t>legitimacy concerns</w:t>
      </w:r>
      <w:r w:rsidR="00E04689" w:rsidRPr="003B44D7">
        <w:rPr>
          <w:rFonts w:cstheme="minorHAnsi"/>
          <w:sz w:val="24"/>
          <w:szCs w:val="24"/>
        </w:rPr>
        <w:t>.</w:t>
      </w:r>
      <w:r w:rsidR="0090470D" w:rsidRPr="003B44D7">
        <w:rPr>
          <w:rFonts w:cstheme="minorHAnsi"/>
          <w:sz w:val="24"/>
          <w:szCs w:val="24"/>
        </w:rPr>
        <w:t xml:space="preserve"> </w:t>
      </w:r>
      <w:r w:rsidR="00E52B3F" w:rsidRPr="003B44D7">
        <w:rPr>
          <w:rFonts w:cstheme="minorHAnsi"/>
          <w:sz w:val="24"/>
          <w:szCs w:val="24"/>
        </w:rPr>
        <w:t xml:space="preserve">Finally, it is argued that </w:t>
      </w:r>
      <w:r w:rsidR="006C54D3" w:rsidRPr="003B44D7">
        <w:rPr>
          <w:rFonts w:cstheme="minorHAnsi"/>
          <w:sz w:val="24"/>
          <w:szCs w:val="24"/>
        </w:rPr>
        <w:t xml:space="preserve">whilst </w:t>
      </w:r>
      <w:r w:rsidR="00E52B3F" w:rsidRPr="003B44D7">
        <w:rPr>
          <w:rFonts w:cstheme="minorHAnsi"/>
          <w:sz w:val="24"/>
          <w:szCs w:val="24"/>
        </w:rPr>
        <w:t>t</w:t>
      </w:r>
      <w:r w:rsidR="0090470D" w:rsidRPr="003B44D7">
        <w:rPr>
          <w:rFonts w:cstheme="minorHAnsi"/>
          <w:sz w:val="24"/>
          <w:szCs w:val="24"/>
        </w:rPr>
        <w:t xml:space="preserve">his </w:t>
      </w:r>
      <w:r w:rsidR="0034475D" w:rsidRPr="003B44D7">
        <w:rPr>
          <w:rFonts w:cstheme="minorHAnsi"/>
          <w:sz w:val="24"/>
          <w:szCs w:val="24"/>
        </w:rPr>
        <w:t xml:space="preserve">bridge is </w:t>
      </w:r>
      <w:r w:rsidR="008E30AB" w:rsidRPr="003B44D7">
        <w:rPr>
          <w:rFonts w:cstheme="minorHAnsi"/>
          <w:sz w:val="24"/>
          <w:szCs w:val="24"/>
        </w:rPr>
        <w:t>imperfect</w:t>
      </w:r>
      <w:r w:rsidR="006C54D3" w:rsidRPr="003B44D7">
        <w:rPr>
          <w:rFonts w:cstheme="minorHAnsi"/>
          <w:sz w:val="24"/>
          <w:szCs w:val="24"/>
        </w:rPr>
        <w:t xml:space="preserve">, it is </w:t>
      </w:r>
      <w:r w:rsidRPr="003B44D7">
        <w:rPr>
          <w:rFonts w:cstheme="minorHAnsi"/>
          <w:i/>
          <w:sz w:val="24"/>
          <w:szCs w:val="24"/>
        </w:rPr>
        <w:t xml:space="preserve">good enough </w:t>
      </w:r>
      <w:r w:rsidR="00C44D89" w:rsidRPr="003B44D7">
        <w:rPr>
          <w:rFonts w:cstheme="minorHAnsi"/>
          <w:sz w:val="24"/>
          <w:szCs w:val="24"/>
        </w:rPr>
        <w:t>to meet the</w:t>
      </w:r>
      <w:r w:rsidR="006C54D3" w:rsidRPr="003B44D7">
        <w:rPr>
          <w:rFonts w:cstheme="minorHAnsi"/>
          <w:sz w:val="24"/>
          <w:szCs w:val="24"/>
        </w:rPr>
        <w:t xml:space="preserve"> core</w:t>
      </w:r>
      <w:r w:rsidR="00C44D89" w:rsidRPr="003B44D7">
        <w:rPr>
          <w:rFonts w:cstheme="minorHAnsi"/>
          <w:sz w:val="24"/>
          <w:szCs w:val="24"/>
        </w:rPr>
        <w:t xml:space="preserve"> </w:t>
      </w:r>
      <w:r w:rsidR="007D1AF1" w:rsidRPr="003B44D7">
        <w:rPr>
          <w:rFonts w:cstheme="minorHAnsi"/>
          <w:sz w:val="24"/>
          <w:szCs w:val="24"/>
        </w:rPr>
        <w:t xml:space="preserve">concerns and </w:t>
      </w:r>
      <w:r w:rsidR="00C44D89" w:rsidRPr="003B44D7">
        <w:rPr>
          <w:rFonts w:cstheme="minorHAnsi"/>
          <w:sz w:val="24"/>
          <w:szCs w:val="24"/>
        </w:rPr>
        <w:t>objections from either side</w:t>
      </w:r>
      <w:r w:rsidRPr="003B44D7">
        <w:rPr>
          <w:rFonts w:cstheme="minorHAnsi"/>
          <w:sz w:val="24"/>
          <w:szCs w:val="24"/>
        </w:rPr>
        <w:t xml:space="preserve">. </w:t>
      </w:r>
    </w:p>
    <w:p w14:paraId="20779FA7" w14:textId="77777777" w:rsidR="004E7EB4" w:rsidRPr="003B44D7" w:rsidRDefault="004E7EB4" w:rsidP="004E7EB4">
      <w:pPr>
        <w:spacing w:after="0" w:line="240" w:lineRule="auto"/>
        <w:jc w:val="both"/>
        <w:rPr>
          <w:rFonts w:cstheme="minorHAnsi"/>
          <w:sz w:val="24"/>
          <w:szCs w:val="24"/>
        </w:rPr>
      </w:pPr>
    </w:p>
    <w:p w14:paraId="224BDEB7" w14:textId="77777777" w:rsidR="00E5230C" w:rsidRPr="00D66448" w:rsidRDefault="00565909" w:rsidP="004E7EB4">
      <w:pPr>
        <w:pStyle w:val="Heading1"/>
        <w:numPr>
          <w:ilvl w:val="0"/>
          <w:numId w:val="13"/>
        </w:numPr>
        <w:spacing w:before="0" w:line="240" w:lineRule="auto"/>
        <w:jc w:val="both"/>
        <w:rPr>
          <w:rFonts w:asciiTheme="minorHAnsi" w:hAnsiTheme="minorHAnsi" w:cstheme="minorHAnsi"/>
          <w:sz w:val="28"/>
          <w:szCs w:val="28"/>
        </w:rPr>
      </w:pPr>
      <w:bookmarkStart w:id="1" w:name="_Toc95568718"/>
      <w:r w:rsidRPr="00D66448">
        <w:rPr>
          <w:rFonts w:asciiTheme="minorHAnsi" w:hAnsiTheme="minorHAnsi" w:cstheme="minorHAnsi"/>
          <w:sz w:val="28"/>
          <w:szCs w:val="28"/>
        </w:rPr>
        <w:t>D</w:t>
      </w:r>
      <w:r w:rsidR="001079C3" w:rsidRPr="00D66448">
        <w:rPr>
          <w:rFonts w:asciiTheme="minorHAnsi" w:hAnsiTheme="minorHAnsi" w:cstheme="minorHAnsi"/>
          <w:sz w:val="28"/>
          <w:szCs w:val="28"/>
        </w:rPr>
        <w:t xml:space="preserve">ivergent </w:t>
      </w:r>
      <w:r w:rsidR="006C54D3" w:rsidRPr="00D66448">
        <w:rPr>
          <w:rFonts w:asciiTheme="minorHAnsi" w:hAnsiTheme="minorHAnsi" w:cstheme="minorHAnsi"/>
          <w:sz w:val="28"/>
          <w:szCs w:val="28"/>
        </w:rPr>
        <w:t>conceptions of citizenry and their primary fears</w:t>
      </w:r>
      <w:bookmarkEnd w:id="1"/>
    </w:p>
    <w:p w14:paraId="53ABE8F2" w14:textId="77777777" w:rsidR="00F173BE" w:rsidRPr="003B44D7" w:rsidRDefault="00F173BE" w:rsidP="004E7EB4">
      <w:pPr>
        <w:spacing w:after="0" w:line="240" w:lineRule="auto"/>
        <w:jc w:val="both"/>
        <w:rPr>
          <w:rFonts w:cstheme="minorHAnsi"/>
          <w:sz w:val="24"/>
          <w:szCs w:val="24"/>
        </w:rPr>
      </w:pPr>
    </w:p>
    <w:p w14:paraId="05147D49" w14:textId="29E12C4E" w:rsidR="004E0147" w:rsidRPr="003B44D7" w:rsidRDefault="00F337BE" w:rsidP="004E7EB4">
      <w:pPr>
        <w:spacing w:after="0" w:line="240" w:lineRule="auto"/>
        <w:jc w:val="both"/>
        <w:rPr>
          <w:rFonts w:cstheme="minorHAnsi"/>
          <w:sz w:val="24"/>
          <w:szCs w:val="24"/>
        </w:rPr>
      </w:pPr>
      <w:r w:rsidRPr="003B44D7">
        <w:rPr>
          <w:rFonts w:cstheme="minorHAnsi"/>
          <w:sz w:val="24"/>
          <w:szCs w:val="24"/>
        </w:rPr>
        <w:t>The American and European divergence on the legitimacy of hate speech regulation goes hand in hand with</w:t>
      </w:r>
      <w:r w:rsidR="004E0147" w:rsidRPr="003B44D7">
        <w:rPr>
          <w:rFonts w:cstheme="minorHAnsi"/>
          <w:sz w:val="24"/>
          <w:szCs w:val="24"/>
        </w:rPr>
        <w:t xml:space="preserve"> their</w:t>
      </w:r>
      <w:r w:rsidRPr="003B44D7">
        <w:rPr>
          <w:rFonts w:cstheme="minorHAnsi"/>
          <w:sz w:val="24"/>
          <w:szCs w:val="24"/>
        </w:rPr>
        <w:t xml:space="preserve"> </w:t>
      </w:r>
      <w:r w:rsidR="007D1AF1" w:rsidRPr="003B44D7">
        <w:rPr>
          <w:rFonts w:cstheme="minorHAnsi"/>
          <w:sz w:val="24"/>
          <w:szCs w:val="24"/>
        </w:rPr>
        <w:t>p</w:t>
      </w:r>
      <w:r w:rsidR="00480EC4" w:rsidRPr="003B44D7">
        <w:rPr>
          <w:rFonts w:cstheme="minorHAnsi"/>
          <w:sz w:val="24"/>
          <w:szCs w:val="24"/>
        </w:rPr>
        <w:t xml:space="preserve">articular </w:t>
      </w:r>
      <w:r w:rsidRPr="003B44D7">
        <w:rPr>
          <w:rFonts w:cstheme="minorHAnsi"/>
          <w:sz w:val="24"/>
          <w:szCs w:val="24"/>
        </w:rPr>
        <w:t>conception</w:t>
      </w:r>
      <w:r w:rsidR="004E0147" w:rsidRPr="003B44D7">
        <w:rPr>
          <w:rFonts w:cstheme="minorHAnsi"/>
          <w:sz w:val="24"/>
          <w:szCs w:val="24"/>
        </w:rPr>
        <w:t>s</w:t>
      </w:r>
      <w:r w:rsidRPr="003B44D7">
        <w:rPr>
          <w:rFonts w:cstheme="minorHAnsi"/>
          <w:sz w:val="24"/>
          <w:szCs w:val="24"/>
        </w:rPr>
        <w:t xml:space="preserve"> of empowered citizenry</w:t>
      </w:r>
      <w:r w:rsidR="00662947" w:rsidRPr="003B44D7">
        <w:rPr>
          <w:rFonts w:cstheme="minorHAnsi"/>
          <w:sz w:val="24"/>
          <w:szCs w:val="24"/>
        </w:rPr>
        <w:t>,</w:t>
      </w:r>
      <w:r w:rsidR="006E1D5D" w:rsidRPr="003B44D7">
        <w:rPr>
          <w:rStyle w:val="FootnoteReference"/>
          <w:rFonts w:cstheme="minorHAnsi"/>
          <w:sz w:val="24"/>
          <w:szCs w:val="24"/>
        </w:rPr>
        <w:footnoteReference w:id="21"/>
      </w:r>
      <w:r w:rsidR="00662947" w:rsidRPr="003B44D7">
        <w:rPr>
          <w:rFonts w:cstheme="minorHAnsi"/>
          <w:sz w:val="24"/>
          <w:szCs w:val="24"/>
        </w:rPr>
        <w:t xml:space="preserve"> with each being</w:t>
      </w:r>
      <w:r w:rsidR="004E0147" w:rsidRPr="003B44D7">
        <w:rPr>
          <w:rFonts w:cstheme="minorHAnsi"/>
          <w:sz w:val="24"/>
          <w:szCs w:val="24"/>
        </w:rPr>
        <w:t xml:space="preserve"> ‘founded on deeply felt socio-political ideals, whose histories reach back to the revolutionary era of the later eighteenth century.’</w:t>
      </w:r>
      <w:r w:rsidR="004E0147" w:rsidRPr="003B44D7">
        <w:rPr>
          <w:rStyle w:val="FootnoteReference"/>
          <w:rFonts w:cstheme="minorHAnsi"/>
          <w:sz w:val="24"/>
          <w:szCs w:val="24"/>
        </w:rPr>
        <w:footnoteReference w:id="22"/>
      </w:r>
      <w:r w:rsidR="004E0147" w:rsidRPr="003B44D7">
        <w:rPr>
          <w:rFonts w:cstheme="minorHAnsi"/>
          <w:sz w:val="24"/>
          <w:szCs w:val="24"/>
        </w:rPr>
        <w:t xml:space="preserve"> In</w:t>
      </w:r>
      <w:r w:rsidR="00141264" w:rsidRPr="003B44D7">
        <w:rPr>
          <w:rFonts w:cstheme="minorHAnsi"/>
          <w:sz w:val="24"/>
          <w:szCs w:val="24"/>
        </w:rPr>
        <w:t xml:space="preserve"> </w:t>
      </w:r>
      <w:r w:rsidR="00DB6A7B" w:rsidRPr="003B44D7">
        <w:rPr>
          <w:rFonts w:cstheme="minorHAnsi"/>
          <w:i/>
          <w:sz w:val="24"/>
          <w:szCs w:val="24"/>
        </w:rPr>
        <w:t>The Two Western Cultures of Privacy: Dignity versus Liberty</w:t>
      </w:r>
      <w:r w:rsidR="00340743" w:rsidRPr="003B44D7">
        <w:rPr>
          <w:rFonts w:cstheme="minorHAnsi"/>
          <w:i/>
          <w:sz w:val="24"/>
          <w:szCs w:val="24"/>
        </w:rPr>
        <w:t xml:space="preserve"> </w:t>
      </w:r>
      <w:r w:rsidR="00340743" w:rsidRPr="003B44D7">
        <w:rPr>
          <w:rFonts w:cstheme="minorHAnsi"/>
          <w:sz w:val="24"/>
          <w:szCs w:val="24"/>
        </w:rPr>
        <w:t>(2004)</w:t>
      </w:r>
      <w:r w:rsidR="00DB6A7B" w:rsidRPr="003B44D7">
        <w:rPr>
          <w:rStyle w:val="FootnoteReference"/>
          <w:rFonts w:cstheme="minorHAnsi"/>
          <w:sz w:val="24"/>
          <w:szCs w:val="24"/>
        </w:rPr>
        <w:footnoteReference w:id="23"/>
      </w:r>
      <w:r w:rsidR="004E0147" w:rsidRPr="003B44D7">
        <w:rPr>
          <w:rFonts w:cstheme="minorHAnsi"/>
          <w:sz w:val="24"/>
          <w:szCs w:val="24"/>
        </w:rPr>
        <w:t xml:space="preserve"> James Whitman </w:t>
      </w:r>
      <w:r w:rsidR="00662947" w:rsidRPr="003B44D7">
        <w:rPr>
          <w:rFonts w:cstheme="minorHAnsi"/>
          <w:sz w:val="24"/>
          <w:szCs w:val="24"/>
        </w:rPr>
        <w:t xml:space="preserve">historically traced </w:t>
      </w:r>
      <w:r w:rsidR="004E0147" w:rsidRPr="003B44D7">
        <w:rPr>
          <w:rFonts w:cstheme="minorHAnsi"/>
          <w:i/>
          <w:sz w:val="24"/>
          <w:szCs w:val="24"/>
        </w:rPr>
        <w:t>liberty</w:t>
      </w:r>
      <w:r w:rsidR="004E0147" w:rsidRPr="003B44D7">
        <w:rPr>
          <w:rFonts w:cstheme="minorHAnsi"/>
          <w:sz w:val="24"/>
          <w:szCs w:val="24"/>
        </w:rPr>
        <w:t xml:space="preserve"> and </w:t>
      </w:r>
      <w:r w:rsidR="004E0147" w:rsidRPr="003B44D7">
        <w:rPr>
          <w:rFonts w:cstheme="minorHAnsi"/>
          <w:i/>
          <w:sz w:val="24"/>
          <w:szCs w:val="24"/>
        </w:rPr>
        <w:t xml:space="preserve">dignity </w:t>
      </w:r>
      <w:r w:rsidR="004E0147" w:rsidRPr="003B44D7">
        <w:rPr>
          <w:rFonts w:cstheme="minorHAnsi"/>
          <w:sz w:val="24"/>
          <w:szCs w:val="24"/>
        </w:rPr>
        <w:t xml:space="preserve">as </w:t>
      </w:r>
      <w:r w:rsidR="00A1011A" w:rsidRPr="003B44D7">
        <w:rPr>
          <w:rFonts w:cstheme="minorHAnsi"/>
          <w:sz w:val="24"/>
          <w:szCs w:val="24"/>
        </w:rPr>
        <w:t>the</w:t>
      </w:r>
      <w:r w:rsidR="004E0147" w:rsidRPr="003B44D7">
        <w:rPr>
          <w:rFonts w:cstheme="minorHAnsi"/>
          <w:sz w:val="24"/>
          <w:szCs w:val="24"/>
        </w:rPr>
        <w:t xml:space="preserve"> respective</w:t>
      </w:r>
      <w:r w:rsidR="00A1011A" w:rsidRPr="003B44D7">
        <w:rPr>
          <w:rFonts w:cstheme="minorHAnsi"/>
          <w:sz w:val="24"/>
          <w:szCs w:val="24"/>
        </w:rPr>
        <w:t xml:space="preserve"> animating forces </w:t>
      </w:r>
      <w:r w:rsidR="004E0147" w:rsidRPr="003B44D7">
        <w:rPr>
          <w:rFonts w:cstheme="minorHAnsi"/>
          <w:sz w:val="24"/>
          <w:szCs w:val="24"/>
        </w:rPr>
        <w:t xml:space="preserve">behind the </w:t>
      </w:r>
      <w:r w:rsidR="00D47A5D" w:rsidRPr="003B44D7">
        <w:rPr>
          <w:rFonts w:cstheme="minorHAnsi"/>
          <w:sz w:val="24"/>
          <w:szCs w:val="24"/>
        </w:rPr>
        <w:t xml:space="preserve">divergent </w:t>
      </w:r>
      <w:r w:rsidR="004E0147" w:rsidRPr="003B44D7">
        <w:rPr>
          <w:rFonts w:cstheme="minorHAnsi"/>
          <w:sz w:val="24"/>
          <w:szCs w:val="24"/>
        </w:rPr>
        <w:t xml:space="preserve">American and </w:t>
      </w:r>
      <w:r w:rsidR="00D47A5D" w:rsidRPr="003B44D7">
        <w:rPr>
          <w:rFonts w:cstheme="minorHAnsi"/>
          <w:sz w:val="24"/>
          <w:szCs w:val="24"/>
        </w:rPr>
        <w:t xml:space="preserve">Continental </w:t>
      </w:r>
      <w:r w:rsidR="004E0147" w:rsidRPr="003B44D7">
        <w:rPr>
          <w:rFonts w:cstheme="minorHAnsi"/>
          <w:sz w:val="24"/>
          <w:szCs w:val="24"/>
        </w:rPr>
        <w:t>European</w:t>
      </w:r>
      <w:r w:rsidR="0056170D" w:rsidRPr="003B44D7">
        <w:rPr>
          <w:rFonts w:cstheme="minorHAnsi"/>
          <w:sz w:val="24"/>
          <w:szCs w:val="24"/>
        </w:rPr>
        <w:t xml:space="preserve"> </w:t>
      </w:r>
      <w:r w:rsidR="00A1011A" w:rsidRPr="003B44D7">
        <w:rPr>
          <w:rFonts w:cstheme="minorHAnsi"/>
          <w:sz w:val="24"/>
          <w:szCs w:val="24"/>
        </w:rPr>
        <w:t>privacy sensibilities and conception</w:t>
      </w:r>
      <w:r w:rsidR="00540A6F" w:rsidRPr="003B44D7">
        <w:rPr>
          <w:rFonts w:cstheme="minorHAnsi"/>
          <w:sz w:val="24"/>
          <w:szCs w:val="24"/>
        </w:rPr>
        <w:t>s. T</w:t>
      </w:r>
      <w:r w:rsidR="00CD054D" w:rsidRPr="003B44D7">
        <w:rPr>
          <w:rFonts w:cstheme="minorHAnsi"/>
          <w:sz w:val="24"/>
          <w:szCs w:val="24"/>
        </w:rPr>
        <w:t xml:space="preserve">he same </w:t>
      </w:r>
      <w:r w:rsidR="00D47A5D" w:rsidRPr="003B44D7">
        <w:rPr>
          <w:rFonts w:cstheme="minorHAnsi"/>
          <w:sz w:val="24"/>
          <w:szCs w:val="24"/>
        </w:rPr>
        <w:t xml:space="preserve">underlying </w:t>
      </w:r>
      <w:r w:rsidR="00CD054D" w:rsidRPr="003B44D7">
        <w:rPr>
          <w:rFonts w:cstheme="minorHAnsi"/>
          <w:sz w:val="24"/>
          <w:szCs w:val="24"/>
        </w:rPr>
        <w:t>values patterns</w:t>
      </w:r>
      <w:r w:rsidR="004A6925" w:rsidRPr="003B44D7">
        <w:rPr>
          <w:rFonts w:cstheme="minorHAnsi"/>
          <w:sz w:val="24"/>
          <w:szCs w:val="24"/>
        </w:rPr>
        <w:t xml:space="preserve"> </w:t>
      </w:r>
      <w:r w:rsidR="004C658F" w:rsidRPr="003B44D7">
        <w:rPr>
          <w:rFonts w:cstheme="minorHAnsi"/>
          <w:sz w:val="24"/>
          <w:szCs w:val="24"/>
        </w:rPr>
        <w:t>also</w:t>
      </w:r>
      <w:r w:rsidR="00D47A5D" w:rsidRPr="003B44D7">
        <w:rPr>
          <w:rFonts w:cstheme="minorHAnsi"/>
          <w:sz w:val="24"/>
          <w:szCs w:val="24"/>
        </w:rPr>
        <w:t xml:space="preserve"> </w:t>
      </w:r>
      <w:r w:rsidR="00DA7167" w:rsidRPr="003B44D7">
        <w:rPr>
          <w:rFonts w:cstheme="minorHAnsi"/>
          <w:sz w:val="24"/>
          <w:szCs w:val="24"/>
        </w:rPr>
        <w:t>underlie</w:t>
      </w:r>
      <w:r w:rsidR="00540A6F" w:rsidRPr="003B44D7">
        <w:rPr>
          <w:rFonts w:cstheme="minorHAnsi"/>
          <w:sz w:val="24"/>
          <w:szCs w:val="24"/>
        </w:rPr>
        <w:t xml:space="preserve">, </w:t>
      </w:r>
      <w:r w:rsidR="00DA7167" w:rsidRPr="003B44D7">
        <w:rPr>
          <w:rFonts w:cstheme="minorHAnsi"/>
          <w:sz w:val="24"/>
          <w:szCs w:val="24"/>
        </w:rPr>
        <w:t xml:space="preserve">and </w:t>
      </w:r>
      <w:r w:rsidR="00E8482E" w:rsidRPr="003B44D7">
        <w:rPr>
          <w:rFonts w:cstheme="minorHAnsi"/>
          <w:sz w:val="24"/>
          <w:szCs w:val="24"/>
        </w:rPr>
        <w:t xml:space="preserve">help to </w:t>
      </w:r>
      <w:r w:rsidR="00D47A5D" w:rsidRPr="003B44D7">
        <w:rPr>
          <w:rFonts w:cstheme="minorHAnsi"/>
          <w:sz w:val="24"/>
          <w:szCs w:val="24"/>
        </w:rPr>
        <w:t>explain</w:t>
      </w:r>
      <w:r w:rsidR="00540A6F" w:rsidRPr="003B44D7">
        <w:rPr>
          <w:rFonts w:cstheme="minorHAnsi"/>
          <w:sz w:val="24"/>
          <w:szCs w:val="24"/>
        </w:rPr>
        <w:t xml:space="preserve">, </w:t>
      </w:r>
      <w:r w:rsidR="004C658F" w:rsidRPr="003B44D7">
        <w:rPr>
          <w:rFonts w:cstheme="minorHAnsi"/>
          <w:sz w:val="24"/>
          <w:szCs w:val="24"/>
        </w:rPr>
        <w:t>their different</w:t>
      </w:r>
      <w:r w:rsidR="00CD054D" w:rsidRPr="003B44D7">
        <w:rPr>
          <w:rFonts w:cstheme="minorHAnsi"/>
          <w:sz w:val="24"/>
          <w:szCs w:val="24"/>
        </w:rPr>
        <w:t xml:space="preserve"> attitudes to </w:t>
      </w:r>
      <w:r w:rsidR="00B25C88" w:rsidRPr="003B44D7">
        <w:rPr>
          <w:rFonts w:cstheme="minorHAnsi"/>
          <w:sz w:val="24"/>
          <w:szCs w:val="24"/>
        </w:rPr>
        <w:t xml:space="preserve">hate </w:t>
      </w:r>
      <w:r w:rsidR="00CD054D" w:rsidRPr="003B44D7">
        <w:rPr>
          <w:rFonts w:cstheme="minorHAnsi"/>
          <w:sz w:val="24"/>
          <w:szCs w:val="24"/>
        </w:rPr>
        <w:t>speech.</w:t>
      </w:r>
      <w:r w:rsidR="004E0147" w:rsidRPr="003B44D7">
        <w:rPr>
          <w:rStyle w:val="FootnoteReference"/>
          <w:rFonts w:cstheme="minorHAnsi"/>
          <w:sz w:val="24"/>
          <w:szCs w:val="24"/>
        </w:rPr>
        <w:footnoteReference w:id="24"/>
      </w:r>
      <w:r w:rsidR="00CD054D" w:rsidRPr="003B44D7">
        <w:rPr>
          <w:rFonts w:cstheme="minorHAnsi"/>
          <w:sz w:val="24"/>
          <w:szCs w:val="24"/>
        </w:rPr>
        <w:t xml:space="preserve"> </w:t>
      </w:r>
    </w:p>
    <w:p w14:paraId="7E17062C" w14:textId="77777777" w:rsidR="00092BCF" w:rsidRPr="003B44D7" w:rsidRDefault="00092BCF" w:rsidP="004E7EB4">
      <w:pPr>
        <w:spacing w:after="0" w:line="240" w:lineRule="auto"/>
        <w:jc w:val="both"/>
        <w:rPr>
          <w:rFonts w:cstheme="minorHAnsi"/>
          <w:sz w:val="24"/>
          <w:szCs w:val="24"/>
        </w:rPr>
      </w:pPr>
    </w:p>
    <w:p w14:paraId="5454D014" w14:textId="7E7F2BC3" w:rsidR="004830DB" w:rsidRPr="003B44D7" w:rsidRDefault="004E0147" w:rsidP="004E7EB4">
      <w:pPr>
        <w:spacing w:after="0" w:line="240" w:lineRule="auto"/>
        <w:jc w:val="both"/>
        <w:rPr>
          <w:rFonts w:cstheme="minorHAnsi"/>
          <w:sz w:val="24"/>
          <w:szCs w:val="24"/>
        </w:rPr>
      </w:pPr>
      <w:r w:rsidRPr="003B44D7">
        <w:rPr>
          <w:rFonts w:cstheme="minorHAnsi"/>
          <w:sz w:val="24"/>
          <w:szCs w:val="24"/>
        </w:rPr>
        <w:t xml:space="preserve">For Europeans, hate speech regulation is a matter of </w:t>
      </w:r>
      <w:r w:rsidR="00662947" w:rsidRPr="003B44D7">
        <w:rPr>
          <w:rFonts w:cstheme="minorHAnsi"/>
          <w:sz w:val="24"/>
          <w:szCs w:val="24"/>
        </w:rPr>
        <w:t>recognising the</w:t>
      </w:r>
      <w:r w:rsidR="008A5D6C" w:rsidRPr="003B44D7">
        <w:rPr>
          <w:rFonts w:cstheme="minorHAnsi"/>
          <w:sz w:val="24"/>
          <w:szCs w:val="24"/>
        </w:rPr>
        <w:t xml:space="preserve"> </w:t>
      </w:r>
      <w:r w:rsidR="00662947" w:rsidRPr="003B44D7">
        <w:rPr>
          <w:rFonts w:cstheme="minorHAnsi"/>
          <w:sz w:val="24"/>
          <w:szCs w:val="24"/>
        </w:rPr>
        <w:t>dignity of all members of so</w:t>
      </w:r>
      <w:r w:rsidR="008A5D6C" w:rsidRPr="003B44D7">
        <w:rPr>
          <w:rFonts w:cstheme="minorHAnsi"/>
          <w:sz w:val="24"/>
          <w:szCs w:val="24"/>
        </w:rPr>
        <w:t xml:space="preserve">ciety and </w:t>
      </w:r>
      <w:r w:rsidR="00E8482E" w:rsidRPr="003B44D7">
        <w:rPr>
          <w:rFonts w:cstheme="minorHAnsi"/>
          <w:sz w:val="24"/>
          <w:szCs w:val="24"/>
        </w:rPr>
        <w:t>thereby</w:t>
      </w:r>
      <w:r w:rsidR="00B25C88" w:rsidRPr="003B44D7">
        <w:rPr>
          <w:rFonts w:cstheme="minorHAnsi"/>
          <w:sz w:val="24"/>
          <w:szCs w:val="24"/>
        </w:rPr>
        <w:t xml:space="preserve"> upholding</w:t>
      </w:r>
      <w:r w:rsidR="004F1036" w:rsidRPr="003B44D7">
        <w:rPr>
          <w:rFonts w:cstheme="minorHAnsi"/>
          <w:sz w:val="24"/>
          <w:szCs w:val="24"/>
        </w:rPr>
        <w:t xml:space="preserve"> </w:t>
      </w:r>
      <w:r w:rsidR="00C23037" w:rsidRPr="003B44D7">
        <w:rPr>
          <w:rFonts w:cstheme="minorHAnsi"/>
          <w:sz w:val="24"/>
          <w:szCs w:val="24"/>
        </w:rPr>
        <w:t>their</w:t>
      </w:r>
      <w:r w:rsidR="004C658F" w:rsidRPr="003B44D7">
        <w:rPr>
          <w:rFonts w:cstheme="minorHAnsi"/>
          <w:sz w:val="24"/>
          <w:szCs w:val="24"/>
        </w:rPr>
        <w:t xml:space="preserve"> cit</w:t>
      </w:r>
      <w:r w:rsidR="0068291B" w:rsidRPr="003B44D7">
        <w:rPr>
          <w:rFonts w:cstheme="minorHAnsi"/>
          <w:sz w:val="24"/>
          <w:szCs w:val="24"/>
        </w:rPr>
        <w:t xml:space="preserve">izenry - </w:t>
      </w:r>
      <w:r w:rsidR="0052006B" w:rsidRPr="003B44D7">
        <w:rPr>
          <w:rFonts w:cstheme="minorHAnsi"/>
          <w:sz w:val="24"/>
          <w:szCs w:val="24"/>
        </w:rPr>
        <w:t xml:space="preserve">not understood in the strict legal sense, but rather denoting an entitlement to being treated with </w:t>
      </w:r>
      <w:r w:rsidR="0068291B" w:rsidRPr="003B44D7">
        <w:rPr>
          <w:rFonts w:cstheme="minorHAnsi"/>
          <w:sz w:val="24"/>
          <w:szCs w:val="24"/>
        </w:rPr>
        <w:t xml:space="preserve">basic </w:t>
      </w:r>
      <w:r w:rsidR="0052006B" w:rsidRPr="003B44D7">
        <w:rPr>
          <w:rFonts w:cstheme="minorHAnsi"/>
          <w:sz w:val="24"/>
          <w:szCs w:val="24"/>
        </w:rPr>
        <w:t xml:space="preserve">respect </w:t>
      </w:r>
      <w:r w:rsidR="00B26E9F" w:rsidRPr="003B44D7">
        <w:rPr>
          <w:rFonts w:cstheme="minorHAnsi"/>
          <w:sz w:val="24"/>
          <w:szCs w:val="24"/>
        </w:rPr>
        <w:t>based on</w:t>
      </w:r>
      <w:r w:rsidR="0068291B" w:rsidRPr="003B44D7">
        <w:rPr>
          <w:rFonts w:cstheme="minorHAnsi"/>
          <w:sz w:val="24"/>
          <w:szCs w:val="24"/>
        </w:rPr>
        <w:t xml:space="preserve"> one’s humanity</w:t>
      </w:r>
      <w:r w:rsidR="0052006B" w:rsidRPr="003B44D7">
        <w:rPr>
          <w:rFonts w:cstheme="minorHAnsi"/>
          <w:sz w:val="24"/>
          <w:szCs w:val="24"/>
        </w:rPr>
        <w:t>.</w:t>
      </w:r>
      <w:r w:rsidR="0068291B" w:rsidRPr="003B44D7">
        <w:rPr>
          <w:rStyle w:val="FootnoteReference"/>
          <w:rFonts w:cstheme="minorHAnsi"/>
          <w:sz w:val="24"/>
          <w:szCs w:val="24"/>
        </w:rPr>
        <w:footnoteReference w:id="25"/>
      </w:r>
      <w:r w:rsidR="002B03E4" w:rsidRPr="003B44D7">
        <w:rPr>
          <w:rFonts w:cstheme="minorHAnsi"/>
          <w:sz w:val="24"/>
          <w:szCs w:val="24"/>
        </w:rPr>
        <w:t xml:space="preserve"> Th</w:t>
      </w:r>
      <w:r w:rsidR="008A5D6C" w:rsidRPr="003B44D7">
        <w:rPr>
          <w:rFonts w:cstheme="minorHAnsi"/>
          <w:sz w:val="24"/>
          <w:szCs w:val="24"/>
        </w:rPr>
        <w:t xml:space="preserve">e uncensored </w:t>
      </w:r>
      <w:r w:rsidR="00C23037" w:rsidRPr="003B44D7">
        <w:rPr>
          <w:rFonts w:cstheme="minorHAnsi"/>
          <w:sz w:val="24"/>
          <w:szCs w:val="24"/>
        </w:rPr>
        <w:t xml:space="preserve">presence of hate speech in </w:t>
      </w:r>
      <w:r w:rsidR="00D3142B">
        <w:rPr>
          <w:rFonts w:cstheme="minorHAnsi"/>
          <w:sz w:val="24"/>
          <w:szCs w:val="24"/>
        </w:rPr>
        <w:t xml:space="preserve">the </w:t>
      </w:r>
      <w:r w:rsidR="00C23037" w:rsidRPr="003B44D7">
        <w:rPr>
          <w:rFonts w:cstheme="minorHAnsi"/>
          <w:sz w:val="24"/>
          <w:szCs w:val="24"/>
        </w:rPr>
        <w:t xml:space="preserve">public </w:t>
      </w:r>
      <w:r w:rsidR="00D3142B">
        <w:rPr>
          <w:rFonts w:cstheme="minorHAnsi"/>
          <w:sz w:val="24"/>
          <w:szCs w:val="24"/>
        </w:rPr>
        <w:t xml:space="preserve">domain </w:t>
      </w:r>
      <w:r w:rsidR="00E8482E" w:rsidRPr="003B44D7">
        <w:rPr>
          <w:rFonts w:cstheme="minorHAnsi"/>
          <w:sz w:val="24"/>
          <w:szCs w:val="24"/>
        </w:rPr>
        <w:t xml:space="preserve">is </w:t>
      </w:r>
      <w:r w:rsidR="00540A6F" w:rsidRPr="003B44D7">
        <w:rPr>
          <w:rFonts w:cstheme="minorHAnsi"/>
          <w:sz w:val="24"/>
          <w:szCs w:val="24"/>
        </w:rPr>
        <w:t xml:space="preserve">seen as </w:t>
      </w:r>
      <w:r w:rsidR="00C23037" w:rsidRPr="003B44D7">
        <w:rPr>
          <w:rFonts w:cstheme="minorHAnsi"/>
          <w:sz w:val="24"/>
          <w:szCs w:val="24"/>
        </w:rPr>
        <w:t>a continuous</w:t>
      </w:r>
      <w:r w:rsidR="001C1403" w:rsidRPr="003B44D7">
        <w:rPr>
          <w:rFonts w:cstheme="minorHAnsi"/>
          <w:sz w:val="24"/>
          <w:szCs w:val="24"/>
        </w:rPr>
        <w:t xml:space="preserve"> attack on ‘a shared sense of the basic elements of each person’s status, dignity, and reputation as a citizen or member of the society in good standing</w:t>
      </w:r>
      <w:r w:rsidR="00C23037" w:rsidRPr="003B44D7">
        <w:rPr>
          <w:rFonts w:cstheme="minorHAnsi"/>
          <w:sz w:val="24"/>
          <w:szCs w:val="24"/>
        </w:rPr>
        <w:t>.</w:t>
      </w:r>
      <w:r w:rsidR="001C1403" w:rsidRPr="003B44D7">
        <w:rPr>
          <w:rFonts w:cstheme="minorHAnsi"/>
          <w:sz w:val="24"/>
          <w:szCs w:val="24"/>
        </w:rPr>
        <w:t>’</w:t>
      </w:r>
      <w:r w:rsidR="008A5D6C" w:rsidRPr="003B44D7">
        <w:rPr>
          <w:rStyle w:val="FootnoteReference"/>
          <w:rFonts w:cstheme="minorHAnsi"/>
          <w:sz w:val="24"/>
          <w:szCs w:val="24"/>
        </w:rPr>
        <w:footnoteReference w:id="26"/>
      </w:r>
      <w:r w:rsidR="008A5D6C" w:rsidRPr="003B44D7">
        <w:rPr>
          <w:rFonts w:cstheme="minorHAnsi"/>
          <w:sz w:val="24"/>
          <w:szCs w:val="24"/>
        </w:rPr>
        <w:t xml:space="preserve"> </w:t>
      </w:r>
      <w:r w:rsidR="002B03E4" w:rsidRPr="003B44D7">
        <w:rPr>
          <w:rFonts w:cstheme="minorHAnsi"/>
          <w:sz w:val="24"/>
          <w:szCs w:val="24"/>
        </w:rPr>
        <w:t xml:space="preserve"> </w:t>
      </w:r>
      <w:r w:rsidR="00CD054D" w:rsidRPr="003B44D7">
        <w:rPr>
          <w:rFonts w:cstheme="minorHAnsi"/>
          <w:sz w:val="24"/>
          <w:szCs w:val="24"/>
        </w:rPr>
        <w:t>H</w:t>
      </w:r>
      <w:r w:rsidR="008A5D6C" w:rsidRPr="003B44D7">
        <w:rPr>
          <w:rFonts w:cstheme="minorHAnsi"/>
          <w:sz w:val="24"/>
          <w:szCs w:val="24"/>
        </w:rPr>
        <w:t>ate speech</w:t>
      </w:r>
      <w:r w:rsidR="0068291B" w:rsidRPr="003B44D7">
        <w:rPr>
          <w:rFonts w:cstheme="minorHAnsi"/>
          <w:sz w:val="24"/>
          <w:szCs w:val="24"/>
        </w:rPr>
        <w:t xml:space="preserve"> </w:t>
      </w:r>
      <w:r w:rsidR="00127B13" w:rsidRPr="003B44D7">
        <w:rPr>
          <w:rFonts w:cstheme="minorHAnsi"/>
          <w:sz w:val="24"/>
          <w:szCs w:val="24"/>
        </w:rPr>
        <w:t xml:space="preserve">prohibitions </w:t>
      </w:r>
      <w:r w:rsidR="0068291B" w:rsidRPr="003B44D7">
        <w:rPr>
          <w:rFonts w:cstheme="minorHAnsi"/>
          <w:sz w:val="24"/>
          <w:szCs w:val="24"/>
        </w:rPr>
        <w:t>must</w:t>
      </w:r>
      <w:r w:rsidR="00127B13" w:rsidRPr="003B44D7">
        <w:rPr>
          <w:rFonts w:cstheme="minorHAnsi"/>
          <w:sz w:val="24"/>
          <w:szCs w:val="24"/>
        </w:rPr>
        <w:t xml:space="preserve"> thus </w:t>
      </w:r>
      <w:r w:rsidR="00620DC4" w:rsidRPr="003B44D7">
        <w:rPr>
          <w:rFonts w:cstheme="minorHAnsi"/>
          <w:sz w:val="24"/>
          <w:szCs w:val="24"/>
        </w:rPr>
        <w:t>be understood</w:t>
      </w:r>
      <w:r w:rsidR="00C23037" w:rsidRPr="003B44D7">
        <w:rPr>
          <w:rFonts w:cstheme="minorHAnsi"/>
          <w:sz w:val="24"/>
          <w:szCs w:val="24"/>
        </w:rPr>
        <w:t xml:space="preserve"> not so much</w:t>
      </w:r>
      <w:r w:rsidR="002B03E4" w:rsidRPr="003B44D7">
        <w:rPr>
          <w:rFonts w:cstheme="minorHAnsi"/>
          <w:sz w:val="24"/>
          <w:szCs w:val="24"/>
        </w:rPr>
        <w:t xml:space="preserve"> about protecting</w:t>
      </w:r>
      <w:r w:rsidR="002022B0" w:rsidRPr="003B44D7">
        <w:rPr>
          <w:rFonts w:cstheme="minorHAnsi"/>
          <w:sz w:val="24"/>
          <w:szCs w:val="24"/>
        </w:rPr>
        <w:t xml:space="preserve"> finer </w:t>
      </w:r>
      <w:r w:rsidR="004A6925" w:rsidRPr="003B44D7">
        <w:rPr>
          <w:rFonts w:cstheme="minorHAnsi"/>
          <w:sz w:val="24"/>
          <w:szCs w:val="24"/>
        </w:rPr>
        <w:t>sensitivities,</w:t>
      </w:r>
      <w:r w:rsidR="00EE4DBF" w:rsidRPr="003B44D7">
        <w:rPr>
          <w:rFonts w:cstheme="minorHAnsi"/>
          <w:sz w:val="24"/>
          <w:szCs w:val="24"/>
        </w:rPr>
        <w:t xml:space="preserve"> or cushioning the</w:t>
      </w:r>
      <w:r w:rsidR="0068291B" w:rsidRPr="003B44D7">
        <w:rPr>
          <w:rFonts w:cstheme="minorHAnsi"/>
          <w:sz w:val="24"/>
          <w:szCs w:val="24"/>
        </w:rPr>
        <w:t xml:space="preserve"> minority or</w:t>
      </w:r>
      <w:r w:rsidR="00EE4DBF" w:rsidRPr="003B44D7">
        <w:rPr>
          <w:rFonts w:cstheme="minorHAnsi"/>
          <w:sz w:val="24"/>
          <w:szCs w:val="24"/>
        </w:rPr>
        <w:t xml:space="preserve"> </w:t>
      </w:r>
      <w:r w:rsidR="00DA7167" w:rsidRPr="003B44D7">
        <w:rPr>
          <w:rFonts w:cstheme="minorHAnsi"/>
          <w:sz w:val="24"/>
          <w:szCs w:val="24"/>
        </w:rPr>
        <w:t xml:space="preserve">the </w:t>
      </w:r>
      <w:r w:rsidR="00EE4DBF" w:rsidRPr="003B44D7">
        <w:rPr>
          <w:rFonts w:cstheme="minorHAnsi"/>
          <w:sz w:val="24"/>
          <w:szCs w:val="24"/>
        </w:rPr>
        <w:t>majority</w:t>
      </w:r>
      <w:r w:rsidR="007D1AF1" w:rsidRPr="003B44D7">
        <w:rPr>
          <w:rFonts w:cstheme="minorHAnsi"/>
          <w:sz w:val="24"/>
          <w:szCs w:val="24"/>
        </w:rPr>
        <w:t xml:space="preserve"> from offence</w:t>
      </w:r>
      <w:r w:rsidR="002B03E4" w:rsidRPr="003B44D7">
        <w:rPr>
          <w:rFonts w:cstheme="minorHAnsi"/>
          <w:sz w:val="24"/>
          <w:szCs w:val="24"/>
        </w:rPr>
        <w:t xml:space="preserve">, </w:t>
      </w:r>
      <w:r w:rsidR="008A5D6C" w:rsidRPr="003B44D7">
        <w:rPr>
          <w:rFonts w:cstheme="minorHAnsi"/>
          <w:sz w:val="24"/>
          <w:szCs w:val="24"/>
        </w:rPr>
        <w:t xml:space="preserve">but rather about </w:t>
      </w:r>
      <w:r w:rsidR="00C23037" w:rsidRPr="003B44D7">
        <w:rPr>
          <w:rFonts w:cstheme="minorHAnsi"/>
          <w:sz w:val="24"/>
          <w:szCs w:val="24"/>
        </w:rPr>
        <w:t>stating and reinstating</w:t>
      </w:r>
      <w:r w:rsidR="008B379D" w:rsidRPr="003B44D7">
        <w:rPr>
          <w:rFonts w:cstheme="minorHAnsi"/>
          <w:sz w:val="24"/>
          <w:szCs w:val="24"/>
        </w:rPr>
        <w:t>,</w:t>
      </w:r>
      <w:r w:rsidR="008A5D6C" w:rsidRPr="003B44D7">
        <w:rPr>
          <w:rFonts w:cstheme="minorHAnsi"/>
          <w:sz w:val="24"/>
          <w:szCs w:val="24"/>
        </w:rPr>
        <w:t xml:space="preserve"> </w:t>
      </w:r>
      <w:r w:rsidR="00C23037" w:rsidRPr="003B44D7">
        <w:rPr>
          <w:rFonts w:cstheme="minorHAnsi"/>
          <w:sz w:val="24"/>
          <w:szCs w:val="24"/>
        </w:rPr>
        <w:t>on a continual basis</w:t>
      </w:r>
      <w:r w:rsidR="008B379D" w:rsidRPr="003B44D7">
        <w:rPr>
          <w:rFonts w:cstheme="minorHAnsi"/>
          <w:sz w:val="24"/>
          <w:szCs w:val="24"/>
        </w:rPr>
        <w:t>,</w:t>
      </w:r>
      <w:r w:rsidR="00C23037" w:rsidRPr="003B44D7">
        <w:rPr>
          <w:rFonts w:cstheme="minorHAnsi"/>
          <w:sz w:val="24"/>
          <w:szCs w:val="24"/>
        </w:rPr>
        <w:t xml:space="preserve"> </w:t>
      </w:r>
      <w:r w:rsidR="00540A6F" w:rsidRPr="003B44D7">
        <w:rPr>
          <w:rFonts w:cstheme="minorHAnsi"/>
          <w:sz w:val="24"/>
          <w:szCs w:val="24"/>
        </w:rPr>
        <w:t xml:space="preserve">the </w:t>
      </w:r>
      <w:r w:rsidR="002B03E4" w:rsidRPr="003B44D7">
        <w:rPr>
          <w:rFonts w:cstheme="minorHAnsi"/>
          <w:sz w:val="24"/>
          <w:szCs w:val="24"/>
        </w:rPr>
        <w:t>community’</w:t>
      </w:r>
      <w:r w:rsidR="008B379D" w:rsidRPr="003B44D7">
        <w:rPr>
          <w:rFonts w:cstheme="minorHAnsi"/>
          <w:sz w:val="24"/>
          <w:szCs w:val="24"/>
        </w:rPr>
        <w:t xml:space="preserve">s </w:t>
      </w:r>
      <w:r w:rsidR="008A5D6C" w:rsidRPr="003B44D7">
        <w:rPr>
          <w:rFonts w:cstheme="minorHAnsi"/>
          <w:sz w:val="24"/>
          <w:szCs w:val="24"/>
        </w:rPr>
        <w:t xml:space="preserve">commitment to </w:t>
      </w:r>
      <w:r w:rsidR="002B03E4" w:rsidRPr="003B44D7">
        <w:rPr>
          <w:rFonts w:cstheme="minorHAnsi"/>
          <w:sz w:val="24"/>
          <w:szCs w:val="24"/>
        </w:rPr>
        <w:t xml:space="preserve">inclusivity, </w:t>
      </w:r>
      <w:r w:rsidR="008A5D6C" w:rsidRPr="003B44D7">
        <w:rPr>
          <w:rFonts w:cstheme="minorHAnsi"/>
          <w:sz w:val="24"/>
          <w:szCs w:val="24"/>
        </w:rPr>
        <w:t>diversity and equality</w:t>
      </w:r>
      <w:r w:rsidR="002B03E4" w:rsidRPr="003B44D7">
        <w:rPr>
          <w:rFonts w:cstheme="minorHAnsi"/>
          <w:sz w:val="24"/>
          <w:szCs w:val="24"/>
        </w:rPr>
        <w:t xml:space="preserve"> as</w:t>
      </w:r>
      <w:r w:rsidR="00540A6F" w:rsidRPr="003B44D7">
        <w:rPr>
          <w:rFonts w:cstheme="minorHAnsi"/>
          <w:sz w:val="24"/>
          <w:szCs w:val="24"/>
        </w:rPr>
        <w:t xml:space="preserve"> </w:t>
      </w:r>
      <w:r w:rsidR="002B03E4" w:rsidRPr="003B44D7">
        <w:rPr>
          <w:rFonts w:cstheme="minorHAnsi"/>
          <w:sz w:val="24"/>
          <w:szCs w:val="24"/>
        </w:rPr>
        <w:t>basic tenet</w:t>
      </w:r>
      <w:r w:rsidR="00540A6F" w:rsidRPr="003B44D7">
        <w:rPr>
          <w:rFonts w:cstheme="minorHAnsi"/>
          <w:sz w:val="24"/>
          <w:szCs w:val="24"/>
        </w:rPr>
        <w:t>s</w:t>
      </w:r>
      <w:r w:rsidR="002B03E4" w:rsidRPr="003B44D7">
        <w:rPr>
          <w:rFonts w:cstheme="minorHAnsi"/>
          <w:sz w:val="24"/>
          <w:szCs w:val="24"/>
        </w:rPr>
        <w:t xml:space="preserve"> of society</w:t>
      </w:r>
      <w:r w:rsidR="008A5D6C" w:rsidRPr="003B44D7">
        <w:rPr>
          <w:rFonts w:cstheme="minorHAnsi"/>
          <w:sz w:val="24"/>
          <w:szCs w:val="24"/>
        </w:rPr>
        <w:t xml:space="preserve">. </w:t>
      </w:r>
      <w:r w:rsidR="008B379D" w:rsidRPr="003B44D7">
        <w:rPr>
          <w:rFonts w:cstheme="minorHAnsi"/>
          <w:sz w:val="24"/>
          <w:szCs w:val="24"/>
        </w:rPr>
        <w:t>Historically, Whitman traced</w:t>
      </w:r>
      <w:r w:rsidR="00C23037" w:rsidRPr="003B44D7">
        <w:rPr>
          <w:rFonts w:cstheme="minorHAnsi"/>
          <w:sz w:val="24"/>
          <w:szCs w:val="24"/>
        </w:rPr>
        <w:t xml:space="preserve"> the </w:t>
      </w:r>
      <w:r w:rsidR="002022B0" w:rsidRPr="003B44D7">
        <w:rPr>
          <w:rFonts w:cstheme="minorHAnsi"/>
          <w:sz w:val="24"/>
          <w:szCs w:val="24"/>
        </w:rPr>
        <w:t xml:space="preserve">Continental </w:t>
      </w:r>
      <w:r w:rsidR="00C23037" w:rsidRPr="003B44D7">
        <w:rPr>
          <w:rFonts w:cstheme="minorHAnsi"/>
          <w:sz w:val="24"/>
          <w:szCs w:val="24"/>
        </w:rPr>
        <w:t>European preoccupation with dignity</w:t>
      </w:r>
      <w:r w:rsidR="007D1AF1" w:rsidRPr="003B44D7">
        <w:rPr>
          <w:rFonts w:cstheme="minorHAnsi"/>
          <w:sz w:val="24"/>
          <w:szCs w:val="24"/>
        </w:rPr>
        <w:t xml:space="preserve"> </w:t>
      </w:r>
      <w:r w:rsidR="00C23037" w:rsidRPr="003B44D7">
        <w:rPr>
          <w:rFonts w:cstheme="minorHAnsi"/>
          <w:sz w:val="24"/>
          <w:szCs w:val="24"/>
        </w:rPr>
        <w:t>to</w:t>
      </w:r>
      <w:r w:rsidR="00620DC4" w:rsidRPr="003B44D7">
        <w:rPr>
          <w:rFonts w:cstheme="minorHAnsi"/>
          <w:sz w:val="24"/>
          <w:szCs w:val="24"/>
        </w:rPr>
        <w:t xml:space="preserve"> the</w:t>
      </w:r>
      <w:r w:rsidR="00C23037" w:rsidRPr="003B44D7">
        <w:rPr>
          <w:rFonts w:cstheme="minorHAnsi"/>
          <w:sz w:val="24"/>
          <w:szCs w:val="24"/>
        </w:rPr>
        <w:t xml:space="preserve"> strictly hierarchical societies within which dignity</w:t>
      </w:r>
      <w:r w:rsidR="008B379D" w:rsidRPr="003B44D7">
        <w:rPr>
          <w:rFonts w:cstheme="minorHAnsi"/>
          <w:sz w:val="24"/>
          <w:szCs w:val="24"/>
        </w:rPr>
        <w:t xml:space="preserve"> and honour</w:t>
      </w:r>
      <w:r w:rsidR="00C23037" w:rsidRPr="003B44D7">
        <w:rPr>
          <w:rFonts w:cstheme="minorHAnsi"/>
          <w:sz w:val="24"/>
          <w:szCs w:val="24"/>
        </w:rPr>
        <w:t xml:space="preserve"> </w:t>
      </w:r>
      <w:r w:rsidR="002022B0" w:rsidRPr="003B44D7">
        <w:rPr>
          <w:rFonts w:cstheme="minorHAnsi"/>
          <w:sz w:val="24"/>
          <w:szCs w:val="24"/>
        </w:rPr>
        <w:t xml:space="preserve">were the </w:t>
      </w:r>
      <w:r w:rsidR="002022B0" w:rsidRPr="003B44D7">
        <w:rPr>
          <w:rFonts w:cstheme="minorHAnsi"/>
          <w:sz w:val="24"/>
          <w:szCs w:val="24"/>
        </w:rPr>
        <w:lastRenderedPageBreak/>
        <w:t xml:space="preserve">prerogative of the </w:t>
      </w:r>
      <w:r w:rsidR="004A6925" w:rsidRPr="003B44D7">
        <w:rPr>
          <w:rFonts w:cstheme="minorHAnsi"/>
          <w:sz w:val="24"/>
          <w:szCs w:val="24"/>
        </w:rPr>
        <w:t>aristocracy and upper middle classes</w:t>
      </w:r>
      <w:r w:rsidR="002022B0" w:rsidRPr="003B44D7">
        <w:rPr>
          <w:rFonts w:cstheme="minorHAnsi"/>
          <w:sz w:val="24"/>
          <w:szCs w:val="24"/>
        </w:rPr>
        <w:t xml:space="preserve"> </w:t>
      </w:r>
      <w:r w:rsidR="004A6925" w:rsidRPr="003B44D7">
        <w:rPr>
          <w:rFonts w:cstheme="minorHAnsi"/>
          <w:sz w:val="24"/>
          <w:szCs w:val="24"/>
        </w:rPr>
        <w:t>and embodied in</w:t>
      </w:r>
      <w:r w:rsidR="00C23037" w:rsidRPr="003B44D7">
        <w:rPr>
          <w:rFonts w:cstheme="minorHAnsi"/>
          <w:sz w:val="24"/>
          <w:szCs w:val="24"/>
        </w:rPr>
        <w:t xml:space="preserve"> numerous privileges</w:t>
      </w:r>
      <w:r w:rsidR="00787617" w:rsidRPr="003B44D7">
        <w:rPr>
          <w:rFonts w:cstheme="minorHAnsi"/>
          <w:sz w:val="24"/>
          <w:szCs w:val="24"/>
        </w:rPr>
        <w:t>.</w:t>
      </w:r>
      <w:r w:rsidR="00F74310" w:rsidRPr="003B44D7">
        <w:rPr>
          <w:rStyle w:val="FootnoteReference"/>
          <w:rFonts w:cstheme="minorHAnsi"/>
          <w:sz w:val="24"/>
          <w:szCs w:val="24"/>
        </w:rPr>
        <w:footnoteReference w:id="27"/>
      </w:r>
      <w:r w:rsidR="00F74310" w:rsidRPr="003B44D7">
        <w:rPr>
          <w:rFonts w:cstheme="minorHAnsi"/>
          <w:sz w:val="24"/>
          <w:szCs w:val="24"/>
        </w:rPr>
        <w:t xml:space="preserve"> </w:t>
      </w:r>
      <w:r w:rsidR="0084081B">
        <w:rPr>
          <w:rFonts w:cstheme="minorHAnsi"/>
          <w:sz w:val="24"/>
          <w:szCs w:val="24"/>
        </w:rPr>
        <w:t>By the same token</w:t>
      </w:r>
      <w:r w:rsidR="0068291B" w:rsidRPr="003B44D7">
        <w:rPr>
          <w:rFonts w:cstheme="minorHAnsi"/>
          <w:sz w:val="24"/>
          <w:szCs w:val="24"/>
        </w:rPr>
        <w:t xml:space="preserve">, </w:t>
      </w:r>
      <w:r w:rsidR="008B379D" w:rsidRPr="003B44D7">
        <w:rPr>
          <w:rFonts w:cstheme="minorHAnsi"/>
          <w:sz w:val="24"/>
          <w:szCs w:val="24"/>
        </w:rPr>
        <w:t>p</w:t>
      </w:r>
      <w:r w:rsidR="008B379D" w:rsidRPr="003B44D7">
        <w:rPr>
          <w:rFonts w:cstheme="minorHAnsi"/>
          <w:color w:val="000000"/>
          <w:sz w:val="24"/>
          <w:szCs w:val="24"/>
        </w:rPr>
        <w:t>ub</w:t>
      </w:r>
      <w:r w:rsidR="00497137" w:rsidRPr="003B44D7">
        <w:rPr>
          <w:rFonts w:cstheme="minorHAnsi"/>
          <w:color w:val="000000"/>
          <w:sz w:val="24"/>
          <w:szCs w:val="24"/>
        </w:rPr>
        <w:t>lic insu</w:t>
      </w:r>
      <w:r w:rsidR="00340743" w:rsidRPr="003B44D7">
        <w:rPr>
          <w:rFonts w:cstheme="minorHAnsi"/>
          <w:color w:val="000000"/>
          <w:sz w:val="24"/>
          <w:szCs w:val="24"/>
        </w:rPr>
        <w:t xml:space="preserve">lt and humiliation </w:t>
      </w:r>
      <w:r w:rsidR="002022B0" w:rsidRPr="003B44D7">
        <w:rPr>
          <w:rFonts w:cstheme="minorHAnsi"/>
          <w:color w:val="000000"/>
          <w:sz w:val="24"/>
          <w:szCs w:val="24"/>
        </w:rPr>
        <w:t>were (and remain</w:t>
      </w:r>
      <w:r w:rsidR="00497137" w:rsidRPr="003B44D7">
        <w:rPr>
          <w:rFonts w:cstheme="minorHAnsi"/>
          <w:color w:val="000000"/>
          <w:sz w:val="24"/>
          <w:szCs w:val="24"/>
        </w:rPr>
        <w:t xml:space="preserve">) </w:t>
      </w:r>
      <w:r w:rsidR="008B379D" w:rsidRPr="003B44D7">
        <w:rPr>
          <w:rFonts w:cstheme="minorHAnsi"/>
          <w:color w:val="000000"/>
          <w:sz w:val="24"/>
          <w:szCs w:val="24"/>
        </w:rPr>
        <w:t>tools for disempowerment and exclusion</w:t>
      </w:r>
      <w:r w:rsidR="00F74310" w:rsidRPr="003B44D7">
        <w:rPr>
          <w:rFonts w:cstheme="minorHAnsi"/>
          <w:color w:val="000000"/>
          <w:sz w:val="24"/>
          <w:szCs w:val="24"/>
        </w:rPr>
        <w:t>.</w:t>
      </w:r>
      <w:r w:rsidR="008B379D" w:rsidRPr="003B44D7">
        <w:rPr>
          <w:rFonts w:cstheme="minorHAnsi"/>
          <w:color w:val="000000"/>
          <w:sz w:val="24"/>
          <w:szCs w:val="24"/>
        </w:rPr>
        <w:t xml:space="preserve"> </w:t>
      </w:r>
      <w:r w:rsidR="00EF6A23" w:rsidRPr="003B44D7">
        <w:rPr>
          <w:rFonts w:cstheme="minorHAnsi"/>
          <w:color w:val="000000"/>
          <w:sz w:val="24"/>
          <w:szCs w:val="24"/>
        </w:rPr>
        <w:t>The pressure toward a</w:t>
      </w:r>
      <w:r w:rsidR="008B379D" w:rsidRPr="003B44D7">
        <w:rPr>
          <w:rFonts w:cstheme="minorHAnsi"/>
          <w:color w:val="000000"/>
          <w:sz w:val="24"/>
          <w:szCs w:val="24"/>
        </w:rPr>
        <w:t xml:space="preserve"> </w:t>
      </w:r>
      <w:r w:rsidR="0084081B">
        <w:rPr>
          <w:rFonts w:cstheme="minorHAnsi"/>
          <w:color w:val="000000"/>
          <w:sz w:val="24"/>
          <w:szCs w:val="24"/>
        </w:rPr>
        <w:t>‘</w:t>
      </w:r>
      <w:r w:rsidR="008B379D" w:rsidRPr="003B44D7">
        <w:rPr>
          <w:rFonts w:cstheme="minorHAnsi"/>
          <w:i/>
          <w:color w:val="000000"/>
          <w:sz w:val="24"/>
          <w:szCs w:val="24"/>
        </w:rPr>
        <w:t>leve</w:t>
      </w:r>
      <w:r w:rsidR="0003363F">
        <w:rPr>
          <w:rFonts w:cstheme="minorHAnsi"/>
          <w:i/>
          <w:color w:val="000000"/>
          <w:sz w:val="24"/>
          <w:szCs w:val="24"/>
        </w:rPr>
        <w:t>l</w:t>
      </w:r>
      <w:r w:rsidR="008B379D" w:rsidRPr="003B44D7">
        <w:rPr>
          <w:rFonts w:cstheme="minorHAnsi"/>
          <w:i/>
          <w:color w:val="000000"/>
          <w:sz w:val="24"/>
          <w:szCs w:val="24"/>
        </w:rPr>
        <w:t>ling up</w:t>
      </w:r>
      <w:r w:rsidR="00497137" w:rsidRPr="003B44D7">
        <w:rPr>
          <w:rFonts w:cstheme="minorHAnsi"/>
          <w:color w:val="000000"/>
          <w:sz w:val="24"/>
          <w:szCs w:val="24"/>
        </w:rPr>
        <w:t xml:space="preserve"> </w:t>
      </w:r>
      <w:r w:rsidR="008B379D" w:rsidRPr="003B44D7">
        <w:rPr>
          <w:rFonts w:cstheme="minorHAnsi"/>
          <w:color w:val="000000"/>
          <w:sz w:val="24"/>
          <w:szCs w:val="24"/>
        </w:rPr>
        <w:t>of dignity</w:t>
      </w:r>
      <w:r w:rsidR="0084081B">
        <w:rPr>
          <w:rFonts w:cstheme="minorHAnsi"/>
          <w:color w:val="000000"/>
          <w:sz w:val="24"/>
          <w:szCs w:val="24"/>
        </w:rPr>
        <w:t>’</w:t>
      </w:r>
      <w:r w:rsidR="00787617" w:rsidRPr="003B44D7">
        <w:rPr>
          <w:rFonts w:cstheme="minorHAnsi"/>
          <w:color w:val="000000"/>
          <w:sz w:val="24"/>
          <w:szCs w:val="24"/>
        </w:rPr>
        <w:t xml:space="preserve"> occurred and</w:t>
      </w:r>
      <w:r w:rsidR="002022B0" w:rsidRPr="003B44D7">
        <w:rPr>
          <w:rFonts w:cstheme="minorHAnsi"/>
          <w:color w:val="000000"/>
          <w:sz w:val="24"/>
          <w:szCs w:val="24"/>
        </w:rPr>
        <w:t xml:space="preserve"> </w:t>
      </w:r>
      <w:r w:rsidR="00B25C88" w:rsidRPr="003B44D7">
        <w:rPr>
          <w:rFonts w:cstheme="minorHAnsi"/>
          <w:color w:val="000000"/>
          <w:sz w:val="24"/>
          <w:szCs w:val="24"/>
        </w:rPr>
        <w:t xml:space="preserve">found expression in </w:t>
      </w:r>
      <w:r w:rsidR="00787617" w:rsidRPr="003B44D7">
        <w:rPr>
          <w:rFonts w:cstheme="minorHAnsi"/>
          <w:color w:val="000000"/>
          <w:sz w:val="24"/>
          <w:szCs w:val="24"/>
        </w:rPr>
        <w:t xml:space="preserve">the </w:t>
      </w:r>
      <w:r w:rsidR="00C34B95" w:rsidRPr="003B44D7">
        <w:rPr>
          <w:rFonts w:cstheme="minorHAnsi"/>
          <w:color w:val="000000"/>
          <w:sz w:val="24"/>
          <w:szCs w:val="24"/>
        </w:rPr>
        <w:t>emerging</w:t>
      </w:r>
      <w:r w:rsidR="00D05348" w:rsidRPr="003B44D7">
        <w:rPr>
          <w:rFonts w:cstheme="minorHAnsi"/>
          <w:color w:val="000000"/>
          <w:sz w:val="24"/>
          <w:szCs w:val="24"/>
        </w:rPr>
        <w:t xml:space="preserve"> European </w:t>
      </w:r>
      <w:r w:rsidR="00F74310" w:rsidRPr="003B44D7">
        <w:rPr>
          <w:rFonts w:cstheme="minorHAnsi"/>
          <w:color w:val="000000"/>
          <w:sz w:val="24"/>
          <w:szCs w:val="24"/>
        </w:rPr>
        <w:t xml:space="preserve">idea of </w:t>
      </w:r>
      <w:r w:rsidR="008B379D" w:rsidRPr="003B44D7">
        <w:rPr>
          <w:rFonts w:cstheme="minorHAnsi"/>
          <w:color w:val="000000"/>
          <w:sz w:val="24"/>
          <w:szCs w:val="24"/>
        </w:rPr>
        <w:t>citizenship</w:t>
      </w:r>
      <w:r w:rsidR="00787617" w:rsidRPr="003B44D7">
        <w:rPr>
          <w:rFonts w:cstheme="minorHAnsi"/>
          <w:color w:val="000000"/>
          <w:sz w:val="24"/>
          <w:szCs w:val="24"/>
        </w:rPr>
        <w:t xml:space="preserve"> in </w:t>
      </w:r>
      <w:r w:rsidR="00F74310" w:rsidRPr="003B44D7">
        <w:rPr>
          <w:rFonts w:cstheme="minorHAnsi"/>
          <w:color w:val="000000"/>
          <w:sz w:val="24"/>
          <w:szCs w:val="24"/>
        </w:rPr>
        <w:t>the late 18</w:t>
      </w:r>
      <w:r w:rsidR="00F74310" w:rsidRPr="003B44D7">
        <w:rPr>
          <w:rFonts w:cstheme="minorHAnsi"/>
          <w:color w:val="000000"/>
          <w:sz w:val="24"/>
          <w:szCs w:val="24"/>
          <w:vertAlign w:val="superscript"/>
        </w:rPr>
        <w:t>th</w:t>
      </w:r>
      <w:r w:rsidR="00F74310" w:rsidRPr="003B44D7">
        <w:rPr>
          <w:rFonts w:cstheme="minorHAnsi"/>
          <w:color w:val="000000"/>
          <w:sz w:val="24"/>
          <w:szCs w:val="24"/>
        </w:rPr>
        <w:t xml:space="preserve"> </w:t>
      </w:r>
      <w:r w:rsidR="0033028E" w:rsidRPr="003B44D7">
        <w:rPr>
          <w:rFonts w:cstheme="minorHAnsi"/>
          <w:color w:val="000000"/>
          <w:sz w:val="24"/>
          <w:szCs w:val="24"/>
        </w:rPr>
        <w:t>and early 19</w:t>
      </w:r>
      <w:r w:rsidR="0033028E" w:rsidRPr="003B44D7">
        <w:rPr>
          <w:rFonts w:cstheme="minorHAnsi"/>
          <w:color w:val="000000"/>
          <w:sz w:val="24"/>
          <w:szCs w:val="24"/>
          <w:vertAlign w:val="superscript"/>
        </w:rPr>
        <w:t>th</w:t>
      </w:r>
      <w:r w:rsidR="0033028E" w:rsidRPr="003B44D7">
        <w:rPr>
          <w:rFonts w:cstheme="minorHAnsi"/>
          <w:color w:val="000000"/>
          <w:sz w:val="24"/>
          <w:szCs w:val="24"/>
        </w:rPr>
        <w:t xml:space="preserve"> </w:t>
      </w:r>
      <w:r w:rsidR="00F74310" w:rsidRPr="003B44D7">
        <w:rPr>
          <w:rFonts w:cstheme="minorHAnsi"/>
          <w:color w:val="000000"/>
          <w:sz w:val="24"/>
          <w:szCs w:val="24"/>
        </w:rPr>
        <w:t>century.</w:t>
      </w:r>
      <w:r w:rsidR="00D756A7" w:rsidRPr="003B44D7">
        <w:rPr>
          <w:rStyle w:val="FootnoteReference"/>
          <w:rFonts w:cstheme="minorHAnsi"/>
          <w:color w:val="000000"/>
          <w:sz w:val="24"/>
          <w:szCs w:val="24"/>
        </w:rPr>
        <w:footnoteReference w:id="28"/>
      </w:r>
      <w:r w:rsidR="00F74310" w:rsidRPr="003B44D7">
        <w:rPr>
          <w:rFonts w:cstheme="minorHAnsi"/>
          <w:color w:val="000000"/>
          <w:sz w:val="24"/>
          <w:szCs w:val="24"/>
        </w:rPr>
        <w:t xml:space="preserve"> </w:t>
      </w:r>
      <w:r w:rsidR="00497137" w:rsidRPr="003B44D7">
        <w:rPr>
          <w:rFonts w:cstheme="minorHAnsi"/>
          <w:color w:val="000000"/>
          <w:sz w:val="24"/>
          <w:szCs w:val="24"/>
        </w:rPr>
        <w:t>The</w:t>
      </w:r>
      <w:r w:rsidR="008B379D" w:rsidRPr="003B44D7">
        <w:rPr>
          <w:rFonts w:cstheme="minorHAnsi"/>
          <w:color w:val="000000"/>
          <w:sz w:val="24"/>
          <w:szCs w:val="24"/>
        </w:rPr>
        <w:t xml:space="preserve"> historian </w:t>
      </w:r>
      <w:r w:rsidR="00977088" w:rsidRPr="003B44D7">
        <w:rPr>
          <w:rFonts w:cstheme="minorHAnsi"/>
          <w:color w:val="000000"/>
          <w:sz w:val="24"/>
          <w:szCs w:val="24"/>
        </w:rPr>
        <w:t xml:space="preserve">Ute </w:t>
      </w:r>
      <w:r w:rsidR="00B037D2" w:rsidRPr="003B44D7">
        <w:rPr>
          <w:rFonts w:cstheme="minorHAnsi"/>
          <w:color w:val="000000"/>
          <w:sz w:val="24"/>
          <w:szCs w:val="24"/>
        </w:rPr>
        <w:t>Frevert</w:t>
      </w:r>
      <w:r w:rsidR="00497137" w:rsidRPr="003B44D7">
        <w:rPr>
          <w:rFonts w:cstheme="minorHAnsi"/>
          <w:sz w:val="24"/>
          <w:szCs w:val="24"/>
        </w:rPr>
        <w:t xml:space="preserve"> observed</w:t>
      </w:r>
      <w:r w:rsidR="00497137" w:rsidRPr="003B44D7">
        <w:rPr>
          <w:rFonts w:cstheme="minorHAnsi"/>
          <w:i/>
          <w:sz w:val="24"/>
          <w:szCs w:val="24"/>
        </w:rPr>
        <w:t xml:space="preserve"> </w:t>
      </w:r>
      <w:r w:rsidR="00497137" w:rsidRPr="003B44D7">
        <w:rPr>
          <w:rFonts w:cstheme="minorHAnsi"/>
          <w:sz w:val="24"/>
          <w:szCs w:val="24"/>
        </w:rPr>
        <w:t xml:space="preserve">in </w:t>
      </w:r>
      <w:r w:rsidR="00E16367" w:rsidRPr="003B44D7">
        <w:rPr>
          <w:rFonts w:cstheme="minorHAnsi"/>
          <w:i/>
          <w:sz w:val="24"/>
          <w:szCs w:val="24"/>
        </w:rPr>
        <w:t>The Politics of Humiliation: A Modern History</w:t>
      </w:r>
      <w:r w:rsidR="004830DB" w:rsidRPr="003B44D7">
        <w:rPr>
          <w:rFonts w:cstheme="minorHAnsi"/>
          <w:sz w:val="24"/>
          <w:szCs w:val="24"/>
        </w:rPr>
        <w:t xml:space="preserve"> (2020)</w:t>
      </w:r>
      <w:r w:rsidR="00871D4D" w:rsidRPr="003B44D7">
        <w:rPr>
          <w:rStyle w:val="FootnoteReference"/>
          <w:rFonts w:cstheme="minorHAnsi"/>
          <w:sz w:val="24"/>
          <w:szCs w:val="24"/>
        </w:rPr>
        <w:footnoteReference w:id="29"/>
      </w:r>
      <w:r w:rsidR="004830DB" w:rsidRPr="003B44D7">
        <w:rPr>
          <w:rFonts w:cstheme="minorHAnsi"/>
          <w:sz w:val="24"/>
          <w:szCs w:val="24"/>
        </w:rPr>
        <w:t xml:space="preserve"> that </w:t>
      </w:r>
      <w:r w:rsidR="009D3437" w:rsidRPr="003B44D7">
        <w:rPr>
          <w:rFonts w:cstheme="minorHAnsi"/>
          <w:sz w:val="24"/>
          <w:szCs w:val="24"/>
        </w:rPr>
        <w:t>‘</w:t>
      </w:r>
      <w:r w:rsidR="00E16367" w:rsidRPr="003B44D7">
        <w:rPr>
          <w:rFonts w:cstheme="minorHAnsi"/>
          <w:sz w:val="24"/>
          <w:szCs w:val="24"/>
        </w:rPr>
        <w:t>lower-class people increasingly objected to disrespectful treatment… [and] used the language of honour and concepts of personal and social self-worth – previously monopolised by the nobility and upper-middle classes – to demand that they not be verbally and physically insulted by employers and overseers.</w:t>
      </w:r>
      <w:r w:rsidR="004830DB" w:rsidRPr="003B44D7">
        <w:rPr>
          <w:rFonts w:cstheme="minorHAnsi"/>
          <w:sz w:val="24"/>
          <w:szCs w:val="24"/>
        </w:rPr>
        <w:t>’</w:t>
      </w:r>
      <w:r w:rsidR="004830DB" w:rsidRPr="003B44D7">
        <w:rPr>
          <w:rStyle w:val="FootnoteReference"/>
          <w:rFonts w:cstheme="minorHAnsi"/>
          <w:sz w:val="24"/>
          <w:szCs w:val="24"/>
        </w:rPr>
        <w:t xml:space="preserve"> </w:t>
      </w:r>
      <w:r w:rsidR="004830DB" w:rsidRPr="003B44D7">
        <w:rPr>
          <w:rStyle w:val="FootnoteReference"/>
          <w:rFonts w:cstheme="minorHAnsi"/>
          <w:sz w:val="24"/>
          <w:szCs w:val="24"/>
        </w:rPr>
        <w:footnoteReference w:id="30"/>
      </w:r>
      <w:r w:rsidR="004830DB" w:rsidRPr="003B44D7">
        <w:rPr>
          <w:rFonts w:cstheme="minorHAnsi"/>
          <w:b/>
          <w:sz w:val="24"/>
          <w:szCs w:val="24"/>
        </w:rPr>
        <w:t xml:space="preserve"> </w:t>
      </w:r>
      <w:r w:rsidR="004830DB" w:rsidRPr="003B44D7">
        <w:rPr>
          <w:rFonts w:cstheme="minorHAnsi"/>
          <w:sz w:val="24"/>
          <w:szCs w:val="24"/>
        </w:rPr>
        <w:t xml:space="preserve"> This in turn went hand in hand with ‘</w:t>
      </w:r>
      <w:r w:rsidR="00E16367" w:rsidRPr="003B44D7">
        <w:rPr>
          <w:rFonts w:cstheme="minorHAnsi"/>
          <w:sz w:val="24"/>
          <w:szCs w:val="24"/>
        </w:rPr>
        <w:t>a new type of honour that followed the invention of ‘citizens’ (rather than subjects) in democratising societies. Citizens who carried political rights and duties were also seen as possessing civic honour</w:t>
      </w:r>
      <w:r w:rsidR="004830DB" w:rsidRPr="003B44D7">
        <w:rPr>
          <w:rFonts w:cstheme="minorHAnsi"/>
          <w:sz w:val="24"/>
          <w:szCs w:val="24"/>
        </w:rPr>
        <w:t>…. [in contrast</w:t>
      </w:r>
      <w:r w:rsidR="00877D90">
        <w:rPr>
          <w:rFonts w:cstheme="minorHAnsi"/>
          <w:sz w:val="24"/>
          <w:szCs w:val="24"/>
        </w:rPr>
        <w:t>,</w:t>
      </w:r>
      <w:r w:rsidR="004830DB" w:rsidRPr="003B44D7">
        <w:rPr>
          <w:rFonts w:cstheme="minorHAnsi"/>
          <w:sz w:val="24"/>
          <w:szCs w:val="24"/>
        </w:rPr>
        <w:t xml:space="preserve"> traditional] </w:t>
      </w:r>
      <w:r w:rsidR="00E16367" w:rsidRPr="003B44D7">
        <w:rPr>
          <w:rFonts w:cstheme="minorHAnsi"/>
          <w:sz w:val="24"/>
          <w:szCs w:val="24"/>
        </w:rPr>
        <w:t>social honour had been stratifi</w:t>
      </w:r>
      <w:r w:rsidR="004830DB" w:rsidRPr="003B44D7">
        <w:rPr>
          <w:rFonts w:cstheme="minorHAnsi"/>
          <w:sz w:val="24"/>
          <w:szCs w:val="24"/>
        </w:rPr>
        <w:t>ed according to status and rank.’</w:t>
      </w:r>
      <w:r w:rsidR="00EF6A23" w:rsidRPr="003B44D7">
        <w:rPr>
          <w:rStyle w:val="FootnoteReference"/>
          <w:rFonts w:cstheme="minorHAnsi"/>
          <w:sz w:val="24"/>
          <w:szCs w:val="24"/>
        </w:rPr>
        <w:footnoteReference w:id="31"/>
      </w:r>
      <w:r w:rsidR="00E16367" w:rsidRPr="003B44D7">
        <w:rPr>
          <w:rFonts w:cstheme="minorHAnsi"/>
          <w:sz w:val="24"/>
          <w:szCs w:val="24"/>
        </w:rPr>
        <w:t xml:space="preserve"> </w:t>
      </w:r>
      <w:r w:rsidR="004830DB" w:rsidRPr="003B44D7">
        <w:rPr>
          <w:rFonts w:cstheme="minorHAnsi"/>
          <w:sz w:val="24"/>
          <w:szCs w:val="24"/>
        </w:rPr>
        <w:t xml:space="preserve"> </w:t>
      </w:r>
      <w:r w:rsidR="00F74310" w:rsidRPr="003B44D7">
        <w:rPr>
          <w:rFonts w:cstheme="minorHAnsi"/>
          <w:sz w:val="24"/>
          <w:szCs w:val="24"/>
        </w:rPr>
        <w:t xml:space="preserve">Unlike shaming </w:t>
      </w:r>
      <w:r w:rsidR="00497137" w:rsidRPr="003B44D7">
        <w:rPr>
          <w:rFonts w:cstheme="minorHAnsi"/>
          <w:sz w:val="24"/>
          <w:szCs w:val="24"/>
        </w:rPr>
        <w:t xml:space="preserve">effected </w:t>
      </w:r>
      <w:r w:rsidR="00F74310" w:rsidRPr="003B44D7">
        <w:rPr>
          <w:rFonts w:cstheme="minorHAnsi"/>
          <w:sz w:val="24"/>
          <w:szCs w:val="24"/>
        </w:rPr>
        <w:t>within a social group, ‘</w:t>
      </w:r>
      <w:r w:rsidR="003E6547" w:rsidRPr="003B44D7">
        <w:rPr>
          <w:rFonts w:cstheme="minorHAnsi"/>
          <w:sz w:val="24"/>
          <w:szCs w:val="24"/>
        </w:rPr>
        <w:t xml:space="preserve">humiliation works by distinguishing radically between those who are in and those who are out: we are </w:t>
      </w:r>
      <w:proofErr w:type="gramStart"/>
      <w:r w:rsidR="003E6547" w:rsidRPr="003B44D7">
        <w:rPr>
          <w:rFonts w:cstheme="minorHAnsi"/>
          <w:sz w:val="24"/>
          <w:szCs w:val="24"/>
        </w:rPr>
        <w:t>us,</w:t>
      </w:r>
      <w:proofErr w:type="gramEnd"/>
      <w:r w:rsidR="003E6547" w:rsidRPr="003B44D7">
        <w:rPr>
          <w:rFonts w:cstheme="minorHAnsi"/>
          <w:sz w:val="24"/>
          <w:szCs w:val="24"/>
        </w:rPr>
        <w:t xml:space="preserve"> you are different and count for less.’</w:t>
      </w:r>
      <w:r w:rsidR="00F74310" w:rsidRPr="003B44D7">
        <w:rPr>
          <w:rStyle w:val="FootnoteReference"/>
          <w:rFonts w:cstheme="minorHAnsi"/>
          <w:sz w:val="24"/>
          <w:szCs w:val="24"/>
        </w:rPr>
        <w:footnoteReference w:id="32"/>
      </w:r>
      <w:r w:rsidR="00F74310" w:rsidRPr="003B44D7">
        <w:rPr>
          <w:rFonts w:cstheme="minorHAnsi"/>
          <w:sz w:val="24"/>
          <w:szCs w:val="24"/>
        </w:rPr>
        <w:t xml:space="preserve"> </w:t>
      </w:r>
    </w:p>
    <w:p w14:paraId="54BF601D" w14:textId="77777777" w:rsidR="004830DB" w:rsidRPr="003B44D7" w:rsidRDefault="004830DB" w:rsidP="004E7EB4">
      <w:pPr>
        <w:spacing w:after="0" w:line="240" w:lineRule="auto"/>
        <w:jc w:val="both"/>
        <w:rPr>
          <w:rFonts w:cstheme="minorHAnsi"/>
          <w:sz w:val="24"/>
          <w:szCs w:val="24"/>
        </w:rPr>
      </w:pPr>
    </w:p>
    <w:p w14:paraId="4CD71200" w14:textId="5BC58DDD" w:rsidR="00FE61BD" w:rsidRPr="003B44D7" w:rsidRDefault="004F1036" w:rsidP="004E7EB4">
      <w:pPr>
        <w:autoSpaceDE w:val="0"/>
        <w:autoSpaceDN w:val="0"/>
        <w:adjustRightInd w:val="0"/>
        <w:spacing w:after="0" w:line="240" w:lineRule="auto"/>
        <w:jc w:val="both"/>
        <w:rPr>
          <w:rFonts w:cstheme="minorHAnsi"/>
          <w:sz w:val="24"/>
          <w:szCs w:val="24"/>
        </w:rPr>
      </w:pPr>
      <w:r w:rsidRPr="003B44D7">
        <w:rPr>
          <w:rFonts w:cstheme="minorHAnsi"/>
          <w:sz w:val="24"/>
          <w:szCs w:val="24"/>
        </w:rPr>
        <w:t>H</w:t>
      </w:r>
      <w:r w:rsidR="00F418FF" w:rsidRPr="003B44D7">
        <w:rPr>
          <w:rFonts w:cstheme="minorHAnsi"/>
          <w:sz w:val="24"/>
          <w:szCs w:val="24"/>
        </w:rPr>
        <w:t xml:space="preserve">ate speech </w:t>
      </w:r>
      <w:r w:rsidR="00AF5D55" w:rsidRPr="003B44D7">
        <w:rPr>
          <w:rFonts w:cstheme="minorHAnsi"/>
          <w:sz w:val="24"/>
          <w:szCs w:val="24"/>
        </w:rPr>
        <w:t>is designe</w:t>
      </w:r>
      <w:r w:rsidR="00EF6A23" w:rsidRPr="003B44D7">
        <w:rPr>
          <w:rFonts w:cstheme="minorHAnsi"/>
          <w:sz w:val="24"/>
          <w:szCs w:val="24"/>
        </w:rPr>
        <w:t>d</w:t>
      </w:r>
      <w:r w:rsidR="00EB0DD3" w:rsidRPr="003B44D7">
        <w:rPr>
          <w:rFonts w:cstheme="minorHAnsi"/>
          <w:sz w:val="24"/>
          <w:szCs w:val="24"/>
        </w:rPr>
        <w:t xml:space="preserve"> to </w:t>
      </w:r>
      <w:r w:rsidR="00C34B95" w:rsidRPr="003B44D7">
        <w:rPr>
          <w:rFonts w:cstheme="minorHAnsi"/>
          <w:sz w:val="24"/>
          <w:szCs w:val="24"/>
        </w:rPr>
        <w:t xml:space="preserve">undermine the common humanity of a vulnerable minority, </w:t>
      </w:r>
      <w:r w:rsidR="00340743" w:rsidRPr="003B44D7">
        <w:rPr>
          <w:rFonts w:cstheme="minorHAnsi"/>
          <w:sz w:val="24"/>
          <w:szCs w:val="24"/>
        </w:rPr>
        <w:t xml:space="preserve">and </w:t>
      </w:r>
      <w:r w:rsidR="00D756A7" w:rsidRPr="003B44D7">
        <w:rPr>
          <w:rFonts w:cstheme="minorHAnsi"/>
          <w:sz w:val="24"/>
          <w:szCs w:val="24"/>
        </w:rPr>
        <w:t xml:space="preserve">thereby </w:t>
      </w:r>
      <w:r w:rsidR="00E8482E" w:rsidRPr="003B44D7">
        <w:rPr>
          <w:rFonts w:cstheme="minorHAnsi"/>
          <w:sz w:val="24"/>
          <w:szCs w:val="24"/>
        </w:rPr>
        <w:t xml:space="preserve">to </w:t>
      </w:r>
      <w:r w:rsidR="00340743" w:rsidRPr="003B44D7">
        <w:rPr>
          <w:rFonts w:cstheme="minorHAnsi"/>
          <w:sz w:val="24"/>
          <w:szCs w:val="24"/>
        </w:rPr>
        <w:t xml:space="preserve">silence and exclude </w:t>
      </w:r>
      <w:r w:rsidR="00E8482E" w:rsidRPr="003B44D7">
        <w:rPr>
          <w:rFonts w:cstheme="minorHAnsi"/>
          <w:sz w:val="24"/>
          <w:szCs w:val="24"/>
        </w:rPr>
        <w:t xml:space="preserve">its </w:t>
      </w:r>
      <w:r w:rsidR="00340743" w:rsidRPr="003B44D7">
        <w:rPr>
          <w:rFonts w:cstheme="minorHAnsi"/>
          <w:sz w:val="24"/>
          <w:szCs w:val="24"/>
        </w:rPr>
        <w:t>members</w:t>
      </w:r>
      <w:r w:rsidR="006E1D5D" w:rsidRPr="003B44D7">
        <w:rPr>
          <w:rFonts w:cstheme="minorHAnsi"/>
          <w:sz w:val="24"/>
          <w:szCs w:val="24"/>
        </w:rPr>
        <w:t xml:space="preserve">. From </w:t>
      </w:r>
      <w:r w:rsidR="00787617" w:rsidRPr="003B44D7">
        <w:rPr>
          <w:rFonts w:cstheme="minorHAnsi"/>
          <w:sz w:val="24"/>
          <w:szCs w:val="24"/>
        </w:rPr>
        <w:t>a</w:t>
      </w:r>
      <w:r w:rsidR="00C34B95" w:rsidRPr="003B44D7">
        <w:rPr>
          <w:rFonts w:cstheme="minorHAnsi"/>
          <w:sz w:val="24"/>
          <w:szCs w:val="24"/>
        </w:rPr>
        <w:t xml:space="preserve"> European perspective, it is the funct</w:t>
      </w:r>
      <w:r w:rsidR="00212109" w:rsidRPr="003B44D7">
        <w:rPr>
          <w:rFonts w:cstheme="minorHAnsi"/>
          <w:sz w:val="24"/>
          <w:szCs w:val="24"/>
        </w:rPr>
        <w:t>ion of the State to protect</w:t>
      </w:r>
      <w:r w:rsidR="00DA7167" w:rsidRPr="003B44D7">
        <w:rPr>
          <w:rFonts w:cstheme="minorHAnsi"/>
          <w:sz w:val="24"/>
          <w:szCs w:val="24"/>
        </w:rPr>
        <w:t xml:space="preserve"> </w:t>
      </w:r>
      <w:r w:rsidR="00540A6F" w:rsidRPr="003B44D7">
        <w:rPr>
          <w:rFonts w:cstheme="minorHAnsi"/>
          <w:sz w:val="24"/>
          <w:szCs w:val="24"/>
        </w:rPr>
        <w:t xml:space="preserve">minority </w:t>
      </w:r>
      <w:r w:rsidR="00DA7167" w:rsidRPr="003B44D7">
        <w:rPr>
          <w:rFonts w:cstheme="minorHAnsi"/>
          <w:sz w:val="24"/>
          <w:szCs w:val="24"/>
        </w:rPr>
        <w:t>groups</w:t>
      </w:r>
      <w:r w:rsidR="00212109" w:rsidRPr="003B44D7">
        <w:rPr>
          <w:rFonts w:cstheme="minorHAnsi"/>
          <w:sz w:val="24"/>
          <w:szCs w:val="24"/>
        </w:rPr>
        <w:t xml:space="preserve"> and</w:t>
      </w:r>
      <w:r w:rsidR="00E9436B" w:rsidRPr="003B44D7">
        <w:rPr>
          <w:rFonts w:cstheme="minorHAnsi"/>
          <w:sz w:val="24"/>
          <w:szCs w:val="24"/>
        </w:rPr>
        <w:t xml:space="preserve"> assure them</w:t>
      </w:r>
      <w:r w:rsidR="00787617" w:rsidRPr="003B44D7">
        <w:rPr>
          <w:rFonts w:cstheme="minorHAnsi"/>
          <w:sz w:val="24"/>
          <w:szCs w:val="24"/>
        </w:rPr>
        <w:t xml:space="preserve"> of their standing as equal members of society.</w:t>
      </w:r>
      <w:r w:rsidR="00620DC4" w:rsidRPr="003B44D7">
        <w:rPr>
          <w:rStyle w:val="FootnoteReference"/>
          <w:rFonts w:cstheme="minorHAnsi"/>
          <w:sz w:val="24"/>
          <w:szCs w:val="24"/>
        </w:rPr>
        <w:footnoteReference w:id="33"/>
      </w:r>
      <w:r w:rsidR="00787617" w:rsidRPr="003B44D7">
        <w:rPr>
          <w:rFonts w:cstheme="minorHAnsi"/>
          <w:sz w:val="24"/>
          <w:szCs w:val="24"/>
        </w:rPr>
        <w:t xml:space="preserve"> T</w:t>
      </w:r>
      <w:r w:rsidR="00D47E97" w:rsidRPr="003B44D7">
        <w:rPr>
          <w:rFonts w:cstheme="minorHAnsi"/>
          <w:sz w:val="24"/>
          <w:szCs w:val="24"/>
        </w:rPr>
        <w:t>his</w:t>
      </w:r>
      <w:r w:rsidR="00DA7167" w:rsidRPr="003B44D7">
        <w:rPr>
          <w:rFonts w:cstheme="minorHAnsi"/>
          <w:sz w:val="24"/>
          <w:szCs w:val="24"/>
        </w:rPr>
        <w:t xml:space="preserve"> in turn</w:t>
      </w:r>
      <w:r w:rsidR="00D47E97" w:rsidRPr="003B44D7">
        <w:rPr>
          <w:rFonts w:cstheme="minorHAnsi"/>
          <w:sz w:val="24"/>
          <w:szCs w:val="24"/>
        </w:rPr>
        <w:t xml:space="preserve"> requires </w:t>
      </w:r>
      <w:r w:rsidR="00B25C88" w:rsidRPr="003B44D7">
        <w:rPr>
          <w:rFonts w:cstheme="minorHAnsi"/>
          <w:sz w:val="24"/>
          <w:szCs w:val="24"/>
        </w:rPr>
        <w:t>removing</w:t>
      </w:r>
      <w:r w:rsidR="00A36AAF" w:rsidRPr="003B44D7">
        <w:rPr>
          <w:rFonts w:cstheme="minorHAnsi"/>
          <w:sz w:val="24"/>
          <w:szCs w:val="24"/>
        </w:rPr>
        <w:t xml:space="preserve"> affronts to their equal good standing, </w:t>
      </w:r>
      <w:r w:rsidR="00D47E97" w:rsidRPr="003B44D7">
        <w:rPr>
          <w:rFonts w:cstheme="minorHAnsi"/>
          <w:sz w:val="24"/>
          <w:szCs w:val="24"/>
        </w:rPr>
        <w:t xml:space="preserve">from the public domain, or, </w:t>
      </w:r>
      <w:r w:rsidR="00A36AAF" w:rsidRPr="003B44D7">
        <w:rPr>
          <w:rFonts w:cstheme="minorHAnsi"/>
          <w:sz w:val="24"/>
          <w:szCs w:val="24"/>
        </w:rPr>
        <w:t xml:space="preserve">in Waldron’s words, </w:t>
      </w:r>
      <w:r w:rsidR="00B25C88" w:rsidRPr="003B44D7">
        <w:rPr>
          <w:rFonts w:cstheme="minorHAnsi"/>
          <w:sz w:val="24"/>
          <w:szCs w:val="24"/>
        </w:rPr>
        <w:t xml:space="preserve">from </w:t>
      </w:r>
      <w:r w:rsidR="00212109" w:rsidRPr="003B44D7">
        <w:rPr>
          <w:rFonts w:cstheme="minorHAnsi"/>
          <w:sz w:val="24"/>
          <w:szCs w:val="24"/>
        </w:rPr>
        <w:t>the ‘perman</w:t>
      </w:r>
      <w:r w:rsidR="00B25C88" w:rsidRPr="003B44D7">
        <w:rPr>
          <w:rFonts w:cstheme="minorHAnsi"/>
          <w:sz w:val="24"/>
          <w:szCs w:val="24"/>
        </w:rPr>
        <w:t>ent visible fabric of society</w:t>
      </w:r>
      <w:r w:rsidR="00F418FF" w:rsidRPr="003B44D7">
        <w:rPr>
          <w:rFonts w:cstheme="minorHAnsi"/>
          <w:sz w:val="24"/>
          <w:szCs w:val="24"/>
        </w:rPr>
        <w:t>.</w:t>
      </w:r>
      <w:r w:rsidR="00B25C88" w:rsidRPr="003B44D7">
        <w:rPr>
          <w:rFonts w:cstheme="minorHAnsi"/>
          <w:sz w:val="24"/>
          <w:szCs w:val="24"/>
        </w:rPr>
        <w:t>’</w:t>
      </w:r>
      <w:r w:rsidR="00F418FF" w:rsidRPr="003B44D7">
        <w:rPr>
          <w:rStyle w:val="FootnoteReference"/>
          <w:rFonts w:cstheme="minorHAnsi"/>
          <w:sz w:val="24"/>
          <w:szCs w:val="24"/>
        </w:rPr>
        <w:footnoteReference w:id="34"/>
      </w:r>
      <w:r w:rsidR="00E9436B" w:rsidRPr="003B44D7">
        <w:rPr>
          <w:rFonts w:cstheme="minorHAnsi"/>
          <w:sz w:val="24"/>
          <w:szCs w:val="24"/>
        </w:rPr>
        <w:t xml:space="preserve"> </w:t>
      </w:r>
      <w:r w:rsidR="00943FE4" w:rsidRPr="003B44D7">
        <w:rPr>
          <w:rFonts w:cstheme="minorHAnsi"/>
          <w:sz w:val="24"/>
          <w:szCs w:val="24"/>
        </w:rPr>
        <w:t>This</w:t>
      </w:r>
      <w:r w:rsidR="00DA7167" w:rsidRPr="003B44D7">
        <w:rPr>
          <w:rFonts w:cstheme="minorHAnsi"/>
          <w:sz w:val="24"/>
          <w:szCs w:val="24"/>
        </w:rPr>
        <w:t xml:space="preserve"> rationale</w:t>
      </w:r>
      <w:r w:rsidR="00943FE4" w:rsidRPr="003B44D7">
        <w:rPr>
          <w:rFonts w:cstheme="minorHAnsi"/>
          <w:sz w:val="24"/>
          <w:szCs w:val="24"/>
        </w:rPr>
        <w:t xml:space="preserve"> points both to </w:t>
      </w:r>
      <w:r w:rsidR="00E9436B" w:rsidRPr="003B44D7">
        <w:rPr>
          <w:rFonts w:cstheme="minorHAnsi"/>
          <w:sz w:val="24"/>
          <w:szCs w:val="24"/>
        </w:rPr>
        <w:t>the</w:t>
      </w:r>
      <w:r w:rsidR="00D33F06" w:rsidRPr="003B44D7">
        <w:rPr>
          <w:rFonts w:cstheme="minorHAnsi"/>
          <w:sz w:val="24"/>
          <w:szCs w:val="24"/>
        </w:rPr>
        <w:t xml:space="preserve"> core</w:t>
      </w:r>
      <w:r w:rsidR="00A36AAF" w:rsidRPr="003B44D7">
        <w:rPr>
          <w:rFonts w:cstheme="minorHAnsi"/>
          <w:sz w:val="24"/>
          <w:szCs w:val="24"/>
        </w:rPr>
        <w:t xml:space="preserve"> </w:t>
      </w:r>
      <w:r w:rsidR="003B7BDE" w:rsidRPr="003B44D7">
        <w:rPr>
          <w:rFonts w:cstheme="minorHAnsi"/>
          <w:sz w:val="24"/>
          <w:szCs w:val="24"/>
        </w:rPr>
        <w:t xml:space="preserve">task hate speech </w:t>
      </w:r>
      <w:r w:rsidR="00C03E09" w:rsidRPr="003B44D7">
        <w:rPr>
          <w:rFonts w:cstheme="minorHAnsi"/>
          <w:sz w:val="24"/>
          <w:szCs w:val="24"/>
        </w:rPr>
        <w:t>prohibitions</w:t>
      </w:r>
      <w:r w:rsidR="003B7BDE" w:rsidRPr="003B44D7">
        <w:rPr>
          <w:rFonts w:cstheme="minorHAnsi"/>
          <w:sz w:val="24"/>
          <w:szCs w:val="24"/>
        </w:rPr>
        <w:t xml:space="preserve"> set</w:t>
      </w:r>
      <w:r w:rsidR="00C03E09" w:rsidRPr="003B44D7">
        <w:rPr>
          <w:rFonts w:cstheme="minorHAnsi"/>
          <w:sz w:val="24"/>
          <w:szCs w:val="24"/>
        </w:rPr>
        <w:t xml:space="preserve"> themselves</w:t>
      </w:r>
      <w:r w:rsidR="00D33F06" w:rsidRPr="003B44D7">
        <w:rPr>
          <w:rFonts w:cstheme="minorHAnsi"/>
          <w:sz w:val="24"/>
          <w:szCs w:val="24"/>
        </w:rPr>
        <w:t xml:space="preserve"> </w:t>
      </w:r>
      <w:r w:rsidR="006E1D5D" w:rsidRPr="003B44D7">
        <w:rPr>
          <w:rFonts w:cstheme="minorHAnsi"/>
          <w:sz w:val="24"/>
          <w:szCs w:val="24"/>
        </w:rPr>
        <w:t>and the</w:t>
      </w:r>
      <w:r w:rsidR="003B7BDE" w:rsidRPr="003B44D7">
        <w:rPr>
          <w:rFonts w:cstheme="minorHAnsi"/>
          <w:sz w:val="24"/>
          <w:szCs w:val="24"/>
        </w:rPr>
        <w:t xml:space="preserve"> areas</w:t>
      </w:r>
      <w:r w:rsidR="00D33F06" w:rsidRPr="003B44D7">
        <w:rPr>
          <w:rFonts w:cstheme="minorHAnsi"/>
          <w:sz w:val="24"/>
          <w:szCs w:val="24"/>
        </w:rPr>
        <w:t xml:space="preserve"> beyond</w:t>
      </w:r>
      <w:r w:rsidR="00DA7167" w:rsidRPr="003B44D7">
        <w:rPr>
          <w:rFonts w:cstheme="minorHAnsi"/>
          <w:sz w:val="24"/>
          <w:szCs w:val="24"/>
        </w:rPr>
        <w:t xml:space="preserve"> the</w:t>
      </w:r>
      <w:r w:rsidR="00D756A7" w:rsidRPr="003B44D7">
        <w:rPr>
          <w:rFonts w:cstheme="minorHAnsi"/>
          <w:sz w:val="24"/>
          <w:szCs w:val="24"/>
        </w:rPr>
        <w:t>i</w:t>
      </w:r>
      <w:r w:rsidR="00DA7167" w:rsidRPr="003B44D7">
        <w:rPr>
          <w:rFonts w:cstheme="minorHAnsi"/>
          <w:sz w:val="24"/>
          <w:szCs w:val="24"/>
        </w:rPr>
        <w:t>r</w:t>
      </w:r>
      <w:r w:rsidR="00D47E97" w:rsidRPr="003B44D7">
        <w:rPr>
          <w:rFonts w:cstheme="minorHAnsi"/>
          <w:sz w:val="24"/>
          <w:szCs w:val="24"/>
        </w:rPr>
        <w:t xml:space="preserve"> concern</w:t>
      </w:r>
      <w:r w:rsidR="00943FE4" w:rsidRPr="003B44D7">
        <w:rPr>
          <w:rFonts w:cstheme="minorHAnsi"/>
          <w:sz w:val="24"/>
          <w:szCs w:val="24"/>
        </w:rPr>
        <w:t xml:space="preserve">. Invariably, </w:t>
      </w:r>
      <w:r w:rsidR="00D756A7" w:rsidRPr="003B44D7">
        <w:rPr>
          <w:rFonts w:cstheme="minorHAnsi"/>
          <w:sz w:val="24"/>
          <w:szCs w:val="24"/>
        </w:rPr>
        <w:t>they</w:t>
      </w:r>
      <w:r w:rsidR="006E1D5D" w:rsidRPr="003B44D7">
        <w:rPr>
          <w:rFonts w:cstheme="minorHAnsi"/>
          <w:sz w:val="24"/>
          <w:szCs w:val="24"/>
        </w:rPr>
        <w:t xml:space="preserve"> </w:t>
      </w:r>
      <w:r w:rsidR="00D47E97" w:rsidRPr="003B44D7">
        <w:rPr>
          <w:rFonts w:cstheme="minorHAnsi"/>
          <w:sz w:val="24"/>
          <w:szCs w:val="24"/>
        </w:rPr>
        <w:t>focus</w:t>
      </w:r>
      <w:r w:rsidR="00A36AAF" w:rsidRPr="003B44D7">
        <w:rPr>
          <w:rFonts w:cstheme="minorHAnsi"/>
          <w:sz w:val="24"/>
          <w:szCs w:val="24"/>
        </w:rPr>
        <w:t xml:space="preserve"> </w:t>
      </w:r>
      <w:r w:rsidR="003B7BDE" w:rsidRPr="003B44D7">
        <w:rPr>
          <w:rFonts w:cstheme="minorHAnsi"/>
          <w:sz w:val="24"/>
          <w:szCs w:val="24"/>
        </w:rPr>
        <w:t xml:space="preserve">either </w:t>
      </w:r>
      <w:r w:rsidR="00A36AAF" w:rsidRPr="003B44D7">
        <w:rPr>
          <w:rFonts w:cstheme="minorHAnsi"/>
          <w:sz w:val="24"/>
          <w:szCs w:val="24"/>
        </w:rPr>
        <w:t xml:space="preserve">on </w:t>
      </w:r>
      <w:r w:rsidR="00A36AAF" w:rsidRPr="003B44D7">
        <w:rPr>
          <w:rFonts w:cstheme="minorHAnsi"/>
          <w:i/>
          <w:sz w:val="24"/>
          <w:szCs w:val="24"/>
        </w:rPr>
        <w:t xml:space="preserve">public </w:t>
      </w:r>
      <w:r w:rsidR="003B7BDE" w:rsidRPr="003B44D7">
        <w:rPr>
          <w:rFonts w:cstheme="minorHAnsi"/>
          <w:sz w:val="24"/>
          <w:szCs w:val="24"/>
        </w:rPr>
        <w:t>expressions</w:t>
      </w:r>
      <w:r w:rsidR="00A36AAF" w:rsidRPr="003B44D7">
        <w:rPr>
          <w:rStyle w:val="FootnoteReference"/>
          <w:rFonts w:cstheme="minorHAnsi"/>
          <w:sz w:val="24"/>
          <w:szCs w:val="24"/>
        </w:rPr>
        <w:footnoteReference w:id="35"/>
      </w:r>
      <w:r w:rsidR="00A36AAF" w:rsidRPr="003B44D7">
        <w:rPr>
          <w:rFonts w:cstheme="minorHAnsi"/>
          <w:sz w:val="24"/>
          <w:szCs w:val="24"/>
        </w:rPr>
        <w:t xml:space="preserve"> </w:t>
      </w:r>
      <w:r w:rsidR="003B7BDE" w:rsidRPr="003B44D7">
        <w:rPr>
          <w:rFonts w:cstheme="minorHAnsi"/>
          <w:sz w:val="24"/>
          <w:szCs w:val="24"/>
        </w:rPr>
        <w:t xml:space="preserve">or on </w:t>
      </w:r>
      <w:r w:rsidR="00D47E97" w:rsidRPr="003B44D7">
        <w:rPr>
          <w:rFonts w:cstheme="minorHAnsi"/>
          <w:sz w:val="24"/>
          <w:szCs w:val="24"/>
        </w:rPr>
        <w:t>expression</w:t>
      </w:r>
      <w:r w:rsidR="003B7BDE" w:rsidRPr="003B44D7">
        <w:rPr>
          <w:rFonts w:cstheme="minorHAnsi"/>
          <w:sz w:val="24"/>
          <w:szCs w:val="24"/>
        </w:rPr>
        <w:t xml:space="preserve"> and other acts designed to disturb the </w:t>
      </w:r>
      <w:r w:rsidR="003B7BDE" w:rsidRPr="003B44D7">
        <w:rPr>
          <w:rFonts w:cstheme="minorHAnsi"/>
          <w:i/>
          <w:sz w:val="24"/>
          <w:szCs w:val="24"/>
        </w:rPr>
        <w:t>public</w:t>
      </w:r>
      <w:r w:rsidR="00943FE4" w:rsidRPr="003B44D7">
        <w:rPr>
          <w:rFonts w:cstheme="minorHAnsi"/>
          <w:sz w:val="24"/>
          <w:szCs w:val="24"/>
        </w:rPr>
        <w:t xml:space="preserve"> peace;</w:t>
      </w:r>
      <w:r w:rsidR="003B7BDE" w:rsidRPr="003B44D7">
        <w:rPr>
          <w:rStyle w:val="FootnoteReference"/>
          <w:rFonts w:cstheme="minorHAnsi"/>
          <w:sz w:val="24"/>
          <w:szCs w:val="24"/>
        </w:rPr>
        <w:footnoteReference w:id="36"/>
      </w:r>
      <w:r w:rsidR="003B7BDE" w:rsidRPr="003B44D7">
        <w:rPr>
          <w:rFonts w:cstheme="minorHAnsi"/>
          <w:sz w:val="24"/>
          <w:szCs w:val="24"/>
        </w:rPr>
        <w:t xml:space="preserve"> </w:t>
      </w:r>
      <w:r w:rsidR="00943FE4" w:rsidRPr="003B44D7">
        <w:rPr>
          <w:rFonts w:cstheme="minorHAnsi"/>
          <w:sz w:val="24"/>
          <w:szCs w:val="24"/>
        </w:rPr>
        <w:t>they</w:t>
      </w:r>
      <w:r w:rsidR="00D47E97" w:rsidRPr="003B44D7">
        <w:rPr>
          <w:rFonts w:cstheme="minorHAnsi"/>
          <w:sz w:val="24"/>
          <w:szCs w:val="24"/>
        </w:rPr>
        <w:t xml:space="preserve"> are not concerned with what individuals think, or </w:t>
      </w:r>
      <w:r w:rsidR="00943FE4" w:rsidRPr="003B44D7">
        <w:rPr>
          <w:rFonts w:cstheme="minorHAnsi"/>
          <w:sz w:val="24"/>
          <w:szCs w:val="24"/>
        </w:rPr>
        <w:t xml:space="preserve">even </w:t>
      </w:r>
      <w:r w:rsidR="00D47E97" w:rsidRPr="003B44D7">
        <w:rPr>
          <w:rFonts w:cstheme="minorHAnsi"/>
          <w:sz w:val="24"/>
          <w:szCs w:val="24"/>
        </w:rPr>
        <w:t>say priv</w:t>
      </w:r>
      <w:r w:rsidR="00E9436B" w:rsidRPr="003B44D7">
        <w:rPr>
          <w:rFonts w:cstheme="minorHAnsi"/>
          <w:sz w:val="24"/>
          <w:szCs w:val="24"/>
        </w:rPr>
        <w:t xml:space="preserve">ately. What matters is what is </w:t>
      </w:r>
      <w:r w:rsidR="00943FE4" w:rsidRPr="003B44D7">
        <w:rPr>
          <w:rFonts w:cstheme="minorHAnsi"/>
          <w:sz w:val="24"/>
          <w:szCs w:val="24"/>
        </w:rPr>
        <w:t xml:space="preserve">‘broadcast’ </w:t>
      </w:r>
      <w:r w:rsidR="00D47E97" w:rsidRPr="003B44D7">
        <w:rPr>
          <w:rFonts w:cstheme="minorHAnsi"/>
          <w:sz w:val="24"/>
          <w:szCs w:val="24"/>
        </w:rPr>
        <w:t xml:space="preserve">and </w:t>
      </w:r>
      <w:r w:rsidR="00866984" w:rsidRPr="003B44D7">
        <w:rPr>
          <w:rFonts w:cstheme="minorHAnsi"/>
          <w:sz w:val="24"/>
          <w:szCs w:val="24"/>
        </w:rPr>
        <w:t xml:space="preserve">would become </w:t>
      </w:r>
      <w:r w:rsidR="00943FE4" w:rsidRPr="003B44D7">
        <w:rPr>
          <w:rFonts w:cstheme="minorHAnsi"/>
          <w:sz w:val="24"/>
          <w:szCs w:val="24"/>
        </w:rPr>
        <w:t>etched into the public speech-</w:t>
      </w:r>
      <w:r w:rsidR="00866984" w:rsidRPr="003B44D7">
        <w:rPr>
          <w:rFonts w:cstheme="minorHAnsi"/>
          <w:sz w:val="24"/>
          <w:szCs w:val="24"/>
        </w:rPr>
        <w:t xml:space="preserve">scape. </w:t>
      </w:r>
      <w:r w:rsidR="00DA7167" w:rsidRPr="003B44D7">
        <w:rPr>
          <w:rFonts w:cstheme="minorHAnsi"/>
          <w:sz w:val="24"/>
          <w:szCs w:val="24"/>
        </w:rPr>
        <w:t xml:space="preserve">The visibility and permanence of online speech was stressed by the ECtHR </w:t>
      </w:r>
      <w:r w:rsidR="00D756A7" w:rsidRPr="003B44D7">
        <w:rPr>
          <w:rFonts w:cstheme="minorHAnsi"/>
          <w:sz w:val="24"/>
          <w:szCs w:val="24"/>
        </w:rPr>
        <w:t>i</w:t>
      </w:r>
      <w:r w:rsidR="00C03E09" w:rsidRPr="003B44D7">
        <w:rPr>
          <w:rFonts w:cstheme="minorHAnsi"/>
          <w:sz w:val="24"/>
          <w:szCs w:val="24"/>
        </w:rPr>
        <w:t xml:space="preserve">n </w:t>
      </w:r>
      <w:proofErr w:type="spellStart"/>
      <w:r w:rsidR="003950C4" w:rsidRPr="003B44D7">
        <w:rPr>
          <w:rFonts w:cstheme="minorHAnsi"/>
          <w:i/>
          <w:sz w:val="24"/>
          <w:szCs w:val="24"/>
        </w:rPr>
        <w:t>Delf</w:t>
      </w:r>
      <w:r w:rsidR="00C03E09" w:rsidRPr="003B44D7">
        <w:rPr>
          <w:rFonts w:cstheme="minorHAnsi"/>
          <w:i/>
          <w:sz w:val="24"/>
          <w:szCs w:val="24"/>
        </w:rPr>
        <w:t>i</w:t>
      </w:r>
      <w:proofErr w:type="spellEnd"/>
      <w:r w:rsidR="00C03E09" w:rsidRPr="003B44D7">
        <w:rPr>
          <w:rFonts w:cstheme="minorHAnsi"/>
          <w:i/>
          <w:sz w:val="24"/>
          <w:szCs w:val="24"/>
        </w:rPr>
        <w:t xml:space="preserve"> AS v Estoni</w:t>
      </w:r>
      <w:r w:rsidR="004E460E" w:rsidRPr="003B44D7">
        <w:rPr>
          <w:rFonts w:cstheme="minorHAnsi"/>
          <w:i/>
          <w:sz w:val="24"/>
          <w:szCs w:val="24"/>
        </w:rPr>
        <w:t>a</w:t>
      </w:r>
      <w:r w:rsidR="003950C4" w:rsidRPr="003B44D7">
        <w:rPr>
          <w:rFonts w:cstheme="minorHAnsi"/>
          <w:sz w:val="24"/>
          <w:szCs w:val="24"/>
        </w:rPr>
        <w:t xml:space="preserve"> (2015</w:t>
      </w:r>
      <w:r w:rsidR="00C03E09" w:rsidRPr="003B44D7">
        <w:rPr>
          <w:rFonts w:cstheme="minorHAnsi"/>
          <w:sz w:val="24"/>
          <w:szCs w:val="24"/>
        </w:rPr>
        <w:t>)</w:t>
      </w:r>
      <w:r w:rsidR="00985C38" w:rsidRPr="003B44D7">
        <w:rPr>
          <w:rStyle w:val="FootnoteReference"/>
          <w:rFonts w:cstheme="minorHAnsi"/>
          <w:sz w:val="24"/>
          <w:szCs w:val="24"/>
        </w:rPr>
        <w:footnoteReference w:id="37"/>
      </w:r>
      <w:r w:rsidR="00C03E09" w:rsidRPr="003B44D7">
        <w:rPr>
          <w:rFonts w:cstheme="minorHAnsi"/>
          <w:sz w:val="24"/>
          <w:szCs w:val="24"/>
        </w:rPr>
        <w:t xml:space="preserve"> concerning an online intermedia</w:t>
      </w:r>
      <w:r w:rsidR="00DA7167" w:rsidRPr="003B44D7">
        <w:rPr>
          <w:rFonts w:cstheme="minorHAnsi"/>
          <w:sz w:val="24"/>
          <w:szCs w:val="24"/>
        </w:rPr>
        <w:t xml:space="preserve">ry’s </w:t>
      </w:r>
      <w:r w:rsidR="00FE61BD" w:rsidRPr="003B44D7">
        <w:rPr>
          <w:rFonts w:cstheme="minorHAnsi"/>
          <w:sz w:val="24"/>
          <w:szCs w:val="24"/>
        </w:rPr>
        <w:t>secondar</w:t>
      </w:r>
      <w:r w:rsidR="00D756A7" w:rsidRPr="003B44D7">
        <w:rPr>
          <w:rFonts w:cstheme="minorHAnsi"/>
          <w:sz w:val="24"/>
          <w:szCs w:val="24"/>
        </w:rPr>
        <w:t xml:space="preserve">y </w:t>
      </w:r>
      <w:r w:rsidR="00DA7167" w:rsidRPr="003B44D7">
        <w:rPr>
          <w:rFonts w:cstheme="minorHAnsi"/>
          <w:sz w:val="24"/>
          <w:szCs w:val="24"/>
        </w:rPr>
        <w:t xml:space="preserve">liability for defamation, </w:t>
      </w:r>
      <w:r w:rsidR="00C03E09" w:rsidRPr="003B44D7">
        <w:rPr>
          <w:rFonts w:cstheme="minorHAnsi"/>
          <w:sz w:val="24"/>
          <w:szCs w:val="24"/>
        </w:rPr>
        <w:t xml:space="preserve">by </w:t>
      </w:r>
      <w:r w:rsidR="003D622A" w:rsidRPr="003B44D7">
        <w:rPr>
          <w:rFonts w:cstheme="minorHAnsi"/>
          <w:sz w:val="24"/>
          <w:szCs w:val="24"/>
        </w:rPr>
        <w:t xml:space="preserve">observing that </w:t>
      </w:r>
      <w:r w:rsidR="003D622A" w:rsidRPr="003B44D7">
        <w:rPr>
          <w:rStyle w:val="sb8d990e2"/>
          <w:rFonts w:cstheme="minorHAnsi"/>
          <w:sz w:val="24"/>
          <w:szCs w:val="24"/>
        </w:rPr>
        <w:t>‘</w:t>
      </w:r>
      <w:r w:rsidR="00C03E09" w:rsidRPr="003B44D7">
        <w:rPr>
          <w:rStyle w:val="sb8d990e2"/>
          <w:rFonts w:cstheme="minorHAnsi"/>
          <w:sz w:val="24"/>
          <w:szCs w:val="24"/>
        </w:rPr>
        <w:t xml:space="preserve">clearly unlawful speech, including hate speech and speech inciting violence, can be disseminated like never before, worldwide, in a matter of seconds, and sometimes remain </w:t>
      </w:r>
      <w:r w:rsidR="00C03E09" w:rsidRPr="003B44D7">
        <w:rPr>
          <w:rStyle w:val="sb8d990e2"/>
          <w:rFonts w:cstheme="minorHAnsi"/>
          <w:i/>
          <w:sz w:val="24"/>
          <w:szCs w:val="24"/>
        </w:rPr>
        <w:t>persistently</w:t>
      </w:r>
      <w:r w:rsidR="00C03E09" w:rsidRPr="003B44D7">
        <w:rPr>
          <w:rStyle w:val="sb8d990e2"/>
          <w:rFonts w:cstheme="minorHAnsi"/>
          <w:sz w:val="24"/>
          <w:szCs w:val="24"/>
        </w:rPr>
        <w:t xml:space="preserve"> available onlin</w:t>
      </w:r>
      <w:r w:rsidR="003D622A" w:rsidRPr="003B44D7">
        <w:rPr>
          <w:rStyle w:val="sb8d990e2"/>
          <w:rFonts w:cstheme="minorHAnsi"/>
          <w:sz w:val="24"/>
          <w:szCs w:val="24"/>
        </w:rPr>
        <w:t>e.’</w:t>
      </w:r>
      <w:r w:rsidR="003D622A" w:rsidRPr="003B44D7">
        <w:rPr>
          <w:rStyle w:val="FootnoteReference"/>
          <w:rFonts w:cstheme="minorHAnsi"/>
          <w:sz w:val="24"/>
          <w:szCs w:val="24"/>
        </w:rPr>
        <w:footnoteReference w:id="38"/>
      </w:r>
      <w:r w:rsidR="003D622A" w:rsidRPr="003B44D7">
        <w:rPr>
          <w:rStyle w:val="sb8d990e2"/>
          <w:rFonts w:cstheme="minorHAnsi"/>
          <w:sz w:val="24"/>
          <w:szCs w:val="24"/>
        </w:rPr>
        <w:t xml:space="preserve"> </w:t>
      </w:r>
      <w:r w:rsidR="00D756A7" w:rsidRPr="003B44D7">
        <w:rPr>
          <w:rStyle w:val="sb8d990e2"/>
          <w:rFonts w:cstheme="minorHAnsi"/>
          <w:sz w:val="24"/>
          <w:szCs w:val="24"/>
        </w:rPr>
        <w:t>Meanwhile,</w:t>
      </w:r>
      <w:r w:rsidR="00137469">
        <w:rPr>
          <w:rStyle w:val="sb8d990e2"/>
          <w:rFonts w:cstheme="minorHAnsi"/>
          <w:sz w:val="24"/>
          <w:szCs w:val="24"/>
        </w:rPr>
        <w:t xml:space="preserve"> the </w:t>
      </w:r>
      <w:r w:rsidR="00137469" w:rsidRPr="003B44D7">
        <w:rPr>
          <w:rFonts w:cstheme="minorHAnsi"/>
          <w:sz w:val="24"/>
          <w:szCs w:val="24"/>
        </w:rPr>
        <w:t xml:space="preserve">ECtHR </w:t>
      </w:r>
      <w:r w:rsidR="005C1DE5">
        <w:rPr>
          <w:rStyle w:val="sb8d990e2"/>
          <w:rFonts w:cstheme="minorHAnsi"/>
          <w:sz w:val="24"/>
          <w:szCs w:val="24"/>
        </w:rPr>
        <w:t>stressed</w:t>
      </w:r>
      <w:r w:rsidR="00137469" w:rsidRPr="003B44D7">
        <w:rPr>
          <w:rStyle w:val="sb8d990e2"/>
          <w:rFonts w:cstheme="minorHAnsi"/>
          <w:sz w:val="24"/>
          <w:szCs w:val="24"/>
        </w:rPr>
        <w:t xml:space="preserve"> </w:t>
      </w:r>
      <w:r w:rsidR="00D756A7" w:rsidRPr="003B44D7">
        <w:rPr>
          <w:rStyle w:val="sb8d990e2"/>
          <w:rFonts w:cstheme="minorHAnsi"/>
          <w:sz w:val="24"/>
          <w:szCs w:val="24"/>
        </w:rPr>
        <w:t>t</w:t>
      </w:r>
      <w:r w:rsidR="00FE61BD" w:rsidRPr="003B44D7">
        <w:rPr>
          <w:rStyle w:val="sb8d990e2"/>
          <w:rFonts w:cstheme="minorHAnsi"/>
          <w:sz w:val="24"/>
          <w:szCs w:val="24"/>
        </w:rPr>
        <w:t>he protective responsibility of the State</w:t>
      </w:r>
      <w:r w:rsidR="00137469">
        <w:rPr>
          <w:rStyle w:val="sb8d990e2"/>
          <w:rFonts w:cstheme="minorHAnsi"/>
          <w:sz w:val="24"/>
          <w:szCs w:val="24"/>
        </w:rPr>
        <w:t xml:space="preserve"> </w:t>
      </w:r>
      <w:r w:rsidR="00FE61BD" w:rsidRPr="003B44D7">
        <w:rPr>
          <w:rStyle w:val="sb8d990e2"/>
          <w:rFonts w:cstheme="minorHAnsi"/>
          <w:sz w:val="24"/>
          <w:szCs w:val="24"/>
        </w:rPr>
        <w:t xml:space="preserve">in </w:t>
      </w:r>
      <w:r w:rsidR="00985C38" w:rsidRPr="003B44D7">
        <w:rPr>
          <w:rStyle w:val="sb8d990e2"/>
          <w:rFonts w:cstheme="minorHAnsi"/>
          <w:i/>
          <w:sz w:val="24"/>
          <w:szCs w:val="24"/>
        </w:rPr>
        <w:t>Nix v Germany</w:t>
      </w:r>
      <w:r w:rsidR="00985C38" w:rsidRPr="003B44D7">
        <w:rPr>
          <w:rStyle w:val="sb8d990e2"/>
          <w:rFonts w:cstheme="minorHAnsi"/>
          <w:sz w:val="24"/>
          <w:szCs w:val="24"/>
        </w:rPr>
        <w:t xml:space="preserve"> (2018)</w:t>
      </w:r>
      <w:r w:rsidR="00985C38" w:rsidRPr="003B44D7">
        <w:rPr>
          <w:rStyle w:val="FootnoteReference"/>
          <w:rFonts w:cstheme="minorHAnsi"/>
          <w:sz w:val="24"/>
          <w:szCs w:val="24"/>
        </w:rPr>
        <w:footnoteReference w:id="39"/>
      </w:r>
      <w:r w:rsidR="00DA7167" w:rsidRPr="003B44D7">
        <w:rPr>
          <w:rStyle w:val="sb8d990e2"/>
          <w:rFonts w:cstheme="minorHAnsi"/>
          <w:sz w:val="24"/>
          <w:szCs w:val="24"/>
        </w:rPr>
        <w:t xml:space="preserve"> </w:t>
      </w:r>
      <w:r w:rsidR="00FE61BD" w:rsidRPr="003B44D7">
        <w:rPr>
          <w:rStyle w:val="sb8d990e2"/>
          <w:rFonts w:cstheme="minorHAnsi"/>
          <w:sz w:val="24"/>
          <w:szCs w:val="24"/>
        </w:rPr>
        <w:t xml:space="preserve">where </w:t>
      </w:r>
      <w:r w:rsidR="00137469">
        <w:rPr>
          <w:rStyle w:val="sb8d990e2"/>
          <w:rFonts w:cstheme="minorHAnsi"/>
          <w:sz w:val="24"/>
          <w:szCs w:val="24"/>
        </w:rPr>
        <w:t xml:space="preserve">it </w:t>
      </w:r>
      <w:r w:rsidR="00FE61BD" w:rsidRPr="003B44D7">
        <w:rPr>
          <w:rFonts w:cstheme="minorHAnsi"/>
          <w:sz w:val="24"/>
          <w:szCs w:val="24"/>
        </w:rPr>
        <w:lastRenderedPageBreak/>
        <w:t xml:space="preserve">ruled </w:t>
      </w:r>
      <w:r w:rsidR="00DA7167" w:rsidRPr="003B44D7">
        <w:rPr>
          <w:rStyle w:val="sb8d990e2"/>
          <w:rFonts w:cstheme="minorHAnsi"/>
          <w:sz w:val="24"/>
          <w:szCs w:val="24"/>
        </w:rPr>
        <w:t>on the compatibility of</w:t>
      </w:r>
      <w:r w:rsidR="00985C38" w:rsidRPr="003B44D7">
        <w:rPr>
          <w:rStyle w:val="sb8d990e2"/>
          <w:rFonts w:cstheme="minorHAnsi"/>
          <w:sz w:val="24"/>
          <w:szCs w:val="24"/>
        </w:rPr>
        <w:t xml:space="preserve"> a criminal conv</w:t>
      </w:r>
      <w:r w:rsidR="00DA7167" w:rsidRPr="003B44D7">
        <w:rPr>
          <w:rStyle w:val="sb8d990e2"/>
          <w:rFonts w:cstheme="minorHAnsi"/>
          <w:sz w:val="24"/>
          <w:szCs w:val="24"/>
        </w:rPr>
        <w:t>iction for a blo</w:t>
      </w:r>
      <w:r w:rsidR="00FE61BD" w:rsidRPr="003B44D7">
        <w:rPr>
          <w:rStyle w:val="sb8d990e2"/>
          <w:rFonts w:cstheme="minorHAnsi"/>
          <w:sz w:val="24"/>
          <w:szCs w:val="24"/>
        </w:rPr>
        <w:t>g containing  hate symbols with Art 10. R</w:t>
      </w:r>
      <w:r w:rsidR="00016B15" w:rsidRPr="003B44D7">
        <w:rPr>
          <w:rStyle w:val="sb8d990e2"/>
          <w:rFonts w:cstheme="minorHAnsi"/>
          <w:sz w:val="24"/>
          <w:szCs w:val="24"/>
        </w:rPr>
        <w:t xml:space="preserve">eflecting on </w:t>
      </w:r>
      <w:r w:rsidR="00985C38" w:rsidRPr="003B44D7">
        <w:rPr>
          <w:rStyle w:val="sb8d990e2"/>
          <w:rFonts w:cstheme="minorHAnsi"/>
          <w:sz w:val="24"/>
          <w:szCs w:val="24"/>
        </w:rPr>
        <w:t xml:space="preserve">the danger of normalising hate speech </w:t>
      </w:r>
      <w:r w:rsidR="00016B15" w:rsidRPr="003B44D7">
        <w:rPr>
          <w:rStyle w:val="sb8d990e2"/>
          <w:rFonts w:cstheme="minorHAnsi"/>
          <w:sz w:val="24"/>
          <w:szCs w:val="24"/>
        </w:rPr>
        <w:t xml:space="preserve">in the absence of censorship, </w:t>
      </w:r>
      <w:r w:rsidR="00FE61BD" w:rsidRPr="003B44D7">
        <w:rPr>
          <w:rStyle w:val="sb8d990e2"/>
          <w:rFonts w:cstheme="minorHAnsi"/>
          <w:sz w:val="24"/>
          <w:szCs w:val="24"/>
        </w:rPr>
        <w:t xml:space="preserve">the ECtHR </w:t>
      </w:r>
      <w:r w:rsidR="00D756A7" w:rsidRPr="003B44D7">
        <w:rPr>
          <w:rStyle w:val="sb8d990e2"/>
          <w:rFonts w:cstheme="minorHAnsi"/>
          <w:sz w:val="24"/>
          <w:szCs w:val="24"/>
        </w:rPr>
        <w:t xml:space="preserve">observed </w:t>
      </w:r>
      <w:r w:rsidR="00985C38" w:rsidRPr="003B44D7">
        <w:rPr>
          <w:rStyle w:val="sb8d990e2"/>
          <w:rFonts w:cstheme="minorHAnsi"/>
          <w:sz w:val="24"/>
          <w:szCs w:val="24"/>
        </w:rPr>
        <w:t>that ‘</w:t>
      </w:r>
      <w:r w:rsidR="00985C38" w:rsidRPr="003B44D7">
        <w:rPr>
          <w:rFonts w:cstheme="minorHAnsi"/>
          <w:sz w:val="24"/>
          <w:szCs w:val="24"/>
        </w:rPr>
        <w:t xml:space="preserve">States which have experienced the Nazi horrors may be regarded as having a special moral responsibility to distance themselves from the mass atrocities perpetrated by the Nazis’ </w:t>
      </w:r>
      <w:r w:rsidR="00130DEC" w:rsidRPr="003B44D7">
        <w:rPr>
          <w:rFonts w:cstheme="minorHAnsi"/>
          <w:sz w:val="24"/>
          <w:szCs w:val="24"/>
        </w:rPr>
        <w:t>and banning hate symbols ‘from all means of communication’ is ‘meant to pre-empt anyone becoming used [them]…’</w:t>
      </w:r>
      <w:r w:rsidR="00985C38" w:rsidRPr="003B44D7">
        <w:rPr>
          <w:rFonts w:cstheme="minorHAnsi"/>
          <w:sz w:val="24"/>
          <w:szCs w:val="24"/>
        </w:rPr>
        <w:t>‘</w:t>
      </w:r>
      <w:r w:rsidR="00985C38" w:rsidRPr="003B44D7">
        <w:rPr>
          <w:rStyle w:val="FootnoteReference"/>
          <w:rFonts w:cstheme="minorHAnsi"/>
          <w:sz w:val="24"/>
          <w:szCs w:val="24"/>
        </w:rPr>
        <w:footnoteReference w:id="40"/>
      </w:r>
      <w:r w:rsidR="00FE61BD" w:rsidRPr="003B44D7">
        <w:rPr>
          <w:rFonts w:cstheme="minorHAnsi"/>
          <w:sz w:val="24"/>
          <w:szCs w:val="24"/>
        </w:rPr>
        <w:t xml:space="preserve"> </w:t>
      </w:r>
      <w:r w:rsidR="00287892" w:rsidRPr="003B44D7">
        <w:rPr>
          <w:rFonts w:cstheme="minorHAnsi"/>
          <w:sz w:val="24"/>
          <w:szCs w:val="24"/>
        </w:rPr>
        <w:t>Whitman and other have shown that t</w:t>
      </w:r>
      <w:r w:rsidR="00FE61BD" w:rsidRPr="003B44D7">
        <w:rPr>
          <w:rFonts w:cstheme="minorHAnsi"/>
          <w:sz w:val="24"/>
          <w:szCs w:val="24"/>
        </w:rPr>
        <w:t xml:space="preserve">he European </w:t>
      </w:r>
      <w:r w:rsidR="00287892" w:rsidRPr="003B44D7">
        <w:rPr>
          <w:rFonts w:cstheme="minorHAnsi"/>
          <w:sz w:val="24"/>
          <w:szCs w:val="24"/>
        </w:rPr>
        <w:t xml:space="preserve">preoccupation </w:t>
      </w:r>
      <w:r w:rsidR="00FE61BD" w:rsidRPr="003B44D7">
        <w:rPr>
          <w:rFonts w:cstheme="minorHAnsi"/>
          <w:sz w:val="24"/>
          <w:szCs w:val="24"/>
        </w:rPr>
        <w:t>with</w:t>
      </w:r>
      <w:r w:rsidR="00016B15" w:rsidRPr="003B44D7">
        <w:rPr>
          <w:rFonts w:cstheme="minorHAnsi"/>
          <w:sz w:val="24"/>
          <w:szCs w:val="24"/>
        </w:rPr>
        <w:t xml:space="preserve"> </w:t>
      </w:r>
      <w:r w:rsidR="00287892" w:rsidRPr="003B44D7">
        <w:rPr>
          <w:rFonts w:cstheme="minorHAnsi"/>
          <w:sz w:val="24"/>
          <w:szCs w:val="24"/>
        </w:rPr>
        <w:t xml:space="preserve">equalised dignity </w:t>
      </w:r>
      <w:r w:rsidR="00540A6F" w:rsidRPr="003B44D7">
        <w:rPr>
          <w:rFonts w:cstheme="minorHAnsi"/>
          <w:sz w:val="24"/>
          <w:szCs w:val="24"/>
        </w:rPr>
        <w:t xml:space="preserve">which lies </w:t>
      </w:r>
      <w:r w:rsidR="008B22A8" w:rsidRPr="003B44D7">
        <w:rPr>
          <w:rFonts w:cstheme="minorHAnsi"/>
          <w:sz w:val="24"/>
          <w:szCs w:val="24"/>
        </w:rPr>
        <w:t>at the heart of</w:t>
      </w:r>
      <w:r w:rsidR="00FE61BD" w:rsidRPr="003B44D7">
        <w:rPr>
          <w:rFonts w:cstheme="minorHAnsi"/>
          <w:sz w:val="24"/>
          <w:szCs w:val="24"/>
        </w:rPr>
        <w:t xml:space="preserve"> </w:t>
      </w:r>
      <w:r w:rsidR="00287892" w:rsidRPr="003B44D7">
        <w:rPr>
          <w:rFonts w:cstheme="minorHAnsi"/>
          <w:sz w:val="24"/>
          <w:szCs w:val="24"/>
        </w:rPr>
        <w:t>its</w:t>
      </w:r>
      <w:r w:rsidR="00016B15" w:rsidRPr="003B44D7">
        <w:rPr>
          <w:rFonts w:cstheme="minorHAnsi"/>
          <w:sz w:val="24"/>
          <w:szCs w:val="24"/>
        </w:rPr>
        <w:t xml:space="preserve"> construction</w:t>
      </w:r>
      <w:r w:rsidR="00FE61BD" w:rsidRPr="003B44D7">
        <w:rPr>
          <w:rFonts w:cstheme="minorHAnsi"/>
          <w:sz w:val="24"/>
          <w:szCs w:val="24"/>
        </w:rPr>
        <w:t xml:space="preserve"> of</w:t>
      </w:r>
      <w:r w:rsidR="00016B15" w:rsidRPr="003B44D7">
        <w:rPr>
          <w:rFonts w:cstheme="minorHAnsi"/>
          <w:sz w:val="24"/>
          <w:szCs w:val="24"/>
        </w:rPr>
        <w:t xml:space="preserve"> </w:t>
      </w:r>
      <w:r w:rsidR="00FE61BD" w:rsidRPr="003B44D7">
        <w:rPr>
          <w:rFonts w:cstheme="minorHAnsi"/>
          <w:sz w:val="24"/>
          <w:szCs w:val="24"/>
        </w:rPr>
        <w:t xml:space="preserve">citizenry </w:t>
      </w:r>
      <w:r w:rsidR="00016B15" w:rsidRPr="003B44D7">
        <w:rPr>
          <w:rFonts w:cstheme="minorHAnsi"/>
          <w:sz w:val="24"/>
          <w:szCs w:val="24"/>
        </w:rPr>
        <w:t>goes back much furthe</w:t>
      </w:r>
      <w:r w:rsidR="00287892" w:rsidRPr="003B44D7">
        <w:rPr>
          <w:rFonts w:cstheme="minorHAnsi"/>
          <w:sz w:val="24"/>
          <w:szCs w:val="24"/>
        </w:rPr>
        <w:t>r than World War II,</w:t>
      </w:r>
      <w:r w:rsidR="008B22A8" w:rsidRPr="003B44D7">
        <w:rPr>
          <w:rFonts w:cstheme="minorHAnsi"/>
          <w:sz w:val="24"/>
          <w:szCs w:val="24"/>
        </w:rPr>
        <w:t xml:space="preserve"> but</w:t>
      </w:r>
      <w:r w:rsidR="00287892" w:rsidRPr="003B44D7">
        <w:rPr>
          <w:rFonts w:cstheme="minorHAnsi"/>
          <w:sz w:val="24"/>
          <w:szCs w:val="24"/>
        </w:rPr>
        <w:t xml:space="preserve"> </w:t>
      </w:r>
      <w:r w:rsidR="00FE61BD" w:rsidRPr="003B44D7">
        <w:rPr>
          <w:rFonts w:cstheme="minorHAnsi"/>
          <w:sz w:val="24"/>
          <w:szCs w:val="24"/>
        </w:rPr>
        <w:t xml:space="preserve">Nazi atrocities </w:t>
      </w:r>
      <w:r w:rsidR="008B22A8" w:rsidRPr="003B44D7">
        <w:rPr>
          <w:rFonts w:cstheme="minorHAnsi"/>
          <w:sz w:val="24"/>
          <w:szCs w:val="24"/>
        </w:rPr>
        <w:t xml:space="preserve">certainly </w:t>
      </w:r>
      <w:r w:rsidR="00287892" w:rsidRPr="003B44D7">
        <w:rPr>
          <w:rFonts w:cstheme="minorHAnsi"/>
          <w:sz w:val="24"/>
          <w:szCs w:val="24"/>
        </w:rPr>
        <w:t>gave</w:t>
      </w:r>
      <w:r w:rsidR="00016B15" w:rsidRPr="003B44D7">
        <w:rPr>
          <w:rFonts w:cstheme="minorHAnsi"/>
          <w:sz w:val="24"/>
          <w:szCs w:val="24"/>
        </w:rPr>
        <w:t xml:space="preserve"> those ideas</w:t>
      </w:r>
      <w:r w:rsidR="00FE61BD" w:rsidRPr="003B44D7">
        <w:rPr>
          <w:rFonts w:cstheme="minorHAnsi"/>
          <w:sz w:val="24"/>
          <w:szCs w:val="24"/>
        </w:rPr>
        <w:t xml:space="preserve"> </w:t>
      </w:r>
      <w:r w:rsidR="00287892" w:rsidRPr="003B44D7">
        <w:rPr>
          <w:rFonts w:cstheme="minorHAnsi"/>
          <w:sz w:val="24"/>
          <w:szCs w:val="24"/>
        </w:rPr>
        <w:t>a renewed</w:t>
      </w:r>
      <w:r w:rsidR="00D756A7" w:rsidRPr="003B44D7">
        <w:rPr>
          <w:rFonts w:cstheme="minorHAnsi"/>
          <w:sz w:val="24"/>
          <w:szCs w:val="24"/>
        </w:rPr>
        <w:t xml:space="preserve"> intens</w:t>
      </w:r>
      <w:r w:rsidR="00287892" w:rsidRPr="003B44D7">
        <w:rPr>
          <w:rFonts w:cstheme="minorHAnsi"/>
          <w:sz w:val="24"/>
          <w:szCs w:val="24"/>
        </w:rPr>
        <w:t>ity and</w:t>
      </w:r>
      <w:r w:rsidR="00D756A7" w:rsidRPr="003B44D7">
        <w:rPr>
          <w:rFonts w:cstheme="minorHAnsi"/>
          <w:sz w:val="24"/>
          <w:szCs w:val="24"/>
        </w:rPr>
        <w:t xml:space="preserve"> </w:t>
      </w:r>
      <w:r w:rsidR="00FE61BD" w:rsidRPr="003B44D7">
        <w:rPr>
          <w:rFonts w:cstheme="minorHAnsi"/>
          <w:sz w:val="24"/>
          <w:szCs w:val="24"/>
        </w:rPr>
        <w:t>urgency</w:t>
      </w:r>
      <w:r w:rsidR="00287892" w:rsidRPr="003B44D7">
        <w:rPr>
          <w:rFonts w:cstheme="minorHAnsi"/>
          <w:sz w:val="24"/>
          <w:szCs w:val="24"/>
        </w:rPr>
        <w:t>.</w:t>
      </w:r>
      <w:r w:rsidR="00287892" w:rsidRPr="003B44D7">
        <w:rPr>
          <w:rStyle w:val="FootnoteReference"/>
          <w:rFonts w:cstheme="minorHAnsi"/>
          <w:sz w:val="24"/>
          <w:szCs w:val="24"/>
        </w:rPr>
        <w:footnoteReference w:id="41"/>
      </w:r>
    </w:p>
    <w:p w14:paraId="71DA5F31" w14:textId="77777777" w:rsidR="00AF2913" w:rsidRPr="003B44D7" w:rsidRDefault="00AF2913" w:rsidP="004E7EB4">
      <w:pPr>
        <w:autoSpaceDE w:val="0"/>
        <w:autoSpaceDN w:val="0"/>
        <w:adjustRightInd w:val="0"/>
        <w:spacing w:after="0" w:line="240" w:lineRule="auto"/>
        <w:jc w:val="both"/>
        <w:rPr>
          <w:rFonts w:cstheme="minorHAnsi"/>
          <w:sz w:val="24"/>
          <w:szCs w:val="24"/>
        </w:rPr>
      </w:pPr>
    </w:p>
    <w:p w14:paraId="6182C8CB" w14:textId="02F31731" w:rsidR="003E6547" w:rsidRPr="003B44D7" w:rsidRDefault="003C3834" w:rsidP="004E7EB4">
      <w:pPr>
        <w:autoSpaceDE w:val="0"/>
        <w:autoSpaceDN w:val="0"/>
        <w:adjustRightInd w:val="0"/>
        <w:spacing w:after="0" w:line="240" w:lineRule="auto"/>
        <w:jc w:val="both"/>
        <w:rPr>
          <w:rFonts w:cstheme="minorHAnsi"/>
          <w:sz w:val="24"/>
          <w:szCs w:val="24"/>
        </w:rPr>
      </w:pPr>
      <w:r w:rsidRPr="003B44D7">
        <w:rPr>
          <w:rFonts w:cstheme="minorHAnsi"/>
          <w:sz w:val="24"/>
          <w:szCs w:val="24"/>
        </w:rPr>
        <w:t>S</w:t>
      </w:r>
      <w:r w:rsidR="00866984" w:rsidRPr="003B44D7">
        <w:rPr>
          <w:rFonts w:cstheme="minorHAnsi"/>
          <w:sz w:val="24"/>
          <w:szCs w:val="24"/>
        </w:rPr>
        <w:t xml:space="preserve">peaking in the context of privacy, </w:t>
      </w:r>
      <w:r w:rsidRPr="003B44D7">
        <w:rPr>
          <w:rFonts w:cstheme="minorHAnsi"/>
          <w:sz w:val="24"/>
          <w:szCs w:val="24"/>
        </w:rPr>
        <w:t>Whitman observes</w:t>
      </w:r>
      <w:r w:rsidR="009E1A4D">
        <w:rPr>
          <w:rFonts w:cstheme="minorHAnsi"/>
          <w:sz w:val="24"/>
          <w:szCs w:val="24"/>
        </w:rPr>
        <w:t xml:space="preserve"> that t</w:t>
      </w:r>
      <w:r w:rsidR="00866984" w:rsidRPr="003B44D7">
        <w:rPr>
          <w:rFonts w:cstheme="minorHAnsi"/>
          <w:sz w:val="24"/>
          <w:szCs w:val="24"/>
        </w:rPr>
        <w:t>he primary enemy... according to this continental conception, is the media, which always</w:t>
      </w:r>
      <w:r w:rsidR="00475AC7" w:rsidRPr="003B44D7">
        <w:rPr>
          <w:rFonts w:cstheme="minorHAnsi"/>
          <w:sz w:val="24"/>
          <w:szCs w:val="24"/>
        </w:rPr>
        <w:t xml:space="preserve"> threatens</w:t>
      </w:r>
      <w:r w:rsidR="00866984" w:rsidRPr="003B44D7">
        <w:rPr>
          <w:rFonts w:cstheme="minorHAnsi"/>
          <w:sz w:val="24"/>
          <w:szCs w:val="24"/>
        </w:rPr>
        <w:t xml:space="preserve"> to broadcast unsavoury information </w:t>
      </w:r>
      <w:r w:rsidR="00475AC7" w:rsidRPr="003B44D7">
        <w:rPr>
          <w:rFonts w:cstheme="minorHAnsi"/>
          <w:sz w:val="24"/>
          <w:szCs w:val="24"/>
        </w:rPr>
        <w:t>about u</w:t>
      </w:r>
      <w:r w:rsidR="00866984" w:rsidRPr="003B44D7">
        <w:rPr>
          <w:rFonts w:cstheme="minorHAnsi"/>
          <w:sz w:val="24"/>
          <w:szCs w:val="24"/>
        </w:rPr>
        <w:t>s in ways that endanger our public dignity. But</w:t>
      </w:r>
      <w:r w:rsidR="009E1A4D">
        <w:rPr>
          <w:rFonts w:cstheme="minorHAnsi"/>
          <w:sz w:val="24"/>
          <w:szCs w:val="24"/>
        </w:rPr>
        <w:t>… [a]</w:t>
      </w:r>
      <w:proofErr w:type="spellStart"/>
      <w:r w:rsidR="00866984" w:rsidRPr="003B44D7">
        <w:rPr>
          <w:rFonts w:cstheme="minorHAnsi"/>
          <w:sz w:val="24"/>
          <w:szCs w:val="24"/>
        </w:rPr>
        <w:t>ny</w:t>
      </w:r>
      <w:proofErr w:type="spellEnd"/>
      <w:r w:rsidR="00866984" w:rsidRPr="003B44D7">
        <w:rPr>
          <w:rFonts w:cstheme="minorHAnsi"/>
          <w:sz w:val="24"/>
          <w:szCs w:val="24"/>
        </w:rPr>
        <w:t xml:space="preserve"> other agent that gathers and disseminates information can also pose such dangers.’</w:t>
      </w:r>
      <w:r w:rsidR="00866984" w:rsidRPr="003B44D7">
        <w:rPr>
          <w:rStyle w:val="FootnoteReference"/>
          <w:rFonts w:cstheme="minorHAnsi"/>
          <w:sz w:val="24"/>
          <w:szCs w:val="24"/>
        </w:rPr>
        <w:t xml:space="preserve"> </w:t>
      </w:r>
      <w:r w:rsidR="00866984" w:rsidRPr="003B44D7">
        <w:rPr>
          <w:rStyle w:val="FootnoteReference"/>
          <w:rFonts w:cstheme="minorHAnsi"/>
          <w:sz w:val="24"/>
          <w:szCs w:val="24"/>
        </w:rPr>
        <w:footnoteReference w:id="42"/>
      </w:r>
      <w:r w:rsidR="00866984" w:rsidRPr="003B44D7">
        <w:rPr>
          <w:rFonts w:cstheme="minorHAnsi"/>
          <w:sz w:val="24"/>
          <w:szCs w:val="24"/>
        </w:rPr>
        <w:t xml:space="preserve"> Indeed, one </w:t>
      </w:r>
      <w:r w:rsidR="00475AC7" w:rsidRPr="003B44D7">
        <w:rPr>
          <w:rFonts w:cstheme="minorHAnsi"/>
          <w:sz w:val="24"/>
          <w:szCs w:val="24"/>
        </w:rPr>
        <w:t xml:space="preserve">can </w:t>
      </w:r>
      <w:r w:rsidR="00866984" w:rsidRPr="003B44D7">
        <w:rPr>
          <w:rFonts w:cstheme="minorHAnsi"/>
          <w:sz w:val="24"/>
          <w:szCs w:val="24"/>
        </w:rPr>
        <w:t>go further and say that from a European perspective, the identity of the ‘primary enemy’ is</w:t>
      </w:r>
      <w:r w:rsidR="00C83AC6" w:rsidRPr="003B44D7">
        <w:rPr>
          <w:rFonts w:cstheme="minorHAnsi"/>
          <w:sz w:val="24"/>
          <w:szCs w:val="24"/>
        </w:rPr>
        <w:t xml:space="preserve"> relatively</w:t>
      </w:r>
      <w:r w:rsidR="00866984" w:rsidRPr="003B44D7">
        <w:rPr>
          <w:rFonts w:cstheme="minorHAnsi"/>
          <w:sz w:val="24"/>
          <w:szCs w:val="24"/>
        </w:rPr>
        <w:t xml:space="preserve"> unimportant; what matters is the</w:t>
      </w:r>
      <w:r w:rsidR="00F844C2" w:rsidRPr="003B44D7">
        <w:rPr>
          <w:rFonts w:cstheme="minorHAnsi"/>
          <w:sz w:val="24"/>
          <w:szCs w:val="24"/>
        </w:rPr>
        <w:t xml:space="preserve"> presence </w:t>
      </w:r>
      <w:r w:rsidR="00016B15" w:rsidRPr="003B44D7">
        <w:rPr>
          <w:rFonts w:cstheme="minorHAnsi"/>
          <w:sz w:val="24"/>
          <w:szCs w:val="24"/>
        </w:rPr>
        <w:t xml:space="preserve">or absence </w:t>
      </w:r>
      <w:r w:rsidR="00F844C2" w:rsidRPr="003B44D7">
        <w:rPr>
          <w:rFonts w:cstheme="minorHAnsi"/>
          <w:sz w:val="24"/>
          <w:szCs w:val="24"/>
        </w:rPr>
        <w:t xml:space="preserve">of the </w:t>
      </w:r>
      <w:r w:rsidR="00866984" w:rsidRPr="003B44D7">
        <w:rPr>
          <w:rFonts w:cstheme="minorHAnsi"/>
          <w:sz w:val="24"/>
          <w:szCs w:val="24"/>
        </w:rPr>
        <w:t xml:space="preserve">dignity-undermining </w:t>
      </w:r>
      <w:r w:rsidR="00F844C2" w:rsidRPr="003B44D7">
        <w:rPr>
          <w:rFonts w:cstheme="minorHAnsi"/>
          <w:sz w:val="24"/>
          <w:szCs w:val="24"/>
        </w:rPr>
        <w:t>speech in public</w:t>
      </w:r>
      <w:r w:rsidR="00866984" w:rsidRPr="003B44D7">
        <w:rPr>
          <w:rFonts w:cstheme="minorHAnsi"/>
          <w:sz w:val="24"/>
          <w:szCs w:val="24"/>
        </w:rPr>
        <w:t>.</w:t>
      </w:r>
      <w:r w:rsidR="00475AC7" w:rsidRPr="003B44D7">
        <w:rPr>
          <w:rFonts w:cstheme="minorHAnsi"/>
          <w:sz w:val="24"/>
          <w:szCs w:val="24"/>
        </w:rPr>
        <w:t xml:space="preserve"> For sure, traditionally media companies could throw the widest broadcasting</w:t>
      </w:r>
      <w:r w:rsidRPr="003B44D7">
        <w:rPr>
          <w:rFonts w:cstheme="minorHAnsi"/>
          <w:sz w:val="24"/>
          <w:szCs w:val="24"/>
        </w:rPr>
        <w:t xml:space="preserve"> net</w:t>
      </w:r>
      <w:r w:rsidR="00C83AC6" w:rsidRPr="003B44D7">
        <w:rPr>
          <w:rFonts w:cstheme="minorHAnsi"/>
          <w:sz w:val="24"/>
          <w:szCs w:val="24"/>
        </w:rPr>
        <w:t xml:space="preserve"> and thereby create</w:t>
      </w:r>
      <w:r w:rsidR="00475AC7" w:rsidRPr="003B44D7">
        <w:rPr>
          <w:rFonts w:cstheme="minorHAnsi"/>
          <w:sz w:val="24"/>
          <w:szCs w:val="24"/>
        </w:rPr>
        <w:t xml:space="preserve"> the greatest harm potential, but that was a factual rather than a normative reason for targeting them with </w:t>
      </w:r>
      <w:r w:rsidR="00620DC4" w:rsidRPr="003B44D7">
        <w:rPr>
          <w:rFonts w:cstheme="minorHAnsi"/>
          <w:sz w:val="24"/>
          <w:szCs w:val="24"/>
        </w:rPr>
        <w:t>dignity-driven</w:t>
      </w:r>
      <w:r w:rsidR="00C83AC6" w:rsidRPr="003B44D7">
        <w:rPr>
          <w:rFonts w:cstheme="minorHAnsi"/>
          <w:sz w:val="24"/>
          <w:szCs w:val="24"/>
        </w:rPr>
        <w:t xml:space="preserve"> laws. </w:t>
      </w:r>
      <w:r w:rsidR="00866984" w:rsidRPr="003B44D7">
        <w:rPr>
          <w:rFonts w:cstheme="minorHAnsi"/>
          <w:sz w:val="24"/>
          <w:szCs w:val="24"/>
        </w:rPr>
        <w:t xml:space="preserve">Whitman’s search for a ‘primary </w:t>
      </w:r>
      <w:r w:rsidR="00F61306" w:rsidRPr="003B44D7">
        <w:rPr>
          <w:rFonts w:cstheme="minorHAnsi"/>
          <w:sz w:val="24"/>
          <w:szCs w:val="24"/>
        </w:rPr>
        <w:t>enemy</w:t>
      </w:r>
      <w:r w:rsidR="00475AC7" w:rsidRPr="003B44D7">
        <w:rPr>
          <w:rFonts w:cstheme="minorHAnsi"/>
          <w:sz w:val="24"/>
          <w:szCs w:val="24"/>
        </w:rPr>
        <w:t xml:space="preserve">’ betrays a peculiarly American constitutional </w:t>
      </w:r>
      <w:r w:rsidR="00C83AC6" w:rsidRPr="003B44D7">
        <w:rPr>
          <w:rFonts w:cstheme="minorHAnsi"/>
          <w:sz w:val="24"/>
          <w:szCs w:val="24"/>
        </w:rPr>
        <w:t>outlook,</w:t>
      </w:r>
      <w:r w:rsidR="00475AC7" w:rsidRPr="003B44D7">
        <w:rPr>
          <w:rFonts w:cstheme="minorHAnsi"/>
          <w:sz w:val="24"/>
          <w:szCs w:val="24"/>
        </w:rPr>
        <w:t xml:space="preserve"> where </w:t>
      </w:r>
      <w:r w:rsidR="00AF2913" w:rsidRPr="003B44D7">
        <w:rPr>
          <w:rFonts w:cstheme="minorHAnsi"/>
          <w:sz w:val="24"/>
          <w:szCs w:val="24"/>
        </w:rPr>
        <w:t xml:space="preserve">the involvement </w:t>
      </w:r>
      <w:r w:rsidR="005D23B9" w:rsidRPr="003B44D7">
        <w:rPr>
          <w:rFonts w:cstheme="minorHAnsi"/>
          <w:sz w:val="24"/>
          <w:szCs w:val="24"/>
        </w:rPr>
        <w:t xml:space="preserve">of </w:t>
      </w:r>
      <w:r w:rsidR="00620DC4" w:rsidRPr="003B44D7">
        <w:rPr>
          <w:rFonts w:cstheme="minorHAnsi"/>
          <w:sz w:val="24"/>
          <w:szCs w:val="24"/>
        </w:rPr>
        <w:t>government</w:t>
      </w:r>
      <w:r w:rsidR="00AF2913" w:rsidRPr="003B44D7">
        <w:rPr>
          <w:rFonts w:cstheme="minorHAnsi"/>
          <w:sz w:val="24"/>
          <w:szCs w:val="24"/>
        </w:rPr>
        <w:t xml:space="preserve"> irrevocably taint</w:t>
      </w:r>
      <w:r w:rsidR="00F844C2" w:rsidRPr="003B44D7">
        <w:rPr>
          <w:rFonts w:cstheme="minorHAnsi"/>
          <w:sz w:val="24"/>
          <w:szCs w:val="24"/>
        </w:rPr>
        <w:t>s</w:t>
      </w:r>
      <w:r w:rsidR="00AF2913" w:rsidRPr="003B44D7">
        <w:rPr>
          <w:rFonts w:cstheme="minorHAnsi"/>
          <w:sz w:val="24"/>
          <w:szCs w:val="24"/>
        </w:rPr>
        <w:t xml:space="preserve"> an act that would otherwise be considered uncontroversial </w:t>
      </w:r>
      <w:r w:rsidR="00F418FF" w:rsidRPr="003B44D7">
        <w:rPr>
          <w:rFonts w:cstheme="minorHAnsi"/>
          <w:sz w:val="24"/>
          <w:szCs w:val="24"/>
        </w:rPr>
        <w:t xml:space="preserve">or indeed </w:t>
      </w:r>
      <w:r w:rsidR="00AF2913" w:rsidRPr="003B44D7">
        <w:rPr>
          <w:rFonts w:cstheme="minorHAnsi"/>
          <w:sz w:val="24"/>
          <w:szCs w:val="24"/>
        </w:rPr>
        <w:t xml:space="preserve">worthy. </w:t>
      </w:r>
      <w:r w:rsidR="00F418FF" w:rsidRPr="003B44D7">
        <w:rPr>
          <w:rFonts w:cstheme="minorHAnsi"/>
          <w:sz w:val="24"/>
          <w:szCs w:val="24"/>
        </w:rPr>
        <w:t>If</w:t>
      </w:r>
      <w:r w:rsidR="00AF2913" w:rsidRPr="003B44D7">
        <w:rPr>
          <w:rFonts w:cstheme="minorHAnsi"/>
          <w:sz w:val="24"/>
          <w:szCs w:val="24"/>
        </w:rPr>
        <w:t xml:space="preserve"> a </w:t>
      </w:r>
      <w:r w:rsidR="0002202F" w:rsidRPr="003B44D7">
        <w:rPr>
          <w:rFonts w:cstheme="minorHAnsi"/>
          <w:sz w:val="24"/>
          <w:szCs w:val="24"/>
        </w:rPr>
        <w:t>social media</w:t>
      </w:r>
      <w:r w:rsidR="00AF2913" w:rsidRPr="003B44D7">
        <w:rPr>
          <w:rFonts w:cstheme="minorHAnsi"/>
          <w:sz w:val="24"/>
          <w:szCs w:val="24"/>
        </w:rPr>
        <w:t xml:space="preserve"> company </w:t>
      </w:r>
      <w:r w:rsidRPr="003B44D7">
        <w:rPr>
          <w:rFonts w:cstheme="minorHAnsi"/>
          <w:sz w:val="24"/>
          <w:szCs w:val="24"/>
        </w:rPr>
        <w:t>removes</w:t>
      </w:r>
      <w:r w:rsidR="00AF2913" w:rsidRPr="003B44D7">
        <w:rPr>
          <w:rFonts w:cstheme="minorHAnsi"/>
          <w:sz w:val="24"/>
          <w:szCs w:val="24"/>
        </w:rPr>
        <w:t xml:space="preserve"> hate speech</w:t>
      </w:r>
      <w:r w:rsidR="0002202F" w:rsidRPr="003B44D7">
        <w:rPr>
          <w:rFonts w:cstheme="minorHAnsi"/>
          <w:sz w:val="24"/>
          <w:szCs w:val="24"/>
        </w:rPr>
        <w:t xml:space="preserve"> of its own volition, as</w:t>
      </w:r>
      <w:r w:rsidR="0050727D" w:rsidRPr="003B44D7">
        <w:rPr>
          <w:rFonts w:cstheme="minorHAnsi"/>
          <w:sz w:val="24"/>
          <w:szCs w:val="24"/>
        </w:rPr>
        <w:t xml:space="preserve"> many of</w:t>
      </w:r>
      <w:r w:rsidR="0002202F" w:rsidRPr="003B44D7">
        <w:rPr>
          <w:rFonts w:cstheme="minorHAnsi"/>
          <w:sz w:val="24"/>
          <w:szCs w:val="24"/>
        </w:rPr>
        <w:t xml:space="preserve"> the major ones </w:t>
      </w:r>
      <w:r w:rsidR="005C1DE5">
        <w:rPr>
          <w:rFonts w:cstheme="minorHAnsi"/>
          <w:sz w:val="24"/>
          <w:szCs w:val="24"/>
        </w:rPr>
        <w:t>have done for some times</w:t>
      </w:r>
      <w:r w:rsidR="0050727D" w:rsidRPr="003B44D7">
        <w:rPr>
          <w:rFonts w:cstheme="minorHAnsi"/>
          <w:sz w:val="24"/>
          <w:szCs w:val="24"/>
        </w:rPr>
        <w:t xml:space="preserve">, </w:t>
      </w:r>
      <w:proofErr w:type="gramStart"/>
      <w:r w:rsidR="005C1DE5">
        <w:rPr>
          <w:rFonts w:cstheme="minorHAnsi"/>
          <w:sz w:val="24"/>
          <w:szCs w:val="24"/>
        </w:rPr>
        <w:t>e.g.</w:t>
      </w:r>
      <w:proofErr w:type="gramEnd"/>
      <w:r w:rsidR="005C1DE5">
        <w:rPr>
          <w:rFonts w:cstheme="minorHAnsi"/>
          <w:sz w:val="24"/>
          <w:szCs w:val="24"/>
        </w:rPr>
        <w:t xml:space="preserve"> </w:t>
      </w:r>
      <w:r w:rsidR="0002202F" w:rsidRPr="003B44D7">
        <w:rPr>
          <w:rFonts w:cstheme="minorHAnsi"/>
          <w:sz w:val="24"/>
          <w:szCs w:val="24"/>
        </w:rPr>
        <w:t xml:space="preserve">under the </w:t>
      </w:r>
      <w:r w:rsidR="0002202F" w:rsidRPr="003B44D7">
        <w:rPr>
          <w:rFonts w:cstheme="minorHAnsi"/>
          <w:i/>
          <w:iCs/>
          <w:sz w:val="24"/>
          <w:szCs w:val="24"/>
        </w:rPr>
        <w:t>EU Code of Conduct on countering illegal hate speech online</w:t>
      </w:r>
      <w:r w:rsidR="0002202F" w:rsidRPr="003B44D7">
        <w:rPr>
          <w:rFonts w:cstheme="minorHAnsi"/>
          <w:sz w:val="24"/>
          <w:szCs w:val="24"/>
        </w:rPr>
        <w:t xml:space="preserve"> (2016)</w:t>
      </w:r>
      <w:r w:rsidR="0055057B" w:rsidRPr="003B44D7">
        <w:rPr>
          <w:rFonts w:cstheme="minorHAnsi"/>
          <w:sz w:val="24"/>
          <w:szCs w:val="24"/>
        </w:rPr>
        <w:t>,</w:t>
      </w:r>
      <w:r w:rsidR="0002202F" w:rsidRPr="003B44D7">
        <w:rPr>
          <w:rStyle w:val="FootnoteReference"/>
          <w:rFonts w:cstheme="minorHAnsi"/>
          <w:sz w:val="24"/>
          <w:szCs w:val="24"/>
        </w:rPr>
        <w:footnoteReference w:id="43"/>
      </w:r>
      <w:r w:rsidR="00F62A1C" w:rsidRPr="003B44D7">
        <w:rPr>
          <w:rFonts w:cstheme="minorHAnsi"/>
          <w:sz w:val="24"/>
          <w:szCs w:val="24"/>
        </w:rPr>
        <w:t xml:space="preserve"> this is entirely within its rights and in terms of public policy</w:t>
      </w:r>
      <w:r w:rsidR="00F844C2" w:rsidRPr="003B44D7">
        <w:rPr>
          <w:rFonts w:cstheme="minorHAnsi"/>
          <w:sz w:val="24"/>
          <w:szCs w:val="24"/>
        </w:rPr>
        <w:t xml:space="preserve"> often</w:t>
      </w:r>
      <w:r w:rsidR="00F62A1C" w:rsidRPr="003B44D7">
        <w:rPr>
          <w:rFonts w:cstheme="minorHAnsi"/>
          <w:sz w:val="24"/>
          <w:szCs w:val="24"/>
        </w:rPr>
        <w:t xml:space="preserve"> desirable</w:t>
      </w:r>
      <w:r w:rsidR="00620DC4" w:rsidRPr="003B44D7">
        <w:rPr>
          <w:rFonts w:cstheme="minorHAnsi"/>
          <w:sz w:val="24"/>
          <w:szCs w:val="24"/>
        </w:rPr>
        <w:t>. Twitter was applauded when it permanently suspended Donald Trump’s account in early 2021, following various other platforms that limited his activities.</w:t>
      </w:r>
      <w:r w:rsidR="00620DC4" w:rsidRPr="003B44D7">
        <w:rPr>
          <w:rStyle w:val="FootnoteReference"/>
          <w:rFonts w:cstheme="minorHAnsi"/>
          <w:sz w:val="24"/>
          <w:szCs w:val="24"/>
        </w:rPr>
        <w:footnoteReference w:id="44"/>
      </w:r>
      <w:r w:rsidR="00620DC4" w:rsidRPr="003B44D7">
        <w:rPr>
          <w:rFonts w:cstheme="minorHAnsi"/>
          <w:sz w:val="24"/>
          <w:szCs w:val="24"/>
        </w:rPr>
        <w:t xml:space="preserve"> If</w:t>
      </w:r>
      <w:r w:rsidRPr="003B44D7">
        <w:rPr>
          <w:rFonts w:cstheme="minorHAnsi"/>
          <w:sz w:val="24"/>
          <w:szCs w:val="24"/>
        </w:rPr>
        <w:t>,</w:t>
      </w:r>
      <w:r w:rsidR="00016B15" w:rsidRPr="003B44D7">
        <w:rPr>
          <w:rFonts w:cstheme="minorHAnsi"/>
          <w:sz w:val="24"/>
          <w:szCs w:val="24"/>
        </w:rPr>
        <w:t xml:space="preserve"> however, </w:t>
      </w:r>
      <w:r w:rsidR="00620DC4" w:rsidRPr="003B44D7">
        <w:rPr>
          <w:rFonts w:cstheme="minorHAnsi"/>
          <w:sz w:val="24"/>
          <w:szCs w:val="24"/>
        </w:rPr>
        <w:t>that</w:t>
      </w:r>
      <w:r w:rsidR="00FC626B" w:rsidRPr="003B44D7">
        <w:rPr>
          <w:rFonts w:cstheme="minorHAnsi"/>
          <w:sz w:val="24"/>
          <w:szCs w:val="24"/>
        </w:rPr>
        <w:t xml:space="preserve"> </w:t>
      </w:r>
      <w:r w:rsidRPr="003B44D7">
        <w:rPr>
          <w:rFonts w:cstheme="minorHAnsi"/>
          <w:sz w:val="24"/>
          <w:szCs w:val="24"/>
        </w:rPr>
        <w:t xml:space="preserve">removal had been </w:t>
      </w:r>
      <w:r w:rsidR="0050727D" w:rsidRPr="003B44D7">
        <w:rPr>
          <w:rFonts w:cstheme="minorHAnsi"/>
          <w:sz w:val="24"/>
          <w:szCs w:val="24"/>
        </w:rPr>
        <w:t xml:space="preserve">demanded </w:t>
      </w:r>
      <w:r w:rsidRPr="003B44D7">
        <w:rPr>
          <w:rFonts w:cstheme="minorHAnsi"/>
          <w:sz w:val="24"/>
          <w:szCs w:val="24"/>
        </w:rPr>
        <w:t>by</w:t>
      </w:r>
      <w:r w:rsidR="00F62A1C" w:rsidRPr="003B44D7">
        <w:rPr>
          <w:rFonts w:cstheme="minorHAnsi"/>
          <w:sz w:val="24"/>
          <w:szCs w:val="24"/>
        </w:rPr>
        <w:t xml:space="preserve"> </w:t>
      </w:r>
      <w:r w:rsidR="00620DC4" w:rsidRPr="003B44D7">
        <w:rPr>
          <w:rFonts w:cstheme="minorHAnsi"/>
          <w:sz w:val="24"/>
          <w:szCs w:val="24"/>
        </w:rPr>
        <w:t>government</w:t>
      </w:r>
      <w:r w:rsidR="00016B15" w:rsidRPr="003B44D7">
        <w:rPr>
          <w:rFonts w:cstheme="minorHAnsi"/>
          <w:sz w:val="24"/>
          <w:szCs w:val="24"/>
        </w:rPr>
        <w:t xml:space="preserve">, </w:t>
      </w:r>
      <w:r w:rsidR="00620DC4" w:rsidRPr="003B44D7">
        <w:rPr>
          <w:rFonts w:cstheme="minorHAnsi"/>
          <w:sz w:val="24"/>
          <w:szCs w:val="24"/>
        </w:rPr>
        <w:t>it</w:t>
      </w:r>
      <w:r w:rsidR="00F61306" w:rsidRPr="003B44D7">
        <w:rPr>
          <w:rFonts w:cstheme="minorHAnsi"/>
          <w:sz w:val="24"/>
          <w:szCs w:val="24"/>
        </w:rPr>
        <w:t xml:space="preserve"> would</w:t>
      </w:r>
      <w:r w:rsidR="00016B15" w:rsidRPr="003B44D7">
        <w:rPr>
          <w:rFonts w:cstheme="minorHAnsi"/>
          <w:sz w:val="24"/>
          <w:szCs w:val="24"/>
        </w:rPr>
        <w:t xml:space="preserve"> </w:t>
      </w:r>
      <w:r w:rsidRPr="003B44D7">
        <w:rPr>
          <w:rFonts w:cstheme="minorHAnsi"/>
          <w:sz w:val="24"/>
          <w:szCs w:val="24"/>
        </w:rPr>
        <w:t xml:space="preserve">have </w:t>
      </w:r>
      <w:r w:rsidR="00016B15" w:rsidRPr="003B44D7">
        <w:rPr>
          <w:rFonts w:cstheme="minorHAnsi"/>
          <w:sz w:val="24"/>
          <w:szCs w:val="24"/>
        </w:rPr>
        <w:t>be</w:t>
      </w:r>
      <w:r w:rsidRPr="003B44D7">
        <w:rPr>
          <w:rFonts w:cstheme="minorHAnsi"/>
          <w:sz w:val="24"/>
          <w:szCs w:val="24"/>
        </w:rPr>
        <w:t>en</w:t>
      </w:r>
      <w:r w:rsidR="00016B15" w:rsidRPr="003B44D7">
        <w:rPr>
          <w:rFonts w:cstheme="minorHAnsi"/>
          <w:sz w:val="24"/>
          <w:szCs w:val="24"/>
        </w:rPr>
        <w:t xml:space="preserve"> considered</w:t>
      </w:r>
      <w:r w:rsidR="000026F6" w:rsidRPr="003B44D7">
        <w:rPr>
          <w:rFonts w:cstheme="minorHAnsi"/>
          <w:sz w:val="24"/>
          <w:szCs w:val="24"/>
        </w:rPr>
        <w:t xml:space="preserve"> </w:t>
      </w:r>
      <w:r w:rsidR="00F844C2" w:rsidRPr="003B44D7">
        <w:rPr>
          <w:rFonts w:cstheme="minorHAnsi"/>
          <w:sz w:val="24"/>
          <w:szCs w:val="24"/>
        </w:rPr>
        <w:t>a</w:t>
      </w:r>
      <w:r w:rsidRPr="003B44D7">
        <w:rPr>
          <w:rFonts w:cstheme="minorHAnsi"/>
          <w:sz w:val="24"/>
          <w:szCs w:val="24"/>
        </w:rPr>
        <w:t>n intolerable</w:t>
      </w:r>
      <w:r w:rsidR="00F844C2" w:rsidRPr="003B44D7">
        <w:rPr>
          <w:rFonts w:cstheme="minorHAnsi"/>
          <w:sz w:val="24"/>
          <w:szCs w:val="24"/>
        </w:rPr>
        <w:t xml:space="preserve"> threat to the f</w:t>
      </w:r>
      <w:r w:rsidR="00AF2913" w:rsidRPr="003B44D7">
        <w:rPr>
          <w:rFonts w:cstheme="minorHAnsi"/>
          <w:sz w:val="24"/>
          <w:szCs w:val="24"/>
        </w:rPr>
        <w:t>ree</w:t>
      </w:r>
      <w:r w:rsidR="00F844C2" w:rsidRPr="003B44D7">
        <w:rPr>
          <w:rFonts w:cstheme="minorHAnsi"/>
          <w:sz w:val="24"/>
          <w:szCs w:val="24"/>
        </w:rPr>
        <w:t>dom of</w:t>
      </w:r>
      <w:r w:rsidR="00130DEC" w:rsidRPr="003B44D7">
        <w:rPr>
          <w:rFonts w:cstheme="minorHAnsi"/>
          <w:sz w:val="24"/>
          <w:szCs w:val="24"/>
        </w:rPr>
        <w:t xml:space="preserve"> citizens </w:t>
      </w:r>
      <w:r w:rsidR="00F418FF" w:rsidRPr="003B44D7">
        <w:rPr>
          <w:rFonts w:cstheme="minorHAnsi"/>
          <w:sz w:val="24"/>
          <w:szCs w:val="24"/>
        </w:rPr>
        <w:t>and</w:t>
      </w:r>
      <w:r w:rsidR="00016B15" w:rsidRPr="003B44D7">
        <w:rPr>
          <w:rFonts w:cstheme="minorHAnsi"/>
          <w:sz w:val="24"/>
          <w:szCs w:val="24"/>
        </w:rPr>
        <w:t xml:space="preserve"> be</w:t>
      </w:r>
      <w:r w:rsidR="00F418FF" w:rsidRPr="003B44D7">
        <w:rPr>
          <w:rFonts w:cstheme="minorHAnsi"/>
          <w:sz w:val="24"/>
          <w:szCs w:val="24"/>
        </w:rPr>
        <w:t xml:space="preserve"> struck down as unconstitutional.</w:t>
      </w:r>
    </w:p>
    <w:p w14:paraId="715E0675" w14:textId="77777777" w:rsidR="00AF2913" w:rsidRPr="003B44D7" w:rsidRDefault="00AF2913" w:rsidP="004E7EB4">
      <w:pPr>
        <w:autoSpaceDE w:val="0"/>
        <w:autoSpaceDN w:val="0"/>
        <w:adjustRightInd w:val="0"/>
        <w:spacing w:after="0" w:line="240" w:lineRule="auto"/>
        <w:jc w:val="both"/>
        <w:rPr>
          <w:rFonts w:cstheme="minorHAnsi"/>
          <w:sz w:val="24"/>
          <w:szCs w:val="24"/>
        </w:rPr>
      </w:pPr>
    </w:p>
    <w:p w14:paraId="3F2ABA3A" w14:textId="77777777" w:rsidR="00A51669" w:rsidRPr="003B44D7" w:rsidRDefault="00F62A1C" w:rsidP="004E7EB4">
      <w:pPr>
        <w:autoSpaceDE w:val="0"/>
        <w:autoSpaceDN w:val="0"/>
        <w:adjustRightInd w:val="0"/>
        <w:spacing w:after="0" w:line="240" w:lineRule="auto"/>
        <w:jc w:val="both"/>
        <w:rPr>
          <w:rFonts w:cstheme="minorHAnsi"/>
          <w:sz w:val="24"/>
          <w:szCs w:val="24"/>
        </w:rPr>
      </w:pPr>
      <w:r w:rsidRPr="003B44D7">
        <w:rPr>
          <w:rFonts w:cstheme="minorHAnsi"/>
          <w:sz w:val="24"/>
          <w:szCs w:val="24"/>
        </w:rPr>
        <w:t>The American preoccupation</w:t>
      </w:r>
      <w:r w:rsidR="0055057B" w:rsidRPr="003B44D7">
        <w:rPr>
          <w:rFonts w:cstheme="minorHAnsi"/>
          <w:sz w:val="24"/>
          <w:szCs w:val="24"/>
        </w:rPr>
        <w:t xml:space="preserve"> with the State as the primary threat to free speech</w:t>
      </w:r>
      <w:r w:rsidR="000026F6" w:rsidRPr="003B44D7">
        <w:rPr>
          <w:rFonts w:cstheme="minorHAnsi"/>
          <w:sz w:val="24"/>
          <w:szCs w:val="24"/>
        </w:rPr>
        <w:t xml:space="preserve"> </w:t>
      </w:r>
      <w:r w:rsidR="0055057B" w:rsidRPr="003B44D7">
        <w:rPr>
          <w:rFonts w:cstheme="minorHAnsi"/>
          <w:sz w:val="24"/>
          <w:szCs w:val="24"/>
        </w:rPr>
        <w:t xml:space="preserve">is </w:t>
      </w:r>
      <w:r w:rsidR="00352F2A" w:rsidRPr="003B44D7">
        <w:rPr>
          <w:rFonts w:cstheme="minorHAnsi"/>
          <w:sz w:val="24"/>
          <w:szCs w:val="24"/>
        </w:rPr>
        <w:t xml:space="preserve">legally </w:t>
      </w:r>
      <w:r w:rsidR="0055057B" w:rsidRPr="003B44D7">
        <w:rPr>
          <w:rFonts w:cstheme="minorHAnsi"/>
          <w:sz w:val="24"/>
          <w:szCs w:val="24"/>
        </w:rPr>
        <w:t xml:space="preserve">anchored </w:t>
      </w:r>
      <w:r w:rsidR="00E159AB" w:rsidRPr="003B44D7">
        <w:rPr>
          <w:rFonts w:cstheme="minorHAnsi"/>
          <w:sz w:val="24"/>
          <w:szCs w:val="24"/>
        </w:rPr>
        <w:t>in</w:t>
      </w:r>
      <w:r w:rsidR="0055057B" w:rsidRPr="003B44D7">
        <w:rPr>
          <w:rFonts w:cstheme="minorHAnsi"/>
          <w:sz w:val="24"/>
          <w:szCs w:val="24"/>
        </w:rPr>
        <w:t xml:space="preserve"> </w:t>
      </w:r>
      <w:r w:rsidR="00352F2A" w:rsidRPr="003B44D7">
        <w:rPr>
          <w:rFonts w:cstheme="minorHAnsi"/>
          <w:sz w:val="24"/>
          <w:szCs w:val="24"/>
        </w:rPr>
        <w:t>the</w:t>
      </w:r>
      <w:r w:rsidR="0055057B" w:rsidRPr="003B44D7">
        <w:rPr>
          <w:rFonts w:cstheme="minorHAnsi"/>
          <w:sz w:val="24"/>
          <w:szCs w:val="24"/>
        </w:rPr>
        <w:t xml:space="preserve"> First Amendment</w:t>
      </w:r>
      <w:r w:rsidR="00352F2A" w:rsidRPr="003B44D7">
        <w:rPr>
          <w:rFonts w:cstheme="minorHAnsi"/>
          <w:sz w:val="24"/>
          <w:szCs w:val="24"/>
        </w:rPr>
        <w:t xml:space="preserve"> which</w:t>
      </w:r>
      <w:r w:rsidR="00F844C2" w:rsidRPr="003B44D7">
        <w:rPr>
          <w:rFonts w:cstheme="minorHAnsi"/>
          <w:sz w:val="24"/>
          <w:szCs w:val="24"/>
        </w:rPr>
        <w:t xml:space="preserve"> shields </w:t>
      </w:r>
      <w:r w:rsidR="00352F2A" w:rsidRPr="003B44D7">
        <w:rPr>
          <w:rFonts w:cstheme="minorHAnsi"/>
          <w:sz w:val="24"/>
          <w:szCs w:val="24"/>
        </w:rPr>
        <w:t>speech</w:t>
      </w:r>
      <w:r w:rsidR="00F844C2" w:rsidRPr="003B44D7">
        <w:rPr>
          <w:rFonts w:cstheme="minorHAnsi"/>
          <w:sz w:val="24"/>
          <w:szCs w:val="24"/>
        </w:rPr>
        <w:t xml:space="preserve"> from </w:t>
      </w:r>
      <w:r w:rsidR="008B22A8" w:rsidRPr="003B44D7">
        <w:rPr>
          <w:rFonts w:cstheme="minorHAnsi"/>
          <w:sz w:val="24"/>
          <w:szCs w:val="24"/>
        </w:rPr>
        <w:t>governmental</w:t>
      </w:r>
      <w:r w:rsidR="00F844C2" w:rsidRPr="003B44D7">
        <w:rPr>
          <w:rFonts w:cstheme="minorHAnsi"/>
          <w:sz w:val="24"/>
          <w:szCs w:val="24"/>
        </w:rPr>
        <w:t xml:space="preserve"> interventions in absolutist terms</w:t>
      </w:r>
      <w:r w:rsidR="000026F6" w:rsidRPr="003B44D7">
        <w:rPr>
          <w:rFonts w:cstheme="minorHAnsi"/>
          <w:sz w:val="24"/>
          <w:szCs w:val="24"/>
        </w:rPr>
        <w:t xml:space="preserve">, </w:t>
      </w:r>
      <w:r w:rsidR="00E15E94" w:rsidRPr="003B44D7">
        <w:rPr>
          <w:rFonts w:cstheme="minorHAnsi"/>
          <w:sz w:val="24"/>
          <w:szCs w:val="24"/>
        </w:rPr>
        <w:t>that is</w:t>
      </w:r>
      <w:r w:rsidR="00352F2A" w:rsidRPr="003B44D7">
        <w:rPr>
          <w:rFonts w:cstheme="minorHAnsi"/>
          <w:sz w:val="24"/>
          <w:szCs w:val="24"/>
        </w:rPr>
        <w:t xml:space="preserve"> </w:t>
      </w:r>
      <w:r w:rsidR="00F844C2" w:rsidRPr="003B44D7">
        <w:rPr>
          <w:rFonts w:cstheme="minorHAnsi"/>
          <w:sz w:val="24"/>
          <w:szCs w:val="24"/>
        </w:rPr>
        <w:t>without exception</w:t>
      </w:r>
      <w:r w:rsidR="00130DEC" w:rsidRPr="003B44D7">
        <w:rPr>
          <w:rFonts w:cstheme="minorHAnsi"/>
          <w:sz w:val="24"/>
          <w:szCs w:val="24"/>
        </w:rPr>
        <w:t>s</w:t>
      </w:r>
      <w:r w:rsidR="009A115A" w:rsidRPr="003B44D7">
        <w:rPr>
          <w:rStyle w:val="FootnoteReference"/>
          <w:rFonts w:cstheme="minorHAnsi"/>
          <w:sz w:val="24"/>
          <w:szCs w:val="24"/>
        </w:rPr>
        <w:footnoteReference w:id="45"/>
      </w:r>
      <w:r w:rsidR="0096329C" w:rsidRPr="003B44D7">
        <w:rPr>
          <w:rStyle w:val="hgkelc"/>
          <w:rFonts w:cstheme="minorHAnsi"/>
          <w:sz w:val="24"/>
          <w:szCs w:val="24"/>
        </w:rPr>
        <w:t xml:space="preserve"> </w:t>
      </w:r>
      <w:r w:rsidR="00130DEC" w:rsidRPr="003B44D7">
        <w:rPr>
          <w:rStyle w:val="hgkelc"/>
          <w:rFonts w:cstheme="minorHAnsi"/>
          <w:sz w:val="24"/>
          <w:szCs w:val="24"/>
        </w:rPr>
        <w:t xml:space="preserve">- </w:t>
      </w:r>
      <w:r w:rsidR="00013643" w:rsidRPr="003B44D7">
        <w:rPr>
          <w:rStyle w:val="hgkelc"/>
          <w:rFonts w:cstheme="minorHAnsi"/>
          <w:sz w:val="24"/>
          <w:szCs w:val="24"/>
        </w:rPr>
        <w:t xml:space="preserve">underwritten </w:t>
      </w:r>
      <w:r w:rsidR="004867F3" w:rsidRPr="003B44D7">
        <w:rPr>
          <w:rStyle w:val="hgkelc"/>
          <w:rFonts w:cstheme="minorHAnsi"/>
          <w:sz w:val="24"/>
          <w:szCs w:val="24"/>
        </w:rPr>
        <w:t>by</w:t>
      </w:r>
      <w:r w:rsidR="008B22A8" w:rsidRPr="003B44D7">
        <w:rPr>
          <w:rStyle w:val="hgkelc"/>
          <w:rFonts w:cstheme="minorHAnsi"/>
          <w:sz w:val="24"/>
          <w:szCs w:val="24"/>
        </w:rPr>
        <w:t xml:space="preserve"> the value of</w:t>
      </w:r>
      <w:r w:rsidR="00352F2A" w:rsidRPr="003B44D7">
        <w:rPr>
          <w:rStyle w:val="hgkelc"/>
          <w:rFonts w:cstheme="minorHAnsi"/>
          <w:sz w:val="24"/>
          <w:szCs w:val="24"/>
        </w:rPr>
        <w:t xml:space="preserve"> </w:t>
      </w:r>
      <w:r w:rsidR="00620DC4" w:rsidRPr="003B44D7">
        <w:rPr>
          <w:rStyle w:val="hgkelc"/>
          <w:rFonts w:cstheme="minorHAnsi"/>
          <w:sz w:val="24"/>
          <w:szCs w:val="24"/>
        </w:rPr>
        <w:t>liberty, or</w:t>
      </w:r>
      <w:r w:rsidR="00013643" w:rsidRPr="003B44D7">
        <w:rPr>
          <w:rStyle w:val="hgkelc"/>
          <w:rFonts w:cstheme="minorHAnsi"/>
          <w:sz w:val="24"/>
          <w:szCs w:val="24"/>
        </w:rPr>
        <w:t xml:space="preserve"> </w:t>
      </w:r>
      <w:r w:rsidR="00620DC4" w:rsidRPr="003B44D7">
        <w:rPr>
          <w:rStyle w:val="hgkelc"/>
          <w:rFonts w:cstheme="minorHAnsi"/>
          <w:sz w:val="24"/>
          <w:szCs w:val="24"/>
        </w:rPr>
        <w:t xml:space="preserve">freedom </w:t>
      </w:r>
      <w:r w:rsidR="00620DC4" w:rsidRPr="003B44D7">
        <w:rPr>
          <w:rStyle w:val="hgkelc"/>
          <w:rFonts w:cstheme="minorHAnsi"/>
          <w:i/>
          <w:sz w:val="24"/>
          <w:szCs w:val="24"/>
        </w:rPr>
        <w:t>from</w:t>
      </w:r>
      <w:r w:rsidR="00620DC4" w:rsidRPr="003B44D7">
        <w:rPr>
          <w:rStyle w:val="hgkelc"/>
          <w:rFonts w:cstheme="minorHAnsi"/>
          <w:sz w:val="24"/>
          <w:szCs w:val="24"/>
        </w:rPr>
        <w:t xml:space="preserve"> the State</w:t>
      </w:r>
      <w:r w:rsidR="00E54854" w:rsidRPr="003B44D7">
        <w:rPr>
          <w:rStyle w:val="hgkelc"/>
          <w:rFonts w:cstheme="minorHAnsi"/>
          <w:sz w:val="24"/>
          <w:szCs w:val="24"/>
        </w:rPr>
        <w:t xml:space="preserve">. </w:t>
      </w:r>
      <w:r w:rsidR="004867F3" w:rsidRPr="003B44D7">
        <w:rPr>
          <w:rFonts w:cstheme="minorHAnsi"/>
          <w:sz w:val="24"/>
          <w:szCs w:val="24"/>
        </w:rPr>
        <w:t>Although</w:t>
      </w:r>
      <w:r w:rsidR="00E15E94" w:rsidRPr="003B44D7">
        <w:rPr>
          <w:rFonts w:cstheme="minorHAnsi"/>
          <w:sz w:val="24"/>
          <w:szCs w:val="24"/>
        </w:rPr>
        <w:t xml:space="preserve"> t</w:t>
      </w:r>
      <w:r w:rsidR="00F844C2" w:rsidRPr="003B44D7">
        <w:rPr>
          <w:rFonts w:cstheme="minorHAnsi"/>
          <w:sz w:val="24"/>
          <w:szCs w:val="24"/>
        </w:rPr>
        <w:t xml:space="preserve">he </w:t>
      </w:r>
      <w:r w:rsidR="00F61306" w:rsidRPr="003B44D7">
        <w:rPr>
          <w:rFonts w:cstheme="minorHAnsi"/>
          <w:sz w:val="24"/>
          <w:szCs w:val="24"/>
        </w:rPr>
        <w:t>First Amendment (1791</w:t>
      </w:r>
      <w:r w:rsidR="00340743" w:rsidRPr="003B44D7">
        <w:rPr>
          <w:rFonts w:cstheme="minorHAnsi"/>
          <w:sz w:val="24"/>
          <w:szCs w:val="24"/>
        </w:rPr>
        <w:t xml:space="preserve">) only emerged in its present </w:t>
      </w:r>
      <w:r w:rsidR="00340743" w:rsidRPr="003B44D7">
        <w:rPr>
          <w:rFonts w:cstheme="minorHAnsi"/>
          <w:sz w:val="24"/>
          <w:szCs w:val="24"/>
        </w:rPr>
        <w:lastRenderedPageBreak/>
        <w:t xml:space="preserve">absolutist </w:t>
      </w:r>
      <w:r w:rsidR="0068729E" w:rsidRPr="003B44D7">
        <w:rPr>
          <w:rFonts w:cstheme="minorHAnsi"/>
          <w:sz w:val="24"/>
          <w:szCs w:val="24"/>
        </w:rPr>
        <w:t>interpretation</w:t>
      </w:r>
      <w:r w:rsidR="000A1EDD" w:rsidRPr="003B44D7">
        <w:rPr>
          <w:rFonts w:cstheme="minorHAnsi"/>
          <w:sz w:val="24"/>
          <w:szCs w:val="24"/>
        </w:rPr>
        <w:t xml:space="preserve"> </w:t>
      </w:r>
      <w:r w:rsidR="006B773B" w:rsidRPr="003B44D7">
        <w:rPr>
          <w:rFonts w:cstheme="minorHAnsi"/>
          <w:sz w:val="24"/>
          <w:szCs w:val="24"/>
        </w:rPr>
        <w:t>in</w:t>
      </w:r>
      <w:r w:rsidR="00340743" w:rsidRPr="003B44D7">
        <w:rPr>
          <w:rFonts w:cstheme="minorHAnsi"/>
          <w:sz w:val="24"/>
          <w:szCs w:val="24"/>
        </w:rPr>
        <w:t xml:space="preserve"> </w:t>
      </w:r>
      <w:r w:rsidR="00520713" w:rsidRPr="003B44D7">
        <w:rPr>
          <w:rFonts w:cstheme="minorHAnsi"/>
          <w:sz w:val="24"/>
          <w:szCs w:val="24"/>
        </w:rPr>
        <w:t xml:space="preserve">the second half of the </w:t>
      </w:r>
      <w:r w:rsidR="00340743" w:rsidRPr="003B44D7">
        <w:rPr>
          <w:rFonts w:cstheme="minorHAnsi"/>
          <w:sz w:val="24"/>
          <w:szCs w:val="24"/>
        </w:rPr>
        <w:t>20</w:t>
      </w:r>
      <w:r w:rsidR="00340743" w:rsidRPr="003B44D7">
        <w:rPr>
          <w:rFonts w:cstheme="minorHAnsi"/>
          <w:sz w:val="24"/>
          <w:szCs w:val="24"/>
          <w:vertAlign w:val="superscript"/>
        </w:rPr>
        <w:t>th</w:t>
      </w:r>
      <w:r w:rsidR="00340743" w:rsidRPr="003B44D7">
        <w:rPr>
          <w:rFonts w:cstheme="minorHAnsi"/>
          <w:sz w:val="24"/>
          <w:szCs w:val="24"/>
        </w:rPr>
        <w:t xml:space="preserve"> century with cases </w:t>
      </w:r>
      <w:r w:rsidR="00E15E94" w:rsidRPr="003B44D7">
        <w:rPr>
          <w:rFonts w:cstheme="minorHAnsi"/>
          <w:sz w:val="24"/>
          <w:szCs w:val="24"/>
        </w:rPr>
        <w:t xml:space="preserve">like </w:t>
      </w:r>
      <w:r w:rsidR="00E15E94" w:rsidRPr="003B44D7">
        <w:rPr>
          <w:rFonts w:cstheme="minorHAnsi"/>
          <w:i/>
          <w:sz w:val="24"/>
          <w:szCs w:val="24"/>
        </w:rPr>
        <w:t>B</w:t>
      </w:r>
      <w:r w:rsidR="00A51669" w:rsidRPr="003B44D7">
        <w:rPr>
          <w:rFonts w:cstheme="minorHAnsi"/>
          <w:i/>
          <w:sz w:val="24"/>
          <w:szCs w:val="24"/>
        </w:rPr>
        <w:t>r</w:t>
      </w:r>
      <w:r w:rsidR="00E15E94" w:rsidRPr="003B44D7">
        <w:rPr>
          <w:rFonts w:cstheme="minorHAnsi"/>
          <w:i/>
          <w:sz w:val="24"/>
          <w:szCs w:val="24"/>
        </w:rPr>
        <w:t>a</w:t>
      </w:r>
      <w:r w:rsidR="00A51669" w:rsidRPr="003B44D7">
        <w:rPr>
          <w:rFonts w:cstheme="minorHAnsi"/>
          <w:i/>
          <w:sz w:val="24"/>
          <w:szCs w:val="24"/>
        </w:rPr>
        <w:t>ndenburg v Ohio</w:t>
      </w:r>
      <w:r w:rsidR="00A51669" w:rsidRPr="003B44D7">
        <w:rPr>
          <w:rFonts w:cstheme="minorHAnsi"/>
          <w:sz w:val="24"/>
          <w:szCs w:val="24"/>
        </w:rPr>
        <w:t xml:space="preserve"> </w:t>
      </w:r>
      <w:r w:rsidR="00F61306" w:rsidRPr="003B44D7">
        <w:rPr>
          <w:rFonts w:cstheme="minorHAnsi"/>
          <w:sz w:val="24"/>
          <w:szCs w:val="24"/>
        </w:rPr>
        <w:t>(1969)</w:t>
      </w:r>
      <w:r w:rsidR="00F844C2" w:rsidRPr="003B44D7">
        <w:rPr>
          <w:rStyle w:val="FootnoteReference"/>
          <w:rFonts w:cstheme="minorHAnsi"/>
          <w:sz w:val="24"/>
          <w:szCs w:val="24"/>
        </w:rPr>
        <w:footnoteReference w:id="46"/>
      </w:r>
      <w:r w:rsidR="00F844C2" w:rsidRPr="003B44D7">
        <w:rPr>
          <w:rFonts w:cstheme="minorHAnsi"/>
          <w:sz w:val="24"/>
          <w:szCs w:val="24"/>
        </w:rPr>
        <w:t xml:space="preserve"> </w:t>
      </w:r>
      <w:r w:rsidR="00F61306" w:rsidRPr="003B44D7">
        <w:rPr>
          <w:rFonts w:cstheme="minorHAnsi"/>
          <w:sz w:val="24"/>
          <w:szCs w:val="24"/>
        </w:rPr>
        <w:t>and</w:t>
      </w:r>
      <w:r w:rsidR="00A51669" w:rsidRPr="003B44D7">
        <w:rPr>
          <w:rFonts w:cstheme="minorHAnsi"/>
          <w:sz w:val="24"/>
          <w:szCs w:val="24"/>
        </w:rPr>
        <w:t xml:space="preserve"> </w:t>
      </w:r>
      <w:r w:rsidR="00A51669" w:rsidRPr="003B44D7">
        <w:rPr>
          <w:rFonts w:cstheme="minorHAnsi"/>
          <w:i/>
          <w:sz w:val="24"/>
          <w:szCs w:val="24"/>
        </w:rPr>
        <w:t>New York Times v Sullivan</w:t>
      </w:r>
      <w:r w:rsidR="00F61306" w:rsidRPr="003B44D7">
        <w:rPr>
          <w:rFonts w:cstheme="minorHAnsi"/>
          <w:i/>
          <w:sz w:val="24"/>
          <w:szCs w:val="24"/>
        </w:rPr>
        <w:t xml:space="preserve"> </w:t>
      </w:r>
      <w:r w:rsidR="00F61306" w:rsidRPr="003B44D7">
        <w:rPr>
          <w:rFonts w:cstheme="minorHAnsi"/>
          <w:sz w:val="24"/>
          <w:szCs w:val="24"/>
        </w:rPr>
        <w:t>(1964)</w:t>
      </w:r>
      <w:r w:rsidR="004867F3" w:rsidRPr="003B44D7">
        <w:rPr>
          <w:rFonts w:cstheme="minorHAnsi"/>
          <w:sz w:val="24"/>
          <w:szCs w:val="24"/>
        </w:rPr>
        <w:t>,</w:t>
      </w:r>
      <w:r w:rsidR="00A51669" w:rsidRPr="003B44D7">
        <w:rPr>
          <w:rStyle w:val="FootnoteReference"/>
          <w:rFonts w:cstheme="minorHAnsi"/>
          <w:sz w:val="24"/>
          <w:szCs w:val="24"/>
        </w:rPr>
        <w:footnoteReference w:id="47"/>
      </w:r>
      <w:r w:rsidR="00F844C2" w:rsidRPr="003B44D7">
        <w:rPr>
          <w:rFonts w:cstheme="minorHAnsi"/>
          <w:sz w:val="24"/>
          <w:szCs w:val="24"/>
        </w:rPr>
        <w:t xml:space="preserve"> </w:t>
      </w:r>
      <w:r w:rsidR="004867F3" w:rsidRPr="003B44D7">
        <w:rPr>
          <w:rFonts w:cstheme="minorHAnsi"/>
          <w:sz w:val="24"/>
          <w:szCs w:val="24"/>
        </w:rPr>
        <w:t>it is American settler history</w:t>
      </w:r>
      <w:r w:rsidR="00352F2A" w:rsidRPr="003B44D7">
        <w:rPr>
          <w:rFonts w:cstheme="minorHAnsi"/>
          <w:sz w:val="24"/>
          <w:szCs w:val="24"/>
        </w:rPr>
        <w:t xml:space="preserve"> and </w:t>
      </w:r>
      <w:r w:rsidR="00F844C2" w:rsidRPr="003B44D7">
        <w:rPr>
          <w:rFonts w:cstheme="minorHAnsi"/>
          <w:sz w:val="24"/>
          <w:szCs w:val="24"/>
        </w:rPr>
        <w:t>the</w:t>
      </w:r>
      <w:r w:rsidR="005C22AB" w:rsidRPr="003B44D7">
        <w:rPr>
          <w:rFonts w:cstheme="minorHAnsi"/>
          <w:sz w:val="24"/>
          <w:szCs w:val="24"/>
        </w:rPr>
        <w:t xml:space="preserve"> national</w:t>
      </w:r>
      <w:r w:rsidR="00F844C2" w:rsidRPr="003B44D7">
        <w:rPr>
          <w:rFonts w:cstheme="minorHAnsi"/>
          <w:sz w:val="24"/>
          <w:szCs w:val="24"/>
        </w:rPr>
        <w:t xml:space="preserve"> mythology surrounding </w:t>
      </w:r>
      <w:r w:rsidR="00E15E94" w:rsidRPr="003B44D7">
        <w:rPr>
          <w:rFonts w:cstheme="minorHAnsi"/>
          <w:sz w:val="24"/>
          <w:szCs w:val="24"/>
        </w:rPr>
        <w:t>it that</w:t>
      </w:r>
      <w:r w:rsidR="00F844C2" w:rsidRPr="003B44D7">
        <w:rPr>
          <w:rFonts w:cstheme="minorHAnsi"/>
          <w:sz w:val="24"/>
          <w:szCs w:val="24"/>
        </w:rPr>
        <w:t xml:space="preserve"> these cases</w:t>
      </w:r>
      <w:r w:rsidR="00E15E94" w:rsidRPr="003B44D7">
        <w:rPr>
          <w:rFonts w:cstheme="minorHAnsi"/>
          <w:sz w:val="24"/>
          <w:szCs w:val="24"/>
        </w:rPr>
        <w:t xml:space="preserve"> reflect,</w:t>
      </w:r>
      <w:r w:rsidR="00F844C2" w:rsidRPr="003B44D7">
        <w:rPr>
          <w:rFonts w:cstheme="minorHAnsi"/>
          <w:sz w:val="24"/>
          <w:szCs w:val="24"/>
        </w:rPr>
        <w:t xml:space="preserve"> </w:t>
      </w:r>
      <w:proofErr w:type="gramStart"/>
      <w:r w:rsidR="00F844C2" w:rsidRPr="003B44D7">
        <w:rPr>
          <w:rFonts w:cstheme="minorHAnsi"/>
          <w:sz w:val="24"/>
          <w:szCs w:val="24"/>
        </w:rPr>
        <w:t>celebrate</w:t>
      </w:r>
      <w:proofErr w:type="gramEnd"/>
      <w:r w:rsidR="00E15E94" w:rsidRPr="003B44D7">
        <w:rPr>
          <w:rFonts w:cstheme="minorHAnsi"/>
          <w:sz w:val="24"/>
          <w:szCs w:val="24"/>
        </w:rPr>
        <w:t xml:space="preserve"> and reinforce</w:t>
      </w:r>
      <w:r w:rsidR="00F844C2" w:rsidRPr="003B44D7">
        <w:rPr>
          <w:rFonts w:cstheme="minorHAnsi"/>
          <w:sz w:val="24"/>
          <w:szCs w:val="24"/>
        </w:rPr>
        <w:t>.</w:t>
      </w:r>
      <w:r w:rsidR="000A1EDD" w:rsidRPr="003B44D7">
        <w:rPr>
          <w:rFonts w:cstheme="minorHAnsi"/>
          <w:sz w:val="24"/>
          <w:szCs w:val="24"/>
        </w:rPr>
        <w:t xml:space="preserve"> </w:t>
      </w:r>
      <w:r w:rsidR="00F418FF" w:rsidRPr="003B44D7">
        <w:rPr>
          <w:rFonts w:cstheme="minorHAnsi"/>
          <w:sz w:val="24"/>
          <w:szCs w:val="24"/>
        </w:rPr>
        <w:t>First Amendment</w:t>
      </w:r>
      <w:r w:rsidR="00F844C2" w:rsidRPr="003B44D7">
        <w:rPr>
          <w:rFonts w:cstheme="minorHAnsi"/>
          <w:sz w:val="24"/>
          <w:szCs w:val="24"/>
        </w:rPr>
        <w:t xml:space="preserve"> jurisprudence</w:t>
      </w:r>
      <w:r w:rsidR="000A1EDD" w:rsidRPr="003B44D7">
        <w:rPr>
          <w:rFonts w:cstheme="minorHAnsi"/>
          <w:sz w:val="24"/>
          <w:szCs w:val="24"/>
        </w:rPr>
        <w:t xml:space="preserve"> is deeply </w:t>
      </w:r>
      <w:r w:rsidR="0068729E" w:rsidRPr="003B44D7">
        <w:rPr>
          <w:rFonts w:cstheme="minorHAnsi"/>
          <w:sz w:val="24"/>
          <w:szCs w:val="24"/>
        </w:rPr>
        <w:t>inscribed with settler mentality, or</w:t>
      </w:r>
      <w:r w:rsidR="00F844C2" w:rsidRPr="003B44D7">
        <w:rPr>
          <w:rFonts w:cstheme="minorHAnsi"/>
          <w:sz w:val="24"/>
          <w:szCs w:val="24"/>
        </w:rPr>
        <w:t xml:space="preserve"> the ideal </w:t>
      </w:r>
      <w:r w:rsidR="000A1EDD" w:rsidRPr="003B44D7">
        <w:rPr>
          <w:rFonts w:cstheme="minorHAnsi"/>
          <w:sz w:val="24"/>
          <w:szCs w:val="24"/>
        </w:rPr>
        <w:t xml:space="preserve">of hardiness, </w:t>
      </w:r>
      <w:proofErr w:type="gramStart"/>
      <w:r w:rsidR="000A1EDD" w:rsidRPr="003B44D7">
        <w:rPr>
          <w:rFonts w:cstheme="minorHAnsi"/>
          <w:sz w:val="24"/>
          <w:szCs w:val="24"/>
        </w:rPr>
        <w:t>self-sufficiency</w:t>
      </w:r>
      <w:proofErr w:type="gramEnd"/>
      <w:r w:rsidR="005C22AB" w:rsidRPr="003B44D7">
        <w:rPr>
          <w:rFonts w:cstheme="minorHAnsi"/>
          <w:sz w:val="24"/>
          <w:szCs w:val="24"/>
        </w:rPr>
        <w:t xml:space="preserve"> and self-reliance </w:t>
      </w:r>
      <w:r w:rsidR="00375990" w:rsidRPr="003B44D7">
        <w:rPr>
          <w:rFonts w:cstheme="minorHAnsi"/>
          <w:sz w:val="24"/>
          <w:szCs w:val="24"/>
        </w:rPr>
        <w:t>and, by implication,</w:t>
      </w:r>
      <w:r w:rsidR="00E15E94" w:rsidRPr="003B44D7">
        <w:rPr>
          <w:rFonts w:cstheme="minorHAnsi"/>
          <w:sz w:val="24"/>
          <w:szCs w:val="24"/>
        </w:rPr>
        <w:t xml:space="preserve"> </w:t>
      </w:r>
      <w:r w:rsidR="00A51669" w:rsidRPr="003B44D7">
        <w:rPr>
          <w:rFonts w:cstheme="minorHAnsi"/>
          <w:sz w:val="24"/>
          <w:szCs w:val="24"/>
        </w:rPr>
        <w:t xml:space="preserve">of self-rule and </w:t>
      </w:r>
      <w:r w:rsidR="000A1EDD" w:rsidRPr="003B44D7">
        <w:rPr>
          <w:rFonts w:cstheme="minorHAnsi"/>
          <w:sz w:val="24"/>
          <w:szCs w:val="24"/>
        </w:rPr>
        <w:t xml:space="preserve">distrust of </w:t>
      </w:r>
      <w:r w:rsidR="00F90DC5" w:rsidRPr="003B44D7">
        <w:rPr>
          <w:rFonts w:cstheme="minorHAnsi"/>
          <w:sz w:val="24"/>
          <w:szCs w:val="24"/>
        </w:rPr>
        <w:t>government</w:t>
      </w:r>
      <w:r w:rsidR="008B22A8" w:rsidRPr="003B44D7">
        <w:rPr>
          <w:rFonts w:cstheme="minorHAnsi"/>
          <w:sz w:val="24"/>
          <w:szCs w:val="24"/>
        </w:rPr>
        <w:t xml:space="preserve">, </w:t>
      </w:r>
      <w:r w:rsidR="004867F3" w:rsidRPr="003B44D7">
        <w:rPr>
          <w:rFonts w:cstheme="minorHAnsi"/>
          <w:sz w:val="24"/>
          <w:szCs w:val="24"/>
        </w:rPr>
        <w:t>as</w:t>
      </w:r>
      <w:r w:rsidR="00E15E94" w:rsidRPr="003B44D7">
        <w:rPr>
          <w:rFonts w:cstheme="minorHAnsi"/>
          <w:sz w:val="24"/>
          <w:szCs w:val="24"/>
        </w:rPr>
        <w:t xml:space="preserve"> </w:t>
      </w:r>
      <w:r w:rsidR="004867F3" w:rsidRPr="003B44D7">
        <w:rPr>
          <w:rFonts w:cstheme="minorHAnsi"/>
          <w:sz w:val="24"/>
          <w:szCs w:val="24"/>
        </w:rPr>
        <w:t>encountered by the settlers in</w:t>
      </w:r>
      <w:r w:rsidR="00A51669" w:rsidRPr="003B44D7">
        <w:rPr>
          <w:rFonts w:cstheme="minorHAnsi"/>
          <w:sz w:val="24"/>
          <w:szCs w:val="24"/>
        </w:rPr>
        <w:t xml:space="preserve"> the old </w:t>
      </w:r>
      <w:r w:rsidR="00F90DC5" w:rsidRPr="003B44D7">
        <w:rPr>
          <w:rFonts w:cstheme="minorHAnsi"/>
          <w:sz w:val="24"/>
          <w:szCs w:val="24"/>
        </w:rPr>
        <w:t xml:space="preserve">world </w:t>
      </w:r>
      <w:r w:rsidR="00A51669" w:rsidRPr="003B44D7">
        <w:rPr>
          <w:rFonts w:cstheme="minorHAnsi"/>
          <w:sz w:val="24"/>
          <w:szCs w:val="24"/>
        </w:rPr>
        <w:t xml:space="preserve">left behind, and then </w:t>
      </w:r>
      <w:r w:rsidR="00F90DC5" w:rsidRPr="003B44D7">
        <w:rPr>
          <w:rFonts w:cstheme="minorHAnsi"/>
          <w:sz w:val="24"/>
          <w:szCs w:val="24"/>
        </w:rPr>
        <w:t>belated</w:t>
      </w:r>
      <w:r w:rsidR="008538EE" w:rsidRPr="003B44D7">
        <w:rPr>
          <w:rFonts w:cstheme="minorHAnsi"/>
          <w:sz w:val="24"/>
          <w:szCs w:val="24"/>
        </w:rPr>
        <w:t>ly in the new world</w:t>
      </w:r>
      <w:r w:rsidR="004867F3" w:rsidRPr="003B44D7">
        <w:rPr>
          <w:rFonts w:cstheme="minorHAnsi"/>
          <w:sz w:val="24"/>
          <w:szCs w:val="24"/>
        </w:rPr>
        <w:t xml:space="preserve"> </w:t>
      </w:r>
      <w:r w:rsidR="005C22AB" w:rsidRPr="003B44D7">
        <w:rPr>
          <w:rFonts w:cstheme="minorHAnsi"/>
          <w:sz w:val="24"/>
          <w:szCs w:val="24"/>
        </w:rPr>
        <w:t xml:space="preserve">through the </w:t>
      </w:r>
      <w:r w:rsidR="004867F3" w:rsidRPr="003B44D7">
        <w:rPr>
          <w:rFonts w:cstheme="minorHAnsi"/>
          <w:sz w:val="24"/>
          <w:szCs w:val="24"/>
        </w:rPr>
        <w:t>colonial administrations</w:t>
      </w:r>
      <w:r w:rsidR="000A1EDD" w:rsidRPr="003B44D7">
        <w:rPr>
          <w:rFonts w:cstheme="minorHAnsi"/>
          <w:sz w:val="24"/>
          <w:szCs w:val="24"/>
        </w:rPr>
        <w:t xml:space="preserve">. </w:t>
      </w:r>
      <w:r w:rsidR="00A51669" w:rsidRPr="003B44D7">
        <w:rPr>
          <w:rFonts w:cstheme="minorHAnsi"/>
          <w:sz w:val="24"/>
          <w:szCs w:val="24"/>
        </w:rPr>
        <w:t xml:space="preserve">Justice Brandeis in </w:t>
      </w:r>
      <w:r w:rsidR="00A51669" w:rsidRPr="003B44D7">
        <w:rPr>
          <w:rFonts w:cstheme="minorHAnsi"/>
          <w:i/>
          <w:sz w:val="24"/>
          <w:szCs w:val="24"/>
        </w:rPr>
        <w:t xml:space="preserve">Whitney v California </w:t>
      </w:r>
      <w:r w:rsidR="00A51669" w:rsidRPr="003B44D7">
        <w:rPr>
          <w:rFonts w:cstheme="minorHAnsi"/>
          <w:sz w:val="24"/>
          <w:szCs w:val="24"/>
        </w:rPr>
        <w:t>(</w:t>
      </w:r>
      <w:r w:rsidR="006B773B" w:rsidRPr="003B44D7">
        <w:rPr>
          <w:rFonts w:cstheme="minorHAnsi"/>
          <w:sz w:val="24"/>
          <w:szCs w:val="24"/>
        </w:rPr>
        <w:t>1927)</w:t>
      </w:r>
      <w:r w:rsidR="00F844C2" w:rsidRPr="003B44D7">
        <w:rPr>
          <w:rStyle w:val="FootnoteReference"/>
          <w:rFonts w:cstheme="minorHAnsi"/>
          <w:sz w:val="24"/>
          <w:szCs w:val="24"/>
        </w:rPr>
        <w:footnoteReference w:id="48"/>
      </w:r>
      <w:r w:rsidR="006B773B" w:rsidRPr="003B44D7">
        <w:rPr>
          <w:rFonts w:cstheme="minorHAnsi"/>
          <w:sz w:val="24"/>
          <w:szCs w:val="24"/>
        </w:rPr>
        <w:t xml:space="preserve"> </w:t>
      </w:r>
      <w:r w:rsidR="000026F6" w:rsidRPr="003B44D7">
        <w:rPr>
          <w:rFonts w:cstheme="minorHAnsi"/>
          <w:sz w:val="24"/>
          <w:szCs w:val="24"/>
        </w:rPr>
        <w:t>–</w:t>
      </w:r>
      <w:r w:rsidR="00E15E94" w:rsidRPr="003B44D7">
        <w:rPr>
          <w:rFonts w:cstheme="minorHAnsi"/>
          <w:sz w:val="24"/>
          <w:szCs w:val="24"/>
        </w:rPr>
        <w:t xml:space="preserve"> </w:t>
      </w:r>
      <w:r w:rsidR="000026F6" w:rsidRPr="003B44D7">
        <w:rPr>
          <w:rFonts w:cstheme="minorHAnsi"/>
          <w:sz w:val="24"/>
          <w:szCs w:val="24"/>
        </w:rPr>
        <w:t xml:space="preserve">although </w:t>
      </w:r>
      <w:r w:rsidR="006B773B" w:rsidRPr="003B44D7">
        <w:rPr>
          <w:rFonts w:cstheme="minorHAnsi"/>
          <w:sz w:val="24"/>
          <w:szCs w:val="24"/>
        </w:rPr>
        <w:t>upholding a conviction for communist speech advocating t</w:t>
      </w:r>
      <w:r w:rsidR="00E15E94" w:rsidRPr="003B44D7">
        <w:rPr>
          <w:rFonts w:cstheme="minorHAnsi"/>
          <w:sz w:val="24"/>
          <w:szCs w:val="24"/>
        </w:rPr>
        <w:t xml:space="preserve">he overthrow of the government </w:t>
      </w:r>
      <w:r w:rsidR="005C22AB" w:rsidRPr="003B44D7">
        <w:rPr>
          <w:rFonts w:cstheme="minorHAnsi"/>
          <w:sz w:val="24"/>
          <w:szCs w:val="24"/>
        </w:rPr>
        <w:t>–</w:t>
      </w:r>
      <w:r w:rsidR="00E15E94" w:rsidRPr="003B44D7">
        <w:rPr>
          <w:rFonts w:cstheme="minorHAnsi"/>
          <w:sz w:val="24"/>
          <w:szCs w:val="24"/>
        </w:rPr>
        <w:t xml:space="preserve"> </w:t>
      </w:r>
      <w:r w:rsidR="005C22AB" w:rsidRPr="003B44D7">
        <w:rPr>
          <w:rFonts w:cstheme="minorHAnsi"/>
          <w:sz w:val="24"/>
          <w:szCs w:val="24"/>
        </w:rPr>
        <w:t xml:space="preserve">famously </w:t>
      </w:r>
      <w:r w:rsidR="00F418FF" w:rsidRPr="003B44D7">
        <w:rPr>
          <w:rFonts w:cstheme="minorHAnsi"/>
          <w:sz w:val="24"/>
          <w:szCs w:val="24"/>
        </w:rPr>
        <w:t xml:space="preserve">laid the foundation for </w:t>
      </w:r>
      <w:r w:rsidR="00EF06E8" w:rsidRPr="003B44D7">
        <w:rPr>
          <w:rFonts w:cstheme="minorHAnsi"/>
          <w:sz w:val="24"/>
          <w:szCs w:val="24"/>
        </w:rPr>
        <w:t xml:space="preserve">the </w:t>
      </w:r>
      <w:r w:rsidR="00620DC4" w:rsidRPr="003B44D7">
        <w:rPr>
          <w:rFonts w:cstheme="minorHAnsi"/>
          <w:sz w:val="24"/>
          <w:szCs w:val="24"/>
        </w:rPr>
        <w:t>absolutist</w:t>
      </w:r>
      <w:r w:rsidR="00EF06E8" w:rsidRPr="003B44D7">
        <w:rPr>
          <w:rFonts w:cstheme="minorHAnsi"/>
          <w:sz w:val="24"/>
          <w:szCs w:val="24"/>
        </w:rPr>
        <w:t xml:space="preserve"> interpretation of the First Amendment</w:t>
      </w:r>
      <w:r w:rsidR="000026F6" w:rsidRPr="003B44D7">
        <w:rPr>
          <w:rFonts w:cstheme="minorHAnsi"/>
          <w:sz w:val="24"/>
          <w:szCs w:val="24"/>
        </w:rPr>
        <w:t xml:space="preserve">, </w:t>
      </w:r>
      <w:r w:rsidR="0068729E" w:rsidRPr="003B44D7">
        <w:rPr>
          <w:rFonts w:cstheme="minorHAnsi"/>
          <w:sz w:val="24"/>
          <w:szCs w:val="24"/>
        </w:rPr>
        <w:t>by grounding</w:t>
      </w:r>
      <w:r w:rsidR="000026F6" w:rsidRPr="003B44D7">
        <w:rPr>
          <w:rFonts w:cstheme="minorHAnsi"/>
          <w:sz w:val="24"/>
          <w:szCs w:val="24"/>
        </w:rPr>
        <w:t xml:space="preserve"> </w:t>
      </w:r>
      <w:r w:rsidR="00F418FF" w:rsidRPr="003B44D7">
        <w:rPr>
          <w:rFonts w:cstheme="minorHAnsi"/>
          <w:sz w:val="24"/>
          <w:szCs w:val="24"/>
        </w:rPr>
        <w:t xml:space="preserve">it </w:t>
      </w:r>
      <w:r w:rsidR="000026F6" w:rsidRPr="003B44D7">
        <w:rPr>
          <w:rFonts w:cstheme="minorHAnsi"/>
          <w:sz w:val="24"/>
          <w:szCs w:val="24"/>
        </w:rPr>
        <w:t>in the self-reliant</w:t>
      </w:r>
      <w:r w:rsidR="00520713" w:rsidRPr="003B44D7">
        <w:rPr>
          <w:rFonts w:cstheme="minorHAnsi"/>
          <w:sz w:val="24"/>
          <w:szCs w:val="24"/>
        </w:rPr>
        <w:t xml:space="preserve"> settler </w:t>
      </w:r>
      <w:r w:rsidR="000026F6" w:rsidRPr="003B44D7">
        <w:rPr>
          <w:rFonts w:cstheme="minorHAnsi"/>
          <w:sz w:val="24"/>
          <w:szCs w:val="24"/>
        </w:rPr>
        <w:t>who does not need</w:t>
      </w:r>
      <w:r w:rsidR="00520713" w:rsidRPr="003B44D7">
        <w:rPr>
          <w:rFonts w:cstheme="minorHAnsi"/>
          <w:sz w:val="24"/>
          <w:szCs w:val="24"/>
        </w:rPr>
        <w:t xml:space="preserve"> or want</w:t>
      </w:r>
      <w:r w:rsidR="00DC5569" w:rsidRPr="003B44D7">
        <w:rPr>
          <w:rFonts w:cstheme="minorHAnsi"/>
          <w:sz w:val="24"/>
          <w:szCs w:val="24"/>
        </w:rPr>
        <w:t xml:space="preserve"> government to protect </w:t>
      </w:r>
      <w:r w:rsidR="00780331" w:rsidRPr="003B44D7">
        <w:rPr>
          <w:rFonts w:cstheme="minorHAnsi"/>
          <w:sz w:val="24"/>
          <w:szCs w:val="24"/>
        </w:rPr>
        <w:t xml:space="preserve">him </w:t>
      </w:r>
      <w:r w:rsidR="000026F6" w:rsidRPr="003B44D7">
        <w:rPr>
          <w:rFonts w:cstheme="minorHAnsi"/>
          <w:sz w:val="24"/>
          <w:szCs w:val="24"/>
        </w:rPr>
        <w:t xml:space="preserve">from </w:t>
      </w:r>
      <w:r w:rsidR="00A71A9F" w:rsidRPr="003B44D7">
        <w:rPr>
          <w:rFonts w:cstheme="minorHAnsi"/>
          <w:sz w:val="24"/>
          <w:szCs w:val="24"/>
        </w:rPr>
        <w:t>bad</w:t>
      </w:r>
      <w:r w:rsidR="000026F6" w:rsidRPr="003B44D7">
        <w:rPr>
          <w:rFonts w:cstheme="minorHAnsi"/>
          <w:sz w:val="24"/>
          <w:szCs w:val="24"/>
        </w:rPr>
        <w:t xml:space="preserve"> </w:t>
      </w:r>
      <w:r w:rsidR="00DC5569" w:rsidRPr="003B44D7">
        <w:rPr>
          <w:rFonts w:cstheme="minorHAnsi"/>
          <w:sz w:val="24"/>
          <w:szCs w:val="24"/>
        </w:rPr>
        <w:t>speech</w:t>
      </w:r>
      <w:r w:rsidR="0068729E" w:rsidRPr="003B44D7">
        <w:rPr>
          <w:rFonts w:cstheme="minorHAnsi"/>
          <w:sz w:val="24"/>
          <w:szCs w:val="24"/>
        </w:rPr>
        <w:t xml:space="preserve">; </w:t>
      </w:r>
      <w:r w:rsidR="008B22A8" w:rsidRPr="003B44D7">
        <w:rPr>
          <w:rFonts w:cstheme="minorHAnsi"/>
          <w:sz w:val="24"/>
          <w:szCs w:val="24"/>
        </w:rPr>
        <w:t>quite the reverse,</w:t>
      </w:r>
      <w:r w:rsidR="0068729E" w:rsidRPr="003B44D7">
        <w:rPr>
          <w:rFonts w:cstheme="minorHAnsi"/>
          <w:sz w:val="24"/>
          <w:szCs w:val="24"/>
        </w:rPr>
        <w:t xml:space="preserve"> protection from government </w:t>
      </w:r>
      <w:r w:rsidR="008B22A8" w:rsidRPr="003B44D7">
        <w:rPr>
          <w:rFonts w:cstheme="minorHAnsi"/>
          <w:sz w:val="24"/>
          <w:szCs w:val="24"/>
        </w:rPr>
        <w:t>is what i</w:t>
      </w:r>
      <w:r w:rsidR="0068729E" w:rsidRPr="003B44D7">
        <w:rPr>
          <w:rFonts w:cstheme="minorHAnsi"/>
          <w:sz w:val="24"/>
          <w:szCs w:val="24"/>
        </w:rPr>
        <w:t>s needed</w:t>
      </w:r>
      <w:r w:rsidR="000026F6" w:rsidRPr="003B44D7">
        <w:rPr>
          <w:rFonts w:cstheme="minorHAnsi"/>
          <w:sz w:val="24"/>
          <w:szCs w:val="24"/>
        </w:rPr>
        <w:t>:</w:t>
      </w:r>
    </w:p>
    <w:p w14:paraId="6537297F" w14:textId="77777777" w:rsidR="00EF06E8" w:rsidRPr="003B44D7" w:rsidRDefault="00EF06E8" w:rsidP="004E7EB4">
      <w:pPr>
        <w:autoSpaceDE w:val="0"/>
        <w:autoSpaceDN w:val="0"/>
        <w:adjustRightInd w:val="0"/>
        <w:spacing w:after="0" w:line="240" w:lineRule="auto"/>
        <w:jc w:val="both"/>
        <w:rPr>
          <w:rFonts w:cstheme="minorHAnsi"/>
          <w:sz w:val="24"/>
          <w:szCs w:val="24"/>
        </w:rPr>
      </w:pPr>
    </w:p>
    <w:p w14:paraId="103FD298" w14:textId="77777777" w:rsidR="00EF06E8" w:rsidRPr="003B44D7" w:rsidRDefault="007D1E3D" w:rsidP="004E7EB4">
      <w:pPr>
        <w:autoSpaceDE w:val="0"/>
        <w:autoSpaceDN w:val="0"/>
        <w:adjustRightInd w:val="0"/>
        <w:spacing w:after="0" w:line="240" w:lineRule="auto"/>
        <w:ind w:left="720"/>
        <w:jc w:val="both"/>
        <w:rPr>
          <w:rFonts w:cstheme="minorHAnsi"/>
          <w:sz w:val="24"/>
          <w:szCs w:val="24"/>
        </w:rPr>
      </w:pPr>
      <w:r w:rsidRPr="003B44D7">
        <w:rPr>
          <w:rFonts w:cstheme="minorHAnsi"/>
          <w:sz w:val="24"/>
          <w:szCs w:val="24"/>
        </w:rPr>
        <w:t>‘</w:t>
      </w:r>
      <w:r w:rsidR="00EF06E8" w:rsidRPr="003B44D7">
        <w:rPr>
          <w:rFonts w:cstheme="minorHAnsi"/>
          <w:sz w:val="24"/>
          <w:szCs w:val="24"/>
        </w:rPr>
        <w:t>Those who won our independence by revolution were not cowards. They did not fear political change. They did not exalt order at the cost of liberty. To courageous, self-reliant men, with confidence in the power of free and fearless reasoning applied through the processes of popular government, no danger flowing from speech can be deemed clear and present unless the incidence of the evil apprehended is so imminent that it may befall before there is opportunity for full discussion. If there be time to expose through discussion the falsehood and fallacies, to avert the evil by the processes of education, the remedy to be applied is more speech, not enforced silence. Only an emergency can justify repression. Such must be the rule if authority is to be reconciled with freedom.</w:t>
      </w:r>
      <w:r w:rsidRPr="003B44D7">
        <w:rPr>
          <w:rFonts w:cstheme="minorHAnsi"/>
          <w:sz w:val="24"/>
          <w:szCs w:val="24"/>
        </w:rPr>
        <w:t>’</w:t>
      </w:r>
      <w:r w:rsidR="00EF06E8" w:rsidRPr="003B44D7">
        <w:rPr>
          <w:rStyle w:val="FootnoteReference"/>
          <w:rFonts w:cstheme="minorHAnsi"/>
          <w:sz w:val="24"/>
          <w:szCs w:val="24"/>
        </w:rPr>
        <w:footnoteReference w:id="49"/>
      </w:r>
    </w:p>
    <w:p w14:paraId="7B7EC271" w14:textId="77777777" w:rsidR="00A51669" w:rsidRPr="003B44D7" w:rsidRDefault="00A51669" w:rsidP="004E7EB4">
      <w:pPr>
        <w:autoSpaceDE w:val="0"/>
        <w:autoSpaceDN w:val="0"/>
        <w:adjustRightInd w:val="0"/>
        <w:spacing w:after="0" w:line="240" w:lineRule="auto"/>
        <w:jc w:val="both"/>
        <w:rPr>
          <w:rFonts w:cstheme="minorHAnsi"/>
          <w:sz w:val="24"/>
          <w:szCs w:val="24"/>
        </w:rPr>
      </w:pPr>
    </w:p>
    <w:p w14:paraId="48F67637" w14:textId="77777777" w:rsidR="002A1796" w:rsidRPr="003B44D7" w:rsidRDefault="00520713" w:rsidP="009E1A4D">
      <w:pPr>
        <w:autoSpaceDE w:val="0"/>
        <w:autoSpaceDN w:val="0"/>
        <w:adjustRightInd w:val="0"/>
        <w:spacing w:after="0" w:line="240" w:lineRule="auto"/>
        <w:jc w:val="both"/>
        <w:rPr>
          <w:rFonts w:cstheme="minorHAnsi"/>
          <w:sz w:val="24"/>
          <w:szCs w:val="24"/>
        </w:rPr>
      </w:pPr>
      <w:r w:rsidRPr="003B44D7">
        <w:rPr>
          <w:rFonts w:cstheme="minorHAnsi"/>
          <w:sz w:val="24"/>
          <w:szCs w:val="24"/>
        </w:rPr>
        <w:t>Within this settler construction</w:t>
      </w:r>
      <w:r w:rsidR="003E0041" w:rsidRPr="003B44D7">
        <w:rPr>
          <w:rFonts w:cstheme="minorHAnsi"/>
          <w:sz w:val="24"/>
          <w:szCs w:val="24"/>
        </w:rPr>
        <w:t xml:space="preserve"> of speech</w:t>
      </w:r>
      <w:r w:rsidR="002B6968" w:rsidRPr="003B44D7">
        <w:rPr>
          <w:rFonts w:cstheme="minorHAnsi"/>
          <w:sz w:val="24"/>
          <w:szCs w:val="24"/>
        </w:rPr>
        <w:t xml:space="preserve"> entitlements</w:t>
      </w:r>
      <w:r w:rsidRPr="003B44D7">
        <w:rPr>
          <w:rFonts w:cstheme="minorHAnsi"/>
          <w:sz w:val="24"/>
          <w:szCs w:val="24"/>
        </w:rPr>
        <w:t>, t</w:t>
      </w:r>
      <w:r w:rsidR="004867F3" w:rsidRPr="003B44D7">
        <w:rPr>
          <w:rFonts w:cstheme="minorHAnsi"/>
          <w:sz w:val="24"/>
          <w:szCs w:val="24"/>
        </w:rPr>
        <w:t>he</w:t>
      </w:r>
      <w:r w:rsidR="000A1EDD" w:rsidRPr="003B44D7">
        <w:rPr>
          <w:rFonts w:cstheme="minorHAnsi"/>
          <w:sz w:val="24"/>
          <w:szCs w:val="24"/>
        </w:rPr>
        <w:t xml:space="preserve"> European </w:t>
      </w:r>
      <w:r w:rsidR="00E15E94" w:rsidRPr="003B44D7">
        <w:rPr>
          <w:rFonts w:cstheme="minorHAnsi"/>
          <w:sz w:val="24"/>
          <w:szCs w:val="24"/>
        </w:rPr>
        <w:t xml:space="preserve">preoccupation with </w:t>
      </w:r>
      <w:r w:rsidR="00E15E94" w:rsidRPr="003B44D7">
        <w:rPr>
          <w:rFonts w:cstheme="minorHAnsi"/>
          <w:i/>
          <w:sz w:val="24"/>
          <w:szCs w:val="24"/>
        </w:rPr>
        <w:t>levelling up</w:t>
      </w:r>
      <w:r w:rsidR="00E15E94" w:rsidRPr="003B44D7">
        <w:rPr>
          <w:rFonts w:cstheme="minorHAnsi"/>
          <w:sz w:val="24"/>
          <w:szCs w:val="24"/>
        </w:rPr>
        <w:t xml:space="preserve"> </w:t>
      </w:r>
      <w:r w:rsidR="00013643" w:rsidRPr="003B44D7">
        <w:rPr>
          <w:rFonts w:cstheme="minorHAnsi"/>
          <w:sz w:val="24"/>
          <w:szCs w:val="24"/>
        </w:rPr>
        <w:t xml:space="preserve">of dignity </w:t>
      </w:r>
      <w:r w:rsidR="002B6968" w:rsidRPr="003B44D7">
        <w:rPr>
          <w:rFonts w:cstheme="minorHAnsi"/>
          <w:sz w:val="24"/>
          <w:szCs w:val="24"/>
        </w:rPr>
        <w:t>is not</w:t>
      </w:r>
      <w:r w:rsidR="00780331" w:rsidRPr="003B44D7">
        <w:rPr>
          <w:rFonts w:cstheme="minorHAnsi"/>
          <w:sz w:val="24"/>
          <w:szCs w:val="24"/>
        </w:rPr>
        <w:t xml:space="preserve"> particularly</w:t>
      </w:r>
      <w:r w:rsidR="002A1796" w:rsidRPr="003B44D7">
        <w:rPr>
          <w:rFonts w:cstheme="minorHAnsi"/>
          <w:sz w:val="24"/>
          <w:szCs w:val="24"/>
        </w:rPr>
        <w:t xml:space="preserve"> meaningful</w:t>
      </w:r>
      <w:r w:rsidR="00FA3475" w:rsidRPr="003B44D7">
        <w:rPr>
          <w:rFonts w:cstheme="minorHAnsi"/>
          <w:sz w:val="24"/>
          <w:szCs w:val="24"/>
        </w:rPr>
        <w:t xml:space="preserve">. </w:t>
      </w:r>
      <w:r w:rsidR="00F418FF" w:rsidRPr="003B44D7">
        <w:rPr>
          <w:rFonts w:cstheme="minorHAnsi"/>
          <w:sz w:val="24"/>
          <w:szCs w:val="24"/>
        </w:rPr>
        <w:t>For</w:t>
      </w:r>
      <w:r w:rsidR="00FA3475" w:rsidRPr="003B44D7">
        <w:rPr>
          <w:rFonts w:cstheme="minorHAnsi"/>
          <w:sz w:val="24"/>
          <w:szCs w:val="24"/>
        </w:rPr>
        <w:t xml:space="preserve"> settler</w:t>
      </w:r>
      <w:r w:rsidR="00F418FF" w:rsidRPr="003B44D7">
        <w:rPr>
          <w:rFonts w:cstheme="minorHAnsi"/>
          <w:sz w:val="24"/>
          <w:szCs w:val="24"/>
        </w:rPr>
        <w:t>s</w:t>
      </w:r>
      <w:r w:rsidR="00FA3475" w:rsidRPr="003B44D7">
        <w:rPr>
          <w:rFonts w:cstheme="minorHAnsi"/>
          <w:sz w:val="24"/>
          <w:szCs w:val="24"/>
        </w:rPr>
        <w:t>,</w:t>
      </w:r>
      <w:r w:rsidRPr="003B44D7">
        <w:rPr>
          <w:rFonts w:cstheme="minorHAnsi"/>
          <w:sz w:val="24"/>
          <w:szCs w:val="24"/>
        </w:rPr>
        <w:t xml:space="preserve"> </w:t>
      </w:r>
      <w:r w:rsidR="00932B32" w:rsidRPr="003B44D7">
        <w:rPr>
          <w:rFonts w:cstheme="minorHAnsi"/>
          <w:sz w:val="24"/>
          <w:szCs w:val="24"/>
        </w:rPr>
        <w:t xml:space="preserve">the </w:t>
      </w:r>
      <w:r w:rsidR="00F90DC5" w:rsidRPr="003B44D7">
        <w:rPr>
          <w:rFonts w:cstheme="minorHAnsi"/>
          <w:sz w:val="24"/>
          <w:szCs w:val="24"/>
        </w:rPr>
        <w:t>universal immigration status</w:t>
      </w:r>
      <w:r w:rsidR="00A51669" w:rsidRPr="003B44D7">
        <w:rPr>
          <w:rFonts w:cstheme="minorHAnsi"/>
          <w:sz w:val="24"/>
          <w:szCs w:val="24"/>
        </w:rPr>
        <w:t xml:space="preserve"> and</w:t>
      </w:r>
      <w:r w:rsidR="004867F3" w:rsidRPr="003B44D7">
        <w:rPr>
          <w:rFonts w:cstheme="minorHAnsi"/>
          <w:sz w:val="24"/>
          <w:szCs w:val="24"/>
        </w:rPr>
        <w:t xml:space="preserve"> </w:t>
      </w:r>
      <w:r w:rsidR="00A51669" w:rsidRPr="003B44D7">
        <w:rPr>
          <w:rFonts w:cstheme="minorHAnsi"/>
          <w:sz w:val="24"/>
          <w:szCs w:val="24"/>
        </w:rPr>
        <w:t>common</w:t>
      </w:r>
      <w:r w:rsidR="004867F3" w:rsidRPr="003B44D7">
        <w:rPr>
          <w:rFonts w:cstheme="minorHAnsi"/>
          <w:sz w:val="24"/>
          <w:szCs w:val="24"/>
        </w:rPr>
        <w:t xml:space="preserve"> </w:t>
      </w:r>
      <w:r w:rsidR="00016B15" w:rsidRPr="003B44D7">
        <w:rPr>
          <w:rFonts w:cstheme="minorHAnsi"/>
          <w:sz w:val="24"/>
          <w:szCs w:val="24"/>
        </w:rPr>
        <w:t>hardship</w:t>
      </w:r>
      <w:r w:rsidR="00830F1E" w:rsidRPr="003B44D7">
        <w:rPr>
          <w:rFonts w:cstheme="minorHAnsi"/>
          <w:sz w:val="24"/>
          <w:szCs w:val="24"/>
        </w:rPr>
        <w:t xml:space="preserve"> in a hostile environment</w:t>
      </w:r>
      <w:r w:rsidR="00013643" w:rsidRPr="003B44D7">
        <w:rPr>
          <w:rFonts w:cstheme="minorHAnsi"/>
          <w:sz w:val="24"/>
          <w:szCs w:val="24"/>
        </w:rPr>
        <w:t xml:space="preserve"> </w:t>
      </w:r>
      <w:r w:rsidR="00F90DC5" w:rsidRPr="003B44D7">
        <w:rPr>
          <w:rFonts w:cstheme="minorHAnsi"/>
          <w:sz w:val="24"/>
          <w:szCs w:val="24"/>
        </w:rPr>
        <w:t>acted as a powerful equaliser</w:t>
      </w:r>
      <w:r w:rsidR="00E15E94" w:rsidRPr="003B44D7">
        <w:rPr>
          <w:rFonts w:cstheme="minorHAnsi"/>
          <w:sz w:val="24"/>
          <w:szCs w:val="24"/>
        </w:rPr>
        <w:t xml:space="preserve"> </w:t>
      </w:r>
      <w:r w:rsidR="00FA3475" w:rsidRPr="003B44D7">
        <w:rPr>
          <w:rFonts w:cstheme="minorHAnsi"/>
          <w:sz w:val="24"/>
          <w:szCs w:val="24"/>
        </w:rPr>
        <w:t xml:space="preserve">that </w:t>
      </w:r>
      <w:r w:rsidR="00932B32" w:rsidRPr="003B44D7">
        <w:rPr>
          <w:rFonts w:cstheme="minorHAnsi"/>
          <w:sz w:val="24"/>
          <w:szCs w:val="24"/>
        </w:rPr>
        <w:t>would have</w:t>
      </w:r>
      <w:r w:rsidR="000A1EDD" w:rsidRPr="003B44D7">
        <w:rPr>
          <w:rFonts w:cstheme="minorHAnsi"/>
          <w:sz w:val="24"/>
          <w:szCs w:val="24"/>
        </w:rPr>
        <w:t xml:space="preserve"> made </w:t>
      </w:r>
      <w:r w:rsidR="00A51669" w:rsidRPr="003B44D7">
        <w:rPr>
          <w:rFonts w:cstheme="minorHAnsi"/>
          <w:sz w:val="24"/>
          <w:szCs w:val="24"/>
        </w:rPr>
        <w:t xml:space="preserve">any </w:t>
      </w:r>
      <w:r w:rsidR="0068729E" w:rsidRPr="003B44D7">
        <w:rPr>
          <w:rFonts w:cstheme="minorHAnsi"/>
          <w:sz w:val="24"/>
          <w:szCs w:val="24"/>
        </w:rPr>
        <w:t xml:space="preserve">demand for </w:t>
      </w:r>
      <w:r w:rsidR="00FA3475" w:rsidRPr="003B44D7">
        <w:rPr>
          <w:rFonts w:cstheme="minorHAnsi"/>
          <w:sz w:val="24"/>
          <w:szCs w:val="24"/>
        </w:rPr>
        <w:t xml:space="preserve">formal </w:t>
      </w:r>
      <w:r w:rsidR="00830F1E" w:rsidRPr="003B44D7">
        <w:rPr>
          <w:rFonts w:cstheme="minorHAnsi"/>
          <w:sz w:val="24"/>
          <w:szCs w:val="24"/>
        </w:rPr>
        <w:t>equal</w:t>
      </w:r>
      <w:r w:rsidR="007B2249" w:rsidRPr="003B44D7">
        <w:rPr>
          <w:rFonts w:cstheme="minorHAnsi"/>
          <w:sz w:val="24"/>
          <w:szCs w:val="24"/>
        </w:rPr>
        <w:t xml:space="preserve"> respect </w:t>
      </w:r>
      <w:r w:rsidR="00830F1E" w:rsidRPr="003B44D7">
        <w:rPr>
          <w:rFonts w:cstheme="minorHAnsi"/>
          <w:sz w:val="24"/>
          <w:szCs w:val="24"/>
        </w:rPr>
        <w:t xml:space="preserve">at best </w:t>
      </w:r>
      <w:r w:rsidR="004867F3" w:rsidRPr="003B44D7">
        <w:rPr>
          <w:rFonts w:cstheme="minorHAnsi"/>
          <w:sz w:val="24"/>
          <w:szCs w:val="24"/>
        </w:rPr>
        <w:t>irrelevant</w:t>
      </w:r>
      <w:r w:rsidR="00830F1E" w:rsidRPr="003B44D7">
        <w:rPr>
          <w:rFonts w:cstheme="minorHAnsi"/>
          <w:sz w:val="24"/>
          <w:szCs w:val="24"/>
        </w:rPr>
        <w:t xml:space="preserve"> and at worse misplaced.</w:t>
      </w:r>
      <w:r w:rsidR="004867F3" w:rsidRPr="003B44D7">
        <w:rPr>
          <w:rFonts w:cstheme="minorHAnsi"/>
          <w:sz w:val="24"/>
          <w:szCs w:val="24"/>
        </w:rPr>
        <w:t xml:space="preserve"> </w:t>
      </w:r>
      <w:r w:rsidR="00130DEC" w:rsidRPr="003B44D7">
        <w:rPr>
          <w:rFonts w:cstheme="minorHAnsi"/>
          <w:sz w:val="24"/>
          <w:szCs w:val="24"/>
        </w:rPr>
        <w:t>Given</w:t>
      </w:r>
      <w:r w:rsidR="00830F1E" w:rsidRPr="003B44D7">
        <w:rPr>
          <w:rFonts w:cstheme="minorHAnsi"/>
          <w:sz w:val="24"/>
          <w:szCs w:val="24"/>
        </w:rPr>
        <w:t xml:space="preserve"> </w:t>
      </w:r>
      <w:r w:rsidR="00932B32" w:rsidRPr="003B44D7">
        <w:rPr>
          <w:rFonts w:cstheme="minorHAnsi"/>
          <w:sz w:val="24"/>
          <w:szCs w:val="24"/>
        </w:rPr>
        <w:t xml:space="preserve">America’s </w:t>
      </w:r>
      <w:r w:rsidR="00130DEC" w:rsidRPr="003B44D7">
        <w:rPr>
          <w:rFonts w:cstheme="minorHAnsi"/>
          <w:sz w:val="24"/>
          <w:szCs w:val="24"/>
        </w:rPr>
        <w:t>view</w:t>
      </w:r>
      <w:r w:rsidR="00830F1E" w:rsidRPr="003B44D7">
        <w:rPr>
          <w:rFonts w:cstheme="minorHAnsi"/>
          <w:sz w:val="24"/>
          <w:szCs w:val="24"/>
        </w:rPr>
        <w:t xml:space="preserve"> of itself</w:t>
      </w:r>
      <w:r w:rsidR="000026F6" w:rsidRPr="003B44D7">
        <w:rPr>
          <w:rFonts w:cstheme="minorHAnsi"/>
          <w:sz w:val="24"/>
          <w:szCs w:val="24"/>
        </w:rPr>
        <w:t xml:space="preserve"> as</w:t>
      </w:r>
      <w:r w:rsidR="00B472F5" w:rsidRPr="003B44D7">
        <w:rPr>
          <w:rFonts w:cstheme="minorHAnsi"/>
          <w:sz w:val="24"/>
          <w:szCs w:val="24"/>
        </w:rPr>
        <w:t xml:space="preserve"> egalit</w:t>
      </w:r>
      <w:r w:rsidR="00932B32" w:rsidRPr="003B44D7">
        <w:rPr>
          <w:rFonts w:cstheme="minorHAnsi"/>
          <w:sz w:val="24"/>
          <w:szCs w:val="24"/>
        </w:rPr>
        <w:t>arian in its very</w:t>
      </w:r>
      <w:r w:rsidR="0043385D" w:rsidRPr="003B44D7">
        <w:rPr>
          <w:rFonts w:cstheme="minorHAnsi"/>
          <w:sz w:val="24"/>
          <w:szCs w:val="24"/>
        </w:rPr>
        <w:t xml:space="preserve"> roots and</w:t>
      </w:r>
      <w:r w:rsidR="00932B32" w:rsidRPr="003B44D7">
        <w:rPr>
          <w:rFonts w:cstheme="minorHAnsi"/>
          <w:sz w:val="24"/>
          <w:szCs w:val="24"/>
        </w:rPr>
        <w:t xml:space="preserve"> </w:t>
      </w:r>
      <w:r w:rsidR="001069C5" w:rsidRPr="003B44D7">
        <w:rPr>
          <w:rFonts w:cstheme="minorHAnsi"/>
          <w:sz w:val="24"/>
          <w:szCs w:val="24"/>
        </w:rPr>
        <w:t>inception,</w:t>
      </w:r>
      <w:r w:rsidR="00042378" w:rsidRPr="003B44D7">
        <w:rPr>
          <w:rFonts w:cstheme="minorHAnsi"/>
          <w:sz w:val="24"/>
          <w:szCs w:val="24"/>
        </w:rPr>
        <w:t xml:space="preserve"> it</w:t>
      </w:r>
      <w:r w:rsidR="00A71A9F" w:rsidRPr="003B44D7">
        <w:rPr>
          <w:rFonts w:cstheme="minorHAnsi"/>
          <w:sz w:val="24"/>
          <w:szCs w:val="24"/>
        </w:rPr>
        <w:t xml:space="preserve"> has</w:t>
      </w:r>
      <w:r w:rsidR="00042378" w:rsidRPr="003B44D7">
        <w:rPr>
          <w:rFonts w:cstheme="minorHAnsi"/>
          <w:sz w:val="24"/>
          <w:szCs w:val="24"/>
        </w:rPr>
        <w:t xml:space="preserve"> </w:t>
      </w:r>
      <w:r w:rsidR="00130DEC" w:rsidRPr="003B44D7">
        <w:rPr>
          <w:rFonts w:cstheme="minorHAnsi"/>
          <w:sz w:val="24"/>
          <w:szCs w:val="24"/>
        </w:rPr>
        <w:t xml:space="preserve">in fact </w:t>
      </w:r>
      <w:r w:rsidR="00042378" w:rsidRPr="003B44D7">
        <w:rPr>
          <w:rFonts w:cstheme="minorHAnsi"/>
          <w:sz w:val="24"/>
          <w:szCs w:val="24"/>
        </w:rPr>
        <w:t>nurtured a</w:t>
      </w:r>
      <w:r w:rsidR="00932B32" w:rsidRPr="003B44D7">
        <w:rPr>
          <w:rFonts w:cstheme="minorHAnsi"/>
          <w:sz w:val="24"/>
          <w:szCs w:val="24"/>
        </w:rPr>
        <w:t xml:space="preserve"> </w:t>
      </w:r>
      <w:r w:rsidR="00A16941" w:rsidRPr="003B44D7">
        <w:rPr>
          <w:rFonts w:cstheme="minorHAnsi"/>
          <w:sz w:val="24"/>
          <w:szCs w:val="24"/>
        </w:rPr>
        <w:t xml:space="preserve">culture of </w:t>
      </w:r>
      <w:r w:rsidR="00B5286B" w:rsidRPr="003B44D7">
        <w:rPr>
          <w:rFonts w:cstheme="minorHAnsi"/>
          <w:sz w:val="24"/>
          <w:szCs w:val="24"/>
        </w:rPr>
        <w:t>disr</w:t>
      </w:r>
      <w:r w:rsidR="009E7E38" w:rsidRPr="003B44D7">
        <w:rPr>
          <w:rFonts w:cstheme="minorHAnsi"/>
          <w:sz w:val="24"/>
          <w:szCs w:val="24"/>
        </w:rPr>
        <w:t xml:space="preserve">espect </w:t>
      </w:r>
      <w:r w:rsidR="00042378" w:rsidRPr="003B44D7">
        <w:rPr>
          <w:rFonts w:cstheme="minorHAnsi"/>
          <w:sz w:val="24"/>
          <w:szCs w:val="24"/>
        </w:rPr>
        <w:t xml:space="preserve">which </w:t>
      </w:r>
      <w:r w:rsidR="001069C5" w:rsidRPr="003B44D7">
        <w:rPr>
          <w:rFonts w:cstheme="minorHAnsi"/>
          <w:sz w:val="24"/>
          <w:szCs w:val="24"/>
        </w:rPr>
        <w:t xml:space="preserve">Whitman </w:t>
      </w:r>
      <w:r w:rsidRPr="003B44D7">
        <w:rPr>
          <w:rFonts w:cstheme="minorHAnsi"/>
          <w:sz w:val="24"/>
          <w:szCs w:val="24"/>
        </w:rPr>
        <w:t xml:space="preserve">describes as </w:t>
      </w:r>
      <w:r w:rsidR="00B472F5" w:rsidRPr="003B44D7">
        <w:rPr>
          <w:rFonts w:cstheme="minorHAnsi"/>
          <w:sz w:val="24"/>
          <w:szCs w:val="24"/>
        </w:rPr>
        <w:t>America</w:t>
      </w:r>
      <w:r w:rsidR="00932B32" w:rsidRPr="003B44D7">
        <w:rPr>
          <w:rFonts w:cstheme="minorHAnsi"/>
          <w:sz w:val="24"/>
          <w:szCs w:val="24"/>
        </w:rPr>
        <w:t>’s</w:t>
      </w:r>
      <w:r w:rsidR="001069C5" w:rsidRPr="003B44D7">
        <w:rPr>
          <w:rFonts w:cstheme="minorHAnsi"/>
          <w:sz w:val="24"/>
          <w:szCs w:val="24"/>
        </w:rPr>
        <w:t xml:space="preserve"> </w:t>
      </w:r>
      <w:r w:rsidR="001069C5" w:rsidRPr="003B44D7">
        <w:rPr>
          <w:rFonts w:cstheme="minorHAnsi"/>
          <w:i/>
          <w:sz w:val="24"/>
          <w:szCs w:val="24"/>
        </w:rPr>
        <w:t>levelling down</w:t>
      </w:r>
      <w:r w:rsidR="00B5286B" w:rsidRPr="003B44D7">
        <w:rPr>
          <w:rFonts w:cstheme="minorHAnsi"/>
          <w:sz w:val="24"/>
          <w:szCs w:val="24"/>
        </w:rPr>
        <w:t xml:space="preserve">: ‘The American refusal to show respect to anybody is not just, as it were, a social refusal; it </w:t>
      </w:r>
      <w:r w:rsidR="00830F1E" w:rsidRPr="003B44D7">
        <w:rPr>
          <w:rFonts w:cstheme="minorHAnsi"/>
          <w:sz w:val="24"/>
          <w:szCs w:val="24"/>
        </w:rPr>
        <w:t>belongs</w:t>
      </w:r>
      <w:r w:rsidR="00B5286B" w:rsidRPr="003B44D7">
        <w:rPr>
          <w:rFonts w:cstheme="minorHAnsi"/>
          <w:sz w:val="24"/>
          <w:szCs w:val="24"/>
        </w:rPr>
        <w:t xml:space="preserve"> to our sense of the political constitution of our form of </w:t>
      </w:r>
      <w:r w:rsidR="00830F1E" w:rsidRPr="003B44D7">
        <w:rPr>
          <w:rFonts w:cstheme="minorHAnsi"/>
          <w:sz w:val="24"/>
          <w:szCs w:val="24"/>
        </w:rPr>
        <w:t>egalitarian</w:t>
      </w:r>
      <w:r w:rsidR="00B5286B" w:rsidRPr="003B44D7">
        <w:rPr>
          <w:rFonts w:cstheme="minorHAnsi"/>
          <w:sz w:val="24"/>
          <w:szCs w:val="24"/>
        </w:rPr>
        <w:t xml:space="preserve"> </w:t>
      </w:r>
      <w:r w:rsidR="00830F1E" w:rsidRPr="003B44D7">
        <w:rPr>
          <w:rFonts w:cstheme="minorHAnsi"/>
          <w:sz w:val="24"/>
          <w:szCs w:val="24"/>
        </w:rPr>
        <w:t>society</w:t>
      </w:r>
      <w:r w:rsidR="00B472F5" w:rsidRPr="003B44D7">
        <w:rPr>
          <w:rFonts w:cstheme="minorHAnsi"/>
          <w:sz w:val="24"/>
          <w:szCs w:val="24"/>
        </w:rPr>
        <w:t>…</w:t>
      </w:r>
      <w:r w:rsidR="007B2249" w:rsidRPr="003B44D7">
        <w:rPr>
          <w:rFonts w:cstheme="minorHAnsi"/>
          <w:sz w:val="24"/>
          <w:szCs w:val="24"/>
        </w:rPr>
        <w:t>’</w:t>
      </w:r>
      <w:r w:rsidR="00FA3475" w:rsidRPr="003B44D7">
        <w:rPr>
          <w:rStyle w:val="FootnoteReference"/>
          <w:rFonts w:cstheme="minorHAnsi"/>
          <w:sz w:val="24"/>
          <w:szCs w:val="24"/>
        </w:rPr>
        <w:footnoteReference w:id="50"/>
      </w:r>
      <w:r w:rsidR="007B2249" w:rsidRPr="003B44D7">
        <w:rPr>
          <w:rFonts w:cstheme="minorHAnsi"/>
          <w:sz w:val="24"/>
          <w:szCs w:val="24"/>
        </w:rPr>
        <w:t xml:space="preserve"> He continues:</w:t>
      </w:r>
      <w:r w:rsidR="00B472F5" w:rsidRPr="003B44D7">
        <w:rPr>
          <w:rFonts w:cstheme="minorHAnsi"/>
          <w:sz w:val="24"/>
          <w:szCs w:val="24"/>
        </w:rPr>
        <w:t xml:space="preserve"> </w:t>
      </w:r>
      <w:r w:rsidR="007B2249" w:rsidRPr="003B44D7">
        <w:rPr>
          <w:rFonts w:cstheme="minorHAnsi"/>
          <w:sz w:val="24"/>
          <w:szCs w:val="24"/>
        </w:rPr>
        <w:t>‘</w:t>
      </w:r>
      <w:r w:rsidR="00B472F5" w:rsidRPr="003B44D7">
        <w:rPr>
          <w:rFonts w:cstheme="minorHAnsi"/>
          <w:sz w:val="24"/>
          <w:szCs w:val="24"/>
        </w:rPr>
        <w:t>our free speech, to adopt a term from ancient cynic</w:t>
      </w:r>
      <w:r w:rsidR="0078352C" w:rsidRPr="003B44D7">
        <w:rPr>
          <w:rFonts w:cstheme="minorHAnsi"/>
          <w:sz w:val="24"/>
          <w:szCs w:val="24"/>
        </w:rPr>
        <w:t xml:space="preserve"> </w:t>
      </w:r>
      <w:r w:rsidR="00B472F5" w:rsidRPr="003B44D7">
        <w:rPr>
          <w:rFonts w:cstheme="minorHAnsi"/>
          <w:sz w:val="24"/>
          <w:szCs w:val="24"/>
        </w:rPr>
        <w:t>philosophy, tends to express itself as "parrhes</w:t>
      </w:r>
      <w:r w:rsidR="0078352C" w:rsidRPr="003B44D7">
        <w:rPr>
          <w:rFonts w:cstheme="minorHAnsi"/>
          <w:sz w:val="24"/>
          <w:szCs w:val="24"/>
        </w:rPr>
        <w:t xml:space="preserve">ia" - as speech that is not just </w:t>
      </w:r>
      <w:r w:rsidR="00B472F5" w:rsidRPr="003B44D7">
        <w:rPr>
          <w:rFonts w:cstheme="minorHAnsi"/>
          <w:sz w:val="24"/>
          <w:szCs w:val="24"/>
        </w:rPr>
        <w:t>about the sober expression of opinio</w:t>
      </w:r>
      <w:r w:rsidR="0078352C" w:rsidRPr="003B44D7">
        <w:rPr>
          <w:rFonts w:cstheme="minorHAnsi"/>
          <w:sz w:val="24"/>
          <w:szCs w:val="24"/>
        </w:rPr>
        <w:t xml:space="preserve">ns, but also about the free and </w:t>
      </w:r>
      <w:r w:rsidR="00B472F5" w:rsidRPr="003B44D7">
        <w:rPr>
          <w:rFonts w:cstheme="minorHAnsi"/>
          <w:sz w:val="24"/>
          <w:szCs w:val="24"/>
        </w:rPr>
        <w:t>a</w:t>
      </w:r>
      <w:r w:rsidR="0078352C" w:rsidRPr="003B44D7">
        <w:rPr>
          <w:rFonts w:cstheme="minorHAnsi"/>
          <w:sz w:val="24"/>
          <w:szCs w:val="24"/>
        </w:rPr>
        <w:t>ggressive display of disrespect.’</w:t>
      </w:r>
      <w:r w:rsidR="00830F1E" w:rsidRPr="003B44D7">
        <w:rPr>
          <w:rStyle w:val="FootnoteReference"/>
          <w:rFonts w:cstheme="minorHAnsi"/>
          <w:sz w:val="24"/>
          <w:szCs w:val="24"/>
        </w:rPr>
        <w:footnoteReference w:id="51"/>
      </w:r>
      <w:r w:rsidR="00830F1E" w:rsidRPr="003B44D7">
        <w:rPr>
          <w:rFonts w:cstheme="minorHAnsi"/>
          <w:sz w:val="24"/>
          <w:szCs w:val="24"/>
        </w:rPr>
        <w:t xml:space="preserve"> </w:t>
      </w:r>
    </w:p>
    <w:p w14:paraId="3221FDEA" w14:textId="77777777" w:rsidR="002A1796" w:rsidRPr="003B44D7" w:rsidRDefault="002A1796" w:rsidP="004E7EB4">
      <w:pPr>
        <w:autoSpaceDE w:val="0"/>
        <w:autoSpaceDN w:val="0"/>
        <w:adjustRightInd w:val="0"/>
        <w:spacing w:after="0" w:line="240" w:lineRule="auto"/>
        <w:jc w:val="both"/>
        <w:rPr>
          <w:rFonts w:cstheme="minorHAnsi"/>
          <w:sz w:val="24"/>
          <w:szCs w:val="24"/>
        </w:rPr>
      </w:pPr>
    </w:p>
    <w:p w14:paraId="5D16BCFE" w14:textId="36BEF873" w:rsidR="002509D7" w:rsidRPr="003B44D7" w:rsidRDefault="0078352C" w:rsidP="004E7EB4">
      <w:pPr>
        <w:autoSpaceDE w:val="0"/>
        <w:autoSpaceDN w:val="0"/>
        <w:adjustRightInd w:val="0"/>
        <w:spacing w:after="0" w:line="240" w:lineRule="auto"/>
        <w:jc w:val="both"/>
        <w:rPr>
          <w:rFonts w:cstheme="minorHAnsi"/>
          <w:color w:val="000000"/>
          <w:sz w:val="24"/>
          <w:szCs w:val="24"/>
        </w:rPr>
      </w:pPr>
      <w:r w:rsidRPr="003B44D7">
        <w:rPr>
          <w:rFonts w:cstheme="minorHAnsi"/>
          <w:sz w:val="24"/>
          <w:szCs w:val="24"/>
        </w:rPr>
        <w:lastRenderedPageBreak/>
        <w:t xml:space="preserve">Yet, much as </w:t>
      </w:r>
      <w:r w:rsidR="00A16941" w:rsidRPr="003B44D7">
        <w:rPr>
          <w:rFonts w:cstheme="minorHAnsi"/>
          <w:sz w:val="24"/>
          <w:szCs w:val="24"/>
        </w:rPr>
        <w:t>the First Amendment creates no room</w:t>
      </w:r>
      <w:r w:rsidRPr="003B44D7">
        <w:rPr>
          <w:rFonts w:cstheme="minorHAnsi"/>
          <w:sz w:val="24"/>
          <w:szCs w:val="24"/>
        </w:rPr>
        <w:t xml:space="preserve"> f</w:t>
      </w:r>
      <w:r w:rsidR="00932B32" w:rsidRPr="003B44D7">
        <w:rPr>
          <w:rFonts w:cstheme="minorHAnsi"/>
          <w:sz w:val="24"/>
          <w:szCs w:val="24"/>
        </w:rPr>
        <w:t>or prohibiting ‘</w:t>
      </w:r>
      <w:r w:rsidR="00042378" w:rsidRPr="003B44D7">
        <w:rPr>
          <w:rFonts w:cstheme="minorHAnsi"/>
          <w:sz w:val="24"/>
          <w:szCs w:val="24"/>
        </w:rPr>
        <w:t xml:space="preserve">aggressive displays </w:t>
      </w:r>
      <w:r w:rsidR="00932B32" w:rsidRPr="003B44D7">
        <w:rPr>
          <w:rFonts w:cstheme="minorHAnsi"/>
          <w:sz w:val="24"/>
          <w:szCs w:val="24"/>
        </w:rPr>
        <w:t>of disrespect</w:t>
      </w:r>
      <w:r w:rsidR="0043385D" w:rsidRPr="003B44D7">
        <w:rPr>
          <w:rFonts w:cstheme="minorHAnsi"/>
          <w:sz w:val="24"/>
          <w:szCs w:val="24"/>
        </w:rPr>
        <w:t xml:space="preserve">’ such as </w:t>
      </w:r>
      <w:r w:rsidR="00932B32" w:rsidRPr="003B44D7">
        <w:rPr>
          <w:rFonts w:cstheme="minorHAnsi"/>
          <w:sz w:val="24"/>
          <w:szCs w:val="24"/>
        </w:rPr>
        <w:t>hate speech,</w:t>
      </w:r>
      <w:r w:rsidRPr="003B44D7">
        <w:rPr>
          <w:rFonts w:cstheme="minorHAnsi"/>
          <w:sz w:val="24"/>
          <w:szCs w:val="24"/>
        </w:rPr>
        <w:t xml:space="preserve"> it does not </w:t>
      </w:r>
      <w:r w:rsidR="00D34711" w:rsidRPr="003B44D7">
        <w:rPr>
          <w:rFonts w:cstheme="minorHAnsi"/>
          <w:sz w:val="24"/>
          <w:szCs w:val="24"/>
        </w:rPr>
        <w:t>protect</w:t>
      </w:r>
      <w:r w:rsidRPr="003B44D7">
        <w:rPr>
          <w:rFonts w:cstheme="minorHAnsi"/>
          <w:sz w:val="24"/>
          <w:szCs w:val="24"/>
        </w:rPr>
        <w:t xml:space="preserve"> </w:t>
      </w:r>
      <w:r w:rsidR="00D34711" w:rsidRPr="003B44D7">
        <w:rPr>
          <w:rFonts w:cstheme="minorHAnsi"/>
          <w:sz w:val="24"/>
          <w:szCs w:val="24"/>
        </w:rPr>
        <w:t xml:space="preserve">such </w:t>
      </w:r>
      <w:r w:rsidR="00C27E7C" w:rsidRPr="003B44D7">
        <w:rPr>
          <w:rFonts w:cstheme="minorHAnsi"/>
          <w:sz w:val="24"/>
          <w:szCs w:val="24"/>
        </w:rPr>
        <w:t xml:space="preserve">disrespectful </w:t>
      </w:r>
      <w:r w:rsidR="00A16941" w:rsidRPr="003B44D7">
        <w:rPr>
          <w:rFonts w:cstheme="minorHAnsi"/>
          <w:sz w:val="24"/>
          <w:szCs w:val="24"/>
        </w:rPr>
        <w:t xml:space="preserve">speech </w:t>
      </w:r>
      <w:r w:rsidR="00A71A9F" w:rsidRPr="003B44D7">
        <w:rPr>
          <w:rFonts w:cstheme="minorHAnsi"/>
          <w:sz w:val="24"/>
          <w:szCs w:val="24"/>
        </w:rPr>
        <w:t>from</w:t>
      </w:r>
      <w:r w:rsidR="00A8292F" w:rsidRPr="003B44D7">
        <w:rPr>
          <w:rFonts w:cstheme="minorHAnsi"/>
          <w:sz w:val="24"/>
          <w:szCs w:val="24"/>
        </w:rPr>
        <w:t xml:space="preserve"> </w:t>
      </w:r>
      <w:r w:rsidR="00D34711" w:rsidRPr="003B44D7">
        <w:rPr>
          <w:rFonts w:cstheme="minorHAnsi"/>
          <w:sz w:val="24"/>
          <w:szCs w:val="24"/>
        </w:rPr>
        <w:t>being</w:t>
      </w:r>
      <w:r w:rsidR="007B2249" w:rsidRPr="003B44D7">
        <w:rPr>
          <w:rFonts w:cstheme="minorHAnsi"/>
          <w:sz w:val="24"/>
          <w:szCs w:val="24"/>
        </w:rPr>
        <w:t xml:space="preserve"> </w:t>
      </w:r>
      <w:r w:rsidR="003C3834" w:rsidRPr="003B44D7">
        <w:rPr>
          <w:rFonts w:cstheme="minorHAnsi"/>
          <w:sz w:val="24"/>
          <w:szCs w:val="24"/>
        </w:rPr>
        <w:t xml:space="preserve">removed </w:t>
      </w:r>
      <w:r w:rsidR="007B2249" w:rsidRPr="003B44D7">
        <w:rPr>
          <w:rFonts w:cstheme="minorHAnsi"/>
          <w:sz w:val="24"/>
          <w:szCs w:val="24"/>
        </w:rPr>
        <w:t xml:space="preserve">by </w:t>
      </w:r>
      <w:r w:rsidR="007B2249" w:rsidRPr="003B44D7">
        <w:rPr>
          <w:rFonts w:cstheme="minorHAnsi"/>
          <w:i/>
          <w:sz w:val="24"/>
          <w:szCs w:val="24"/>
        </w:rPr>
        <w:t>private</w:t>
      </w:r>
      <w:r w:rsidR="007B2249" w:rsidRPr="003B44D7">
        <w:rPr>
          <w:rFonts w:cstheme="minorHAnsi"/>
          <w:sz w:val="24"/>
          <w:szCs w:val="24"/>
        </w:rPr>
        <w:t xml:space="preserve"> act</w:t>
      </w:r>
      <w:r w:rsidR="008B22A8" w:rsidRPr="003B44D7">
        <w:rPr>
          <w:rFonts w:cstheme="minorHAnsi"/>
          <w:sz w:val="24"/>
          <w:szCs w:val="24"/>
        </w:rPr>
        <w:t xml:space="preserve">ors. The right of private gatekeepers to </w:t>
      </w:r>
      <w:r w:rsidR="003C3834" w:rsidRPr="003B44D7">
        <w:rPr>
          <w:rFonts w:cstheme="minorHAnsi"/>
          <w:sz w:val="24"/>
          <w:szCs w:val="24"/>
        </w:rPr>
        <w:t xml:space="preserve">edit </w:t>
      </w:r>
      <w:r w:rsidR="008B22A8" w:rsidRPr="003B44D7">
        <w:rPr>
          <w:rFonts w:cstheme="minorHAnsi"/>
          <w:sz w:val="24"/>
          <w:szCs w:val="24"/>
        </w:rPr>
        <w:t>as they please is protected by the First Amendment, and editorial oversight is</w:t>
      </w:r>
      <w:r w:rsidR="00046170">
        <w:rPr>
          <w:rFonts w:cstheme="minorHAnsi"/>
          <w:sz w:val="24"/>
          <w:szCs w:val="24"/>
        </w:rPr>
        <w:t xml:space="preserve"> often implicitly</w:t>
      </w:r>
      <w:r w:rsidR="008B22A8" w:rsidRPr="003B44D7">
        <w:rPr>
          <w:rFonts w:cstheme="minorHAnsi"/>
          <w:sz w:val="24"/>
          <w:szCs w:val="24"/>
        </w:rPr>
        <w:t xml:space="preserve"> encouraged by the law.</w:t>
      </w:r>
      <w:r w:rsidR="00130DEC" w:rsidRPr="003B44D7">
        <w:rPr>
          <w:rStyle w:val="FootnoteReference"/>
          <w:rFonts w:cstheme="minorHAnsi"/>
          <w:sz w:val="24"/>
          <w:szCs w:val="24"/>
        </w:rPr>
        <w:footnoteReference w:id="52"/>
      </w:r>
      <w:r w:rsidR="008B22A8" w:rsidRPr="003B44D7">
        <w:rPr>
          <w:rFonts w:cstheme="minorHAnsi"/>
          <w:sz w:val="24"/>
          <w:szCs w:val="24"/>
        </w:rPr>
        <w:t xml:space="preserve"> </w:t>
      </w:r>
      <w:r w:rsidR="0068729E" w:rsidRPr="003B44D7">
        <w:rPr>
          <w:rFonts w:cstheme="minorHAnsi"/>
          <w:sz w:val="24"/>
          <w:szCs w:val="24"/>
        </w:rPr>
        <w:t>In other words, the American speech regime</w:t>
      </w:r>
      <w:r w:rsidR="00D21613" w:rsidRPr="003B44D7">
        <w:rPr>
          <w:rFonts w:cstheme="minorHAnsi"/>
          <w:sz w:val="24"/>
          <w:szCs w:val="24"/>
        </w:rPr>
        <w:t xml:space="preserve"> is not concerned with the presence or absence of particular kinds of speech in the public domain</w:t>
      </w:r>
      <w:r w:rsidR="008B345F" w:rsidRPr="003B44D7">
        <w:rPr>
          <w:rFonts w:cstheme="minorHAnsi"/>
          <w:sz w:val="24"/>
          <w:szCs w:val="24"/>
        </w:rPr>
        <w:t>; it</w:t>
      </w:r>
      <w:r w:rsidR="00A16941" w:rsidRPr="003B44D7">
        <w:rPr>
          <w:rFonts w:cstheme="minorHAnsi"/>
          <w:sz w:val="24"/>
          <w:szCs w:val="24"/>
        </w:rPr>
        <w:t xml:space="preserve"> simply</w:t>
      </w:r>
      <w:r w:rsidR="0068729E" w:rsidRPr="003B44D7">
        <w:rPr>
          <w:rFonts w:cstheme="minorHAnsi"/>
          <w:sz w:val="24"/>
          <w:szCs w:val="24"/>
        </w:rPr>
        <w:t xml:space="preserve"> takes</w:t>
      </w:r>
      <w:r w:rsidR="00A16941" w:rsidRPr="003B44D7">
        <w:rPr>
          <w:rFonts w:cstheme="minorHAnsi"/>
          <w:sz w:val="24"/>
          <w:szCs w:val="24"/>
        </w:rPr>
        <w:t xml:space="preserve"> the State out of the equation</w:t>
      </w:r>
      <w:r w:rsidR="00A71A9F" w:rsidRPr="003B44D7">
        <w:rPr>
          <w:rFonts w:cstheme="minorHAnsi"/>
          <w:sz w:val="24"/>
          <w:szCs w:val="24"/>
        </w:rPr>
        <w:t xml:space="preserve"> in dealing with speech</w:t>
      </w:r>
      <w:r w:rsidR="007F349F" w:rsidRPr="003B44D7">
        <w:rPr>
          <w:rFonts w:cstheme="minorHAnsi"/>
          <w:sz w:val="24"/>
          <w:szCs w:val="24"/>
        </w:rPr>
        <w:t xml:space="preserve"> based on a ‘</w:t>
      </w:r>
      <w:r w:rsidR="00DC5569" w:rsidRPr="003B44D7">
        <w:rPr>
          <w:rFonts w:cstheme="minorHAnsi"/>
          <w:sz w:val="24"/>
          <w:szCs w:val="24"/>
        </w:rPr>
        <w:t>s</w:t>
      </w:r>
      <w:r w:rsidR="00650E82">
        <w:rPr>
          <w:rFonts w:cstheme="minorHAnsi"/>
          <w:sz w:val="24"/>
          <w:szCs w:val="24"/>
        </w:rPr>
        <w:t>k</w:t>
      </w:r>
      <w:r w:rsidR="00DC5569" w:rsidRPr="003B44D7">
        <w:rPr>
          <w:rFonts w:cstheme="minorHAnsi"/>
          <w:sz w:val="24"/>
          <w:szCs w:val="24"/>
        </w:rPr>
        <w:t xml:space="preserve">epticism about the ability of any governmental institution </w:t>
      </w:r>
      <w:r w:rsidR="00650E82">
        <w:rPr>
          <w:rFonts w:cstheme="minorHAnsi"/>
          <w:sz w:val="24"/>
          <w:szCs w:val="24"/>
        </w:rPr>
        <w:t xml:space="preserve">reliably </w:t>
      </w:r>
      <w:r w:rsidR="00DC5569" w:rsidRPr="003B44D7">
        <w:rPr>
          <w:rFonts w:cstheme="minorHAnsi"/>
          <w:sz w:val="24"/>
          <w:szCs w:val="24"/>
        </w:rPr>
        <w:t>to distinguish the good from the bad, the true form the false, and the sound from the unsound</w:t>
      </w:r>
      <w:r w:rsidR="007F349F" w:rsidRPr="003B44D7">
        <w:rPr>
          <w:rFonts w:cstheme="minorHAnsi"/>
          <w:sz w:val="24"/>
          <w:szCs w:val="24"/>
        </w:rPr>
        <w:t>..</w:t>
      </w:r>
      <w:r w:rsidR="00DC5569" w:rsidRPr="003B44D7">
        <w:rPr>
          <w:rFonts w:cstheme="minorHAnsi"/>
          <w:sz w:val="24"/>
          <w:szCs w:val="24"/>
        </w:rPr>
        <w:t>.’</w:t>
      </w:r>
      <w:r w:rsidR="00957AF0" w:rsidRPr="003B44D7">
        <w:rPr>
          <w:rStyle w:val="FootnoteReference"/>
          <w:rFonts w:cstheme="minorHAnsi"/>
          <w:sz w:val="24"/>
          <w:szCs w:val="24"/>
        </w:rPr>
        <w:footnoteReference w:id="53"/>
      </w:r>
      <w:r w:rsidR="00DC5569" w:rsidRPr="003B44D7">
        <w:rPr>
          <w:rFonts w:cstheme="minorHAnsi"/>
          <w:sz w:val="24"/>
          <w:szCs w:val="24"/>
        </w:rPr>
        <w:t xml:space="preserve"> </w:t>
      </w:r>
      <w:r w:rsidR="00082B12" w:rsidRPr="003B44D7">
        <w:rPr>
          <w:rFonts w:cstheme="minorHAnsi"/>
          <w:sz w:val="24"/>
          <w:szCs w:val="24"/>
        </w:rPr>
        <w:t xml:space="preserve">So </w:t>
      </w:r>
      <w:r w:rsidR="00DC5569" w:rsidRPr="003B44D7">
        <w:rPr>
          <w:rFonts w:cstheme="minorHAnsi"/>
          <w:sz w:val="24"/>
          <w:szCs w:val="24"/>
        </w:rPr>
        <w:t>its</w:t>
      </w:r>
      <w:r w:rsidR="00932B32" w:rsidRPr="003B44D7">
        <w:rPr>
          <w:rFonts w:cstheme="minorHAnsi"/>
          <w:sz w:val="24"/>
          <w:szCs w:val="24"/>
        </w:rPr>
        <w:t xml:space="preserve"> </w:t>
      </w:r>
      <w:r w:rsidR="007B2249" w:rsidRPr="003B44D7">
        <w:rPr>
          <w:rFonts w:cstheme="minorHAnsi"/>
          <w:sz w:val="24"/>
          <w:szCs w:val="24"/>
        </w:rPr>
        <w:t>primary concern lies</w:t>
      </w:r>
      <w:r w:rsidR="00CB580B" w:rsidRPr="003B44D7">
        <w:rPr>
          <w:rFonts w:cstheme="minorHAnsi"/>
          <w:sz w:val="24"/>
          <w:szCs w:val="24"/>
        </w:rPr>
        <w:t xml:space="preserve"> </w:t>
      </w:r>
      <w:r w:rsidR="00932B32" w:rsidRPr="003B44D7">
        <w:rPr>
          <w:rFonts w:cstheme="minorHAnsi"/>
          <w:sz w:val="24"/>
          <w:szCs w:val="24"/>
        </w:rPr>
        <w:t>in</w:t>
      </w:r>
      <w:r w:rsidR="007B2249" w:rsidRPr="003B44D7">
        <w:rPr>
          <w:rFonts w:cstheme="minorHAnsi"/>
          <w:sz w:val="24"/>
          <w:szCs w:val="24"/>
        </w:rPr>
        <w:t xml:space="preserve"> guarding </w:t>
      </w:r>
      <w:r w:rsidR="00870089" w:rsidRPr="003B44D7">
        <w:rPr>
          <w:rFonts w:cstheme="minorHAnsi"/>
          <w:sz w:val="24"/>
          <w:szCs w:val="24"/>
        </w:rPr>
        <w:t xml:space="preserve">against government </w:t>
      </w:r>
      <w:r w:rsidR="0068729E" w:rsidRPr="003B44D7">
        <w:rPr>
          <w:rFonts w:cstheme="minorHAnsi"/>
          <w:sz w:val="24"/>
          <w:szCs w:val="24"/>
        </w:rPr>
        <w:t xml:space="preserve">interventions, particularly where it would involve government </w:t>
      </w:r>
      <w:r w:rsidR="00870089" w:rsidRPr="003B44D7">
        <w:rPr>
          <w:rFonts w:cstheme="minorHAnsi"/>
          <w:sz w:val="24"/>
          <w:szCs w:val="24"/>
        </w:rPr>
        <w:t>taking</w:t>
      </w:r>
      <w:r w:rsidR="009A115A" w:rsidRPr="003B44D7">
        <w:rPr>
          <w:rFonts w:cstheme="minorHAnsi"/>
          <w:sz w:val="24"/>
          <w:szCs w:val="24"/>
        </w:rPr>
        <w:t xml:space="preserve"> sides </w:t>
      </w:r>
      <w:r w:rsidR="0068729E" w:rsidRPr="003B44D7">
        <w:rPr>
          <w:rFonts w:cstheme="minorHAnsi"/>
          <w:sz w:val="24"/>
          <w:szCs w:val="24"/>
        </w:rPr>
        <w:t>on what is good or bad speech</w:t>
      </w:r>
      <w:r w:rsidR="00A8292F" w:rsidRPr="003B44D7">
        <w:rPr>
          <w:rFonts w:cstheme="minorHAnsi"/>
          <w:sz w:val="24"/>
          <w:szCs w:val="24"/>
        </w:rPr>
        <w:t>:</w:t>
      </w:r>
      <w:r w:rsidR="00CB580B" w:rsidRPr="003B44D7">
        <w:rPr>
          <w:rStyle w:val="FootnoteReference"/>
          <w:rFonts w:cstheme="minorHAnsi"/>
          <w:sz w:val="24"/>
          <w:szCs w:val="24"/>
        </w:rPr>
        <w:footnoteReference w:id="54"/>
      </w:r>
      <w:r w:rsidR="00A71A9F" w:rsidRPr="003B44D7">
        <w:rPr>
          <w:rFonts w:cstheme="minorHAnsi"/>
          <w:sz w:val="24"/>
          <w:szCs w:val="24"/>
        </w:rPr>
        <w:t xml:space="preserve"> </w:t>
      </w:r>
      <w:r w:rsidR="00870089" w:rsidRPr="003B44D7">
        <w:rPr>
          <w:rFonts w:cstheme="minorHAnsi"/>
          <w:sz w:val="24"/>
          <w:szCs w:val="24"/>
        </w:rPr>
        <w:t>‘The leitmotif of contemporary American free speech doctrine is its intensive hostility to the content-based regulation</w:t>
      </w:r>
      <w:r w:rsidR="00957AF0" w:rsidRPr="003B44D7">
        <w:rPr>
          <w:rFonts w:cstheme="minorHAnsi"/>
          <w:sz w:val="24"/>
          <w:szCs w:val="24"/>
        </w:rPr>
        <w:t xml:space="preserve"> of public discourse</w:t>
      </w:r>
      <w:r w:rsidR="0068729E" w:rsidRPr="003B44D7">
        <w:rPr>
          <w:rFonts w:cstheme="minorHAnsi"/>
          <w:sz w:val="24"/>
          <w:szCs w:val="24"/>
        </w:rPr>
        <w:t>.</w:t>
      </w:r>
      <w:r w:rsidR="00870089" w:rsidRPr="003B44D7">
        <w:rPr>
          <w:rFonts w:cstheme="minorHAnsi"/>
          <w:sz w:val="24"/>
          <w:szCs w:val="24"/>
        </w:rPr>
        <w:t>’</w:t>
      </w:r>
      <w:r w:rsidR="00870089" w:rsidRPr="003B44D7">
        <w:rPr>
          <w:rStyle w:val="FootnoteReference"/>
          <w:rFonts w:cstheme="minorHAnsi"/>
          <w:sz w:val="24"/>
          <w:szCs w:val="24"/>
        </w:rPr>
        <w:footnoteReference w:id="55"/>
      </w:r>
      <w:r w:rsidR="00C21AD7" w:rsidRPr="003B44D7">
        <w:rPr>
          <w:rFonts w:cstheme="minorHAnsi"/>
          <w:sz w:val="24"/>
          <w:szCs w:val="24"/>
        </w:rPr>
        <w:t xml:space="preserve"> T</w:t>
      </w:r>
      <w:r w:rsidR="00957AF0" w:rsidRPr="003B44D7">
        <w:rPr>
          <w:rFonts w:cstheme="minorHAnsi"/>
          <w:sz w:val="24"/>
          <w:szCs w:val="24"/>
        </w:rPr>
        <w:t xml:space="preserve">he </w:t>
      </w:r>
      <w:r w:rsidR="00870089" w:rsidRPr="003B44D7">
        <w:rPr>
          <w:rFonts w:cstheme="minorHAnsi"/>
          <w:sz w:val="24"/>
          <w:szCs w:val="24"/>
        </w:rPr>
        <w:t xml:space="preserve">least tolerated </w:t>
      </w:r>
      <w:r w:rsidR="00957AF0" w:rsidRPr="003B44D7">
        <w:rPr>
          <w:rFonts w:cstheme="minorHAnsi"/>
          <w:sz w:val="24"/>
          <w:szCs w:val="24"/>
        </w:rPr>
        <w:t xml:space="preserve">content </w:t>
      </w:r>
      <w:r w:rsidR="00870089" w:rsidRPr="003B44D7">
        <w:rPr>
          <w:rFonts w:cstheme="minorHAnsi"/>
          <w:sz w:val="24"/>
          <w:szCs w:val="24"/>
        </w:rPr>
        <w:t>regulation</w:t>
      </w:r>
      <w:r w:rsidR="00C21AD7" w:rsidRPr="003B44D7">
        <w:rPr>
          <w:rFonts w:cstheme="minorHAnsi"/>
          <w:sz w:val="24"/>
          <w:szCs w:val="24"/>
        </w:rPr>
        <w:t>, in turn,</w:t>
      </w:r>
      <w:r w:rsidR="00870089" w:rsidRPr="003B44D7">
        <w:rPr>
          <w:rFonts w:cstheme="minorHAnsi"/>
          <w:sz w:val="24"/>
          <w:szCs w:val="24"/>
        </w:rPr>
        <w:t xml:space="preserve"> is one that engages in </w:t>
      </w:r>
      <w:r w:rsidR="00766F81" w:rsidRPr="003B44D7">
        <w:rPr>
          <w:rFonts w:cstheme="minorHAnsi"/>
          <w:sz w:val="24"/>
          <w:szCs w:val="24"/>
        </w:rPr>
        <w:t>viewpoint discrimination</w:t>
      </w:r>
      <w:r w:rsidR="00957AF0" w:rsidRPr="003B44D7">
        <w:rPr>
          <w:rFonts w:cstheme="minorHAnsi"/>
          <w:sz w:val="24"/>
          <w:szCs w:val="24"/>
        </w:rPr>
        <w:t>, that is a speech prohibition not just based on the content</w:t>
      </w:r>
      <w:r w:rsidR="00A8292F" w:rsidRPr="003B44D7">
        <w:rPr>
          <w:rFonts w:cstheme="minorHAnsi"/>
          <w:sz w:val="24"/>
          <w:szCs w:val="24"/>
        </w:rPr>
        <w:t xml:space="preserve"> of the message, but on its</w:t>
      </w:r>
      <w:r w:rsidR="00957AF0" w:rsidRPr="003B44D7">
        <w:rPr>
          <w:rFonts w:cstheme="minorHAnsi"/>
          <w:sz w:val="24"/>
          <w:szCs w:val="24"/>
        </w:rPr>
        <w:t xml:space="preserve"> ideological perspective</w:t>
      </w:r>
      <w:r w:rsidR="00E84B38" w:rsidRPr="003B44D7">
        <w:rPr>
          <w:rFonts w:cstheme="minorHAnsi"/>
          <w:sz w:val="24"/>
          <w:szCs w:val="24"/>
        </w:rPr>
        <w:t>:</w:t>
      </w:r>
      <w:r w:rsidR="004C658F" w:rsidRPr="003B44D7">
        <w:rPr>
          <w:rFonts w:cstheme="minorHAnsi"/>
          <w:sz w:val="24"/>
          <w:szCs w:val="24"/>
        </w:rPr>
        <w:t xml:space="preserve"> ‘the American understanding is that principles of freedom of speech do not permit government to distinguish protected from unprotected speech on the basis </w:t>
      </w:r>
      <w:r w:rsidR="00870089" w:rsidRPr="003B44D7">
        <w:rPr>
          <w:rFonts w:cstheme="minorHAnsi"/>
          <w:sz w:val="24"/>
          <w:szCs w:val="24"/>
        </w:rPr>
        <w:t>of the point of view espoused.’</w:t>
      </w:r>
      <w:r w:rsidR="004C658F" w:rsidRPr="003B44D7">
        <w:rPr>
          <w:rStyle w:val="FootnoteReference"/>
          <w:rFonts w:cstheme="minorHAnsi"/>
          <w:sz w:val="24"/>
          <w:szCs w:val="24"/>
        </w:rPr>
        <w:footnoteReference w:id="56"/>
      </w:r>
      <w:r w:rsidR="0043385D" w:rsidRPr="003B44D7">
        <w:rPr>
          <w:rFonts w:cstheme="minorHAnsi"/>
          <w:sz w:val="24"/>
          <w:szCs w:val="24"/>
        </w:rPr>
        <w:t xml:space="preserve"> </w:t>
      </w:r>
      <w:r w:rsidR="00957AF0" w:rsidRPr="003B44D7">
        <w:rPr>
          <w:rFonts w:cstheme="minorHAnsi"/>
          <w:sz w:val="24"/>
          <w:szCs w:val="24"/>
        </w:rPr>
        <w:t>The</w:t>
      </w:r>
      <w:r w:rsidR="0043385D" w:rsidRPr="003B44D7">
        <w:rPr>
          <w:rFonts w:cstheme="minorHAnsi"/>
          <w:sz w:val="24"/>
          <w:szCs w:val="24"/>
        </w:rPr>
        <w:t xml:space="preserve"> government</w:t>
      </w:r>
      <w:r w:rsidR="00A8292F" w:rsidRPr="003B44D7">
        <w:rPr>
          <w:rFonts w:cstheme="minorHAnsi"/>
          <w:sz w:val="24"/>
          <w:szCs w:val="24"/>
        </w:rPr>
        <w:t xml:space="preserve"> must, by and large,</w:t>
      </w:r>
      <w:r w:rsidR="00A8292F" w:rsidRPr="003B44D7">
        <w:rPr>
          <w:rStyle w:val="FootnoteReference"/>
          <w:rFonts w:cstheme="minorHAnsi"/>
          <w:sz w:val="24"/>
          <w:szCs w:val="24"/>
        </w:rPr>
        <w:footnoteReference w:id="57"/>
      </w:r>
      <w:r w:rsidR="00A8292F" w:rsidRPr="003B44D7">
        <w:rPr>
          <w:rFonts w:cstheme="minorHAnsi"/>
          <w:sz w:val="24"/>
          <w:szCs w:val="24"/>
        </w:rPr>
        <w:t xml:space="preserve"> </w:t>
      </w:r>
      <w:r w:rsidR="00A63A9A" w:rsidRPr="003B44D7">
        <w:rPr>
          <w:rFonts w:cstheme="minorHAnsi"/>
          <w:sz w:val="24"/>
          <w:szCs w:val="24"/>
        </w:rPr>
        <w:t>stay</w:t>
      </w:r>
      <w:r w:rsidR="0043385D" w:rsidRPr="003B44D7">
        <w:rPr>
          <w:rFonts w:cstheme="minorHAnsi"/>
          <w:sz w:val="24"/>
          <w:szCs w:val="24"/>
        </w:rPr>
        <w:t xml:space="preserve"> on the sidelines o</w:t>
      </w:r>
      <w:r w:rsidR="00130DEC" w:rsidRPr="003B44D7">
        <w:rPr>
          <w:rFonts w:cstheme="minorHAnsi"/>
          <w:sz w:val="24"/>
          <w:szCs w:val="24"/>
        </w:rPr>
        <w:t xml:space="preserve">f </w:t>
      </w:r>
      <w:r w:rsidR="00D21613" w:rsidRPr="003B44D7">
        <w:rPr>
          <w:rFonts w:cstheme="minorHAnsi"/>
          <w:sz w:val="24"/>
          <w:szCs w:val="24"/>
        </w:rPr>
        <w:t>public discourse</w:t>
      </w:r>
      <w:r w:rsidR="0043385D" w:rsidRPr="003B44D7">
        <w:rPr>
          <w:rFonts w:cstheme="minorHAnsi"/>
          <w:sz w:val="24"/>
          <w:szCs w:val="24"/>
        </w:rPr>
        <w:t xml:space="preserve">, which entails forbearance even where it considers </w:t>
      </w:r>
      <w:r w:rsidR="00A63A9A" w:rsidRPr="003B44D7">
        <w:rPr>
          <w:rFonts w:cstheme="minorHAnsi"/>
          <w:sz w:val="24"/>
          <w:szCs w:val="24"/>
        </w:rPr>
        <w:t xml:space="preserve">the speech bad. In the words of Justice Scalia in </w:t>
      </w:r>
      <w:r w:rsidR="00A63A9A" w:rsidRPr="003B44D7">
        <w:rPr>
          <w:rFonts w:cstheme="minorHAnsi"/>
          <w:i/>
          <w:color w:val="000000"/>
          <w:sz w:val="24"/>
          <w:szCs w:val="24"/>
        </w:rPr>
        <w:t xml:space="preserve">RAV v City of St Paul </w:t>
      </w:r>
      <w:r w:rsidR="00A63A9A" w:rsidRPr="003B44D7">
        <w:rPr>
          <w:rFonts w:cstheme="minorHAnsi"/>
          <w:color w:val="000000"/>
          <w:sz w:val="24"/>
          <w:szCs w:val="24"/>
        </w:rPr>
        <w:t>(1992)</w:t>
      </w:r>
      <w:r w:rsidR="00646A06" w:rsidRPr="003B44D7">
        <w:rPr>
          <w:rFonts w:cstheme="minorHAnsi"/>
          <w:color w:val="000000"/>
          <w:sz w:val="24"/>
          <w:szCs w:val="24"/>
        </w:rPr>
        <w:t>:</w:t>
      </w:r>
      <w:r w:rsidR="00B635A6" w:rsidRPr="003B44D7">
        <w:rPr>
          <w:rStyle w:val="FootnoteReference"/>
          <w:rFonts w:cstheme="minorHAnsi"/>
          <w:color w:val="000000"/>
          <w:sz w:val="24"/>
          <w:szCs w:val="24"/>
        </w:rPr>
        <w:footnoteReference w:id="58"/>
      </w:r>
      <w:r w:rsidR="00870089" w:rsidRPr="003B44D7">
        <w:rPr>
          <w:rFonts w:cstheme="minorHAnsi"/>
          <w:color w:val="000000"/>
          <w:sz w:val="24"/>
          <w:szCs w:val="24"/>
        </w:rPr>
        <w:t xml:space="preserve"> </w:t>
      </w:r>
      <w:r w:rsidR="00870089" w:rsidRPr="003B44D7">
        <w:rPr>
          <w:rStyle w:val="FootnoteReference"/>
          <w:rFonts w:cstheme="minorHAnsi"/>
          <w:sz w:val="24"/>
          <w:szCs w:val="24"/>
        </w:rPr>
        <w:t>‘</w:t>
      </w:r>
      <w:r w:rsidR="00A63A9A" w:rsidRPr="003B44D7">
        <w:rPr>
          <w:rFonts w:cstheme="minorHAnsi"/>
          <w:sz w:val="24"/>
          <w:szCs w:val="24"/>
        </w:rPr>
        <w:t>Let there be no mistake about our belief that burning a cross in someone’s front yard is reprehensible. But St. Paul has sufficient means at its disposal to prevent such behaviour without adding the First Amendment to the fire.’</w:t>
      </w:r>
      <w:r w:rsidR="00A63A9A" w:rsidRPr="003B44D7">
        <w:rPr>
          <w:rStyle w:val="FootnoteReference"/>
          <w:rFonts w:cstheme="minorHAnsi"/>
          <w:sz w:val="24"/>
          <w:szCs w:val="24"/>
        </w:rPr>
        <w:footnoteReference w:id="59"/>
      </w:r>
      <w:r w:rsidR="009A115A" w:rsidRPr="003B44D7">
        <w:rPr>
          <w:rFonts w:cstheme="minorHAnsi"/>
          <w:sz w:val="24"/>
          <w:szCs w:val="24"/>
        </w:rPr>
        <w:t xml:space="preserve"> </w:t>
      </w:r>
      <w:r w:rsidR="00DC5569" w:rsidRPr="003B44D7">
        <w:rPr>
          <w:rFonts w:cstheme="minorHAnsi"/>
          <w:sz w:val="24"/>
          <w:szCs w:val="24"/>
        </w:rPr>
        <w:t xml:space="preserve">The </w:t>
      </w:r>
      <w:r w:rsidR="00957AF0" w:rsidRPr="003B44D7">
        <w:rPr>
          <w:rFonts w:cstheme="minorHAnsi"/>
          <w:sz w:val="24"/>
          <w:szCs w:val="24"/>
        </w:rPr>
        <w:t>State</w:t>
      </w:r>
      <w:r w:rsidR="009A115A" w:rsidRPr="003B44D7">
        <w:rPr>
          <w:rFonts w:cstheme="minorHAnsi"/>
          <w:sz w:val="24"/>
          <w:szCs w:val="24"/>
        </w:rPr>
        <w:t xml:space="preserve"> had other avenues</w:t>
      </w:r>
      <w:r w:rsidR="00EB17F8" w:rsidRPr="003B44D7">
        <w:rPr>
          <w:rFonts w:cstheme="minorHAnsi"/>
          <w:sz w:val="24"/>
          <w:szCs w:val="24"/>
        </w:rPr>
        <w:t xml:space="preserve"> for dealing with the behaviour, </w:t>
      </w:r>
      <w:proofErr w:type="gramStart"/>
      <w:r w:rsidR="00D83513" w:rsidRPr="003B44D7">
        <w:rPr>
          <w:rFonts w:cstheme="minorHAnsi"/>
          <w:sz w:val="24"/>
          <w:szCs w:val="24"/>
        </w:rPr>
        <w:t>e.g.</w:t>
      </w:r>
      <w:proofErr w:type="gramEnd"/>
      <w:r w:rsidR="00EB17F8" w:rsidRPr="003B44D7">
        <w:rPr>
          <w:rFonts w:cstheme="minorHAnsi"/>
          <w:sz w:val="24"/>
          <w:szCs w:val="24"/>
        </w:rPr>
        <w:t xml:space="preserve"> arson or trespass,</w:t>
      </w:r>
      <w:r w:rsidR="00DC5569" w:rsidRPr="003B44D7">
        <w:rPr>
          <w:rFonts w:cstheme="minorHAnsi"/>
          <w:sz w:val="24"/>
          <w:szCs w:val="24"/>
        </w:rPr>
        <w:t xml:space="preserve"> without the need for passing judgment on its communicative content. </w:t>
      </w:r>
      <w:r w:rsidR="00082B12" w:rsidRPr="003B44D7">
        <w:rPr>
          <w:rFonts w:cstheme="minorHAnsi"/>
          <w:sz w:val="24"/>
          <w:szCs w:val="24"/>
        </w:rPr>
        <w:t>Justice</w:t>
      </w:r>
      <w:r w:rsidR="00633698" w:rsidRPr="003B44D7">
        <w:rPr>
          <w:rFonts w:cstheme="minorHAnsi"/>
          <w:sz w:val="24"/>
          <w:szCs w:val="24"/>
        </w:rPr>
        <w:t xml:space="preserve"> Harlan</w:t>
      </w:r>
      <w:r w:rsidR="00082B12" w:rsidRPr="003B44D7">
        <w:rPr>
          <w:rFonts w:cstheme="minorHAnsi"/>
          <w:sz w:val="24"/>
          <w:szCs w:val="24"/>
        </w:rPr>
        <w:t xml:space="preserve"> in </w:t>
      </w:r>
      <w:r w:rsidR="00082B12" w:rsidRPr="003B44D7">
        <w:rPr>
          <w:rStyle w:val="Emphasis"/>
          <w:rFonts w:cstheme="minorHAnsi"/>
          <w:sz w:val="24"/>
          <w:szCs w:val="24"/>
        </w:rPr>
        <w:t>Cohen v</w:t>
      </w:r>
      <w:r w:rsidR="00082B12" w:rsidRPr="003B44D7">
        <w:rPr>
          <w:rFonts w:cstheme="minorHAnsi"/>
          <w:sz w:val="24"/>
          <w:szCs w:val="24"/>
        </w:rPr>
        <w:t xml:space="preserve"> </w:t>
      </w:r>
      <w:r w:rsidR="00082B12" w:rsidRPr="003B44D7">
        <w:rPr>
          <w:rStyle w:val="Emphasis"/>
          <w:rFonts w:cstheme="minorHAnsi"/>
          <w:sz w:val="24"/>
          <w:szCs w:val="24"/>
        </w:rPr>
        <w:t>California</w:t>
      </w:r>
      <w:r w:rsidR="00082B12" w:rsidRPr="003B44D7">
        <w:rPr>
          <w:rFonts w:cstheme="minorHAnsi"/>
          <w:sz w:val="24"/>
          <w:szCs w:val="24"/>
        </w:rPr>
        <w:t xml:space="preserve"> (1971)</w:t>
      </w:r>
      <w:r w:rsidR="00082B12" w:rsidRPr="003B44D7">
        <w:rPr>
          <w:rStyle w:val="FootnoteReference"/>
          <w:rFonts w:cstheme="minorHAnsi"/>
          <w:sz w:val="24"/>
          <w:szCs w:val="24"/>
        </w:rPr>
        <w:footnoteReference w:id="60"/>
      </w:r>
      <w:r w:rsidR="00082B12" w:rsidRPr="003B44D7">
        <w:rPr>
          <w:rFonts w:cstheme="minorHAnsi"/>
          <w:sz w:val="24"/>
          <w:szCs w:val="24"/>
        </w:rPr>
        <w:t xml:space="preserve"> rested the positive case for the First Amendment </w:t>
      </w:r>
      <w:r w:rsidR="00D21613" w:rsidRPr="003B44D7">
        <w:rPr>
          <w:rFonts w:cstheme="minorHAnsi"/>
          <w:sz w:val="24"/>
          <w:szCs w:val="24"/>
        </w:rPr>
        <w:t>absolutism</w:t>
      </w:r>
      <w:r w:rsidR="00082B12" w:rsidRPr="003B44D7">
        <w:rPr>
          <w:rFonts w:cstheme="minorHAnsi"/>
          <w:sz w:val="24"/>
          <w:szCs w:val="24"/>
        </w:rPr>
        <w:t xml:space="preserve">, </w:t>
      </w:r>
      <w:r w:rsidR="00633698" w:rsidRPr="003B44D7">
        <w:rPr>
          <w:rFonts w:cstheme="minorHAnsi"/>
          <w:sz w:val="24"/>
          <w:szCs w:val="24"/>
        </w:rPr>
        <w:t>on the one hand, on it being a ‘powerful medicine in a society as diverse and populous as ours’</w:t>
      </w:r>
      <w:r w:rsidR="00633698" w:rsidRPr="003B44D7">
        <w:rPr>
          <w:rStyle w:val="FootnoteReference"/>
          <w:rFonts w:cstheme="minorHAnsi"/>
          <w:sz w:val="24"/>
          <w:szCs w:val="24"/>
        </w:rPr>
        <w:footnoteReference w:id="61"/>
      </w:r>
      <w:r w:rsidR="00633698" w:rsidRPr="003B44D7">
        <w:rPr>
          <w:rFonts w:cstheme="minorHAnsi"/>
          <w:sz w:val="24"/>
          <w:szCs w:val="24"/>
        </w:rPr>
        <w:t xml:space="preserve"> and</w:t>
      </w:r>
      <w:r w:rsidR="00646A06" w:rsidRPr="003B44D7">
        <w:rPr>
          <w:rFonts w:cstheme="minorHAnsi"/>
          <w:sz w:val="24"/>
          <w:szCs w:val="24"/>
        </w:rPr>
        <w:t xml:space="preserve">, on the other hand, </w:t>
      </w:r>
      <w:r w:rsidR="00633698" w:rsidRPr="003B44D7">
        <w:rPr>
          <w:rFonts w:cstheme="minorHAnsi"/>
          <w:sz w:val="24"/>
          <w:szCs w:val="24"/>
        </w:rPr>
        <w:t xml:space="preserve">on </w:t>
      </w:r>
      <w:r w:rsidR="00082B12" w:rsidRPr="003B44D7">
        <w:rPr>
          <w:rFonts w:cstheme="minorHAnsi"/>
          <w:sz w:val="24"/>
          <w:szCs w:val="24"/>
        </w:rPr>
        <w:t xml:space="preserve">the </w:t>
      </w:r>
      <w:r w:rsidR="00633698" w:rsidRPr="003B44D7">
        <w:rPr>
          <w:rFonts w:cstheme="minorHAnsi"/>
          <w:sz w:val="24"/>
          <w:szCs w:val="24"/>
        </w:rPr>
        <w:t>ideal</w:t>
      </w:r>
      <w:r w:rsidR="003C3834" w:rsidRPr="003B44D7">
        <w:rPr>
          <w:rFonts w:cstheme="minorHAnsi"/>
          <w:sz w:val="24"/>
          <w:szCs w:val="24"/>
        </w:rPr>
        <w:t>s</w:t>
      </w:r>
      <w:r w:rsidR="00633698" w:rsidRPr="003B44D7">
        <w:rPr>
          <w:rFonts w:cstheme="minorHAnsi"/>
          <w:sz w:val="24"/>
          <w:szCs w:val="24"/>
        </w:rPr>
        <w:t xml:space="preserve"> </w:t>
      </w:r>
      <w:r w:rsidR="00082B12" w:rsidRPr="003B44D7">
        <w:rPr>
          <w:rFonts w:cstheme="minorHAnsi"/>
          <w:sz w:val="24"/>
          <w:szCs w:val="24"/>
        </w:rPr>
        <w:t>of capable citizenry and individual dignity:</w:t>
      </w:r>
    </w:p>
    <w:p w14:paraId="4C5D44F3" w14:textId="77777777" w:rsidR="00FB2F15" w:rsidRPr="003B44D7" w:rsidRDefault="00FB2F15" w:rsidP="004E7EB4">
      <w:pPr>
        <w:autoSpaceDE w:val="0"/>
        <w:autoSpaceDN w:val="0"/>
        <w:adjustRightInd w:val="0"/>
        <w:spacing w:after="0" w:line="240" w:lineRule="auto"/>
        <w:ind w:left="360"/>
        <w:jc w:val="both"/>
        <w:rPr>
          <w:rFonts w:cstheme="minorHAnsi"/>
          <w:sz w:val="24"/>
          <w:szCs w:val="24"/>
        </w:rPr>
      </w:pPr>
    </w:p>
    <w:p w14:paraId="312AEE9A" w14:textId="77777777" w:rsidR="002509D7" w:rsidRPr="003B44D7" w:rsidRDefault="002509D7" w:rsidP="004E7EB4">
      <w:pPr>
        <w:autoSpaceDE w:val="0"/>
        <w:autoSpaceDN w:val="0"/>
        <w:adjustRightInd w:val="0"/>
        <w:spacing w:after="0" w:line="240" w:lineRule="auto"/>
        <w:ind w:left="360"/>
        <w:jc w:val="both"/>
        <w:rPr>
          <w:rFonts w:cstheme="minorHAnsi"/>
          <w:sz w:val="24"/>
          <w:szCs w:val="24"/>
        </w:rPr>
      </w:pPr>
      <w:r w:rsidRPr="003B44D7">
        <w:rPr>
          <w:rFonts w:cstheme="minorHAnsi"/>
          <w:sz w:val="24"/>
          <w:szCs w:val="24"/>
        </w:rPr>
        <w:t>‘</w:t>
      </w:r>
      <w:r w:rsidR="0004445D" w:rsidRPr="003B44D7">
        <w:rPr>
          <w:rFonts w:cstheme="minorHAnsi"/>
          <w:sz w:val="24"/>
          <w:szCs w:val="24"/>
        </w:rPr>
        <w:t xml:space="preserve">[Free speech] </w:t>
      </w:r>
      <w:r w:rsidRPr="003B44D7">
        <w:rPr>
          <w:rFonts w:cstheme="minorHAnsi"/>
          <w:sz w:val="24"/>
          <w:szCs w:val="24"/>
        </w:rPr>
        <w:t xml:space="preserve">is designed and intended to remove governmental restraints from the arena of public discussion, </w:t>
      </w:r>
      <w:r w:rsidRPr="003B44D7">
        <w:rPr>
          <w:rFonts w:cstheme="minorHAnsi"/>
          <w:i/>
          <w:sz w:val="24"/>
          <w:szCs w:val="24"/>
        </w:rPr>
        <w:t xml:space="preserve">putting the decision as to what views shall be voiced largely into the hands of each of us, in the hope that use of such freedom will ultimately produce </w:t>
      </w:r>
      <w:r w:rsidR="00082B12" w:rsidRPr="003B44D7">
        <w:rPr>
          <w:rFonts w:cstheme="minorHAnsi"/>
          <w:i/>
          <w:sz w:val="24"/>
          <w:szCs w:val="24"/>
        </w:rPr>
        <w:t xml:space="preserve">a more capable citizenry </w:t>
      </w:r>
      <w:r w:rsidR="00082B12" w:rsidRPr="003B44D7">
        <w:rPr>
          <w:rFonts w:cstheme="minorHAnsi"/>
          <w:sz w:val="24"/>
          <w:szCs w:val="24"/>
        </w:rPr>
        <w:t xml:space="preserve">and more perfect polity and in the belief that no other approach </w:t>
      </w:r>
      <w:r w:rsidR="00082B12" w:rsidRPr="003B44D7">
        <w:rPr>
          <w:rFonts w:cstheme="minorHAnsi"/>
          <w:sz w:val="24"/>
          <w:szCs w:val="24"/>
        </w:rPr>
        <w:lastRenderedPageBreak/>
        <w:t xml:space="preserve">would comport with the premise of </w:t>
      </w:r>
      <w:r w:rsidR="00082B12" w:rsidRPr="003B44D7">
        <w:rPr>
          <w:rFonts w:cstheme="minorHAnsi"/>
          <w:i/>
          <w:sz w:val="24"/>
          <w:szCs w:val="24"/>
        </w:rPr>
        <w:t>individual dignity and choice</w:t>
      </w:r>
      <w:r w:rsidR="00082B12" w:rsidRPr="003B44D7">
        <w:rPr>
          <w:rFonts w:cstheme="minorHAnsi"/>
          <w:sz w:val="24"/>
          <w:szCs w:val="24"/>
        </w:rPr>
        <w:t xml:space="preserve"> upon which our political system rest.’</w:t>
      </w:r>
      <w:r w:rsidR="00082B12" w:rsidRPr="003B44D7">
        <w:rPr>
          <w:rStyle w:val="FootnoteReference"/>
          <w:rFonts w:cstheme="minorHAnsi"/>
          <w:sz w:val="24"/>
          <w:szCs w:val="24"/>
        </w:rPr>
        <w:footnoteReference w:id="62"/>
      </w:r>
      <w:r w:rsidR="00082B12" w:rsidRPr="003B44D7">
        <w:rPr>
          <w:rFonts w:cstheme="minorHAnsi"/>
          <w:sz w:val="24"/>
          <w:szCs w:val="24"/>
        </w:rPr>
        <w:t xml:space="preserve"> </w:t>
      </w:r>
    </w:p>
    <w:p w14:paraId="571058FE" w14:textId="77777777" w:rsidR="004830DB" w:rsidRPr="003B44D7" w:rsidRDefault="004830DB" w:rsidP="004E7EB4">
      <w:pPr>
        <w:autoSpaceDE w:val="0"/>
        <w:autoSpaceDN w:val="0"/>
        <w:adjustRightInd w:val="0"/>
        <w:spacing w:after="0" w:line="240" w:lineRule="auto"/>
        <w:jc w:val="both"/>
        <w:rPr>
          <w:rFonts w:cstheme="minorHAnsi"/>
          <w:sz w:val="24"/>
          <w:szCs w:val="24"/>
        </w:rPr>
      </w:pPr>
    </w:p>
    <w:p w14:paraId="2932FA51" w14:textId="6186544D" w:rsidR="00F9663A" w:rsidRPr="003B44D7" w:rsidRDefault="00877D90" w:rsidP="004E7EB4">
      <w:pPr>
        <w:autoSpaceDE w:val="0"/>
        <w:autoSpaceDN w:val="0"/>
        <w:adjustRightInd w:val="0"/>
        <w:spacing w:after="0" w:line="240" w:lineRule="auto"/>
        <w:jc w:val="both"/>
        <w:rPr>
          <w:rFonts w:cstheme="minorHAnsi"/>
          <w:sz w:val="24"/>
          <w:szCs w:val="24"/>
        </w:rPr>
      </w:pPr>
      <w:r>
        <w:rPr>
          <w:rFonts w:cstheme="minorHAnsi"/>
          <w:sz w:val="24"/>
          <w:szCs w:val="24"/>
        </w:rPr>
        <w:t xml:space="preserve">So </w:t>
      </w:r>
      <w:r w:rsidR="00633698" w:rsidRPr="003B44D7">
        <w:rPr>
          <w:rFonts w:cstheme="minorHAnsi"/>
          <w:sz w:val="24"/>
          <w:szCs w:val="24"/>
        </w:rPr>
        <w:t>European and American</w:t>
      </w:r>
      <w:r w:rsidR="008B345F" w:rsidRPr="003B44D7">
        <w:rPr>
          <w:rFonts w:cstheme="minorHAnsi"/>
          <w:sz w:val="24"/>
          <w:szCs w:val="24"/>
        </w:rPr>
        <w:t xml:space="preserve"> speech</w:t>
      </w:r>
      <w:r w:rsidR="00633698" w:rsidRPr="003B44D7">
        <w:rPr>
          <w:rFonts w:cstheme="minorHAnsi"/>
          <w:sz w:val="24"/>
          <w:szCs w:val="24"/>
        </w:rPr>
        <w:t xml:space="preserve"> jurisprudence</w:t>
      </w:r>
      <w:r w:rsidR="00E96EDD" w:rsidRPr="003B44D7">
        <w:rPr>
          <w:rFonts w:cstheme="minorHAnsi"/>
          <w:sz w:val="24"/>
          <w:szCs w:val="24"/>
        </w:rPr>
        <w:t xml:space="preserve"> equally</w:t>
      </w:r>
      <w:r w:rsidR="00633698" w:rsidRPr="003B44D7">
        <w:rPr>
          <w:rFonts w:cstheme="minorHAnsi"/>
          <w:sz w:val="24"/>
          <w:szCs w:val="24"/>
        </w:rPr>
        <w:t xml:space="preserve"> appeal to diversity and multiculturalism</w:t>
      </w:r>
      <w:r w:rsidR="00F9663A" w:rsidRPr="003B44D7">
        <w:rPr>
          <w:rFonts w:cstheme="minorHAnsi"/>
          <w:sz w:val="24"/>
          <w:szCs w:val="24"/>
        </w:rPr>
        <w:t>,</w:t>
      </w:r>
      <w:r w:rsidR="00D21613" w:rsidRPr="003B44D7">
        <w:rPr>
          <w:rFonts w:cstheme="minorHAnsi"/>
          <w:sz w:val="24"/>
          <w:szCs w:val="24"/>
        </w:rPr>
        <w:t xml:space="preserve"> and</w:t>
      </w:r>
      <w:r w:rsidR="00E96EDD" w:rsidRPr="003B44D7">
        <w:rPr>
          <w:rFonts w:cstheme="minorHAnsi"/>
          <w:sz w:val="24"/>
          <w:szCs w:val="24"/>
        </w:rPr>
        <w:t xml:space="preserve"> </w:t>
      </w:r>
      <w:r w:rsidR="00633698" w:rsidRPr="003B44D7">
        <w:rPr>
          <w:rFonts w:cstheme="minorHAnsi"/>
          <w:sz w:val="24"/>
          <w:szCs w:val="24"/>
        </w:rPr>
        <w:t>citizenry and human dignity</w:t>
      </w:r>
      <w:r w:rsidR="001D4858" w:rsidRPr="003B44D7">
        <w:rPr>
          <w:rFonts w:cstheme="minorHAnsi"/>
          <w:sz w:val="24"/>
          <w:szCs w:val="24"/>
        </w:rPr>
        <w:t xml:space="preserve"> </w:t>
      </w:r>
      <w:r w:rsidR="00D21613" w:rsidRPr="003B44D7">
        <w:rPr>
          <w:rFonts w:cstheme="minorHAnsi"/>
          <w:sz w:val="24"/>
          <w:szCs w:val="24"/>
        </w:rPr>
        <w:t>as driving</w:t>
      </w:r>
      <w:r w:rsidR="00E96EDD" w:rsidRPr="003B44D7">
        <w:rPr>
          <w:rFonts w:cstheme="minorHAnsi"/>
          <w:sz w:val="24"/>
          <w:szCs w:val="24"/>
        </w:rPr>
        <w:t xml:space="preserve"> </w:t>
      </w:r>
      <w:r w:rsidR="00C21AD7" w:rsidRPr="003B44D7">
        <w:rPr>
          <w:rFonts w:cstheme="minorHAnsi"/>
          <w:sz w:val="24"/>
          <w:szCs w:val="24"/>
        </w:rPr>
        <w:t>forces behind their</w:t>
      </w:r>
      <w:r w:rsidR="00633698" w:rsidRPr="003B44D7">
        <w:rPr>
          <w:rFonts w:cstheme="minorHAnsi"/>
          <w:sz w:val="24"/>
          <w:szCs w:val="24"/>
        </w:rPr>
        <w:t xml:space="preserve"> dive</w:t>
      </w:r>
      <w:r w:rsidR="00E96EDD" w:rsidRPr="003B44D7">
        <w:rPr>
          <w:rFonts w:cstheme="minorHAnsi"/>
          <w:sz w:val="24"/>
          <w:szCs w:val="24"/>
        </w:rPr>
        <w:t xml:space="preserve">rgent approaches to </w:t>
      </w:r>
      <w:r w:rsidR="001D4858" w:rsidRPr="003B44D7">
        <w:rPr>
          <w:rFonts w:cstheme="minorHAnsi"/>
          <w:sz w:val="24"/>
          <w:szCs w:val="24"/>
        </w:rPr>
        <w:t>speech regulation</w:t>
      </w:r>
      <w:r w:rsidR="00E96EDD" w:rsidRPr="003B44D7">
        <w:rPr>
          <w:rFonts w:cstheme="minorHAnsi"/>
          <w:sz w:val="24"/>
          <w:szCs w:val="24"/>
        </w:rPr>
        <w:t>. The difference in their approaches</w:t>
      </w:r>
      <w:r w:rsidR="00774F4F" w:rsidRPr="003B44D7">
        <w:rPr>
          <w:rFonts w:cstheme="minorHAnsi"/>
          <w:sz w:val="24"/>
          <w:szCs w:val="24"/>
        </w:rPr>
        <w:t>, however,</w:t>
      </w:r>
      <w:r w:rsidR="00E96EDD" w:rsidRPr="003B44D7">
        <w:rPr>
          <w:rFonts w:cstheme="minorHAnsi"/>
          <w:sz w:val="24"/>
          <w:szCs w:val="24"/>
        </w:rPr>
        <w:t xml:space="preserve"> results </w:t>
      </w:r>
      <w:r w:rsidR="00C21AD7" w:rsidRPr="003B44D7">
        <w:rPr>
          <w:rFonts w:cstheme="minorHAnsi"/>
          <w:sz w:val="24"/>
          <w:szCs w:val="24"/>
        </w:rPr>
        <w:t>in the endorsement or</w:t>
      </w:r>
      <w:r w:rsidR="00E96EDD" w:rsidRPr="003B44D7">
        <w:rPr>
          <w:rFonts w:cstheme="minorHAnsi"/>
          <w:sz w:val="24"/>
          <w:szCs w:val="24"/>
        </w:rPr>
        <w:t xml:space="preserve"> rejection </w:t>
      </w:r>
      <w:r w:rsidR="00D21613" w:rsidRPr="003B44D7">
        <w:rPr>
          <w:rFonts w:cstheme="minorHAnsi"/>
          <w:sz w:val="24"/>
          <w:szCs w:val="24"/>
        </w:rPr>
        <w:t>of hate speech regulation and thereby</w:t>
      </w:r>
      <w:r w:rsidR="00E96EDD" w:rsidRPr="003B44D7">
        <w:rPr>
          <w:rFonts w:cstheme="minorHAnsi"/>
          <w:sz w:val="24"/>
          <w:szCs w:val="24"/>
        </w:rPr>
        <w:t xml:space="preserve"> suggests a binary opposition. Yet</w:t>
      </w:r>
      <w:r w:rsidR="0004445D" w:rsidRPr="003B44D7">
        <w:rPr>
          <w:rFonts w:cstheme="minorHAnsi"/>
          <w:sz w:val="24"/>
          <w:szCs w:val="24"/>
        </w:rPr>
        <w:t>,</w:t>
      </w:r>
      <w:r w:rsidR="00E96EDD" w:rsidRPr="003B44D7">
        <w:rPr>
          <w:rFonts w:cstheme="minorHAnsi"/>
          <w:sz w:val="24"/>
          <w:szCs w:val="24"/>
        </w:rPr>
        <w:t xml:space="preserve"> </w:t>
      </w:r>
      <w:proofErr w:type="gramStart"/>
      <w:r w:rsidR="00E96EDD" w:rsidRPr="003B44D7">
        <w:rPr>
          <w:rFonts w:cstheme="minorHAnsi"/>
          <w:sz w:val="24"/>
          <w:szCs w:val="24"/>
        </w:rPr>
        <w:t xml:space="preserve">this binary </w:t>
      </w:r>
      <w:r w:rsidR="001D4858" w:rsidRPr="003B44D7">
        <w:rPr>
          <w:rFonts w:cstheme="minorHAnsi"/>
          <w:sz w:val="24"/>
          <w:szCs w:val="24"/>
        </w:rPr>
        <w:t>hides</w:t>
      </w:r>
      <w:proofErr w:type="gramEnd"/>
      <w:r w:rsidR="001D4858" w:rsidRPr="003B44D7">
        <w:rPr>
          <w:rFonts w:cstheme="minorHAnsi"/>
          <w:sz w:val="24"/>
          <w:szCs w:val="24"/>
        </w:rPr>
        <w:t xml:space="preserve"> </w:t>
      </w:r>
      <w:r w:rsidR="0004445D" w:rsidRPr="003B44D7">
        <w:rPr>
          <w:rFonts w:cstheme="minorHAnsi"/>
          <w:sz w:val="24"/>
          <w:szCs w:val="24"/>
        </w:rPr>
        <w:t xml:space="preserve">non-binary </w:t>
      </w:r>
      <w:r w:rsidR="001D4858" w:rsidRPr="003B44D7">
        <w:rPr>
          <w:rFonts w:cstheme="minorHAnsi"/>
          <w:sz w:val="24"/>
          <w:szCs w:val="24"/>
        </w:rPr>
        <w:t xml:space="preserve">preoccupations that reflect </w:t>
      </w:r>
      <w:r w:rsidR="00774F4F" w:rsidRPr="003B44D7">
        <w:rPr>
          <w:rFonts w:cstheme="minorHAnsi"/>
          <w:sz w:val="24"/>
          <w:szCs w:val="24"/>
        </w:rPr>
        <w:t xml:space="preserve">qualitatively </w:t>
      </w:r>
      <w:r w:rsidR="00E96EDD" w:rsidRPr="003B44D7">
        <w:rPr>
          <w:rFonts w:cstheme="minorHAnsi"/>
          <w:sz w:val="24"/>
          <w:szCs w:val="24"/>
        </w:rPr>
        <w:t xml:space="preserve">different </w:t>
      </w:r>
      <w:r w:rsidR="00D21613" w:rsidRPr="00065360">
        <w:rPr>
          <w:rFonts w:cstheme="minorHAnsi"/>
          <w:i/>
          <w:iCs/>
          <w:sz w:val="24"/>
          <w:szCs w:val="24"/>
        </w:rPr>
        <w:t xml:space="preserve">primary </w:t>
      </w:r>
      <w:r w:rsidR="00D21613" w:rsidRPr="003B44D7">
        <w:rPr>
          <w:rFonts w:cstheme="minorHAnsi"/>
          <w:sz w:val="24"/>
          <w:szCs w:val="24"/>
        </w:rPr>
        <w:t>fears</w:t>
      </w:r>
      <w:r w:rsidR="00646A06" w:rsidRPr="003B44D7">
        <w:rPr>
          <w:rFonts w:cstheme="minorHAnsi"/>
          <w:sz w:val="24"/>
          <w:szCs w:val="24"/>
        </w:rPr>
        <w:t xml:space="preserve"> – fears that</w:t>
      </w:r>
      <w:r w:rsidR="0004445D" w:rsidRPr="003B44D7">
        <w:rPr>
          <w:rFonts w:cstheme="minorHAnsi"/>
          <w:sz w:val="24"/>
          <w:szCs w:val="24"/>
        </w:rPr>
        <w:t xml:space="preserve"> </w:t>
      </w:r>
      <w:r w:rsidR="00E96EDD" w:rsidRPr="003B44D7">
        <w:rPr>
          <w:rFonts w:cstheme="minorHAnsi"/>
          <w:sz w:val="24"/>
          <w:szCs w:val="24"/>
        </w:rPr>
        <w:t>do not</w:t>
      </w:r>
      <w:r w:rsidR="00D83513" w:rsidRPr="003B44D7">
        <w:rPr>
          <w:rFonts w:cstheme="minorHAnsi"/>
          <w:sz w:val="24"/>
          <w:szCs w:val="24"/>
        </w:rPr>
        <w:t xml:space="preserve"> fall along</w:t>
      </w:r>
      <w:r w:rsidR="00E96EDD" w:rsidRPr="003B44D7">
        <w:rPr>
          <w:rFonts w:cstheme="minorHAnsi"/>
          <w:sz w:val="24"/>
          <w:szCs w:val="24"/>
        </w:rPr>
        <w:t xml:space="preserve"> the same scale</w:t>
      </w:r>
      <w:r w:rsidR="00B52315" w:rsidRPr="003B44D7">
        <w:rPr>
          <w:rFonts w:cstheme="minorHAnsi"/>
          <w:sz w:val="24"/>
          <w:szCs w:val="24"/>
        </w:rPr>
        <w:t>. European</w:t>
      </w:r>
      <w:r w:rsidR="00E96EDD" w:rsidRPr="003B44D7">
        <w:rPr>
          <w:rFonts w:cstheme="minorHAnsi"/>
          <w:sz w:val="24"/>
          <w:szCs w:val="24"/>
        </w:rPr>
        <w:t xml:space="preserve"> liberal democracies </w:t>
      </w:r>
      <w:r w:rsidR="00B52315" w:rsidRPr="003B44D7">
        <w:rPr>
          <w:rFonts w:cstheme="minorHAnsi"/>
          <w:sz w:val="24"/>
          <w:szCs w:val="24"/>
        </w:rPr>
        <w:t xml:space="preserve">fear the consequences of </w:t>
      </w:r>
      <w:r w:rsidR="00E96EDD" w:rsidRPr="003B44D7">
        <w:rPr>
          <w:rFonts w:cstheme="minorHAnsi"/>
          <w:sz w:val="24"/>
          <w:szCs w:val="24"/>
        </w:rPr>
        <w:t>hate speech</w:t>
      </w:r>
      <w:r w:rsidR="00D83513" w:rsidRPr="003B44D7">
        <w:rPr>
          <w:rFonts w:cstheme="minorHAnsi"/>
          <w:sz w:val="24"/>
          <w:szCs w:val="24"/>
        </w:rPr>
        <w:t xml:space="preserve"> being left </w:t>
      </w:r>
      <w:r w:rsidR="00E96EDD" w:rsidRPr="003B44D7">
        <w:rPr>
          <w:rFonts w:cstheme="minorHAnsi"/>
          <w:sz w:val="24"/>
          <w:szCs w:val="24"/>
        </w:rPr>
        <w:t xml:space="preserve">in the </w:t>
      </w:r>
      <w:r w:rsidR="00B52315" w:rsidRPr="003B44D7">
        <w:rPr>
          <w:rFonts w:cstheme="minorHAnsi"/>
          <w:sz w:val="24"/>
          <w:szCs w:val="24"/>
        </w:rPr>
        <w:t>public domain</w:t>
      </w:r>
      <w:r w:rsidR="00D21613" w:rsidRPr="003B44D7">
        <w:rPr>
          <w:rFonts w:cstheme="minorHAnsi"/>
          <w:sz w:val="24"/>
          <w:szCs w:val="24"/>
        </w:rPr>
        <w:t xml:space="preserve"> (a WHAT concern)</w:t>
      </w:r>
      <w:r w:rsidR="00B52315" w:rsidRPr="003B44D7">
        <w:rPr>
          <w:rFonts w:cstheme="minorHAnsi"/>
          <w:sz w:val="24"/>
          <w:szCs w:val="24"/>
        </w:rPr>
        <w:t>, whilst America fears the consequences of content interventions by the government</w:t>
      </w:r>
      <w:r w:rsidR="00D21613" w:rsidRPr="003B44D7">
        <w:rPr>
          <w:rFonts w:cstheme="minorHAnsi"/>
          <w:sz w:val="24"/>
          <w:szCs w:val="24"/>
        </w:rPr>
        <w:t xml:space="preserve"> (a WHO concern)</w:t>
      </w:r>
      <w:r w:rsidR="00B52315" w:rsidRPr="003B44D7">
        <w:rPr>
          <w:rFonts w:cstheme="minorHAnsi"/>
          <w:sz w:val="24"/>
          <w:szCs w:val="24"/>
        </w:rPr>
        <w:t xml:space="preserve">. </w:t>
      </w:r>
      <w:r w:rsidR="0004445D" w:rsidRPr="003B44D7">
        <w:rPr>
          <w:rFonts w:cstheme="minorHAnsi"/>
          <w:sz w:val="24"/>
          <w:szCs w:val="24"/>
        </w:rPr>
        <w:t>For sure, t</w:t>
      </w:r>
      <w:r w:rsidR="008B345F" w:rsidRPr="003B44D7">
        <w:rPr>
          <w:rFonts w:cstheme="minorHAnsi"/>
          <w:sz w:val="24"/>
          <w:szCs w:val="24"/>
        </w:rPr>
        <w:t>hese fears lead</w:t>
      </w:r>
      <w:r w:rsidR="00D21613" w:rsidRPr="003B44D7">
        <w:rPr>
          <w:rFonts w:cstheme="minorHAnsi"/>
          <w:sz w:val="24"/>
          <w:szCs w:val="24"/>
        </w:rPr>
        <w:t xml:space="preserve"> to a direct confrontation</w:t>
      </w:r>
      <w:r w:rsidR="00D83513" w:rsidRPr="003B44D7">
        <w:rPr>
          <w:rFonts w:cstheme="minorHAnsi"/>
          <w:sz w:val="24"/>
          <w:szCs w:val="24"/>
        </w:rPr>
        <w:t xml:space="preserve"> when </w:t>
      </w:r>
      <w:r w:rsidR="00D83513" w:rsidRPr="003B44D7">
        <w:rPr>
          <w:rFonts w:cstheme="minorHAnsi"/>
          <w:i/>
          <w:sz w:val="24"/>
          <w:szCs w:val="24"/>
        </w:rPr>
        <w:t>government</w:t>
      </w:r>
      <w:r w:rsidR="00673DF3" w:rsidRPr="003B44D7">
        <w:rPr>
          <w:rFonts w:cstheme="minorHAnsi"/>
          <w:sz w:val="24"/>
          <w:szCs w:val="24"/>
        </w:rPr>
        <w:t xml:space="preserve"> is treated as the only</w:t>
      </w:r>
      <w:r w:rsidR="00C21AD7" w:rsidRPr="003B44D7">
        <w:rPr>
          <w:rFonts w:cstheme="minorHAnsi"/>
          <w:sz w:val="24"/>
          <w:szCs w:val="24"/>
        </w:rPr>
        <w:t xml:space="preserve"> </w:t>
      </w:r>
      <w:r w:rsidR="005873F6">
        <w:rPr>
          <w:rFonts w:cstheme="minorHAnsi"/>
          <w:sz w:val="24"/>
          <w:szCs w:val="24"/>
        </w:rPr>
        <w:t>entity</w:t>
      </w:r>
      <w:r w:rsidR="00C21AD7" w:rsidRPr="003B44D7">
        <w:rPr>
          <w:rFonts w:cstheme="minorHAnsi"/>
          <w:sz w:val="24"/>
          <w:szCs w:val="24"/>
        </w:rPr>
        <w:t xml:space="preserve"> equipped to deal </w:t>
      </w:r>
      <w:r w:rsidR="00D83513" w:rsidRPr="003B44D7">
        <w:rPr>
          <w:rFonts w:cstheme="minorHAnsi"/>
          <w:sz w:val="24"/>
          <w:szCs w:val="24"/>
        </w:rPr>
        <w:t xml:space="preserve">with </w:t>
      </w:r>
      <w:r w:rsidR="00C21AD7" w:rsidRPr="003B44D7">
        <w:rPr>
          <w:rFonts w:cstheme="minorHAnsi"/>
          <w:sz w:val="24"/>
          <w:szCs w:val="24"/>
        </w:rPr>
        <w:t xml:space="preserve">hate speech. Yet, </w:t>
      </w:r>
      <w:r w:rsidR="00D83513" w:rsidRPr="003B44D7">
        <w:rPr>
          <w:rFonts w:cstheme="minorHAnsi"/>
          <w:sz w:val="24"/>
          <w:szCs w:val="24"/>
        </w:rPr>
        <w:t>this</w:t>
      </w:r>
      <w:r w:rsidR="00C21AD7" w:rsidRPr="003B44D7">
        <w:rPr>
          <w:rFonts w:cstheme="minorHAnsi"/>
          <w:sz w:val="24"/>
          <w:szCs w:val="24"/>
        </w:rPr>
        <w:t xml:space="preserve"> confrontation can</w:t>
      </w:r>
      <w:r w:rsidR="00D83513" w:rsidRPr="003B44D7">
        <w:rPr>
          <w:rFonts w:cstheme="minorHAnsi"/>
          <w:sz w:val="24"/>
          <w:szCs w:val="24"/>
        </w:rPr>
        <w:t xml:space="preserve">not detract from the fact that </w:t>
      </w:r>
      <w:r w:rsidR="008B345F" w:rsidRPr="003B44D7">
        <w:rPr>
          <w:rFonts w:cstheme="minorHAnsi"/>
          <w:sz w:val="24"/>
          <w:szCs w:val="24"/>
        </w:rPr>
        <w:t>their</w:t>
      </w:r>
      <w:r w:rsidR="007F349F" w:rsidRPr="003B44D7">
        <w:rPr>
          <w:rFonts w:cstheme="minorHAnsi"/>
          <w:sz w:val="24"/>
          <w:szCs w:val="24"/>
        </w:rPr>
        <w:t xml:space="preserve"> essential preoccupations are</w:t>
      </w:r>
      <w:r w:rsidR="002A05B2" w:rsidRPr="003B44D7">
        <w:rPr>
          <w:rFonts w:cstheme="minorHAnsi"/>
          <w:sz w:val="24"/>
          <w:szCs w:val="24"/>
        </w:rPr>
        <w:t xml:space="preserve"> not of the same kind</w:t>
      </w:r>
      <w:r w:rsidR="00D235C5">
        <w:rPr>
          <w:rFonts w:cstheme="minorHAnsi"/>
          <w:sz w:val="24"/>
          <w:szCs w:val="24"/>
        </w:rPr>
        <w:t xml:space="preserve"> and may be accommodated under one roof</w:t>
      </w:r>
      <w:r w:rsidR="002A05B2" w:rsidRPr="003B44D7">
        <w:rPr>
          <w:rFonts w:cstheme="minorHAnsi"/>
          <w:sz w:val="24"/>
          <w:szCs w:val="24"/>
        </w:rPr>
        <w:t xml:space="preserve">. </w:t>
      </w:r>
      <w:r w:rsidR="00C21AD7" w:rsidRPr="003B44D7">
        <w:rPr>
          <w:rFonts w:cstheme="minorHAnsi"/>
          <w:sz w:val="24"/>
          <w:szCs w:val="24"/>
        </w:rPr>
        <w:t xml:space="preserve">This then brings </w:t>
      </w:r>
      <w:r w:rsidR="00673DF3" w:rsidRPr="003B44D7">
        <w:rPr>
          <w:rFonts w:cstheme="minorHAnsi"/>
          <w:sz w:val="24"/>
          <w:szCs w:val="24"/>
        </w:rPr>
        <w:t xml:space="preserve">the discussion </w:t>
      </w:r>
      <w:r w:rsidR="00C21AD7" w:rsidRPr="003B44D7">
        <w:rPr>
          <w:rFonts w:cstheme="minorHAnsi"/>
          <w:sz w:val="24"/>
          <w:szCs w:val="24"/>
        </w:rPr>
        <w:t>to the legal framework requiring platform</w:t>
      </w:r>
      <w:r w:rsidR="001D4858" w:rsidRPr="003B44D7">
        <w:rPr>
          <w:rFonts w:cstheme="minorHAnsi"/>
          <w:sz w:val="24"/>
          <w:szCs w:val="24"/>
        </w:rPr>
        <w:t xml:space="preserve"> to</w:t>
      </w:r>
      <w:r w:rsidR="00C21AD7" w:rsidRPr="003B44D7">
        <w:rPr>
          <w:rFonts w:cstheme="minorHAnsi"/>
          <w:sz w:val="24"/>
          <w:szCs w:val="24"/>
        </w:rPr>
        <w:t xml:space="preserve"> </w:t>
      </w:r>
      <w:r w:rsidR="00FC44E4" w:rsidRPr="003B44D7">
        <w:rPr>
          <w:rFonts w:cstheme="minorHAnsi"/>
          <w:sz w:val="24"/>
          <w:szCs w:val="24"/>
        </w:rPr>
        <w:t>remove</w:t>
      </w:r>
      <w:r w:rsidR="00C21AD7" w:rsidRPr="003B44D7">
        <w:rPr>
          <w:rFonts w:cstheme="minorHAnsi"/>
          <w:sz w:val="24"/>
          <w:szCs w:val="24"/>
        </w:rPr>
        <w:t xml:space="preserve"> hate speech in response to user takedown not</w:t>
      </w:r>
      <w:r w:rsidR="008947BB" w:rsidRPr="003B44D7">
        <w:rPr>
          <w:rFonts w:cstheme="minorHAnsi"/>
          <w:sz w:val="24"/>
          <w:szCs w:val="24"/>
        </w:rPr>
        <w:t>ices, as illustrated by NetzDG</w:t>
      </w:r>
      <w:r w:rsidR="00646A06" w:rsidRPr="003B44D7">
        <w:rPr>
          <w:rFonts w:cstheme="minorHAnsi"/>
          <w:sz w:val="24"/>
          <w:szCs w:val="24"/>
        </w:rPr>
        <w:t xml:space="preserve">, </w:t>
      </w:r>
      <w:r w:rsidR="008947BB" w:rsidRPr="003B44D7">
        <w:rPr>
          <w:rFonts w:cstheme="minorHAnsi"/>
          <w:sz w:val="24"/>
          <w:szCs w:val="24"/>
        </w:rPr>
        <w:t xml:space="preserve">the first </w:t>
      </w:r>
      <w:r w:rsidR="001D4858" w:rsidRPr="003B44D7">
        <w:rPr>
          <w:rFonts w:cstheme="minorHAnsi"/>
          <w:sz w:val="24"/>
          <w:szCs w:val="24"/>
        </w:rPr>
        <w:t xml:space="preserve">law that formalises </w:t>
      </w:r>
      <w:r w:rsidR="00CD5671">
        <w:rPr>
          <w:rFonts w:cstheme="minorHAnsi"/>
          <w:sz w:val="24"/>
          <w:szCs w:val="24"/>
        </w:rPr>
        <w:t>the</w:t>
      </w:r>
      <w:r>
        <w:rPr>
          <w:rFonts w:cstheme="minorHAnsi"/>
          <w:sz w:val="24"/>
          <w:szCs w:val="24"/>
        </w:rPr>
        <w:t xml:space="preserve"> </w:t>
      </w:r>
      <w:r w:rsidRPr="00877D90">
        <w:rPr>
          <w:rFonts w:cstheme="minorHAnsi"/>
          <w:i/>
          <w:iCs/>
          <w:sz w:val="24"/>
          <w:szCs w:val="24"/>
        </w:rPr>
        <w:t>process</w:t>
      </w:r>
      <w:r>
        <w:rPr>
          <w:rFonts w:cstheme="minorHAnsi"/>
          <w:sz w:val="24"/>
          <w:szCs w:val="24"/>
        </w:rPr>
        <w:t xml:space="preserve"> for </w:t>
      </w:r>
      <w:r w:rsidR="001D4858" w:rsidRPr="003B44D7">
        <w:rPr>
          <w:rFonts w:cstheme="minorHAnsi"/>
          <w:sz w:val="24"/>
          <w:szCs w:val="24"/>
        </w:rPr>
        <w:t xml:space="preserve">platform </w:t>
      </w:r>
      <w:r w:rsidR="008947BB" w:rsidRPr="003B44D7">
        <w:rPr>
          <w:rFonts w:cstheme="minorHAnsi"/>
          <w:sz w:val="24"/>
          <w:szCs w:val="24"/>
        </w:rPr>
        <w:t xml:space="preserve">takedown obligations. </w:t>
      </w:r>
    </w:p>
    <w:p w14:paraId="3561C561" w14:textId="77777777" w:rsidR="004E7EB4" w:rsidRPr="003B44D7" w:rsidRDefault="004E7EB4" w:rsidP="004E7EB4">
      <w:pPr>
        <w:autoSpaceDE w:val="0"/>
        <w:autoSpaceDN w:val="0"/>
        <w:adjustRightInd w:val="0"/>
        <w:spacing w:after="0" w:line="240" w:lineRule="auto"/>
        <w:jc w:val="both"/>
        <w:rPr>
          <w:rFonts w:cstheme="minorHAnsi"/>
          <w:sz w:val="24"/>
          <w:szCs w:val="24"/>
        </w:rPr>
      </w:pPr>
    </w:p>
    <w:p w14:paraId="27321954" w14:textId="0229C3BC" w:rsidR="00E5230C" w:rsidRPr="00D66448" w:rsidRDefault="00E5230C" w:rsidP="004E7EB4">
      <w:pPr>
        <w:pStyle w:val="Heading1"/>
        <w:numPr>
          <w:ilvl w:val="0"/>
          <w:numId w:val="13"/>
        </w:numPr>
        <w:spacing w:before="0" w:line="240" w:lineRule="auto"/>
        <w:jc w:val="both"/>
        <w:rPr>
          <w:rFonts w:asciiTheme="minorHAnsi" w:hAnsiTheme="minorHAnsi" w:cstheme="minorHAnsi"/>
          <w:sz w:val="28"/>
          <w:szCs w:val="28"/>
        </w:rPr>
      </w:pPr>
      <w:bookmarkStart w:id="2" w:name="_Toc95568719"/>
      <w:r w:rsidRPr="00D66448">
        <w:rPr>
          <w:rFonts w:asciiTheme="minorHAnsi" w:hAnsiTheme="minorHAnsi" w:cstheme="minorHAnsi"/>
          <w:sz w:val="28"/>
          <w:szCs w:val="28"/>
        </w:rPr>
        <w:t>A Compromise Solution</w:t>
      </w:r>
      <w:r w:rsidR="00226C80" w:rsidRPr="00D66448">
        <w:rPr>
          <w:rFonts w:asciiTheme="minorHAnsi" w:hAnsiTheme="minorHAnsi" w:cstheme="minorHAnsi"/>
          <w:sz w:val="28"/>
          <w:szCs w:val="28"/>
        </w:rPr>
        <w:t xml:space="preserve">? </w:t>
      </w:r>
      <w:r w:rsidRPr="00D66448">
        <w:rPr>
          <w:rFonts w:asciiTheme="minorHAnsi" w:hAnsiTheme="minorHAnsi" w:cstheme="minorHAnsi"/>
          <w:sz w:val="28"/>
          <w:szCs w:val="28"/>
        </w:rPr>
        <w:t xml:space="preserve">Public </w:t>
      </w:r>
      <w:r w:rsidR="00280435" w:rsidRPr="00D66448">
        <w:rPr>
          <w:rFonts w:asciiTheme="minorHAnsi" w:hAnsiTheme="minorHAnsi" w:cstheme="minorHAnsi"/>
          <w:sz w:val="28"/>
          <w:szCs w:val="28"/>
        </w:rPr>
        <w:t>Standards</w:t>
      </w:r>
      <w:r w:rsidR="00F113D9" w:rsidRPr="00D66448">
        <w:rPr>
          <w:rFonts w:asciiTheme="minorHAnsi" w:hAnsiTheme="minorHAnsi" w:cstheme="minorHAnsi"/>
          <w:sz w:val="28"/>
          <w:szCs w:val="28"/>
        </w:rPr>
        <w:t xml:space="preserve"> </w:t>
      </w:r>
      <w:r w:rsidR="00FC44E4" w:rsidRPr="00D66448">
        <w:rPr>
          <w:rFonts w:asciiTheme="minorHAnsi" w:hAnsiTheme="minorHAnsi" w:cstheme="minorHAnsi"/>
          <w:sz w:val="28"/>
          <w:szCs w:val="28"/>
        </w:rPr>
        <w:t>and</w:t>
      </w:r>
      <w:r w:rsidRPr="00D66448">
        <w:rPr>
          <w:rFonts w:asciiTheme="minorHAnsi" w:hAnsiTheme="minorHAnsi" w:cstheme="minorHAnsi"/>
          <w:sz w:val="28"/>
          <w:szCs w:val="28"/>
        </w:rPr>
        <w:t xml:space="preserve"> Privat</w:t>
      </w:r>
      <w:r w:rsidR="00280435" w:rsidRPr="00D66448">
        <w:rPr>
          <w:rFonts w:asciiTheme="minorHAnsi" w:hAnsiTheme="minorHAnsi" w:cstheme="minorHAnsi"/>
          <w:sz w:val="28"/>
          <w:szCs w:val="28"/>
        </w:rPr>
        <w:t>e Processes</w:t>
      </w:r>
      <w:bookmarkEnd w:id="2"/>
    </w:p>
    <w:p w14:paraId="1746C250" w14:textId="77777777" w:rsidR="004E7EB4" w:rsidRPr="003B44D7" w:rsidRDefault="004E7EB4" w:rsidP="004E7EB4">
      <w:pPr>
        <w:spacing w:after="0" w:line="240" w:lineRule="auto"/>
        <w:rPr>
          <w:sz w:val="24"/>
          <w:szCs w:val="24"/>
        </w:rPr>
      </w:pPr>
    </w:p>
    <w:p w14:paraId="48027FA9" w14:textId="4CF2ADB3" w:rsidR="004D3D13" w:rsidRPr="003B44D7" w:rsidRDefault="004D3D13" w:rsidP="004E7EB4">
      <w:pPr>
        <w:pStyle w:val="Heading2"/>
        <w:numPr>
          <w:ilvl w:val="1"/>
          <w:numId w:val="13"/>
        </w:numPr>
        <w:spacing w:before="0" w:line="240" w:lineRule="auto"/>
        <w:rPr>
          <w:rFonts w:asciiTheme="minorHAnsi" w:hAnsiTheme="minorHAnsi" w:cstheme="minorHAnsi"/>
          <w:sz w:val="24"/>
          <w:szCs w:val="24"/>
        </w:rPr>
      </w:pPr>
      <w:bookmarkStart w:id="3" w:name="_Toc95568720"/>
      <w:r w:rsidRPr="003B44D7">
        <w:rPr>
          <w:rFonts w:asciiTheme="minorHAnsi" w:hAnsiTheme="minorHAnsi" w:cstheme="minorHAnsi"/>
          <w:sz w:val="24"/>
          <w:szCs w:val="24"/>
        </w:rPr>
        <w:t xml:space="preserve">Germany’s </w:t>
      </w:r>
      <w:r w:rsidR="0042044E" w:rsidRPr="003B44D7">
        <w:rPr>
          <w:rFonts w:asciiTheme="minorHAnsi" w:hAnsiTheme="minorHAnsi" w:cstheme="minorHAnsi"/>
          <w:sz w:val="24"/>
          <w:szCs w:val="24"/>
        </w:rPr>
        <w:t>NetzDG</w:t>
      </w:r>
      <w:bookmarkEnd w:id="3"/>
      <w:r w:rsidR="0042044E" w:rsidRPr="003B44D7">
        <w:rPr>
          <w:rFonts w:asciiTheme="minorHAnsi" w:hAnsiTheme="minorHAnsi" w:cstheme="minorHAnsi"/>
          <w:sz w:val="24"/>
          <w:szCs w:val="24"/>
        </w:rPr>
        <w:t xml:space="preserve"> </w:t>
      </w:r>
    </w:p>
    <w:p w14:paraId="49F62E90" w14:textId="77777777" w:rsidR="00006D82" w:rsidRPr="003B44D7" w:rsidRDefault="00006D82" w:rsidP="004E7EB4">
      <w:pPr>
        <w:spacing w:after="0" w:line="240" w:lineRule="auto"/>
        <w:jc w:val="both"/>
        <w:rPr>
          <w:rFonts w:cstheme="minorHAnsi"/>
          <w:sz w:val="24"/>
          <w:szCs w:val="24"/>
        </w:rPr>
      </w:pPr>
    </w:p>
    <w:p w14:paraId="454100A2" w14:textId="7AB184F4" w:rsidR="000E499F" w:rsidRPr="003B44D7" w:rsidRDefault="004D3D13" w:rsidP="004E7EB4">
      <w:pPr>
        <w:spacing w:after="0" w:line="240" w:lineRule="auto"/>
        <w:jc w:val="both"/>
        <w:rPr>
          <w:rFonts w:cstheme="minorHAnsi"/>
          <w:sz w:val="24"/>
          <w:szCs w:val="24"/>
        </w:rPr>
      </w:pPr>
      <w:r w:rsidRPr="003B44D7">
        <w:rPr>
          <w:rFonts w:cstheme="minorHAnsi"/>
          <w:sz w:val="24"/>
          <w:szCs w:val="24"/>
        </w:rPr>
        <w:t>Germany’s NetzDG</w:t>
      </w:r>
      <w:r w:rsidR="00F638A9" w:rsidRPr="003B44D7">
        <w:rPr>
          <w:rFonts w:cstheme="minorHAnsi"/>
          <w:sz w:val="24"/>
          <w:szCs w:val="24"/>
        </w:rPr>
        <w:t xml:space="preserve"> </w:t>
      </w:r>
      <w:r w:rsidRPr="003B44D7">
        <w:rPr>
          <w:rFonts w:cstheme="minorHAnsi"/>
          <w:sz w:val="24"/>
          <w:szCs w:val="24"/>
        </w:rPr>
        <w:t xml:space="preserve">came </w:t>
      </w:r>
      <w:r w:rsidR="008E60B1" w:rsidRPr="003B44D7">
        <w:rPr>
          <w:rFonts w:cstheme="minorHAnsi"/>
          <w:sz w:val="24"/>
          <w:szCs w:val="24"/>
        </w:rPr>
        <w:t xml:space="preserve">into force </w:t>
      </w:r>
      <w:r w:rsidR="003C3834" w:rsidRPr="003B44D7">
        <w:rPr>
          <w:rFonts w:cstheme="minorHAnsi"/>
          <w:sz w:val="24"/>
          <w:szCs w:val="24"/>
        </w:rPr>
        <w:t>in</w:t>
      </w:r>
      <w:r w:rsidRPr="003B44D7">
        <w:rPr>
          <w:rFonts w:cstheme="minorHAnsi"/>
          <w:sz w:val="24"/>
          <w:szCs w:val="24"/>
        </w:rPr>
        <w:t xml:space="preserve"> 2017</w:t>
      </w:r>
      <w:r w:rsidRPr="003B44D7">
        <w:rPr>
          <w:rStyle w:val="FootnoteReference"/>
          <w:rFonts w:cstheme="minorHAnsi"/>
          <w:sz w:val="24"/>
          <w:szCs w:val="24"/>
        </w:rPr>
        <w:footnoteReference w:id="63"/>
      </w:r>
      <w:r w:rsidR="009C76A9" w:rsidRPr="003B44D7">
        <w:rPr>
          <w:rFonts w:cstheme="minorHAnsi"/>
          <w:sz w:val="24"/>
          <w:szCs w:val="24"/>
        </w:rPr>
        <w:t xml:space="preserve"> and</w:t>
      </w:r>
      <w:r w:rsidRPr="003B44D7">
        <w:rPr>
          <w:rFonts w:cstheme="minorHAnsi"/>
          <w:sz w:val="24"/>
          <w:szCs w:val="24"/>
        </w:rPr>
        <w:t xml:space="preserve"> requires social media platforms</w:t>
      </w:r>
      <w:r w:rsidR="0058455B" w:rsidRPr="003B44D7">
        <w:rPr>
          <w:rFonts w:cstheme="minorHAnsi"/>
          <w:sz w:val="24"/>
          <w:szCs w:val="24"/>
        </w:rPr>
        <w:t xml:space="preserve"> with more than </w:t>
      </w:r>
      <w:r w:rsidR="00674106" w:rsidRPr="003B44D7">
        <w:rPr>
          <w:rFonts w:cstheme="minorHAnsi"/>
          <w:sz w:val="24"/>
          <w:szCs w:val="24"/>
        </w:rPr>
        <w:t>two</w:t>
      </w:r>
      <w:r w:rsidR="0058455B" w:rsidRPr="003B44D7">
        <w:rPr>
          <w:rFonts w:cstheme="minorHAnsi"/>
          <w:sz w:val="24"/>
          <w:szCs w:val="24"/>
        </w:rPr>
        <w:t xml:space="preserve"> million German users</w:t>
      </w:r>
      <w:r w:rsidR="00231E40" w:rsidRPr="003B44D7">
        <w:rPr>
          <w:rStyle w:val="FootnoteReference"/>
          <w:rFonts w:cstheme="minorHAnsi"/>
          <w:sz w:val="24"/>
          <w:szCs w:val="24"/>
        </w:rPr>
        <w:footnoteReference w:id="64"/>
      </w:r>
      <w:r w:rsidR="00231E40" w:rsidRPr="003B44D7">
        <w:rPr>
          <w:rFonts w:cstheme="minorHAnsi"/>
          <w:sz w:val="24"/>
          <w:szCs w:val="24"/>
        </w:rPr>
        <w:t xml:space="preserve"> </w:t>
      </w:r>
      <w:r w:rsidR="00F638A9" w:rsidRPr="003B44D7">
        <w:rPr>
          <w:rFonts w:cstheme="minorHAnsi"/>
          <w:sz w:val="24"/>
          <w:szCs w:val="24"/>
        </w:rPr>
        <w:t>to remove hate speech and other illegal conten</w:t>
      </w:r>
      <w:r w:rsidR="00280435" w:rsidRPr="003B44D7">
        <w:rPr>
          <w:rFonts w:cstheme="minorHAnsi"/>
          <w:sz w:val="24"/>
          <w:szCs w:val="24"/>
        </w:rPr>
        <w:t>t</w:t>
      </w:r>
      <w:r w:rsidRPr="003B44D7">
        <w:rPr>
          <w:rFonts w:cstheme="minorHAnsi"/>
          <w:sz w:val="24"/>
          <w:szCs w:val="24"/>
        </w:rPr>
        <w:t xml:space="preserve"> </w:t>
      </w:r>
      <w:r w:rsidR="008947BB" w:rsidRPr="003B44D7">
        <w:rPr>
          <w:rFonts w:cstheme="minorHAnsi"/>
          <w:sz w:val="24"/>
          <w:szCs w:val="24"/>
        </w:rPr>
        <w:t xml:space="preserve">in response to </w:t>
      </w:r>
      <w:r w:rsidR="00E11F41" w:rsidRPr="003B44D7">
        <w:rPr>
          <w:rFonts w:cstheme="minorHAnsi"/>
          <w:sz w:val="24"/>
          <w:szCs w:val="24"/>
        </w:rPr>
        <w:t xml:space="preserve">user </w:t>
      </w:r>
      <w:r w:rsidR="00E031EA" w:rsidRPr="003B44D7">
        <w:rPr>
          <w:rFonts w:cstheme="minorHAnsi"/>
          <w:sz w:val="24"/>
          <w:szCs w:val="24"/>
        </w:rPr>
        <w:t>complaints</w:t>
      </w:r>
      <w:r w:rsidR="00F638A9" w:rsidRPr="003B44D7">
        <w:rPr>
          <w:rFonts w:cstheme="minorHAnsi"/>
          <w:sz w:val="24"/>
          <w:szCs w:val="24"/>
        </w:rPr>
        <w:t>.</w:t>
      </w:r>
      <w:r w:rsidR="008947BB" w:rsidRPr="003B44D7">
        <w:rPr>
          <w:rFonts w:cstheme="minorHAnsi"/>
          <w:sz w:val="24"/>
          <w:szCs w:val="24"/>
        </w:rPr>
        <w:t xml:space="preserve"> </w:t>
      </w:r>
      <w:r w:rsidR="00F638A9" w:rsidRPr="003B44D7">
        <w:rPr>
          <w:rFonts w:cstheme="minorHAnsi"/>
          <w:sz w:val="24"/>
          <w:szCs w:val="24"/>
        </w:rPr>
        <w:t>The time span for doing so is</w:t>
      </w:r>
      <w:r w:rsidRPr="003B44D7">
        <w:rPr>
          <w:rFonts w:cstheme="minorHAnsi"/>
          <w:sz w:val="24"/>
          <w:szCs w:val="24"/>
        </w:rPr>
        <w:t xml:space="preserve"> 24 hours</w:t>
      </w:r>
      <w:r w:rsidR="008947BB" w:rsidRPr="003B44D7">
        <w:rPr>
          <w:rFonts w:cstheme="minorHAnsi"/>
          <w:sz w:val="24"/>
          <w:szCs w:val="24"/>
        </w:rPr>
        <w:t xml:space="preserve"> for </w:t>
      </w:r>
      <w:r w:rsidR="00F638A9" w:rsidRPr="003B44D7">
        <w:rPr>
          <w:rFonts w:cstheme="minorHAnsi"/>
          <w:sz w:val="24"/>
          <w:szCs w:val="24"/>
        </w:rPr>
        <w:t>‘</w:t>
      </w:r>
      <w:r w:rsidR="00D767E6" w:rsidRPr="003B44D7">
        <w:rPr>
          <w:rFonts w:cstheme="minorHAnsi"/>
          <w:sz w:val="24"/>
          <w:szCs w:val="24"/>
        </w:rPr>
        <w:t>manifestly</w:t>
      </w:r>
      <w:r w:rsidR="00F638A9" w:rsidRPr="003B44D7">
        <w:rPr>
          <w:rFonts w:cstheme="minorHAnsi"/>
          <w:sz w:val="24"/>
          <w:szCs w:val="24"/>
        </w:rPr>
        <w:t xml:space="preserve"> illegal’ </w:t>
      </w:r>
      <w:r w:rsidR="008947BB" w:rsidRPr="003B44D7">
        <w:rPr>
          <w:rFonts w:cstheme="minorHAnsi"/>
          <w:sz w:val="24"/>
          <w:szCs w:val="24"/>
        </w:rPr>
        <w:t xml:space="preserve">material, and seven days </w:t>
      </w:r>
      <w:r w:rsidRPr="003B44D7">
        <w:rPr>
          <w:rFonts w:cstheme="minorHAnsi"/>
          <w:sz w:val="24"/>
          <w:szCs w:val="24"/>
        </w:rPr>
        <w:t>for al</w:t>
      </w:r>
      <w:r w:rsidR="008947BB" w:rsidRPr="003B44D7">
        <w:rPr>
          <w:rFonts w:cstheme="minorHAnsi"/>
          <w:sz w:val="24"/>
          <w:szCs w:val="24"/>
        </w:rPr>
        <w:t>l other illegal material</w:t>
      </w:r>
      <w:r w:rsidR="008A6005" w:rsidRPr="003B44D7">
        <w:rPr>
          <w:rFonts w:cstheme="minorHAnsi"/>
          <w:sz w:val="24"/>
          <w:szCs w:val="24"/>
        </w:rPr>
        <w:t>, with the possibility of</w:t>
      </w:r>
      <w:r w:rsidR="00280435" w:rsidRPr="003B44D7">
        <w:rPr>
          <w:rFonts w:cstheme="minorHAnsi"/>
          <w:sz w:val="24"/>
          <w:szCs w:val="24"/>
        </w:rPr>
        <w:t xml:space="preserve"> further</w:t>
      </w:r>
      <w:r w:rsidR="008A6005" w:rsidRPr="003B44D7">
        <w:rPr>
          <w:rFonts w:cstheme="minorHAnsi"/>
          <w:sz w:val="24"/>
          <w:szCs w:val="24"/>
        </w:rPr>
        <w:t xml:space="preserve"> extensions.</w:t>
      </w:r>
      <w:r w:rsidR="00877D90">
        <w:rPr>
          <w:rStyle w:val="FootnoteReference"/>
          <w:rFonts w:cstheme="minorHAnsi"/>
          <w:sz w:val="24"/>
          <w:szCs w:val="24"/>
        </w:rPr>
        <w:footnoteReference w:id="65"/>
      </w:r>
      <w:r w:rsidR="008947BB" w:rsidRPr="003B44D7">
        <w:rPr>
          <w:rFonts w:cstheme="minorHAnsi"/>
          <w:sz w:val="24"/>
          <w:szCs w:val="24"/>
        </w:rPr>
        <w:t xml:space="preserve"> </w:t>
      </w:r>
      <w:r w:rsidR="006E610E" w:rsidRPr="003B44D7">
        <w:rPr>
          <w:rFonts w:cstheme="minorHAnsi"/>
          <w:sz w:val="24"/>
          <w:szCs w:val="24"/>
        </w:rPr>
        <w:t xml:space="preserve">The </w:t>
      </w:r>
      <w:r w:rsidR="008E60B1" w:rsidRPr="003B44D7">
        <w:rPr>
          <w:rFonts w:cstheme="minorHAnsi"/>
          <w:sz w:val="24"/>
          <w:szCs w:val="24"/>
        </w:rPr>
        <w:t>illegality or legality is</w:t>
      </w:r>
      <w:r w:rsidR="006E610E" w:rsidRPr="003B44D7">
        <w:rPr>
          <w:rFonts w:cstheme="minorHAnsi"/>
          <w:sz w:val="24"/>
          <w:szCs w:val="24"/>
        </w:rPr>
        <w:t xml:space="preserve"> reviewed by the platforms in light of </w:t>
      </w:r>
      <w:r w:rsidR="00914FDD" w:rsidRPr="003B44D7">
        <w:rPr>
          <w:rFonts w:cstheme="minorHAnsi"/>
          <w:i/>
          <w:iCs/>
          <w:sz w:val="24"/>
          <w:szCs w:val="24"/>
        </w:rPr>
        <w:t>existing</w:t>
      </w:r>
      <w:r w:rsidR="00914FDD" w:rsidRPr="003B44D7">
        <w:rPr>
          <w:rFonts w:cstheme="minorHAnsi"/>
          <w:sz w:val="24"/>
          <w:szCs w:val="24"/>
        </w:rPr>
        <w:t xml:space="preserve"> </w:t>
      </w:r>
      <w:r w:rsidR="006E610E" w:rsidRPr="003B44D7">
        <w:rPr>
          <w:rFonts w:cstheme="minorHAnsi"/>
          <w:sz w:val="24"/>
          <w:szCs w:val="24"/>
        </w:rPr>
        <w:t xml:space="preserve">content prohibitions </w:t>
      </w:r>
      <w:r w:rsidR="008A6005" w:rsidRPr="003B44D7">
        <w:rPr>
          <w:rFonts w:cstheme="minorHAnsi"/>
          <w:sz w:val="24"/>
          <w:szCs w:val="24"/>
        </w:rPr>
        <w:t xml:space="preserve">in </w:t>
      </w:r>
      <w:r w:rsidR="006E610E" w:rsidRPr="003B44D7">
        <w:rPr>
          <w:rFonts w:cstheme="minorHAnsi"/>
          <w:sz w:val="24"/>
          <w:szCs w:val="24"/>
        </w:rPr>
        <w:t xml:space="preserve">the German Criminal Code, </w:t>
      </w:r>
      <w:r w:rsidR="00673DF3" w:rsidRPr="003B44D7">
        <w:rPr>
          <w:rFonts w:cstheme="minorHAnsi"/>
          <w:sz w:val="24"/>
          <w:szCs w:val="24"/>
        </w:rPr>
        <w:t>includ</w:t>
      </w:r>
      <w:r w:rsidR="003C3834" w:rsidRPr="003B44D7">
        <w:rPr>
          <w:rFonts w:cstheme="minorHAnsi"/>
          <w:sz w:val="24"/>
          <w:szCs w:val="24"/>
        </w:rPr>
        <w:t>ing</w:t>
      </w:r>
      <w:r w:rsidR="006E610E" w:rsidRPr="003B44D7">
        <w:rPr>
          <w:rFonts w:cstheme="minorHAnsi"/>
          <w:sz w:val="24"/>
          <w:szCs w:val="24"/>
        </w:rPr>
        <w:t xml:space="preserve"> s.130 on hate speech</w:t>
      </w:r>
      <w:r w:rsidR="00914FDD" w:rsidRPr="003B44D7">
        <w:rPr>
          <w:rFonts w:cstheme="minorHAnsi"/>
          <w:sz w:val="24"/>
          <w:szCs w:val="24"/>
        </w:rPr>
        <w:t>.</w:t>
      </w:r>
      <w:r w:rsidR="003C1AFA" w:rsidRPr="003B44D7">
        <w:rPr>
          <w:rStyle w:val="FootnoteReference"/>
          <w:rFonts w:cstheme="minorHAnsi"/>
          <w:sz w:val="24"/>
          <w:szCs w:val="24"/>
        </w:rPr>
        <w:footnoteReference w:id="66"/>
      </w:r>
      <w:r w:rsidR="00914FDD" w:rsidRPr="003B44D7">
        <w:rPr>
          <w:rFonts w:cstheme="minorHAnsi"/>
          <w:sz w:val="24"/>
          <w:szCs w:val="24"/>
        </w:rPr>
        <w:t xml:space="preserve"> </w:t>
      </w:r>
      <w:r w:rsidR="00673DF3" w:rsidRPr="003B44D7">
        <w:rPr>
          <w:rFonts w:cstheme="minorHAnsi"/>
          <w:sz w:val="24"/>
          <w:szCs w:val="24"/>
        </w:rPr>
        <w:t xml:space="preserve">NetzDG </w:t>
      </w:r>
      <w:r w:rsidR="0014636C" w:rsidRPr="003B44D7">
        <w:rPr>
          <w:rFonts w:cstheme="minorHAnsi"/>
          <w:sz w:val="24"/>
          <w:szCs w:val="24"/>
        </w:rPr>
        <w:t>shifts</w:t>
      </w:r>
      <w:r w:rsidR="008A6005" w:rsidRPr="003B44D7">
        <w:rPr>
          <w:rFonts w:cstheme="minorHAnsi"/>
          <w:sz w:val="24"/>
          <w:szCs w:val="24"/>
        </w:rPr>
        <w:t xml:space="preserve"> censorship</w:t>
      </w:r>
      <w:r w:rsidR="00673DF3" w:rsidRPr="003B44D7">
        <w:rPr>
          <w:rFonts w:cstheme="minorHAnsi"/>
          <w:sz w:val="24"/>
          <w:szCs w:val="24"/>
        </w:rPr>
        <w:t xml:space="preserve"> </w:t>
      </w:r>
      <w:r w:rsidR="00127B13" w:rsidRPr="003B44D7">
        <w:rPr>
          <w:rFonts w:cstheme="minorHAnsi"/>
          <w:sz w:val="24"/>
          <w:szCs w:val="24"/>
        </w:rPr>
        <w:t>(</w:t>
      </w:r>
      <w:r w:rsidR="001664BF" w:rsidRPr="003B44D7">
        <w:rPr>
          <w:rFonts w:cstheme="minorHAnsi"/>
          <w:sz w:val="24"/>
          <w:szCs w:val="24"/>
        </w:rPr>
        <w:t>here not used</w:t>
      </w:r>
      <w:r w:rsidR="00127B13" w:rsidRPr="003B44D7">
        <w:rPr>
          <w:rFonts w:cstheme="minorHAnsi"/>
          <w:sz w:val="24"/>
          <w:szCs w:val="24"/>
        </w:rPr>
        <w:t xml:space="preserve"> in a technical legal meaning, but </w:t>
      </w:r>
      <w:r w:rsidR="002F7DC5" w:rsidRPr="003B44D7">
        <w:rPr>
          <w:rFonts w:cstheme="minorHAnsi"/>
          <w:sz w:val="24"/>
          <w:szCs w:val="24"/>
        </w:rPr>
        <w:t>broadly</w:t>
      </w:r>
      <w:r w:rsidR="00127B13" w:rsidRPr="003B44D7">
        <w:rPr>
          <w:rFonts w:cstheme="minorHAnsi"/>
          <w:sz w:val="24"/>
          <w:szCs w:val="24"/>
        </w:rPr>
        <w:t xml:space="preserve"> as </w:t>
      </w:r>
      <w:r w:rsidR="002F7DC5" w:rsidRPr="003B44D7">
        <w:rPr>
          <w:rFonts w:cstheme="minorHAnsi"/>
          <w:sz w:val="24"/>
          <w:szCs w:val="24"/>
        </w:rPr>
        <w:t>the imposition of</w:t>
      </w:r>
      <w:r w:rsidR="00127B13" w:rsidRPr="003B44D7">
        <w:rPr>
          <w:rFonts w:cstheme="minorHAnsi"/>
          <w:sz w:val="24"/>
          <w:szCs w:val="24"/>
        </w:rPr>
        <w:t xml:space="preserve"> restrictions on speech</w:t>
      </w:r>
      <w:r w:rsidR="002F7DC5" w:rsidRPr="003B44D7">
        <w:rPr>
          <w:rFonts w:cstheme="minorHAnsi"/>
          <w:sz w:val="24"/>
          <w:szCs w:val="24"/>
        </w:rPr>
        <w:t xml:space="preserve"> by private or public actors</w:t>
      </w:r>
      <w:r w:rsidR="002F7DC5" w:rsidRPr="003B44D7">
        <w:rPr>
          <w:rStyle w:val="FootnoteReference"/>
          <w:rFonts w:cstheme="minorHAnsi"/>
          <w:sz w:val="24"/>
          <w:szCs w:val="24"/>
        </w:rPr>
        <w:footnoteReference w:id="67"/>
      </w:r>
      <w:r w:rsidR="00127B13" w:rsidRPr="003B44D7">
        <w:rPr>
          <w:rFonts w:cstheme="minorHAnsi"/>
          <w:sz w:val="24"/>
          <w:szCs w:val="24"/>
        </w:rPr>
        <w:t xml:space="preserve">) </w:t>
      </w:r>
      <w:r w:rsidR="00435566">
        <w:rPr>
          <w:rFonts w:cstheme="minorHAnsi"/>
          <w:sz w:val="24"/>
          <w:szCs w:val="24"/>
        </w:rPr>
        <w:t xml:space="preserve">arguably </w:t>
      </w:r>
      <w:r w:rsidR="00B635A6" w:rsidRPr="003B44D7">
        <w:rPr>
          <w:rFonts w:cstheme="minorHAnsi"/>
          <w:sz w:val="24"/>
          <w:szCs w:val="24"/>
        </w:rPr>
        <w:t xml:space="preserve">traditionally </w:t>
      </w:r>
      <w:r w:rsidR="00C8548C" w:rsidRPr="003B44D7">
        <w:rPr>
          <w:rFonts w:cstheme="minorHAnsi"/>
          <w:sz w:val="24"/>
          <w:szCs w:val="24"/>
        </w:rPr>
        <w:t>adjudicated</w:t>
      </w:r>
      <w:r w:rsidR="00B635A6" w:rsidRPr="003B44D7">
        <w:rPr>
          <w:rFonts w:cstheme="minorHAnsi"/>
          <w:sz w:val="24"/>
          <w:szCs w:val="24"/>
        </w:rPr>
        <w:t xml:space="preserve"> by the</w:t>
      </w:r>
      <w:r w:rsidR="00673DF3" w:rsidRPr="003B44D7">
        <w:rPr>
          <w:rFonts w:cstheme="minorHAnsi"/>
          <w:sz w:val="24"/>
          <w:szCs w:val="24"/>
        </w:rPr>
        <w:t xml:space="preserve"> State</w:t>
      </w:r>
      <w:r w:rsidR="0014636C" w:rsidRPr="003B44D7">
        <w:rPr>
          <w:rFonts w:cstheme="minorHAnsi"/>
          <w:sz w:val="24"/>
          <w:szCs w:val="24"/>
        </w:rPr>
        <w:t xml:space="preserve"> to</w:t>
      </w:r>
      <w:r w:rsidR="00C8548C" w:rsidRPr="003B44D7">
        <w:rPr>
          <w:rFonts w:cstheme="minorHAnsi"/>
          <w:sz w:val="24"/>
          <w:szCs w:val="24"/>
        </w:rPr>
        <w:t xml:space="preserve"> the large</w:t>
      </w:r>
      <w:r w:rsidR="001D4858" w:rsidRPr="003B44D7">
        <w:rPr>
          <w:rFonts w:cstheme="minorHAnsi"/>
          <w:sz w:val="24"/>
          <w:szCs w:val="24"/>
        </w:rPr>
        <w:t xml:space="preserve"> social platforms</w:t>
      </w:r>
      <w:r w:rsidR="00435566">
        <w:rPr>
          <w:rFonts w:cstheme="minorHAnsi"/>
          <w:sz w:val="24"/>
          <w:szCs w:val="24"/>
        </w:rPr>
        <w:t xml:space="preserve">. The platforms </w:t>
      </w:r>
      <w:r w:rsidR="008754B9" w:rsidRPr="003B44D7">
        <w:rPr>
          <w:rFonts w:cstheme="minorHAnsi"/>
          <w:sz w:val="24"/>
          <w:szCs w:val="24"/>
        </w:rPr>
        <w:t xml:space="preserve">already </w:t>
      </w:r>
      <w:r w:rsidR="0014636C" w:rsidRPr="003B44D7">
        <w:rPr>
          <w:rFonts w:cstheme="minorHAnsi"/>
          <w:sz w:val="24"/>
          <w:szCs w:val="24"/>
        </w:rPr>
        <w:t xml:space="preserve">occupy </w:t>
      </w:r>
      <w:r w:rsidR="00FA3541" w:rsidRPr="003B44D7">
        <w:rPr>
          <w:rFonts w:cstheme="minorHAnsi"/>
          <w:sz w:val="24"/>
          <w:szCs w:val="24"/>
        </w:rPr>
        <w:t>active</w:t>
      </w:r>
      <w:r w:rsidR="005208A0">
        <w:rPr>
          <w:rFonts w:cstheme="minorHAnsi"/>
          <w:sz w:val="24"/>
          <w:szCs w:val="24"/>
        </w:rPr>
        <w:t xml:space="preserve"> </w:t>
      </w:r>
      <w:r w:rsidR="0014636C" w:rsidRPr="003B44D7">
        <w:rPr>
          <w:rFonts w:cstheme="minorHAnsi"/>
          <w:sz w:val="24"/>
          <w:szCs w:val="24"/>
        </w:rPr>
        <w:t>gate</w:t>
      </w:r>
      <w:r w:rsidR="00C8548C" w:rsidRPr="003B44D7">
        <w:rPr>
          <w:rFonts w:cstheme="minorHAnsi"/>
          <w:sz w:val="24"/>
          <w:szCs w:val="24"/>
        </w:rPr>
        <w:t>keeper roles and</w:t>
      </w:r>
      <w:r w:rsidR="00FA3541" w:rsidRPr="003B44D7">
        <w:rPr>
          <w:rFonts w:cstheme="minorHAnsi"/>
          <w:sz w:val="24"/>
          <w:szCs w:val="24"/>
        </w:rPr>
        <w:t xml:space="preserve"> thereby</w:t>
      </w:r>
      <w:r w:rsidR="00C8548C" w:rsidRPr="003B44D7">
        <w:rPr>
          <w:rFonts w:cstheme="minorHAnsi"/>
          <w:sz w:val="24"/>
          <w:szCs w:val="24"/>
        </w:rPr>
        <w:t xml:space="preserve"> shape the public </w:t>
      </w:r>
      <w:r w:rsidR="00C8548C" w:rsidRPr="003B44D7">
        <w:rPr>
          <w:rFonts w:cstheme="minorHAnsi"/>
          <w:sz w:val="24"/>
          <w:szCs w:val="24"/>
        </w:rPr>
        <w:lastRenderedPageBreak/>
        <w:t>sphere,</w:t>
      </w:r>
      <w:r w:rsidR="0014636C" w:rsidRPr="003B44D7">
        <w:rPr>
          <w:rFonts w:cstheme="minorHAnsi"/>
          <w:sz w:val="24"/>
          <w:szCs w:val="24"/>
        </w:rPr>
        <w:t xml:space="preserve"> albeit according to</w:t>
      </w:r>
      <w:r w:rsidR="00673DF3" w:rsidRPr="003B44D7">
        <w:rPr>
          <w:rFonts w:cstheme="minorHAnsi"/>
          <w:sz w:val="24"/>
          <w:szCs w:val="24"/>
        </w:rPr>
        <w:t xml:space="preserve"> thei</w:t>
      </w:r>
      <w:r w:rsidR="00C8548C" w:rsidRPr="003B44D7">
        <w:rPr>
          <w:rFonts w:cstheme="minorHAnsi"/>
          <w:sz w:val="24"/>
          <w:szCs w:val="24"/>
        </w:rPr>
        <w:t xml:space="preserve">r own ‘community </w:t>
      </w:r>
      <w:r w:rsidR="001664BF" w:rsidRPr="003B44D7">
        <w:rPr>
          <w:rFonts w:cstheme="minorHAnsi"/>
          <w:sz w:val="24"/>
          <w:szCs w:val="24"/>
        </w:rPr>
        <w:t>standards</w:t>
      </w:r>
      <w:r w:rsidR="00C8548C" w:rsidRPr="003B44D7">
        <w:rPr>
          <w:rFonts w:cstheme="minorHAnsi"/>
          <w:sz w:val="24"/>
          <w:szCs w:val="24"/>
        </w:rPr>
        <w:t xml:space="preserve">’ </w:t>
      </w:r>
      <w:r w:rsidR="001D4858" w:rsidRPr="003B44D7">
        <w:rPr>
          <w:rFonts w:cstheme="minorHAnsi"/>
          <w:sz w:val="24"/>
          <w:szCs w:val="24"/>
        </w:rPr>
        <w:t>based on their</w:t>
      </w:r>
      <w:r w:rsidR="0014636C" w:rsidRPr="003B44D7">
        <w:rPr>
          <w:rFonts w:cstheme="minorHAnsi"/>
          <w:sz w:val="24"/>
          <w:szCs w:val="24"/>
        </w:rPr>
        <w:t xml:space="preserve"> </w:t>
      </w:r>
      <w:r w:rsidR="00712549" w:rsidRPr="003B44D7">
        <w:rPr>
          <w:rFonts w:cstheme="minorHAnsi"/>
          <w:sz w:val="24"/>
          <w:szCs w:val="24"/>
        </w:rPr>
        <w:t>p</w:t>
      </w:r>
      <w:r w:rsidR="00673DF3" w:rsidRPr="003B44D7">
        <w:rPr>
          <w:rFonts w:cstheme="minorHAnsi"/>
          <w:sz w:val="24"/>
          <w:szCs w:val="24"/>
        </w:rPr>
        <w:t>rofit driven interests.</w:t>
      </w:r>
      <w:r w:rsidR="0014636C" w:rsidRPr="003B44D7">
        <w:rPr>
          <w:rStyle w:val="FootnoteReference"/>
          <w:rFonts w:cstheme="minorHAnsi"/>
          <w:sz w:val="24"/>
          <w:szCs w:val="24"/>
        </w:rPr>
        <w:footnoteReference w:id="68"/>
      </w:r>
      <w:r w:rsidR="008754B9" w:rsidRPr="003B44D7">
        <w:rPr>
          <w:rFonts w:cstheme="minorHAnsi"/>
          <w:sz w:val="24"/>
          <w:szCs w:val="24"/>
        </w:rPr>
        <w:t xml:space="preserve"> </w:t>
      </w:r>
      <w:r w:rsidR="001D4858" w:rsidRPr="003B44D7">
        <w:rPr>
          <w:rFonts w:cstheme="minorHAnsi"/>
          <w:sz w:val="24"/>
          <w:szCs w:val="24"/>
        </w:rPr>
        <w:t>In this sense,</w:t>
      </w:r>
      <w:r w:rsidR="00C8548C" w:rsidRPr="003B44D7">
        <w:rPr>
          <w:rFonts w:cstheme="minorHAnsi"/>
          <w:sz w:val="24"/>
          <w:szCs w:val="24"/>
        </w:rPr>
        <w:t xml:space="preserve"> NetzDG </w:t>
      </w:r>
      <w:r w:rsidR="00903DE3" w:rsidRPr="003B44D7">
        <w:rPr>
          <w:rFonts w:cstheme="minorHAnsi"/>
          <w:sz w:val="24"/>
          <w:szCs w:val="24"/>
        </w:rPr>
        <w:t xml:space="preserve">may be </w:t>
      </w:r>
      <w:r w:rsidR="00C8548C" w:rsidRPr="003B44D7">
        <w:rPr>
          <w:rFonts w:cstheme="minorHAnsi"/>
          <w:sz w:val="24"/>
          <w:szCs w:val="24"/>
        </w:rPr>
        <w:t xml:space="preserve">read </w:t>
      </w:r>
      <w:r w:rsidR="009C76A9" w:rsidRPr="003B44D7">
        <w:rPr>
          <w:rFonts w:cstheme="minorHAnsi"/>
          <w:sz w:val="24"/>
          <w:szCs w:val="24"/>
        </w:rPr>
        <w:t>as</w:t>
      </w:r>
      <w:r w:rsidR="008754B9" w:rsidRPr="003B44D7">
        <w:rPr>
          <w:rFonts w:cstheme="minorHAnsi"/>
          <w:sz w:val="24"/>
          <w:szCs w:val="24"/>
        </w:rPr>
        <w:t xml:space="preserve"> </w:t>
      </w:r>
      <w:r w:rsidR="009C76A9" w:rsidRPr="003B44D7">
        <w:rPr>
          <w:rFonts w:cstheme="minorHAnsi"/>
          <w:sz w:val="24"/>
          <w:szCs w:val="24"/>
        </w:rPr>
        <w:t>adding</w:t>
      </w:r>
      <w:r w:rsidR="00C8548C" w:rsidRPr="003B44D7">
        <w:rPr>
          <w:rFonts w:cstheme="minorHAnsi"/>
          <w:sz w:val="24"/>
          <w:szCs w:val="24"/>
        </w:rPr>
        <w:t xml:space="preserve"> public</w:t>
      </w:r>
      <w:r w:rsidR="008754B9" w:rsidRPr="003B44D7">
        <w:rPr>
          <w:rFonts w:cstheme="minorHAnsi"/>
          <w:sz w:val="24"/>
          <w:szCs w:val="24"/>
        </w:rPr>
        <w:t xml:space="preserve"> matters</w:t>
      </w:r>
      <w:r w:rsidR="0014636C" w:rsidRPr="003B44D7">
        <w:rPr>
          <w:rFonts w:cstheme="minorHAnsi"/>
          <w:sz w:val="24"/>
          <w:szCs w:val="24"/>
        </w:rPr>
        <w:t xml:space="preserve"> to the </w:t>
      </w:r>
      <w:r w:rsidR="00B635A6" w:rsidRPr="003B44D7">
        <w:rPr>
          <w:rFonts w:cstheme="minorHAnsi"/>
          <w:sz w:val="24"/>
          <w:szCs w:val="24"/>
        </w:rPr>
        <w:t>private</w:t>
      </w:r>
      <w:r w:rsidR="00C8548C" w:rsidRPr="003B44D7">
        <w:rPr>
          <w:rFonts w:cstheme="minorHAnsi"/>
          <w:sz w:val="24"/>
          <w:szCs w:val="24"/>
        </w:rPr>
        <w:t xml:space="preserve"> </w:t>
      </w:r>
      <w:r w:rsidR="00B635A6" w:rsidRPr="003B44D7">
        <w:rPr>
          <w:rFonts w:cstheme="minorHAnsi"/>
          <w:sz w:val="24"/>
          <w:szCs w:val="24"/>
        </w:rPr>
        <w:t>list of unaccept</w:t>
      </w:r>
      <w:r w:rsidR="00903DE3" w:rsidRPr="003B44D7">
        <w:rPr>
          <w:rFonts w:cstheme="minorHAnsi"/>
          <w:sz w:val="24"/>
          <w:szCs w:val="24"/>
        </w:rPr>
        <w:t>able</w:t>
      </w:r>
      <w:r w:rsidR="001D4858" w:rsidRPr="003B44D7">
        <w:rPr>
          <w:rFonts w:cstheme="minorHAnsi"/>
          <w:sz w:val="24"/>
          <w:szCs w:val="24"/>
        </w:rPr>
        <w:t xml:space="preserve"> activities,</w:t>
      </w:r>
      <w:r w:rsidR="00903DE3" w:rsidRPr="003B44D7">
        <w:rPr>
          <w:rFonts w:cstheme="minorHAnsi"/>
          <w:sz w:val="24"/>
          <w:szCs w:val="24"/>
        </w:rPr>
        <w:t xml:space="preserve"> conduct</w:t>
      </w:r>
      <w:r w:rsidR="001D4858" w:rsidRPr="003B44D7">
        <w:rPr>
          <w:rFonts w:cstheme="minorHAnsi"/>
          <w:sz w:val="24"/>
          <w:szCs w:val="24"/>
        </w:rPr>
        <w:t>s and expression</w:t>
      </w:r>
      <w:r w:rsidR="008A6005" w:rsidRPr="003B44D7">
        <w:rPr>
          <w:rFonts w:cstheme="minorHAnsi"/>
          <w:sz w:val="24"/>
          <w:szCs w:val="24"/>
        </w:rPr>
        <w:t>s</w:t>
      </w:r>
      <w:r w:rsidR="00646A06" w:rsidRPr="003B44D7">
        <w:rPr>
          <w:rFonts w:cstheme="minorHAnsi"/>
          <w:sz w:val="24"/>
          <w:szCs w:val="24"/>
        </w:rPr>
        <w:t xml:space="preserve"> subject to takedown. In effect, </w:t>
      </w:r>
      <w:r w:rsidR="00903DE3" w:rsidRPr="003B44D7">
        <w:rPr>
          <w:rFonts w:cstheme="minorHAnsi"/>
          <w:sz w:val="24"/>
          <w:szCs w:val="24"/>
        </w:rPr>
        <w:t>it</w:t>
      </w:r>
      <w:r w:rsidR="00646A06" w:rsidRPr="003B44D7">
        <w:rPr>
          <w:rFonts w:cstheme="minorHAnsi"/>
          <w:sz w:val="24"/>
          <w:szCs w:val="24"/>
        </w:rPr>
        <w:t xml:space="preserve"> </w:t>
      </w:r>
      <w:r w:rsidR="00903DE3" w:rsidRPr="003B44D7">
        <w:rPr>
          <w:rFonts w:cstheme="minorHAnsi"/>
          <w:sz w:val="24"/>
          <w:szCs w:val="24"/>
        </w:rPr>
        <w:t>supplements</w:t>
      </w:r>
      <w:r w:rsidR="00B635A6" w:rsidRPr="003B44D7">
        <w:rPr>
          <w:rFonts w:cstheme="minorHAnsi"/>
          <w:sz w:val="24"/>
          <w:szCs w:val="24"/>
        </w:rPr>
        <w:t xml:space="preserve"> US-centric </w:t>
      </w:r>
      <w:r w:rsidR="00903DE3" w:rsidRPr="003B44D7">
        <w:rPr>
          <w:rFonts w:cstheme="minorHAnsi"/>
          <w:sz w:val="24"/>
          <w:szCs w:val="24"/>
        </w:rPr>
        <w:t xml:space="preserve">global </w:t>
      </w:r>
      <w:r w:rsidR="001D4858" w:rsidRPr="003B44D7">
        <w:rPr>
          <w:rFonts w:cstheme="minorHAnsi"/>
          <w:sz w:val="24"/>
          <w:szCs w:val="24"/>
        </w:rPr>
        <w:t xml:space="preserve">platform </w:t>
      </w:r>
      <w:r w:rsidR="00B635A6" w:rsidRPr="003B44D7">
        <w:rPr>
          <w:rFonts w:cstheme="minorHAnsi"/>
          <w:sz w:val="24"/>
          <w:szCs w:val="24"/>
        </w:rPr>
        <w:t xml:space="preserve">community standards </w:t>
      </w:r>
      <w:r w:rsidR="00903DE3" w:rsidRPr="003B44D7">
        <w:rPr>
          <w:rFonts w:cstheme="minorHAnsi"/>
          <w:sz w:val="24"/>
          <w:szCs w:val="24"/>
        </w:rPr>
        <w:t>imposed</w:t>
      </w:r>
      <w:r w:rsidR="00B635A6" w:rsidRPr="003B44D7">
        <w:rPr>
          <w:rFonts w:cstheme="minorHAnsi"/>
          <w:sz w:val="24"/>
          <w:szCs w:val="24"/>
        </w:rPr>
        <w:t xml:space="preserve"> by</w:t>
      </w:r>
      <w:r w:rsidR="00903DE3" w:rsidRPr="003B44D7">
        <w:rPr>
          <w:rFonts w:cstheme="minorHAnsi"/>
          <w:sz w:val="24"/>
          <w:szCs w:val="24"/>
        </w:rPr>
        <w:t xml:space="preserve"> the technology corporations</w:t>
      </w:r>
      <w:r w:rsidR="006B3647" w:rsidRPr="003B44D7">
        <w:rPr>
          <w:rFonts w:cstheme="minorHAnsi"/>
          <w:sz w:val="24"/>
          <w:szCs w:val="24"/>
        </w:rPr>
        <w:t xml:space="preserve">, with </w:t>
      </w:r>
      <w:r w:rsidR="00B635A6" w:rsidRPr="003B44D7">
        <w:rPr>
          <w:rFonts w:cstheme="minorHAnsi"/>
          <w:sz w:val="24"/>
          <w:szCs w:val="24"/>
        </w:rPr>
        <w:t>democratically legitimated community standards</w:t>
      </w:r>
      <w:r w:rsidR="006B3647" w:rsidRPr="003B44D7">
        <w:rPr>
          <w:rFonts w:cstheme="minorHAnsi"/>
          <w:sz w:val="24"/>
          <w:szCs w:val="24"/>
        </w:rPr>
        <w:t xml:space="preserve"> of the German polity</w:t>
      </w:r>
      <w:r w:rsidR="00B635A6" w:rsidRPr="003B44D7">
        <w:rPr>
          <w:rFonts w:cstheme="minorHAnsi"/>
          <w:sz w:val="24"/>
          <w:szCs w:val="24"/>
        </w:rPr>
        <w:t>.</w:t>
      </w:r>
      <w:r w:rsidR="008A6005" w:rsidRPr="003B44D7">
        <w:rPr>
          <w:rStyle w:val="FootnoteReference"/>
          <w:rFonts w:cstheme="minorHAnsi"/>
          <w:sz w:val="24"/>
          <w:szCs w:val="24"/>
        </w:rPr>
        <w:footnoteReference w:id="69"/>
      </w:r>
    </w:p>
    <w:p w14:paraId="69C21EF7" w14:textId="77777777" w:rsidR="000E499F" w:rsidRPr="003B44D7" w:rsidRDefault="000E499F" w:rsidP="004E7EB4">
      <w:pPr>
        <w:spacing w:after="0" w:line="240" w:lineRule="auto"/>
        <w:jc w:val="both"/>
        <w:rPr>
          <w:rFonts w:cstheme="minorHAnsi"/>
          <w:sz w:val="24"/>
          <w:szCs w:val="24"/>
        </w:rPr>
      </w:pPr>
    </w:p>
    <w:p w14:paraId="572ADAF2" w14:textId="15FF5651" w:rsidR="00C56D56" w:rsidRPr="003B44D7" w:rsidRDefault="00C8548C" w:rsidP="004E7EB4">
      <w:pPr>
        <w:autoSpaceDE w:val="0"/>
        <w:autoSpaceDN w:val="0"/>
        <w:adjustRightInd w:val="0"/>
        <w:spacing w:after="0" w:line="240" w:lineRule="auto"/>
        <w:jc w:val="both"/>
        <w:rPr>
          <w:rFonts w:cstheme="minorHAnsi"/>
          <w:sz w:val="24"/>
          <w:szCs w:val="24"/>
        </w:rPr>
      </w:pPr>
      <w:r w:rsidRPr="003B44D7">
        <w:rPr>
          <w:rFonts w:cstheme="minorHAnsi"/>
          <w:sz w:val="24"/>
          <w:szCs w:val="24"/>
        </w:rPr>
        <w:t xml:space="preserve">Platforms </w:t>
      </w:r>
      <w:r w:rsidR="00774F4F" w:rsidRPr="003B44D7">
        <w:rPr>
          <w:rFonts w:cstheme="minorHAnsi"/>
          <w:sz w:val="24"/>
          <w:szCs w:val="24"/>
        </w:rPr>
        <w:t>can</w:t>
      </w:r>
      <w:r w:rsidR="006E610E" w:rsidRPr="003B44D7">
        <w:rPr>
          <w:rFonts w:cstheme="minorHAnsi"/>
          <w:sz w:val="24"/>
          <w:szCs w:val="24"/>
        </w:rPr>
        <w:t xml:space="preserve"> be</w:t>
      </w:r>
      <w:r w:rsidR="00EB1E29" w:rsidRPr="003B44D7">
        <w:rPr>
          <w:rFonts w:cstheme="minorHAnsi"/>
          <w:sz w:val="24"/>
          <w:szCs w:val="24"/>
        </w:rPr>
        <w:t xml:space="preserve"> </w:t>
      </w:r>
      <w:r w:rsidR="004D3D13" w:rsidRPr="003B44D7">
        <w:rPr>
          <w:rFonts w:cstheme="minorHAnsi"/>
          <w:sz w:val="24"/>
          <w:szCs w:val="24"/>
        </w:rPr>
        <w:t>fine</w:t>
      </w:r>
      <w:r w:rsidR="006E610E" w:rsidRPr="003B44D7">
        <w:rPr>
          <w:rFonts w:cstheme="minorHAnsi"/>
          <w:sz w:val="24"/>
          <w:szCs w:val="24"/>
        </w:rPr>
        <w:t xml:space="preserve">d </w:t>
      </w:r>
      <w:r w:rsidR="008E60B1" w:rsidRPr="003B44D7">
        <w:rPr>
          <w:rFonts w:cstheme="minorHAnsi"/>
          <w:sz w:val="24"/>
          <w:szCs w:val="24"/>
        </w:rPr>
        <w:t xml:space="preserve">of </w:t>
      </w:r>
      <w:r w:rsidR="00EB1E29" w:rsidRPr="003B44D7">
        <w:rPr>
          <w:rFonts w:cstheme="minorHAnsi"/>
          <w:sz w:val="24"/>
          <w:szCs w:val="24"/>
        </w:rPr>
        <w:t>up to</w:t>
      </w:r>
      <w:r w:rsidR="004D3D13" w:rsidRPr="003B44D7">
        <w:rPr>
          <w:rFonts w:cstheme="minorHAnsi"/>
          <w:sz w:val="24"/>
          <w:szCs w:val="24"/>
        </w:rPr>
        <w:t xml:space="preserve"> €5</w:t>
      </w:r>
      <w:r w:rsidR="00D767E6" w:rsidRPr="003B44D7">
        <w:rPr>
          <w:rFonts w:cstheme="minorHAnsi"/>
          <w:sz w:val="24"/>
          <w:szCs w:val="24"/>
        </w:rPr>
        <w:t>0</w:t>
      </w:r>
      <w:r w:rsidR="00EB1E29" w:rsidRPr="003B44D7">
        <w:rPr>
          <w:rFonts w:cstheme="minorHAnsi"/>
          <w:sz w:val="24"/>
          <w:szCs w:val="24"/>
        </w:rPr>
        <w:t>m</w:t>
      </w:r>
      <w:r w:rsidR="004D3D13" w:rsidRPr="003B44D7">
        <w:rPr>
          <w:rStyle w:val="FootnoteReference"/>
          <w:rFonts w:cstheme="minorHAnsi"/>
          <w:sz w:val="24"/>
          <w:szCs w:val="24"/>
        </w:rPr>
        <w:footnoteReference w:id="70"/>
      </w:r>
      <w:r w:rsidR="004D3D13" w:rsidRPr="003B44D7">
        <w:rPr>
          <w:rFonts w:cstheme="minorHAnsi"/>
          <w:sz w:val="24"/>
          <w:szCs w:val="24"/>
        </w:rPr>
        <w:t xml:space="preserve"> </w:t>
      </w:r>
      <w:r w:rsidR="006E610E" w:rsidRPr="003B44D7">
        <w:rPr>
          <w:rFonts w:cstheme="minorHAnsi"/>
          <w:sz w:val="24"/>
          <w:szCs w:val="24"/>
        </w:rPr>
        <w:t xml:space="preserve">for non-compliance </w:t>
      </w:r>
      <w:r w:rsidR="008E60B1" w:rsidRPr="003B44D7">
        <w:rPr>
          <w:rFonts w:cstheme="minorHAnsi"/>
          <w:sz w:val="24"/>
          <w:szCs w:val="24"/>
        </w:rPr>
        <w:t xml:space="preserve">with </w:t>
      </w:r>
      <w:r w:rsidR="000E499F" w:rsidRPr="003B44D7">
        <w:rPr>
          <w:rFonts w:cstheme="minorHAnsi"/>
          <w:sz w:val="24"/>
          <w:szCs w:val="24"/>
        </w:rPr>
        <w:t>their</w:t>
      </w:r>
      <w:r w:rsidR="00712549" w:rsidRPr="003B44D7">
        <w:rPr>
          <w:rFonts w:cstheme="minorHAnsi"/>
          <w:sz w:val="24"/>
          <w:szCs w:val="24"/>
        </w:rPr>
        <w:t xml:space="preserve"> obligations under</w:t>
      </w:r>
      <w:r w:rsidR="00B635A6" w:rsidRPr="003B44D7">
        <w:rPr>
          <w:rFonts w:cstheme="minorHAnsi"/>
          <w:sz w:val="24"/>
          <w:szCs w:val="24"/>
        </w:rPr>
        <w:t xml:space="preserve"> ss.2-5</w:t>
      </w:r>
      <w:r w:rsidR="00357424" w:rsidRPr="003B44D7">
        <w:rPr>
          <w:rFonts w:cstheme="minorHAnsi"/>
          <w:sz w:val="24"/>
          <w:szCs w:val="24"/>
        </w:rPr>
        <w:t xml:space="preserve">, </w:t>
      </w:r>
      <w:r w:rsidR="00774F4F" w:rsidRPr="003B44D7">
        <w:rPr>
          <w:rFonts w:cstheme="minorHAnsi"/>
          <w:sz w:val="24"/>
          <w:szCs w:val="24"/>
        </w:rPr>
        <w:t>as</w:t>
      </w:r>
      <w:r w:rsidR="001C0EB5" w:rsidRPr="003B44D7">
        <w:rPr>
          <w:rFonts w:cstheme="minorHAnsi"/>
          <w:sz w:val="24"/>
          <w:szCs w:val="24"/>
        </w:rPr>
        <w:t xml:space="preserve"> </w:t>
      </w:r>
      <w:r w:rsidR="001D4858" w:rsidRPr="003B44D7">
        <w:rPr>
          <w:rFonts w:cstheme="minorHAnsi"/>
          <w:sz w:val="24"/>
          <w:szCs w:val="24"/>
        </w:rPr>
        <w:t>strengthened by</w:t>
      </w:r>
      <w:r w:rsidRPr="003B44D7">
        <w:rPr>
          <w:rFonts w:cstheme="minorHAnsi"/>
          <w:sz w:val="24"/>
          <w:szCs w:val="24"/>
        </w:rPr>
        <w:t xml:space="preserve"> amendments</w:t>
      </w:r>
      <w:r w:rsidR="001D4858" w:rsidRPr="003B44D7">
        <w:rPr>
          <w:rFonts w:cstheme="minorHAnsi"/>
          <w:sz w:val="24"/>
          <w:szCs w:val="24"/>
        </w:rPr>
        <w:t xml:space="preserve"> in </w:t>
      </w:r>
      <w:r w:rsidR="001C0EB5" w:rsidRPr="003B44D7">
        <w:rPr>
          <w:rFonts w:cstheme="minorHAnsi"/>
          <w:sz w:val="24"/>
          <w:szCs w:val="24"/>
        </w:rPr>
        <w:t>2021</w:t>
      </w:r>
      <w:r w:rsidR="001D4858" w:rsidRPr="003B44D7">
        <w:rPr>
          <w:rFonts w:cstheme="minorHAnsi"/>
          <w:sz w:val="24"/>
          <w:szCs w:val="24"/>
        </w:rPr>
        <w:t>.</w:t>
      </w:r>
      <w:r w:rsidR="001C0EB5" w:rsidRPr="003B44D7">
        <w:rPr>
          <w:rStyle w:val="FootnoteReference"/>
          <w:rFonts w:cstheme="minorHAnsi"/>
          <w:sz w:val="24"/>
          <w:szCs w:val="24"/>
        </w:rPr>
        <w:footnoteReference w:id="71"/>
      </w:r>
      <w:r w:rsidR="001C0EB5" w:rsidRPr="003B44D7">
        <w:rPr>
          <w:rFonts w:cstheme="minorHAnsi"/>
          <w:sz w:val="24"/>
          <w:szCs w:val="24"/>
        </w:rPr>
        <w:t xml:space="preserve"> T</w:t>
      </w:r>
      <w:r w:rsidR="00136ACF" w:rsidRPr="003B44D7">
        <w:rPr>
          <w:rFonts w:cstheme="minorHAnsi"/>
          <w:sz w:val="24"/>
          <w:szCs w:val="24"/>
        </w:rPr>
        <w:t>hese obligations are:</w:t>
      </w:r>
      <w:r w:rsidR="006E610E" w:rsidRPr="003B44D7">
        <w:rPr>
          <w:rFonts w:cstheme="minorHAnsi"/>
          <w:sz w:val="24"/>
          <w:szCs w:val="24"/>
        </w:rPr>
        <w:t xml:space="preserve"> </w:t>
      </w:r>
      <w:r w:rsidR="00EB1E29" w:rsidRPr="003B44D7">
        <w:rPr>
          <w:rFonts w:cstheme="minorHAnsi"/>
          <w:sz w:val="24"/>
          <w:szCs w:val="24"/>
        </w:rPr>
        <w:t>to pub</w:t>
      </w:r>
      <w:r w:rsidR="00712549" w:rsidRPr="003B44D7">
        <w:rPr>
          <w:rFonts w:cstheme="minorHAnsi"/>
          <w:sz w:val="24"/>
          <w:szCs w:val="24"/>
        </w:rPr>
        <w:t>lish</w:t>
      </w:r>
      <w:r w:rsidR="006E610E" w:rsidRPr="003B44D7">
        <w:rPr>
          <w:rFonts w:cstheme="minorHAnsi"/>
          <w:sz w:val="24"/>
          <w:szCs w:val="24"/>
        </w:rPr>
        <w:t xml:space="preserve"> transparency report</w:t>
      </w:r>
      <w:r w:rsidR="00712549" w:rsidRPr="003B44D7">
        <w:rPr>
          <w:rFonts w:cstheme="minorHAnsi"/>
          <w:sz w:val="24"/>
          <w:szCs w:val="24"/>
        </w:rPr>
        <w:t>s</w:t>
      </w:r>
      <w:r w:rsidR="006E610E" w:rsidRPr="003B44D7">
        <w:rPr>
          <w:rFonts w:cstheme="minorHAnsi"/>
          <w:sz w:val="24"/>
          <w:szCs w:val="24"/>
        </w:rPr>
        <w:t>;</w:t>
      </w:r>
      <w:r w:rsidR="008754B9" w:rsidRPr="003B44D7">
        <w:rPr>
          <w:rFonts w:cstheme="minorHAnsi"/>
          <w:sz w:val="24"/>
          <w:szCs w:val="24"/>
        </w:rPr>
        <w:t xml:space="preserve"> to put in place </w:t>
      </w:r>
      <w:r w:rsidR="00EB1E29" w:rsidRPr="003B44D7">
        <w:rPr>
          <w:rFonts w:cstheme="minorHAnsi"/>
          <w:sz w:val="24"/>
          <w:szCs w:val="24"/>
        </w:rPr>
        <w:t>adequate process</w:t>
      </w:r>
      <w:r w:rsidR="008754B9" w:rsidRPr="003B44D7">
        <w:rPr>
          <w:rFonts w:cstheme="minorHAnsi"/>
          <w:sz w:val="24"/>
          <w:szCs w:val="24"/>
        </w:rPr>
        <w:t>es</w:t>
      </w:r>
      <w:r w:rsidR="00EB1E29" w:rsidRPr="003B44D7">
        <w:rPr>
          <w:rFonts w:cstheme="minorHAnsi"/>
          <w:sz w:val="24"/>
          <w:szCs w:val="24"/>
        </w:rPr>
        <w:t xml:space="preserve"> for</w:t>
      </w:r>
      <w:r w:rsidR="0058455B" w:rsidRPr="003B44D7">
        <w:rPr>
          <w:rFonts w:cstheme="minorHAnsi"/>
          <w:sz w:val="24"/>
          <w:szCs w:val="24"/>
        </w:rPr>
        <w:t xml:space="preserve"> </w:t>
      </w:r>
      <w:r w:rsidR="00A10893" w:rsidRPr="003B44D7">
        <w:rPr>
          <w:rFonts w:cstheme="minorHAnsi"/>
          <w:sz w:val="24"/>
          <w:szCs w:val="24"/>
        </w:rPr>
        <w:t xml:space="preserve">allowing and </w:t>
      </w:r>
      <w:r w:rsidR="0058455B" w:rsidRPr="003B44D7">
        <w:rPr>
          <w:rFonts w:cstheme="minorHAnsi"/>
          <w:sz w:val="24"/>
          <w:szCs w:val="24"/>
        </w:rPr>
        <w:t xml:space="preserve">dealing </w:t>
      </w:r>
      <w:r w:rsidR="006E610E" w:rsidRPr="003B44D7">
        <w:rPr>
          <w:rFonts w:cstheme="minorHAnsi"/>
          <w:sz w:val="24"/>
          <w:szCs w:val="24"/>
        </w:rPr>
        <w:t xml:space="preserve">with user </w:t>
      </w:r>
      <w:r w:rsidR="00A10893" w:rsidRPr="003B44D7">
        <w:rPr>
          <w:rFonts w:cstheme="minorHAnsi"/>
          <w:sz w:val="24"/>
          <w:szCs w:val="24"/>
        </w:rPr>
        <w:t>notices</w:t>
      </w:r>
      <w:r w:rsidR="006E610E" w:rsidRPr="003B44D7">
        <w:rPr>
          <w:rFonts w:cstheme="minorHAnsi"/>
          <w:sz w:val="24"/>
          <w:szCs w:val="24"/>
        </w:rPr>
        <w:t>, for</w:t>
      </w:r>
      <w:r w:rsidR="00E031EA" w:rsidRPr="003B44D7">
        <w:rPr>
          <w:rFonts w:cstheme="minorHAnsi"/>
          <w:sz w:val="24"/>
          <w:szCs w:val="24"/>
        </w:rPr>
        <w:t xml:space="preserve"> the appeal of</w:t>
      </w:r>
      <w:r w:rsidR="00136ACF" w:rsidRPr="003B44D7">
        <w:rPr>
          <w:rFonts w:cstheme="minorHAnsi"/>
          <w:sz w:val="24"/>
          <w:szCs w:val="24"/>
        </w:rPr>
        <w:t xml:space="preserve"> content</w:t>
      </w:r>
      <w:r w:rsidR="00EB1E29" w:rsidRPr="003B44D7">
        <w:rPr>
          <w:rFonts w:cstheme="minorHAnsi"/>
          <w:sz w:val="24"/>
          <w:szCs w:val="24"/>
        </w:rPr>
        <w:t xml:space="preserve"> decisions </w:t>
      </w:r>
      <w:r w:rsidR="00E031EA" w:rsidRPr="003B44D7">
        <w:rPr>
          <w:rFonts w:cstheme="minorHAnsi"/>
          <w:sz w:val="24"/>
          <w:szCs w:val="24"/>
        </w:rPr>
        <w:t>and</w:t>
      </w:r>
      <w:r w:rsidR="006E610E" w:rsidRPr="003B44D7">
        <w:rPr>
          <w:rFonts w:cstheme="minorHAnsi"/>
          <w:sz w:val="24"/>
          <w:szCs w:val="24"/>
        </w:rPr>
        <w:t xml:space="preserve"> </w:t>
      </w:r>
      <w:r w:rsidR="00E031EA" w:rsidRPr="003B44D7">
        <w:rPr>
          <w:rFonts w:cstheme="minorHAnsi"/>
          <w:sz w:val="24"/>
          <w:szCs w:val="24"/>
        </w:rPr>
        <w:t xml:space="preserve">for arbitrating </w:t>
      </w:r>
      <w:r w:rsidR="006E610E" w:rsidRPr="003B44D7">
        <w:rPr>
          <w:rFonts w:cstheme="minorHAnsi"/>
          <w:sz w:val="24"/>
          <w:szCs w:val="24"/>
        </w:rPr>
        <w:t xml:space="preserve">disputes between users making </w:t>
      </w:r>
      <w:r w:rsidR="00A10893" w:rsidRPr="003B44D7">
        <w:rPr>
          <w:rFonts w:cstheme="minorHAnsi"/>
          <w:sz w:val="24"/>
          <w:szCs w:val="24"/>
        </w:rPr>
        <w:t>complaints</w:t>
      </w:r>
      <w:r w:rsidR="006E610E" w:rsidRPr="003B44D7">
        <w:rPr>
          <w:rFonts w:cstheme="minorHAnsi"/>
          <w:sz w:val="24"/>
          <w:szCs w:val="24"/>
        </w:rPr>
        <w:t xml:space="preserve"> and tho</w:t>
      </w:r>
      <w:r w:rsidR="00A10893" w:rsidRPr="003B44D7">
        <w:rPr>
          <w:rFonts w:cstheme="minorHAnsi"/>
          <w:sz w:val="24"/>
          <w:szCs w:val="24"/>
        </w:rPr>
        <w:t xml:space="preserve">se whose content is to be taken down; </w:t>
      </w:r>
      <w:r w:rsidR="006E610E" w:rsidRPr="003B44D7">
        <w:rPr>
          <w:rFonts w:cstheme="minorHAnsi"/>
          <w:sz w:val="24"/>
          <w:szCs w:val="24"/>
        </w:rPr>
        <w:t>obligations to kee</w:t>
      </w:r>
      <w:r w:rsidR="00712549" w:rsidRPr="003B44D7">
        <w:rPr>
          <w:rFonts w:cstheme="minorHAnsi"/>
          <w:sz w:val="24"/>
          <w:szCs w:val="24"/>
        </w:rPr>
        <w:t>p these processes under review</w:t>
      </w:r>
      <w:r w:rsidR="006E610E" w:rsidRPr="003B44D7">
        <w:rPr>
          <w:rFonts w:cstheme="minorHAnsi"/>
          <w:sz w:val="24"/>
          <w:szCs w:val="24"/>
        </w:rPr>
        <w:t xml:space="preserve"> and</w:t>
      </w:r>
      <w:r w:rsidR="00EB1E29" w:rsidRPr="003B44D7">
        <w:rPr>
          <w:rFonts w:cstheme="minorHAnsi"/>
          <w:sz w:val="24"/>
          <w:szCs w:val="24"/>
        </w:rPr>
        <w:t xml:space="preserve"> remed</w:t>
      </w:r>
      <w:r w:rsidR="006E610E" w:rsidRPr="003B44D7">
        <w:rPr>
          <w:rFonts w:cstheme="minorHAnsi"/>
          <w:sz w:val="24"/>
          <w:szCs w:val="24"/>
        </w:rPr>
        <w:t xml:space="preserve">y organisational shortcomings; an obligation </w:t>
      </w:r>
      <w:r w:rsidR="00EB1E29" w:rsidRPr="003B44D7">
        <w:rPr>
          <w:rFonts w:cstheme="minorHAnsi"/>
          <w:sz w:val="24"/>
          <w:szCs w:val="24"/>
        </w:rPr>
        <w:t>to train and s</w:t>
      </w:r>
      <w:r w:rsidR="0058455B" w:rsidRPr="003B44D7">
        <w:rPr>
          <w:rFonts w:cstheme="minorHAnsi"/>
          <w:sz w:val="24"/>
          <w:szCs w:val="24"/>
        </w:rPr>
        <w:t xml:space="preserve">upervisor content reviewers; and finally to </w:t>
      </w:r>
      <w:r w:rsidR="00141264" w:rsidRPr="003B44D7">
        <w:rPr>
          <w:rFonts w:cstheme="minorHAnsi"/>
          <w:sz w:val="24"/>
          <w:szCs w:val="24"/>
        </w:rPr>
        <w:t>designate</w:t>
      </w:r>
      <w:r w:rsidR="0058455B" w:rsidRPr="003B44D7">
        <w:rPr>
          <w:rFonts w:cstheme="minorHAnsi"/>
          <w:sz w:val="24"/>
          <w:szCs w:val="24"/>
        </w:rPr>
        <w:t xml:space="preserve"> </w:t>
      </w:r>
      <w:r w:rsidR="0042044E" w:rsidRPr="003B44D7">
        <w:rPr>
          <w:rFonts w:cstheme="minorHAnsi"/>
          <w:sz w:val="24"/>
          <w:szCs w:val="24"/>
        </w:rPr>
        <w:t xml:space="preserve">a </w:t>
      </w:r>
      <w:r w:rsidR="006E610E" w:rsidRPr="003B44D7">
        <w:rPr>
          <w:rFonts w:cstheme="minorHAnsi"/>
          <w:sz w:val="24"/>
          <w:szCs w:val="24"/>
        </w:rPr>
        <w:t xml:space="preserve">contact person </w:t>
      </w:r>
      <w:r w:rsidR="00141264" w:rsidRPr="003B44D7">
        <w:rPr>
          <w:rFonts w:cstheme="minorHAnsi"/>
          <w:sz w:val="24"/>
          <w:szCs w:val="24"/>
        </w:rPr>
        <w:t xml:space="preserve">in Germany </w:t>
      </w:r>
      <w:r w:rsidR="006E610E" w:rsidRPr="003B44D7">
        <w:rPr>
          <w:rFonts w:cstheme="minorHAnsi"/>
          <w:sz w:val="24"/>
          <w:szCs w:val="24"/>
        </w:rPr>
        <w:t>who</w:t>
      </w:r>
      <w:r w:rsidR="0042044E" w:rsidRPr="003B44D7">
        <w:rPr>
          <w:rFonts w:cstheme="minorHAnsi"/>
          <w:sz w:val="24"/>
          <w:szCs w:val="24"/>
        </w:rPr>
        <w:t xml:space="preserve"> must</w:t>
      </w:r>
      <w:r w:rsidR="0058455B" w:rsidRPr="003B44D7">
        <w:rPr>
          <w:rFonts w:cstheme="minorHAnsi"/>
          <w:sz w:val="24"/>
          <w:szCs w:val="24"/>
        </w:rPr>
        <w:t xml:space="preserve"> </w:t>
      </w:r>
      <w:r w:rsidR="0042044E" w:rsidRPr="003B44D7">
        <w:rPr>
          <w:rFonts w:cstheme="minorHAnsi"/>
          <w:sz w:val="24"/>
          <w:szCs w:val="24"/>
        </w:rPr>
        <w:t xml:space="preserve">respond </w:t>
      </w:r>
      <w:r w:rsidR="006E610E" w:rsidRPr="003B44D7">
        <w:rPr>
          <w:rFonts w:cstheme="minorHAnsi"/>
          <w:sz w:val="24"/>
          <w:szCs w:val="24"/>
        </w:rPr>
        <w:t>to</w:t>
      </w:r>
      <w:r w:rsidR="0058455B" w:rsidRPr="003B44D7">
        <w:rPr>
          <w:rFonts w:cstheme="minorHAnsi"/>
          <w:sz w:val="24"/>
          <w:szCs w:val="24"/>
        </w:rPr>
        <w:t xml:space="preserve"> information requests.</w:t>
      </w:r>
      <w:r w:rsidR="0058455B" w:rsidRPr="003B44D7">
        <w:rPr>
          <w:rStyle w:val="FootnoteReference"/>
          <w:rFonts w:cstheme="minorHAnsi"/>
          <w:sz w:val="24"/>
          <w:szCs w:val="24"/>
        </w:rPr>
        <w:footnoteReference w:id="72"/>
      </w:r>
      <w:r w:rsidR="0058455B" w:rsidRPr="003B44D7">
        <w:rPr>
          <w:rFonts w:cstheme="minorHAnsi"/>
          <w:sz w:val="24"/>
          <w:szCs w:val="24"/>
        </w:rPr>
        <w:t xml:space="preserve"> </w:t>
      </w:r>
      <w:r w:rsidR="001C0EB5" w:rsidRPr="003B44D7">
        <w:rPr>
          <w:rFonts w:cstheme="minorHAnsi"/>
          <w:sz w:val="24"/>
          <w:szCs w:val="24"/>
        </w:rPr>
        <w:t xml:space="preserve">What </w:t>
      </w:r>
      <w:r w:rsidR="00712549" w:rsidRPr="003B44D7">
        <w:rPr>
          <w:rFonts w:cstheme="minorHAnsi"/>
          <w:sz w:val="24"/>
          <w:szCs w:val="24"/>
        </w:rPr>
        <w:t>is noteworthy abo</w:t>
      </w:r>
      <w:r w:rsidR="001D4858" w:rsidRPr="003B44D7">
        <w:rPr>
          <w:rFonts w:cstheme="minorHAnsi"/>
          <w:sz w:val="24"/>
          <w:szCs w:val="24"/>
        </w:rPr>
        <w:t xml:space="preserve">ut these obligations is, </w:t>
      </w:r>
      <w:r w:rsidR="001D4858" w:rsidRPr="003B44D7">
        <w:rPr>
          <w:rFonts w:cstheme="minorHAnsi"/>
          <w:i/>
          <w:sz w:val="24"/>
          <w:szCs w:val="24"/>
        </w:rPr>
        <w:t>first</w:t>
      </w:r>
      <w:r w:rsidR="00712549" w:rsidRPr="003B44D7">
        <w:rPr>
          <w:rFonts w:cstheme="minorHAnsi"/>
          <w:sz w:val="24"/>
          <w:szCs w:val="24"/>
        </w:rPr>
        <w:t>, that they are reactive to user engagement, i.e. user takedown notices or complaints about unjustified takedown notices</w:t>
      </w:r>
      <w:r w:rsidR="00AD2484" w:rsidRPr="003B44D7">
        <w:rPr>
          <w:rFonts w:cstheme="minorHAnsi"/>
          <w:sz w:val="24"/>
          <w:szCs w:val="24"/>
        </w:rPr>
        <w:t>, and do not expect the platform itself to activate any actual case</w:t>
      </w:r>
      <w:r w:rsidR="001A3B0F" w:rsidRPr="003B44D7">
        <w:rPr>
          <w:rFonts w:cstheme="minorHAnsi"/>
          <w:sz w:val="24"/>
          <w:szCs w:val="24"/>
        </w:rPr>
        <w:t xml:space="preserve"> or monitor its site</w:t>
      </w:r>
      <w:r w:rsidR="00FA3541" w:rsidRPr="003B44D7">
        <w:rPr>
          <w:rFonts w:cstheme="minorHAnsi"/>
          <w:sz w:val="24"/>
          <w:szCs w:val="24"/>
        </w:rPr>
        <w:t xml:space="preserve">, </w:t>
      </w:r>
      <w:r w:rsidR="00EA334D" w:rsidRPr="003B44D7">
        <w:rPr>
          <w:rFonts w:cstheme="minorHAnsi"/>
          <w:sz w:val="24"/>
          <w:szCs w:val="24"/>
        </w:rPr>
        <w:t>as would be contrary to Art 15 of the E-Commerce Directive</w:t>
      </w:r>
      <w:r w:rsidR="00FA3541" w:rsidRPr="003B44D7">
        <w:rPr>
          <w:rFonts w:cstheme="minorHAnsi"/>
          <w:sz w:val="24"/>
          <w:szCs w:val="24"/>
        </w:rPr>
        <w:t>.</w:t>
      </w:r>
      <w:r w:rsidR="00301846" w:rsidRPr="003B44D7">
        <w:rPr>
          <w:rStyle w:val="FootnoteReference"/>
          <w:rFonts w:cstheme="minorHAnsi"/>
          <w:sz w:val="24"/>
          <w:szCs w:val="24"/>
        </w:rPr>
        <w:footnoteReference w:id="73"/>
      </w:r>
      <w:r w:rsidR="00AD2484" w:rsidRPr="003B44D7">
        <w:rPr>
          <w:rFonts w:cstheme="minorHAnsi"/>
          <w:sz w:val="24"/>
          <w:szCs w:val="24"/>
        </w:rPr>
        <w:t xml:space="preserve"> </w:t>
      </w:r>
      <w:r w:rsidR="00AD2484" w:rsidRPr="003B44D7">
        <w:rPr>
          <w:rFonts w:cstheme="minorHAnsi"/>
          <w:i/>
          <w:sz w:val="24"/>
          <w:szCs w:val="24"/>
        </w:rPr>
        <w:t>Se</w:t>
      </w:r>
      <w:r w:rsidR="00712549" w:rsidRPr="003B44D7">
        <w:rPr>
          <w:rFonts w:cstheme="minorHAnsi"/>
          <w:i/>
          <w:sz w:val="24"/>
          <w:szCs w:val="24"/>
        </w:rPr>
        <w:t>cond</w:t>
      </w:r>
      <w:r w:rsidR="00712549" w:rsidRPr="003B44D7">
        <w:rPr>
          <w:rFonts w:cstheme="minorHAnsi"/>
          <w:sz w:val="24"/>
          <w:szCs w:val="24"/>
        </w:rPr>
        <w:t>,</w:t>
      </w:r>
      <w:r w:rsidR="00E11F41" w:rsidRPr="003B44D7">
        <w:rPr>
          <w:rFonts w:cstheme="minorHAnsi"/>
          <w:sz w:val="24"/>
          <w:szCs w:val="24"/>
        </w:rPr>
        <w:t xml:space="preserve"> </w:t>
      </w:r>
      <w:r w:rsidR="00712549" w:rsidRPr="003B44D7">
        <w:rPr>
          <w:rFonts w:cstheme="minorHAnsi"/>
          <w:sz w:val="24"/>
          <w:szCs w:val="24"/>
        </w:rPr>
        <w:t>the</w:t>
      </w:r>
      <w:r w:rsidR="001A3B0F" w:rsidRPr="003B44D7">
        <w:rPr>
          <w:rFonts w:cstheme="minorHAnsi"/>
          <w:sz w:val="24"/>
          <w:szCs w:val="24"/>
        </w:rPr>
        <w:t xml:space="preserve"> obligations</w:t>
      </w:r>
      <w:r w:rsidR="00712549" w:rsidRPr="003B44D7">
        <w:rPr>
          <w:rFonts w:cstheme="minorHAnsi"/>
          <w:sz w:val="24"/>
          <w:szCs w:val="24"/>
        </w:rPr>
        <w:t xml:space="preserve"> </w:t>
      </w:r>
      <w:r w:rsidR="00A10893" w:rsidRPr="003B44D7">
        <w:rPr>
          <w:rFonts w:cstheme="minorHAnsi"/>
          <w:sz w:val="24"/>
          <w:szCs w:val="24"/>
        </w:rPr>
        <w:t>are</w:t>
      </w:r>
      <w:r w:rsidR="00141264" w:rsidRPr="003B44D7">
        <w:rPr>
          <w:rFonts w:cstheme="minorHAnsi"/>
          <w:sz w:val="24"/>
          <w:szCs w:val="24"/>
        </w:rPr>
        <w:t xml:space="preserve"> all</w:t>
      </w:r>
      <w:r w:rsidR="00A10893" w:rsidRPr="003B44D7">
        <w:rPr>
          <w:rFonts w:cstheme="minorHAnsi"/>
          <w:sz w:val="24"/>
          <w:szCs w:val="24"/>
        </w:rPr>
        <w:t xml:space="preserve"> process-</w:t>
      </w:r>
      <w:r w:rsidR="00712549" w:rsidRPr="003B44D7">
        <w:rPr>
          <w:rFonts w:cstheme="minorHAnsi"/>
          <w:sz w:val="24"/>
          <w:szCs w:val="24"/>
        </w:rPr>
        <w:t>focused</w:t>
      </w:r>
      <w:r w:rsidR="00FA3541" w:rsidRPr="003B44D7">
        <w:rPr>
          <w:rFonts w:cstheme="minorHAnsi"/>
          <w:sz w:val="24"/>
          <w:szCs w:val="24"/>
        </w:rPr>
        <w:t xml:space="preserve">: </w:t>
      </w:r>
      <w:r w:rsidR="001A3B0F" w:rsidRPr="003B44D7">
        <w:rPr>
          <w:rFonts w:cstheme="minorHAnsi"/>
          <w:sz w:val="24"/>
          <w:szCs w:val="24"/>
        </w:rPr>
        <w:t xml:space="preserve">the fines </w:t>
      </w:r>
      <w:r w:rsidR="00EA334D" w:rsidRPr="003B44D7">
        <w:rPr>
          <w:rFonts w:cstheme="minorHAnsi"/>
          <w:sz w:val="24"/>
          <w:szCs w:val="24"/>
        </w:rPr>
        <w:t>do not</w:t>
      </w:r>
      <w:r w:rsidR="001A3B0F" w:rsidRPr="003B44D7">
        <w:rPr>
          <w:rFonts w:cstheme="minorHAnsi"/>
          <w:sz w:val="24"/>
          <w:szCs w:val="24"/>
        </w:rPr>
        <w:t xml:space="preserve"> attach to </w:t>
      </w:r>
      <w:r w:rsidR="00B635A6" w:rsidRPr="003B44D7">
        <w:rPr>
          <w:rFonts w:cstheme="minorHAnsi"/>
          <w:sz w:val="24"/>
          <w:szCs w:val="24"/>
        </w:rPr>
        <w:t>individual</w:t>
      </w:r>
      <w:r w:rsidR="00712549" w:rsidRPr="003B44D7">
        <w:rPr>
          <w:rFonts w:cstheme="minorHAnsi"/>
          <w:sz w:val="24"/>
          <w:szCs w:val="24"/>
        </w:rPr>
        <w:t xml:space="preserve"> </w:t>
      </w:r>
      <w:r w:rsidR="00EA334D" w:rsidRPr="003B44D7">
        <w:rPr>
          <w:rFonts w:cstheme="minorHAnsi"/>
          <w:sz w:val="24"/>
          <w:szCs w:val="24"/>
        </w:rPr>
        <w:t xml:space="preserve">‘wrong’ </w:t>
      </w:r>
      <w:r w:rsidR="00712549" w:rsidRPr="003B44D7">
        <w:rPr>
          <w:rFonts w:cstheme="minorHAnsi"/>
          <w:sz w:val="24"/>
          <w:szCs w:val="24"/>
        </w:rPr>
        <w:t>content</w:t>
      </w:r>
      <w:r w:rsidR="00A10893" w:rsidRPr="003B44D7">
        <w:rPr>
          <w:rFonts w:cstheme="minorHAnsi"/>
          <w:sz w:val="24"/>
          <w:szCs w:val="24"/>
        </w:rPr>
        <w:t xml:space="preserve"> decisions made by platform</w:t>
      </w:r>
      <w:r w:rsidR="001A3B0F" w:rsidRPr="003B44D7">
        <w:rPr>
          <w:rFonts w:cstheme="minorHAnsi"/>
          <w:sz w:val="24"/>
          <w:szCs w:val="24"/>
        </w:rPr>
        <w:t>s</w:t>
      </w:r>
      <w:r w:rsidR="00AD2484" w:rsidRPr="003B44D7">
        <w:rPr>
          <w:rFonts w:cstheme="minorHAnsi"/>
          <w:sz w:val="24"/>
          <w:szCs w:val="24"/>
        </w:rPr>
        <w:t xml:space="preserve"> but rather to </w:t>
      </w:r>
      <w:r w:rsidR="00AD2484" w:rsidRPr="00B54FE2">
        <w:rPr>
          <w:rFonts w:cstheme="minorHAnsi"/>
          <w:i/>
          <w:iCs/>
          <w:sz w:val="24"/>
          <w:szCs w:val="24"/>
        </w:rPr>
        <w:t xml:space="preserve">systemic </w:t>
      </w:r>
      <w:r w:rsidR="00AD2484" w:rsidRPr="003B44D7">
        <w:rPr>
          <w:rFonts w:cstheme="minorHAnsi"/>
          <w:sz w:val="24"/>
          <w:szCs w:val="24"/>
        </w:rPr>
        <w:t>deficiencies</w:t>
      </w:r>
      <w:r w:rsidR="00774F4F" w:rsidRPr="003B44D7">
        <w:rPr>
          <w:rFonts w:cstheme="minorHAnsi"/>
          <w:sz w:val="24"/>
          <w:szCs w:val="24"/>
        </w:rPr>
        <w:t xml:space="preserve"> in the processes</w:t>
      </w:r>
      <w:r w:rsidR="001D4858" w:rsidRPr="003B44D7">
        <w:rPr>
          <w:rFonts w:cstheme="minorHAnsi"/>
          <w:sz w:val="24"/>
          <w:szCs w:val="24"/>
        </w:rPr>
        <w:t>.</w:t>
      </w:r>
      <w:r w:rsidR="00301846" w:rsidRPr="003B44D7">
        <w:rPr>
          <w:rStyle w:val="FootnoteReference"/>
          <w:rFonts w:cstheme="minorHAnsi"/>
          <w:sz w:val="24"/>
          <w:szCs w:val="24"/>
        </w:rPr>
        <w:footnoteReference w:id="74"/>
      </w:r>
      <w:r w:rsidR="001D4858" w:rsidRPr="003B44D7">
        <w:rPr>
          <w:rFonts w:cstheme="minorHAnsi"/>
          <w:sz w:val="24"/>
          <w:szCs w:val="24"/>
        </w:rPr>
        <w:t xml:space="preserve"> </w:t>
      </w:r>
      <w:r w:rsidR="00141264" w:rsidRPr="003B44D7">
        <w:rPr>
          <w:rFonts w:cstheme="minorHAnsi"/>
          <w:sz w:val="24"/>
          <w:szCs w:val="24"/>
        </w:rPr>
        <w:t xml:space="preserve">This makes sense considering that </w:t>
      </w:r>
      <w:r w:rsidR="00AD2484" w:rsidRPr="003B44D7">
        <w:rPr>
          <w:rFonts w:cstheme="minorHAnsi"/>
          <w:sz w:val="24"/>
          <w:szCs w:val="24"/>
        </w:rPr>
        <w:t>more close-up oversight of individual decisions would</w:t>
      </w:r>
      <w:r w:rsidR="001D4858" w:rsidRPr="003B44D7">
        <w:rPr>
          <w:rFonts w:cstheme="minorHAnsi"/>
          <w:sz w:val="24"/>
          <w:szCs w:val="24"/>
        </w:rPr>
        <w:t xml:space="preserve"> </w:t>
      </w:r>
      <w:r w:rsidR="00FA3541" w:rsidRPr="003B44D7">
        <w:rPr>
          <w:rFonts w:cstheme="minorHAnsi"/>
          <w:sz w:val="24"/>
          <w:szCs w:val="24"/>
        </w:rPr>
        <w:t xml:space="preserve">largely </w:t>
      </w:r>
      <w:r w:rsidR="00C67C69" w:rsidRPr="003B44D7">
        <w:rPr>
          <w:rFonts w:cstheme="minorHAnsi"/>
          <w:sz w:val="24"/>
          <w:szCs w:val="24"/>
        </w:rPr>
        <w:t xml:space="preserve">defeat the purpose of the law </w:t>
      </w:r>
      <w:r w:rsidR="00FA3541" w:rsidRPr="003B44D7">
        <w:rPr>
          <w:rFonts w:cstheme="minorHAnsi"/>
          <w:sz w:val="24"/>
          <w:szCs w:val="24"/>
        </w:rPr>
        <w:t>of</w:t>
      </w:r>
      <w:r w:rsidR="001C0EB5" w:rsidRPr="003B44D7">
        <w:rPr>
          <w:rFonts w:cstheme="minorHAnsi"/>
          <w:sz w:val="24"/>
          <w:szCs w:val="24"/>
        </w:rPr>
        <w:t xml:space="preserve"> delegat</w:t>
      </w:r>
      <w:r w:rsidR="00FA3541" w:rsidRPr="003B44D7">
        <w:rPr>
          <w:rFonts w:cstheme="minorHAnsi"/>
          <w:sz w:val="24"/>
          <w:szCs w:val="24"/>
        </w:rPr>
        <w:t>ing</w:t>
      </w:r>
      <w:r w:rsidR="001D4858" w:rsidRPr="003B44D7">
        <w:rPr>
          <w:rFonts w:cstheme="minorHAnsi"/>
          <w:sz w:val="24"/>
          <w:szCs w:val="24"/>
        </w:rPr>
        <w:t xml:space="preserve"> the responsibility </w:t>
      </w:r>
      <w:r w:rsidR="00644E40" w:rsidRPr="003B44D7">
        <w:rPr>
          <w:rFonts w:cstheme="minorHAnsi"/>
          <w:sz w:val="24"/>
          <w:szCs w:val="24"/>
        </w:rPr>
        <w:t>of</w:t>
      </w:r>
      <w:r w:rsidR="001D4858" w:rsidRPr="003B44D7">
        <w:rPr>
          <w:rFonts w:cstheme="minorHAnsi"/>
          <w:sz w:val="24"/>
          <w:szCs w:val="24"/>
        </w:rPr>
        <w:t xml:space="preserve"> making the content decisions. The law</w:t>
      </w:r>
      <w:r w:rsidR="00C67C69" w:rsidRPr="003B44D7">
        <w:rPr>
          <w:rFonts w:cstheme="minorHAnsi"/>
          <w:sz w:val="24"/>
          <w:szCs w:val="24"/>
        </w:rPr>
        <w:t xml:space="preserve"> creates a pub</w:t>
      </w:r>
      <w:r w:rsidR="00136ACF" w:rsidRPr="003B44D7">
        <w:rPr>
          <w:rFonts w:cstheme="minorHAnsi"/>
          <w:sz w:val="24"/>
          <w:szCs w:val="24"/>
        </w:rPr>
        <w:t>lic framework for private censorship</w:t>
      </w:r>
      <w:r w:rsidR="00AD2484" w:rsidRPr="003B44D7">
        <w:rPr>
          <w:rFonts w:cstheme="minorHAnsi"/>
          <w:sz w:val="24"/>
          <w:szCs w:val="24"/>
        </w:rPr>
        <w:t>, regulated self-regulation,</w:t>
      </w:r>
      <w:r w:rsidR="007D6199" w:rsidRPr="003B44D7">
        <w:rPr>
          <w:rStyle w:val="FootnoteReference"/>
          <w:rFonts w:cstheme="minorHAnsi"/>
          <w:sz w:val="24"/>
          <w:szCs w:val="24"/>
        </w:rPr>
        <w:footnoteReference w:id="75"/>
      </w:r>
      <w:r w:rsidR="00136ACF" w:rsidRPr="003B44D7">
        <w:rPr>
          <w:rFonts w:cstheme="minorHAnsi"/>
          <w:sz w:val="24"/>
          <w:szCs w:val="24"/>
        </w:rPr>
        <w:t xml:space="preserve"> </w:t>
      </w:r>
      <w:proofErr w:type="gramStart"/>
      <w:r w:rsidR="001C0EB5" w:rsidRPr="003B44D7">
        <w:rPr>
          <w:rFonts w:cstheme="minorHAnsi"/>
          <w:sz w:val="24"/>
          <w:szCs w:val="24"/>
        </w:rPr>
        <w:t xml:space="preserve">in order </w:t>
      </w:r>
      <w:r w:rsidR="00136ACF" w:rsidRPr="003B44D7">
        <w:rPr>
          <w:rFonts w:cstheme="minorHAnsi"/>
          <w:sz w:val="24"/>
          <w:szCs w:val="24"/>
        </w:rPr>
        <w:t>to</w:t>
      </w:r>
      <w:proofErr w:type="gramEnd"/>
      <w:r w:rsidR="00136ACF" w:rsidRPr="003B44D7">
        <w:rPr>
          <w:rFonts w:cstheme="minorHAnsi"/>
          <w:sz w:val="24"/>
          <w:szCs w:val="24"/>
        </w:rPr>
        <w:t xml:space="preserve"> address systemic risk</w:t>
      </w:r>
      <w:r w:rsidRPr="003B44D7">
        <w:rPr>
          <w:rFonts w:cstheme="minorHAnsi"/>
          <w:sz w:val="24"/>
          <w:szCs w:val="24"/>
        </w:rPr>
        <w:t>s.</w:t>
      </w:r>
      <w:r w:rsidR="00431052" w:rsidRPr="003B44D7">
        <w:rPr>
          <w:rFonts w:cstheme="minorHAnsi"/>
          <w:sz w:val="24"/>
          <w:szCs w:val="24"/>
        </w:rPr>
        <w:t xml:space="preserve"> </w:t>
      </w:r>
      <w:r w:rsidR="000E499F" w:rsidRPr="003B44D7">
        <w:rPr>
          <w:rFonts w:cstheme="minorHAnsi"/>
          <w:sz w:val="24"/>
          <w:szCs w:val="24"/>
        </w:rPr>
        <w:t xml:space="preserve">This </w:t>
      </w:r>
      <w:r w:rsidR="00EA334D" w:rsidRPr="003B44D7">
        <w:rPr>
          <w:rFonts w:cstheme="minorHAnsi"/>
          <w:sz w:val="24"/>
          <w:szCs w:val="24"/>
        </w:rPr>
        <w:t xml:space="preserve">constitutes </w:t>
      </w:r>
      <w:r w:rsidR="000E499F" w:rsidRPr="003B44D7">
        <w:rPr>
          <w:rFonts w:cstheme="minorHAnsi"/>
          <w:sz w:val="24"/>
          <w:szCs w:val="24"/>
        </w:rPr>
        <w:t xml:space="preserve">a </w:t>
      </w:r>
      <w:r w:rsidRPr="003B44D7">
        <w:rPr>
          <w:rFonts w:cstheme="minorHAnsi"/>
          <w:sz w:val="24"/>
          <w:szCs w:val="24"/>
        </w:rPr>
        <w:t xml:space="preserve">shift </w:t>
      </w:r>
      <w:r w:rsidR="0093677B" w:rsidRPr="003B44D7">
        <w:rPr>
          <w:rFonts w:cstheme="minorHAnsi"/>
          <w:sz w:val="24"/>
          <w:szCs w:val="24"/>
        </w:rPr>
        <w:t xml:space="preserve">from </w:t>
      </w:r>
      <w:r w:rsidR="008E4C09" w:rsidRPr="003B44D7">
        <w:rPr>
          <w:rFonts w:cstheme="minorHAnsi"/>
          <w:sz w:val="24"/>
          <w:szCs w:val="24"/>
        </w:rPr>
        <w:t xml:space="preserve">earlier </w:t>
      </w:r>
      <w:r w:rsidR="000E499F" w:rsidRPr="003B44D7">
        <w:rPr>
          <w:rFonts w:cstheme="minorHAnsi"/>
          <w:sz w:val="24"/>
          <w:szCs w:val="24"/>
        </w:rPr>
        <w:t xml:space="preserve">regimes </w:t>
      </w:r>
      <w:r w:rsidR="006B3647" w:rsidRPr="003B44D7">
        <w:rPr>
          <w:rFonts w:cstheme="minorHAnsi"/>
          <w:sz w:val="24"/>
          <w:szCs w:val="24"/>
        </w:rPr>
        <w:t xml:space="preserve">such as </w:t>
      </w:r>
      <w:r w:rsidR="0093677B" w:rsidRPr="003B44D7">
        <w:rPr>
          <w:rFonts w:cstheme="minorHAnsi"/>
          <w:sz w:val="24"/>
          <w:szCs w:val="24"/>
        </w:rPr>
        <w:t xml:space="preserve">the </w:t>
      </w:r>
      <w:r w:rsidR="00EA334D" w:rsidRPr="003B44D7">
        <w:rPr>
          <w:rFonts w:cstheme="minorHAnsi"/>
          <w:sz w:val="24"/>
          <w:szCs w:val="24"/>
        </w:rPr>
        <w:t>(</w:t>
      </w:r>
      <w:r w:rsidR="006B3647" w:rsidRPr="003B44D7">
        <w:rPr>
          <w:rFonts w:cstheme="minorHAnsi"/>
          <w:sz w:val="24"/>
          <w:szCs w:val="24"/>
        </w:rPr>
        <w:t>conditi</w:t>
      </w:r>
      <w:r w:rsidR="00431052" w:rsidRPr="003B44D7">
        <w:rPr>
          <w:rFonts w:cstheme="minorHAnsi"/>
          <w:sz w:val="24"/>
          <w:szCs w:val="24"/>
        </w:rPr>
        <w:t>onal</w:t>
      </w:r>
      <w:r w:rsidR="00EA334D" w:rsidRPr="003B44D7">
        <w:rPr>
          <w:rFonts w:cstheme="minorHAnsi"/>
          <w:sz w:val="24"/>
          <w:szCs w:val="24"/>
        </w:rPr>
        <w:t>)</w:t>
      </w:r>
      <w:r w:rsidR="001D4858" w:rsidRPr="003B44D7">
        <w:rPr>
          <w:rFonts w:cstheme="minorHAnsi"/>
          <w:sz w:val="24"/>
          <w:szCs w:val="24"/>
        </w:rPr>
        <w:t xml:space="preserve"> </w:t>
      </w:r>
      <w:r w:rsidR="0093677B" w:rsidRPr="003B44D7">
        <w:rPr>
          <w:rFonts w:cstheme="minorHAnsi"/>
          <w:sz w:val="24"/>
          <w:szCs w:val="24"/>
        </w:rPr>
        <w:t>intermediary immunity framework under Art 14 of the Electronic Commerce Directive</w:t>
      </w:r>
      <w:r w:rsidR="0093677B" w:rsidRPr="003B44D7">
        <w:rPr>
          <w:rStyle w:val="FootnoteReference"/>
          <w:rFonts w:cstheme="minorHAnsi"/>
          <w:sz w:val="24"/>
          <w:szCs w:val="24"/>
        </w:rPr>
        <w:footnoteReference w:id="76"/>
      </w:r>
      <w:r w:rsidR="001D4858" w:rsidRPr="003B44D7">
        <w:rPr>
          <w:rFonts w:cstheme="minorHAnsi"/>
          <w:sz w:val="24"/>
          <w:szCs w:val="24"/>
        </w:rPr>
        <w:t xml:space="preserve"> premised on the </w:t>
      </w:r>
      <w:r w:rsidR="008E4C09" w:rsidRPr="003B44D7">
        <w:rPr>
          <w:rFonts w:cstheme="minorHAnsi"/>
          <w:sz w:val="24"/>
          <w:szCs w:val="24"/>
        </w:rPr>
        <w:t xml:space="preserve">potential </w:t>
      </w:r>
      <w:r w:rsidR="001D4858" w:rsidRPr="003B44D7">
        <w:rPr>
          <w:rFonts w:cstheme="minorHAnsi"/>
          <w:sz w:val="24"/>
          <w:szCs w:val="24"/>
        </w:rPr>
        <w:t>platform’s</w:t>
      </w:r>
      <w:r w:rsidR="006B3647" w:rsidRPr="003B44D7">
        <w:rPr>
          <w:rFonts w:cstheme="minorHAnsi"/>
          <w:sz w:val="24"/>
          <w:szCs w:val="24"/>
        </w:rPr>
        <w:t xml:space="preserve"> secondary liability for illegal publications</w:t>
      </w:r>
      <w:r w:rsidR="008E4C09" w:rsidRPr="003B44D7">
        <w:rPr>
          <w:rFonts w:cstheme="minorHAnsi"/>
          <w:sz w:val="24"/>
          <w:szCs w:val="24"/>
        </w:rPr>
        <w:t xml:space="preserve"> and thus inevitably entails the threat of a penalty for wrong</w:t>
      </w:r>
      <w:r w:rsidR="005873F6">
        <w:rPr>
          <w:rFonts w:cstheme="minorHAnsi"/>
          <w:sz w:val="24"/>
          <w:szCs w:val="24"/>
        </w:rPr>
        <w:t xml:space="preserve"> </w:t>
      </w:r>
      <w:r w:rsidR="008E4C09" w:rsidRPr="003B44D7">
        <w:rPr>
          <w:rFonts w:cstheme="minorHAnsi"/>
          <w:sz w:val="24"/>
          <w:szCs w:val="24"/>
        </w:rPr>
        <w:t>review decision</w:t>
      </w:r>
      <w:r w:rsidR="00EA334D" w:rsidRPr="003B44D7">
        <w:rPr>
          <w:rFonts w:cstheme="minorHAnsi"/>
          <w:sz w:val="24"/>
          <w:szCs w:val="24"/>
        </w:rPr>
        <w:t>s</w:t>
      </w:r>
      <w:r w:rsidR="00FA3541" w:rsidRPr="003B44D7">
        <w:rPr>
          <w:rFonts w:cstheme="minorHAnsi"/>
          <w:sz w:val="24"/>
          <w:szCs w:val="24"/>
        </w:rPr>
        <w:t xml:space="preserve"> (</w:t>
      </w:r>
      <w:proofErr w:type="gramStart"/>
      <w:r w:rsidR="00FA3541" w:rsidRPr="003B44D7">
        <w:rPr>
          <w:rFonts w:cstheme="minorHAnsi"/>
          <w:sz w:val="24"/>
          <w:szCs w:val="24"/>
        </w:rPr>
        <w:t>i.e.</w:t>
      </w:r>
      <w:proofErr w:type="gramEnd"/>
      <w:r w:rsidR="00FA3541" w:rsidRPr="003B44D7">
        <w:rPr>
          <w:rFonts w:cstheme="minorHAnsi"/>
          <w:sz w:val="24"/>
          <w:szCs w:val="24"/>
        </w:rPr>
        <w:t xml:space="preserve"> the lack of immunity)</w:t>
      </w:r>
      <w:r w:rsidR="00865715" w:rsidRPr="003B44D7">
        <w:rPr>
          <w:rFonts w:cstheme="minorHAnsi"/>
          <w:sz w:val="24"/>
          <w:szCs w:val="24"/>
        </w:rPr>
        <w:t xml:space="preserve">. In </w:t>
      </w:r>
      <w:r w:rsidR="00FE4AC2" w:rsidRPr="003B44D7">
        <w:rPr>
          <w:rFonts w:cstheme="minorHAnsi"/>
          <w:sz w:val="24"/>
          <w:szCs w:val="24"/>
        </w:rPr>
        <w:t xml:space="preserve">effect, </w:t>
      </w:r>
      <w:r w:rsidR="006B3647" w:rsidRPr="003B44D7">
        <w:rPr>
          <w:rFonts w:cstheme="minorHAnsi"/>
          <w:sz w:val="24"/>
          <w:szCs w:val="24"/>
        </w:rPr>
        <w:t xml:space="preserve">NetzDG metamorphoses platforms </w:t>
      </w:r>
      <w:r w:rsidR="006B3647" w:rsidRPr="005873F6">
        <w:rPr>
          <w:rFonts w:cstheme="minorHAnsi"/>
          <w:sz w:val="24"/>
          <w:szCs w:val="24"/>
        </w:rPr>
        <w:t xml:space="preserve">from </w:t>
      </w:r>
      <w:r w:rsidR="006B3647" w:rsidRPr="005873F6">
        <w:rPr>
          <w:rFonts w:cstheme="minorHAnsi"/>
          <w:i/>
          <w:iCs/>
          <w:sz w:val="24"/>
          <w:szCs w:val="24"/>
        </w:rPr>
        <w:t>regulatees</w:t>
      </w:r>
      <w:r w:rsidR="006B3647" w:rsidRPr="003B44D7">
        <w:rPr>
          <w:rFonts w:cstheme="minorHAnsi"/>
          <w:sz w:val="24"/>
          <w:szCs w:val="24"/>
        </w:rPr>
        <w:t xml:space="preserve"> </w:t>
      </w:r>
      <w:r w:rsidR="00141264" w:rsidRPr="003B44D7">
        <w:rPr>
          <w:rFonts w:cstheme="minorHAnsi"/>
          <w:sz w:val="24"/>
          <w:szCs w:val="24"/>
        </w:rPr>
        <w:t>subject to conditional liability f</w:t>
      </w:r>
      <w:r w:rsidR="00865715" w:rsidRPr="003B44D7">
        <w:rPr>
          <w:rFonts w:cstheme="minorHAnsi"/>
          <w:sz w:val="24"/>
          <w:szCs w:val="24"/>
        </w:rPr>
        <w:t>or</w:t>
      </w:r>
      <w:r w:rsidR="00141264" w:rsidRPr="003B44D7">
        <w:rPr>
          <w:rFonts w:cstheme="minorHAnsi"/>
          <w:sz w:val="24"/>
          <w:szCs w:val="24"/>
        </w:rPr>
        <w:t xml:space="preserve"> illegal content </w:t>
      </w:r>
      <w:r w:rsidR="006B3647" w:rsidRPr="005873F6">
        <w:rPr>
          <w:rFonts w:cstheme="minorHAnsi"/>
          <w:sz w:val="24"/>
          <w:szCs w:val="24"/>
        </w:rPr>
        <w:t>to</w:t>
      </w:r>
      <w:r w:rsidR="006B3647" w:rsidRPr="005873F6">
        <w:rPr>
          <w:rFonts w:cstheme="minorHAnsi"/>
          <w:i/>
          <w:iCs/>
          <w:sz w:val="24"/>
          <w:szCs w:val="24"/>
        </w:rPr>
        <w:t xml:space="preserve"> regulators</w:t>
      </w:r>
      <w:r w:rsidR="00280435" w:rsidRPr="003B44D7">
        <w:rPr>
          <w:rFonts w:cstheme="minorHAnsi"/>
          <w:sz w:val="24"/>
          <w:szCs w:val="24"/>
        </w:rPr>
        <w:t xml:space="preserve"> </w:t>
      </w:r>
      <w:r w:rsidRPr="003B44D7">
        <w:rPr>
          <w:rFonts w:cstheme="minorHAnsi"/>
          <w:sz w:val="24"/>
          <w:szCs w:val="24"/>
        </w:rPr>
        <w:t>through</w:t>
      </w:r>
      <w:r w:rsidR="001C0EB5" w:rsidRPr="003B44D7">
        <w:rPr>
          <w:rFonts w:cstheme="minorHAnsi"/>
          <w:sz w:val="24"/>
          <w:szCs w:val="24"/>
        </w:rPr>
        <w:t xml:space="preserve"> </w:t>
      </w:r>
      <w:r w:rsidR="00447BF6" w:rsidRPr="003B44D7">
        <w:rPr>
          <w:rFonts w:cstheme="minorHAnsi"/>
          <w:sz w:val="24"/>
          <w:szCs w:val="24"/>
        </w:rPr>
        <w:t>the</w:t>
      </w:r>
      <w:r w:rsidR="00EA334D" w:rsidRPr="003B44D7">
        <w:rPr>
          <w:rFonts w:cstheme="minorHAnsi"/>
          <w:sz w:val="24"/>
          <w:szCs w:val="24"/>
        </w:rPr>
        <w:t>ir</w:t>
      </w:r>
      <w:r w:rsidR="00447BF6" w:rsidRPr="003B44D7">
        <w:rPr>
          <w:rFonts w:cstheme="minorHAnsi"/>
          <w:sz w:val="24"/>
          <w:szCs w:val="24"/>
        </w:rPr>
        <w:t xml:space="preserve"> obligations to put processes in place to</w:t>
      </w:r>
      <w:r w:rsidR="00141264" w:rsidRPr="003B44D7">
        <w:rPr>
          <w:rFonts w:cstheme="minorHAnsi"/>
          <w:sz w:val="24"/>
          <w:szCs w:val="24"/>
        </w:rPr>
        <w:t xml:space="preserve"> assess </w:t>
      </w:r>
      <w:r w:rsidR="00141264" w:rsidRPr="003B44D7">
        <w:rPr>
          <w:rFonts w:cstheme="minorHAnsi"/>
          <w:sz w:val="24"/>
          <w:szCs w:val="24"/>
        </w:rPr>
        <w:lastRenderedPageBreak/>
        <w:t>and suppress</w:t>
      </w:r>
      <w:r w:rsidR="00447BF6" w:rsidRPr="003B44D7">
        <w:rPr>
          <w:rFonts w:cstheme="minorHAnsi"/>
          <w:sz w:val="24"/>
          <w:szCs w:val="24"/>
        </w:rPr>
        <w:t xml:space="preserve"> </w:t>
      </w:r>
      <w:r w:rsidR="00FE4AC2" w:rsidRPr="003B44D7">
        <w:rPr>
          <w:rFonts w:cstheme="minorHAnsi"/>
          <w:sz w:val="24"/>
          <w:szCs w:val="24"/>
        </w:rPr>
        <w:t>illegal content</w:t>
      </w:r>
      <w:r w:rsidR="009133C0" w:rsidRPr="003B44D7">
        <w:rPr>
          <w:rFonts w:cstheme="minorHAnsi"/>
          <w:sz w:val="24"/>
          <w:szCs w:val="24"/>
        </w:rPr>
        <w:t xml:space="preserve"> with </w:t>
      </w:r>
      <w:r w:rsidR="005873F6">
        <w:rPr>
          <w:rFonts w:cstheme="minorHAnsi"/>
          <w:sz w:val="24"/>
          <w:szCs w:val="24"/>
        </w:rPr>
        <w:t>(</w:t>
      </w:r>
      <w:r w:rsidR="009133C0" w:rsidRPr="003B44D7">
        <w:rPr>
          <w:rFonts w:cstheme="minorHAnsi"/>
          <w:sz w:val="24"/>
          <w:szCs w:val="24"/>
        </w:rPr>
        <w:t>all</w:t>
      </w:r>
      <w:r w:rsidR="005873F6">
        <w:rPr>
          <w:rFonts w:cstheme="minorHAnsi"/>
          <w:sz w:val="24"/>
          <w:szCs w:val="24"/>
        </w:rPr>
        <w:t>)</w:t>
      </w:r>
      <w:r w:rsidR="009133C0" w:rsidRPr="003B44D7">
        <w:rPr>
          <w:rFonts w:cstheme="minorHAnsi"/>
          <w:sz w:val="24"/>
          <w:szCs w:val="24"/>
        </w:rPr>
        <w:t xml:space="preserve"> the due process trappings of a regulator</w:t>
      </w:r>
      <w:r w:rsidR="00431052" w:rsidRPr="003B44D7">
        <w:rPr>
          <w:rFonts w:cstheme="minorHAnsi"/>
          <w:sz w:val="24"/>
          <w:szCs w:val="24"/>
        </w:rPr>
        <w:t>.</w:t>
      </w:r>
      <w:r w:rsidR="00774F4F" w:rsidRPr="003B44D7">
        <w:rPr>
          <w:rFonts w:cstheme="minorHAnsi"/>
          <w:sz w:val="24"/>
          <w:szCs w:val="24"/>
        </w:rPr>
        <w:t xml:space="preserve"> </w:t>
      </w:r>
      <w:proofErr w:type="gramStart"/>
      <w:r w:rsidR="00774F4F" w:rsidRPr="003B44D7">
        <w:rPr>
          <w:rFonts w:cstheme="minorHAnsi"/>
          <w:sz w:val="24"/>
          <w:szCs w:val="24"/>
        </w:rPr>
        <w:t>Thus</w:t>
      </w:r>
      <w:proofErr w:type="gramEnd"/>
      <w:r w:rsidR="00774F4F" w:rsidRPr="003B44D7">
        <w:rPr>
          <w:rFonts w:cstheme="minorHAnsi"/>
          <w:sz w:val="24"/>
          <w:szCs w:val="24"/>
        </w:rPr>
        <w:t xml:space="preserve"> hate speech in the public domain is taken down </w:t>
      </w:r>
      <w:r w:rsidR="00865715" w:rsidRPr="003B44D7">
        <w:rPr>
          <w:rFonts w:cstheme="minorHAnsi"/>
          <w:sz w:val="24"/>
          <w:szCs w:val="24"/>
        </w:rPr>
        <w:t>through privat</w:t>
      </w:r>
      <w:r w:rsidR="005873F6">
        <w:rPr>
          <w:rFonts w:cstheme="minorHAnsi"/>
          <w:sz w:val="24"/>
          <w:szCs w:val="24"/>
        </w:rPr>
        <w:t>e</w:t>
      </w:r>
      <w:r w:rsidR="00865715" w:rsidRPr="003B44D7">
        <w:rPr>
          <w:rFonts w:cstheme="minorHAnsi"/>
          <w:sz w:val="24"/>
          <w:szCs w:val="24"/>
        </w:rPr>
        <w:t xml:space="preserve"> processes</w:t>
      </w:r>
      <w:r w:rsidR="00644E40" w:rsidRPr="003B44D7">
        <w:rPr>
          <w:rFonts w:cstheme="minorHAnsi"/>
          <w:sz w:val="24"/>
          <w:szCs w:val="24"/>
        </w:rPr>
        <w:t>.</w:t>
      </w:r>
      <w:r w:rsidR="00774F4F" w:rsidRPr="003B44D7">
        <w:rPr>
          <w:rFonts w:cstheme="minorHAnsi"/>
          <w:sz w:val="24"/>
          <w:szCs w:val="24"/>
        </w:rPr>
        <w:t xml:space="preserve"> </w:t>
      </w:r>
    </w:p>
    <w:p w14:paraId="221E615D" w14:textId="33F9593C" w:rsidR="008E4C09" w:rsidRPr="003B44D7" w:rsidRDefault="008E4C09" w:rsidP="004E7EB4">
      <w:pPr>
        <w:spacing w:after="0" w:line="240" w:lineRule="auto"/>
        <w:jc w:val="both"/>
        <w:rPr>
          <w:rFonts w:cstheme="minorHAnsi"/>
          <w:sz w:val="24"/>
          <w:szCs w:val="24"/>
        </w:rPr>
      </w:pPr>
    </w:p>
    <w:p w14:paraId="0289F266" w14:textId="00D19FB9" w:rsidR="008E4C09" w:rsidRPr="003B44D7" w:rsidRDefault="00774F4F" w:rsidP="004E7EB4">
      <w:pPr>
        <w:spacing w:after="0" w:line="240" w:lineRule="auto"/>
        <w:jc w:val="both"/>
        <w:rPr>
          <w:rFonts w:cstheme="minorHAnsi"/>
          <w:sz w:val="24"/>
          <w:szCs w:val="24"/>
        </w:rPr>
      </w:pPr>
      <w:r w:rsidRPr="003B44D7">
        <w:rPr>
          <w:rFonts w:cstheme="minorHAnsi"/>
          <w:sz w:val="24"/>
          <w:szCs w:val="24"/>
        </w:rPr>
        <w:t xml:space="preserve">Yet, </w:t>
      </w:r>
      <w:r w:rsidR="004A7B31" w:rsidRPr="003B44D7">
        <w:rPr>
          <w:rFonts w:cstheme="minorHAnsi"/>
          <w:sz w:val="24"/>
          <w:szCs w:val="24"/>
        </w:rPr>
        <w:t>NetzDG has attracted strong</w:t>
      </w:r>
      <w:r w:rsidR="002D30F7" w:rsidRPr="003B44D7">
        <w:rPr>
          <w:rFonts w:cstheme="minorHAnsi"/>
          <w:sz w:val="24"/>
          <w:szCs w:val="24"/>
        </w:rPr>
        <w:t xml:space="preserve"> </w:t>
      </w:r>
      <w:r w:rsidR="004A7B31" w:rsidRPr="003B44D7">
        <w:rPr>
          <w:rFonts w:cstheme="minorHAnsi"/>
          <w:sz w:val="24"/>
          <w:szCs w:val="24"/>
        </w:rPr>
        <w:t>criticisms from both sides of the transatl</w:t>
      </w:r>
      <w:r w:rsidR="003E6F82" w:rsidRPr="003B44D7">
        <w:rPr>
          <w:rFonts w:cstheme="minorHAnsi"/>
          <w:sz w:val="24"/>
          <w:szCs w:val="24"/>
        </w:rPr>
        <w:t>antic speech divide</w:t>
      </w:r>
      <w:r w:rsidR="00FA3541" w:rsidRPr="003B44D7">
        <w:rPr>
          <w:rFonts w:cstheme="minorHAnsi"/>
          <w:sz w:val="24"/>
          <w:szCs w:val="24"/>
        </w:rPr>
        <w:t>,</w:t>
      </w:r>
      <w:r w:rsidR="003E6F82" w:rsidRPr="003B44D7">
        <w:rPr>
          <w:rFonts w:cstheme="minorHAnsi"/>
          <w:sz w:val="24"/>
          <w:szCs w:val="24"/>
        </w:rPr>
        <w:t xml:space="preserve"> </w:t>
      </w:r>
      <w:r w:rsidR="009133C0" w:rsidRPr="003B44D7">
        <w:rPr>
          <w:rFonts w:cstheme="minorHAnsi"/>
          <w:sz w:val="24"/>
          <w:szCs w:val="24"/>
        </w:rPr>
        <w:t xml:space="preserve">that is </w:t>
      </w:r>
      <w:r w:rsidR="003E6F82" w:rsidRPr="003B44D7">
        <w:rPr>
          <w:rFonts w:cstheme="minorHAnsi"/>
          <w:sz w:val="24"/>
          <w:szCs w:val="24"/>
        </w:rPr>
        <w:t>from proponents and opponents of hate speech restrictions.</w:t>
      </w:r>
      <w:r w:rsidR="003E6F82" w:rsidRPr="003B44D7">
        <w:rPr>
          <w:rStyle w:val="FootnoteReference"/>
          <w:rFonts w:cstheme="minorHAnsi"/>
          <w:sz w:val="24"/>
          <w:szCs w:val="24"/>
        </w:rPr>
        <w:footnoteReference w:id="77"/>
      </w:r>
      <w:r w:rsidR="003E6F82" w:rsidRPr="003B44D7">
        <w:rPr>
          <w:rFonts w:cstheme="minorHAnsi"/>
          <w:sz w:val="24"/>
          <w:szCs w:val="24"/>
        </w:rPr>
        <w:t xml:space="preserve"> F</w:t>
      </w:r>
      <w:r w:rsidR="00ED1A81" w:rsidRPr="003B44D7">
        <w:rPr>
          <w:rFonts w:cstheme="minorHAnsi"/>
          <w:sz w:val="24"/>
          <w:szCs w:val="24"/>
        </w:rPr>
        <w:t>rom a European perspective the law creates undue privat</w:t>
      </w:r>
      <w:r w:rsidRPr="003B44D7">
        <w:rPr>
          <w:rFonts w:cstheme="minorHAnsi"/>
          <w:sz w:val="24"/>
          <w:szCs w:val="24"/>
        </w:rPr>
        <w:t>ised</w:t>
      </w:r>
      <w:r w:rsidR="00096ED2" w:rsidRPr="003B44D7">
        <w:rPr>
          <w:rFonts w:cstheme="minorHAnsi"/>
          <w:sz w:val="24"/>
          <w:szCs w:val="24"/>
        </w:rPr>
        <w:t xml:space="preserve"> censorship,</w:t>
      </w:r>
      <w:r w:rsidR="002D30F7" w:rsidRPr="003B44D7">
        <w:rPr>
          <w:rFonts w:cstheme="minorHAnsi"/>
          <w:sz w:val="24"/>
          <w:szCs w:val="24"/>
        </w:rPr>
        <w:t xml:space="preserve"> whilst</w:t>
      </w:r>
      <w:r w:rsidR="00ED1A81" w:rsidRPr="003B44D7">
        <w:rPr>
          <w:rFonts w:cstheme="minorHAnsi"/>
          <w:sz w:val="24"/>
          <w:szCs w:val="24"/>
        </w:rPr>
        <w:t xml:space="preserve"> from an American</w:t>
      </w:r>
      <w:r w:rsidR="004B61D6" w:rsidRPr="003B44D7">
        <w:rPr>
          <w:rFonts w:cstheme="minorHAnsi"/>
          <w:sz w:val="24"/>
          <w:szCs w:val="24"/>
        </w:rPr>
        <w:t xml:space="preserve"> perspective it presents undue </w:t>
      </w:r>
      <w:r w:rsidRPr="003B44D7">
        <w:rPr>
          <w:rFonts w:cstheme="minorHAnsi"/>
          <w:sz w:val="24"/>
          <w:szCs w:val="24"/>
        </w:rPr>
        <w:t>public or governmental</w:t>
      </w:r>
      <w:r w:rsidR="00ED1A81" w:rsidRPr="003B44D7">
        <w:rPr>
          <w:rFonts w:cstheme="minorHAnsi"/>
          <w:sz w:val="24"/>
          <w:szCs w:val="24"/>
        </w:rPr>
        <w:t xml:space="preserve"> censorship. Both perspectives are legitimate</w:t>
      </w:r>
      <w:r w:rsidR="002D30F7" w:rsidRPr="003B44D7">
        <w:rPr>
          <w:rFonts w:cstheme="minorHAnsi"/>
          <w:sz w:val="24"/>
          <w:szCs w:val="24"/>
        </w:rPr>
        <w:t xml:space="preserve"> against each </w:t>
      </w:r>
      <w:r w:rsidR="00ED1A81" w:rsidRPr="003B44D7">
        <w:rPr>
          <w:rFonts w:cstheme="minorHAnsi"/>
          <w:sz w:val="24"/>
          <w:szCs w:val="24"/>
        </w:rPr>
        <w:t>peculiar speech tradition</w:t>
      </w:r>
      <w:r w:rsidR="002A68E6" w:rsidRPr="003B44D7">
        <w:rPr>
          <w:rFonts w:cstheme="minorHAnsi"/>
          <w:sz w:val="24"/>
          <w:szCs w:val="24"/>
        </w:rPr>
        <w:t xml:space="preserve">, but </w:t>
      </w:r>
      <w:r w:rsidR="00096ED2" w:rsidRPr="003B44D7">
        <w:rPr>
          <w:rFonts w:cstheme="minorHAnsi"/>
          <w:sz w:val="24"/>
          <w:szCs w:val="24"/>
        </w:rPr>
        <w:t>in their</w:t>
      </w:r>
      <w:r w:rsidR="004B61D6" w:rsidRPr="003B44D7">
        <w:rPr>
          <w:rFonts w:cstheme="minorHAnsi"/>
          <w:sz w:val="24"/>
          <w:szCs w:val="24"/>
        </w:rPr>
        <w:t xml:space="preserve"> contradiction</w:t>
      </w:r>
      <w:r w:rsidR="002A68E6" w:rsidRPr="003B44D7">
        <w:rPr>
          <w:rFonts w:cstheme="minorHAnsi"/>
          <w:sz w:val="24"/>
          <w:szCs w:val="24"/>
        </w:rPr>
        <w:t xml:space="preserve"> also lie</w:t>
      </w:r>
      <w:r w:rsidR="002D30F7" w:rsidRPr="003B44D7">
        <w:rPr>
          <w:rFonts w:cstheme="minorHAnsi"/>
          <w:sz w:val="24"/>
          <w:szCs w:val="24"/>
        </w:rPr>
        <w:t>s</w:t>
      </w:r>
      <w:r w:rsidR="005C6529" w:rsidRPr="003B44D7">
        <w:rPr>
          <w:rFonts w:cstheme="minorHAnsi"/>
          <w:sz w:val="24"/>
          <w:szCs w:val="24"/>
        </w:rPr>
        <w:t xml:space="preserve"> </w:t>
      </w:r>
      <w:r w:rsidR="002A68E6" w:rsidRPr="003B44D7">
        <w:rPr>
          <w:rFonts w:cstheme="minorHAnsi"/>
          <w:sz w:val="24"/>
          <w:szCs w:val="24"/>
        </w:rPr>
        <w:t xml:space="preserve">their weakness. </w:t>
      </w:r>
      <w:r w:rsidR="00ED1A81" w:rsidRPr="003B44D7">
        <w:rPr>
          <w:rFonts w:cstheme="minorHAnsi"/>
          <w:sz w:val="24"/>
          <w:szCs w:val="24"/>
        </w:rPr>
        <w:t>Precisely in so far as the European concern is that NetzDG privatis</w:t>
      </w:r>
      <w:r w:rsidR="00096ED2" w:rsidRPr="003B44D7">
        <w:rPr>
          <w:rFonts w:cstheme="minorHAnsi"/>
          <w:sz w:val="24"/>
          <w:szCs w:val="24"/>
        </w:rPr>
        <w:t>es censorship that ought to be in the hands of the judiciary, it weakens the American claim of undue governmental censorship;</w:t>
      </w:r>
      <w:r w:rsidR="005C6529" w:rsidRPr="003B44D7">
        <w:rPr>
          <w:rFonts w:cstheme="minorHAnsi"/>
          <w:sz w:val="24"/>
          <w:szCs w:val="24"/>
        </w:rPr>
        <w:t xml:space="preserve"> </w:t>
      </w:r>
      <w:r w:rsidR="001A3B0F" w:rsidRPr="003B44D7">
        <w:rPr>
          <w:rFonts w:cstheme="minorHAnsi"/>
          <w:sz w:val="24"/>
          <w:szCs w:val="24"/>
        </w:rPr>
        <w:t>equally</w:t>
      </w:r>
      <w:r w:rsidR="005C6529" w:rsidRPr="003B44D7">
        <w:rPr>
          <w:rFonts w:cstheme="minorHAnsi"/>
          <w:sz w:val="24"/>
          <w:szCs w:val="24"/>
        </w:rPr>
        <w:t xml:space="preserve"> in so far as</w:t>
      </w:r>
      <w:r w:rsidR="002D30F7" w:rsidRPr="003B44D7">
        <w:rPr>
          <w:rFonts w:cstheme="minorHAnsi"/>
          <w:sz w:val="24"/>
          <w:szCs w:val="24"/>
        </w:rPr>
        <w:t xml:space="preserve"> through an </w:t>
      </w:r>
      <w:r w:rsidR="005C6529" w:rsidRPr="003B44D7">
        <w:rPr>
          <w:rFonts w:cstheme="minorHAnsi"/>
          <w:sz w:val="24"/>
          <w:szCs w:val="24"/>
        </w:rPr>
        <w:t xml:space="preserve">American </w:t>
      </w:r>
      <w:r w:rsidR="00447BF6" w:rsidRPr="003B44D7">
        <w:rPr>
          <w:rFonts w:cstheme="minorHAnsi"/>
          <w:sz w:val="24"/>
          <w:szCs w:val="24"/>
        </w:rPr>
        <w:t>lens</w:t>
      </w:r>
      <w:r w:rsidR="005C6529" w:rsidRPr="003B44D7">
        <w:rPr>
          <w:rFonts w:cstheme="minorHAnsi"/>
          <w:sz w:val="24"/>
          <w:szCs w:val="24"/>
        </w:rPr>
        <w:t xml:space="preserve"> </w:t>
      </w:r>
      <w:r w:rsidR="005C3E17" w:rsidRPr="003B44D7">
        <w:rPr>
          <w:rFonts w:cstheme="minorHAnsi"/>
          <w:sz w:val="24"/>
          <w:szCs w:val="24"/>
        </w:rPr>
        <w:t xml:space="preserve">NetzDG imposes </w:t>
      </w:r>
      <w:r w:rsidR="005C6529" w:rsidRPr="003B44D7">
        <w:rPr>
          <w:rFonts w:cstheme="minorHAnsi"/>
          <w:sz w:val="24"/>
          <w:szCs w:val="24"/>
        </w:rPr>
        <w:t>undue</w:t>
      </w:r>
      <w:r w:rsidRPr="003B44D7">
        <w:rPr>
          <w:rFonts w:cstheme="minorHAnsi"/>
          <w:sz w:val="24"/>
          <w:szCs w:val="24"/>
        </w:rPr>
        <w:t xml:space="preserve"> </w:t>
      </w:r>
      <w:r w:rsidR="00AE36A4" w:rsidRPr="003B44D7">
        <w:rPr>
          <w:rFonts w:cstheme="minorHAnsi"/>
          <w:sz w:val="24"/>
          <w:szCs w:val="24"/>
        </w:rPr>
        <w:t xml:space="preserve">public censorship, </w:t>
      </w:r>
      <w:r w:rsidR="005C3E17" w:rsidRPr="003B44D7">
        <w:rPr>
          <w:rFonts w:cstheme="minorHAnsi"/>
          <w:sz w:val="24"/>
          <w:szCs w:val="24"/>
        </w:rPr>
        <w:t xml:space="preserve">the European claim of privatisation </w:t>
      </w:r>
      <w:r w:rsidR="005C6529" w:rsidRPr="003B44D7">
        <w:rPr>
          <w:rFonts w:cstheme="minorHAnsi"/>
          <w:sz w:val="24"/>
          <w:szCs w:val="24"/>
        </w:rPr>
        <w:t>of censorship</w:t>
      </w:r>
      <w:r w:rsidR="002D30F7" w:rsidRPr="003B44D7">
        <w:rPr>
          <w:rFonts w:cstheme="minorHAnsi"/>
          <w:sz w:val="24"/>
          <w:szCs w:val="24"/>
        </w:rPr>
        <w:t xml:space="preserve"> does not</w:t>
      </w:r>
      <w:r w:rsidR="004E460E" w:rsidRPr="003B44D7">
        <w:rPr>
          <w:rFonts w:cstheme="minorHAnsi"/>
          <w:sz w:val="24"/>
          <w:szCs w:val="24"/>
        </w:rPr>
        <w:t xml:space="preserve"> fully</w:t>
      </w:r>
      <w:r w:rsidR="002D30F7" w:rsidRPr="003B44D7">
        <w:rPr>
          <w:rFonts w:cstheme="minorHAnsi"/>
          <w:sz w:val="24"/>
          <w:szCs w:val="24"/>
        </w:rPr>
        <w:t xml:space="preserve"> hold water</w:t>
      </w:r>
      <w:r w:rsidR="00AE36A4" w:rsidRPr="003B44D7">
        <w:rPr>
          <w:rFonts w:cstheme="minorHAnsi"/>
          <w:sz w:val="24"/>
          <w:szCs w:val="24"/>
        </w:rPr>
        <w:t>.</w:t>
      </w:r>
      <w:r w:rsidR="009C352A" w:rsidRPr="003B44D7">
        <w:rPr>
          <w:rFonts w:cstheme="minorHAnsi"/>
          <w:sz w:val="24"/>
          <w:szCs w:val="24"/>
        </w:rPr>
        <w:t xml:space="preserve"> In fact, </w:t>
      </w:r>
      <w:r w:rsidR="00096ED2" w:rsidRPr="003B44D7">
        <w:rPr>
          <w:rFonts w:cstheme="minorHAnsi"/>
          <w:sz w:val="24"/>
          <w:szCs w:val="24"/>
        </w:rPr>
        <w:t>NetzDG hovers in between pri</w:t>
      </w:r>
      <w:r w:rsidR="005C6529" w:rsidRPr="003B44D7">
        <w:rPr>
          <w:rFonts w:cstheme="minorHAnsi"/>
          <w:sz w:val="24"/>
          <w:szCs w:val="24"/>
        </w:rPr>
        <w:t>vate and public censorship</w:t>
      </w:r>
      <w:r w:rsidR="00D332F4" w:rsidRPr="003B44D7">
        <w:rPr>
          <w:rFonts w:cstheme="minorHAnsi"/>
          <w:sz w:val="24"/>
          <w:szCs w:val="24"/>
        </w:rPr>
        <w:t xml:space="preserve">: </w:t>
      </w:r>
      <w:r w:rsidR="005C6529" w:rsidRPr="003B44D7">
        <w:rPr>
          <w:rFonts w:cstheme="minorHAnsi"/>
          <w:sz w:val="24"/>
          <w:szCs w:val="24"/>
        </w:rPr>
        <w:t xml:space="preserve">it puts in place </w:t>
      </w:r>
      <w:r w:rsidR="00096ED2" w:rsidRPr="003B44D7">
        <w:rPr>
          <w:rFonts w:cstheme="minorHAnsi"/>
          <w:sz w:val="24"/>
          <w:szCs w:val="24"/>
        </w:rPr>
        <w:t>a</w:t>
      </w:r>
      <w:r w:rsidR="00643A4A" w:rsidRPr="003B44D7">
        <w:rPr>
          <w:rFonts w:cstheme="minorHAnsi"/>
          <w:sz w:val="24"/>
          <w:szCs w:val="24"/>
        </w:rPr>
        <w:t xml:space="preserve"> </w:t>
      </w:r>
      <w:r w:rsidR="00096ED2" w:rsidRPr="003B44D7">
        <w:rPr>
          <w:rFonts w:cstheme="minorHAnsi"/>
          <w:sz w:val="24"/>
          <w:szCs w:val="24"/>
        </w:rPr>
        <w:t>privat</w:t>
      </w:r>
      <w:r w:rsidR="005873F6">
        <w:rPr>
          <w:rFonts w:cstheme="minorHAnsi"/>
          <w:sz w:val="24"/>
          <w:szCs w:val="24"/>
        </w:rPr>
        <w:t>e</w:t>
      </w:r>
      <w:r w:rsidR="00096ED2" w:rsidRPr="003B44D7">
        <w:rPr>
          <w:rFonts w:cstheme="minorHAnsi"/>
          <w:sz w:val="24"/>
          <w:szCs w:val="24"/>
        </w:rPr>
        <w:t xml:space="preserve"> </w:t>
      </w:r>
      <w:r w:rsidR="005C6529" w:rsidRPr="003B44D7">
        <w:rPr>
          <w:rFonts w:cstheme="minorHAnsi"/>
          <w:sz w:val="24"/>
          <w:szCs w:val="24"/>
        </w:rPr>
        <w:t>process (</w:t>
      </w:r>
      <w:r w:rsidR="00FA3541" w:rsidRPr="003B44D7">
        <w:rPr>
          <w:rFonts w:cstheme="minorHAnsi"/>
          <w:sz w:val="24"/>
          <w:szCs w:val="24"/>
        </w:rPr>
        <w:t>‘who’</w:t>
      </w:r>
      <w:r w:rsidR="005C6529" w:rsidRPr="003B44D7">
        <w:rPr>
          <w:rFonts w:cstheme="minorHAnsi"/>
          <w:sz w:val="24"/>
          <w:szCs w:val="24"/>
        </w:rPr>
        <w:t>) to uphold</w:t>
      </w:r>
      <w:r w:rsidR="00096ED2" w:rsidRPr="003B44D7">
        <w:rPr>
          <w:rFonts w:cstheme="minorHAnsi"/>
          <w:sz w:val="24"/>
          <w:szCs w:val="24"/>
        </w:rPr>
        <w:t xml:space="preserve"> publicly defined </w:t>
      </w:r>
      <w:r w:rsidR="00223BD4" w:rsidRPr="003B44D7">
        <w:rPr>
          <w:rFonts w:cstheme="minorHAnsi"/>
          <w:sz w:val="24"/>
          <w:szCs w:val="24"/>
        </w:rPr>
        <w:t>speech standards</w:t>
      </w:r>
      <w:r w:rsidR="005C6529" w:rsidRPr="003B44D7">
        <w:rPr>
          <w:rFonts w:cstheme="minorHAnsi"/>
          <w:sz w:val="24"/>
          <w:szCs w:val="24"/>
        </w:rPr>
        <w:t xml:space="preserve"> (</w:t>
      </w:r>
      <w:r w:rsidR="00FA3541" w:rsidRPr="003B44D7">
        <w:rPr>
          <w:rFonts w:cstheme="minorHAnsi"/>
          <w:sz w:val="24"/>
          <w:szCs w:val="24"/>
        </w:rPr>
        <w:t>‘what’</w:t>
      </w:r>
      <w:r w:rsidR="005C6529" w:rsidRPr="003B44D7">
        <w:rPr>
          <w:rFonts w:cstheme="minorHAnsi"/>
          <w:sz w:val="24"/>
          <w:szCs w:val="24"/>
        </w:rPr>
        <w:t>)</w:t>
      </w:r>
      <w:r w:rsidR="007D6199" w:rsidRPr="003B44D7">
        <w:rPr>
          <w:rFonts w:cstheme="minorHAnsi"/>
          <w:sz w:val="24"/>
          <w:szCs w:val="24"/>
        </w:rPr>
        <w:t xml:space="preserve">, and thereby goes </w:t>
      </w:r>
      <w:r w:rsidR="00D332F4" w:rsidRPr="003B44D7">
        <w:rPr>
          <w:rFonts w:cstheme="minorHAnsi"/>
          <w:sz w:val="24"/>
          <w:szCs w:val="24"/>
        </w:rPr>
        <w:t>towards a</w:t>
      </w:r>
      <w:r w:rsidR="005873F6">
        <w:rPr>
          <w:rFonts w:cstheme="minorHAnsi"/>
          <w:sz w:val="24"/>
          <w:szCs w:val="24"/>
        </w:rPr>
        <w:t>ppeasing</w:t>
      </w:r>
      <w:r w:rsidR="00D332F4" w:rsidRPr="003B44D7">
        <w:rPr>
          <w:rFonts w:cstheme="minorHAnsi"/>
          <w:sz w:val="24"/>
          <w:szCs w:val="24"/>
        </w:rPr>
        <w:t xml:space="preserve"> the primary fears of </w:t>
      </w:r>
      <w:r w:rsidR="007D6199" w:rsidRPr="003B44D7">
        <w:rPr>
          <w:rFonts w:cstheme="minorHAnsi"/>
          <w:sz w:val="24"/>
          <w:szCs w:val="24"/>
        </w:rPr>
        <w:t>European and American speech traditions</w:t>
      </w:r>
      <w:r w:rsidR="007003FD" w:rsidRPr="003B44D7">
        <w:rPr>
          <w:rFonts w:cstheme="minorHAnsi"/>
          <w:sz w:val="24"/>
          <w:szCs w:val="24"/>
        </w:rPr>
        <w:t>, as now discussed in more detail.</w:t>
      </w:r>
    </w:p>
    <w:p w14:paraId="0124DCB8" w14:textId="77777777" w:rsidR="000E499F" w:rsidRPr="003B44D7" w:rsidRDefault="000E499F" w:rsidP="004E7EB4">
      <w:pPr>
        <w:spacing w:after="0" w:line="240" w:lineRule="auto"/>
        <w:jc w:val="both"/>
        <w:rPr>
          <w:rFonts w:cstheme="minorHAnsi"/>
          <w:sz w:val="24"/>
          <w:szCs w:val="24"/>
        </w:rPr>
      </w:pPr>
    </w:p>
    <w:p w14:paraId="7E343205" w14:textId="10A83682" w:rsidR="000E499F" w:rsidRPr="003B44D7" w:rsidRDefault="000E499F" w:rsidP="004E7EB4">
      <w:pPr>
        <w:pStyle w:val="Heading2"/>
        <w:numPr>
          <w:ilvl w:val="1"/>
          <w:numId w:val="13"/>
        </w:numPr>
        <w:spacing w:before="0" w:line="240" w:lineRule="auto"/>
        <w:rPr>
          <w:rFonts w:asciiTheme="minorHAnsi" w:hAnsiTheme="minorHAnsi" w:cstheme="minorHAnsi"/>
          <w:sz w:val="24"/>
          <w:szCs w:val="24"/>
        </w:rPr>
      </w:pPr>
      <w:bookmarkStart w:id="4" w:name="_Toc95568721"/>
      <w:r w:rsidRPr="003B44D7">
        <w:rPr>
          <w:rFonts w:asciiTheme="minorHAnsi" w:hAnsiTheme="minorHAnsi" w:cstheme="minorHAnsi"/>
          <w:sz w:val="24"/>
          <w:szCs w:val="24"/>
        </w:rPr>
        <w:t>U</w:t>
      </w:r>
      <w:r w:rsidR="00ED1A81" w:rsidRPr="003B44D7">
        <w:rPr>
          <w:rFonts w:asciiTheme="minorHAnsi" w:hAnsiTheme="minorHAnsi" w:cstheme="minorHAnsi"/>
          <w:sz w:val="24"/>
          <w:szCs w:val="24"/>
        </w:rPr>
        <w:t>ndue Privat</w:t>
      </w:r>
      <w:r w:rsidR="00006D82" w:rsidRPr="003B44D7">
        <w:rPr>
          <w:rFonts w:asciiTheme="minorHAnsi" w:hAnsiTheme="minorHAnsi" w:cstheme="minorHAnsi"/>
          <w:sz w:val="24"/>
          <w:szCs w:val="24"/>
        </w:rPr>
        <w:t>e</w:t>
      </w:r>
      <w:r w:rsidRPr="003B44D7">
        <w:rPr>
          <w:rFonts w:asciiTheme="minorHAnsi" w:hAnsiTheme="minorHAnsi" w:cstheme="minorHAnsi"/>
          <w:sz w:val="24"/>
          <w:szCs w:val="24"/>
        </w:rPr>
        <w:t xml:space="preserve"> Censorship</w:t>
      </w:r>
      <w:r w:rsidR="00774F4F" w:rsidRPr="003B44D7">
        <w:rPr>
          <w:rFonts w:asciiTheme="minorHAnsi" w:hAnsiTheme="minorHAnsi" w:cstheme="minorHAnsi"/>
          <w:sz w:val="24"/>
          <w:szCs w:val="24"/>
        </w:rPr>
        <w:t>: ‘privatised process</w:t>
      </w:r>
      <w:r w:rsidR="006C24F2" w:rsidRPr="003B44D7">
        <w:rPr>
          <w:rFonts w:asciiTheme="minorHAnsi" w:hAnsiTheme="minorHAnsi" w:cstheme="minorHAnsi"/>
          <w:sz w:val="24"/>
          <w:szCs w:val="24"/>
        </w:rPr>
        <w:t>es</w:t>
      </w:r>
      <w:r w:rsidR="00774F4F" w:rsidRPr="003B44D7">
        <w:rPr>
          <w:rFonts w:asciiTheme="minorHAnsi" w:hAnsiTheme="minorHAnsi" w:cstheme="minorHAnsi"/>
          <w:sz w:val="24"/>
          <w:szCs w:val="24"/>
        </w:rPr>
        <w:t>’</w:t>
      </w:r>
      <w:bookmarkEnd w:id="4"/>
    </w:p>
    <w:p w14:paraId="336FDCFA" w14:textId="77777777" w:rsidR="000E499F" w:rsidRPr="003B44D7" w:rsidRDefault="000E499F" w:rsidP="004E7EB4">
      <w:pPr>
        <w:spacing w:after="0" w:line="240" w:lineRule="auto"/>
        <w:jc w:val="both"/>
        <w:rPr>
          <w:rFonts w:cstheme="minorHAnsi"/>
          <w:sz w:val="24"/>
          <w:szCs w:val="24"/>
        </w:rPr>
      </w:pPr>
    </w:p>
    <w:p w14:paraId="129D14FA" w14:textId="476A86A3" w:rsidR="00AE36A4" w:rsidRPr="003B44D7" w:rsidRDefault="00231E40" w:rsidP="004E7EB4">
      <w:pPr>
        <w:spacing w:after="0" w:line="240" w:lineRule="auto"/>
        <w:jc w:val="both"/>
        <w:rPr>
          <w:rFonts w:cstheme="minorHAnsi"/>
          <w:sz w:val="24"/>
          <w:szCs w:val="24"/>
        </w:rPr>
      </w:pPr>
      <w:r w:rsidRPr="003B44D7">
        <w:rPr>
          <w:rFonts w:cstheme="minorHAnsi"/>
          <w:sz w:val="24"/>
          <w:szCs w:val="24"/>
        </w:rPr>
        <w:t xml:space="preserve">The </w:t>
      </w:r>
      <w:r w:rsidR="00447BF6" w:rsidRPr="003B44D7">
        <w:rPr>
          <w:rFonts w:cstheme="minorHAnsi"/>
          <w:sz w:val="24"/>
          <w:szCs w:val="24"/>
        </w:rPr>
        <w:t>main</w:t>
      </w:r>
      <w:r w:rsidRPr="003B44D7">
        <w:rPr>
          <w:rFonts w:cstheme="minorHAnsi"/>
          <w:sz w:val="24"/>
          <w:szCs w:val="24"/>
        </w:rPr>
        <w:t xml:space="preserve"> objections</w:t>
      </w:r>
      <w:r w:rsidR="00901418" w:rsidRPr="003B44D7">
        <w:rPr>
          <w:rFonts w:cstheme="minorHAnsi"/>
          <w:sz w:val="24"/>
          <w:szCs w:val="24"/>
        </w:rPr>
        <w:t xml:space="preserve"> against </w:t>
      </w:r>
      <w:r w:rsidRPr="003B44D7">
        <w:rPr>
          <w:rFonts w:cstheme="minorHAnsi"/>
          <w:sz w:val="24"/>
          <w:szCs w:val="24"/>
        </w:rPr>
        <w:t>NetzDG</w:t>
      </w:r>
      <w:r w:rsidR="00891092" w:rsidRPr="003B44D7">
        <w:rPr>
          <w:rFonts w:cstheme="minorHAnsi"/>
          <w:sz w:val="24"/>
          <w:szCs w:val="24"/>
        </w:rPr>
        <w:t xml:space="preserve"> </w:t>
      </w:r>
      <w:r w:rsidR="00447BF6" w:rsidRPr="003B44D7">
        <w:rPr>
          <w:rFonts w:cstheme="minorHAnsi"/>
          <w:sz w:val="24"/>
          <w:szCs w:val="24"/>
        </w:rPr>
        <w:t xml:space="preserve">from a </w:t>
      </w:r>
      <w:r w:rsidR="00301846" w:rsidRPr="003B44D7">
        <w:rPr>
          <w:rFonts w:cstheme="minorHAnsi"/>
          <w:sz w:val="24"/>
          <w:szCs w:val="24"/>
        </w:rPr>
        <w:t xml:space="preserve">European </w:t>
      </w:r>
      <w:r w:rsidR="00AB0DE5" w:rsidRPr="003B44D7">
        <w:rPr>
          <w:rFonts w:cstheme="minorHAnsi"/>
          <w:sz w:val="24"/>
          <w:szCs w:val="24"/>
        </w:rPr>
        <w:t>perspective</w:t>
      </w:r>
      <w:r w:rsidR="00891092" w:rsidRPr="003B44D7">
        <w:rPr>
          <w:rFonts w:cstheme="minorHAnsi"/>
          <w:sz w:val="24"/>
          <w:szCs w:val="24"/>
        </w:rPr>
        <w:t xml:space="preserve"> </w:t>
      </w:r>
      <w:r w:rsidR="00AB0DE5" w:rsidRPr="003B44D7">
        <w:rPr>
          <w:rFonts w:cstheme="minorHAnsi"/>
          <w:sz w:val="24"/>
          <w:szCs w:val="24"/>
        </w:rPr>
        <w:t>are</w:t>
      </w:r>
      <w:r w:rsidR="00891092" w:rsidRPr="003B44D7">
        <w:rPr>
          <w:rFonts w:cstheme="minorHAnsi"/>
          <w:sz w:val="24"/>
          <w:szCs w:val="24"/>
        </w:rPr>
        <w:t xml:space="preserve">, </w:t>
      </w:r>
      <w:r w:rsidR="00891092" w:rsidRPr="003B44D7">
        <w:rPr>
          <w:rFonts w:cstheme="minorHAnsi"/>
          <w:i/>
          <w:iCs/>
          <w:sz w:val="24"/>
          <w:szCs w:val="24"/>
        </w:rPr>
        <w:t>first,</w:t>
      </w:r>
      <w:r w:rsidR="00AB0DE5" w:rsidRPr="003B44D7">
        <w:rPr>
          <w:rFonts w:cstheme="minorHAnsi"/>
          <w:sz w:val="24"/>
          <w:szCs w:val="24"/>
        </w:rPr>
        <w:t xml:space="preserve"> </w:t>
      </w:r>
      <w:r w:rsidR="00140C4B" w:rsidRPr="003B44D7">
        <w:rPr>
          <w:rFonts w:cstheme="minorHAnsi"/>
          <w:sz w:val="24"/>
          <w:szCs w:val="24"/>
        </w:rPr>
        <w:t>that is privatises law enforcement</w:t>
      </w:r>
      <w:r w:rsidR="00643827" w:rsidRPr="003B44D7">
        <w:rPr>
          <w:rFonts w:cstheme="minorHAnsi"/>
          <w:sz w:val="24"/>
          <w:szCs w:val="24"/>
        </w:rPr>
        <w:t xml:space="preserve">, </w:t>
      </w:r>
      <w:r w:rsidR="008C264D" w:rsidRPr="003B44D7">
        <w:rPr>
          <w:rFonts w:cstheme="minorHAnsi"/>
          <w:sz w:val="24"/>
          <w:szCs w:val="24"/>
        </w:rPr>
        <w:t>notably</w:t>
      </w:r>
      <w:r w:rsidR="00643827" w:rsidRPr="003B44D7">
        <w:rPr>
          <w:rFonts w:cstheme="minorHAnsi"/>
          <w:sz w:val="24"/>
          <w:szCs w:val="24"/>
        </w:rPr>
        <w:t xml:space="preserve"> the judicial function, </w:t>
      </w:r>
      <w:r w:rsidR="00FC44E4" w:rsidRPr="003B44D7">
        <w:rPr>
          <w:rFonts w:cstheme="minorHAnsi"/>
          <w:sz w:val="24"/>
          <w:szCs w:val="24"/>
        </w:rPr>
        <w:t>and</w:t>
      </w:r>
      <w:r w:rsidR="009C352A" w:rsidRPr="003B44D7">
        <w:rPr>
          <w:rFonts w:cstheme="minorHAnsi"/>
          <w:sz w:val="24"/>
          <w:szCs w:val="24"/>
        </w:rPr>
        <w:t xml:space="preserve"> so</w:t>
      </w:r>
      <w:r w:rsidR="00FC44E4" w:rsidRPr="003B44D7">
        <w:rPr>
          <w:rFonts w:cstheme="minorHAnsi"/>
          <w:sz w:val="24"/>
          <w:szCs w:val="24"/>
        </w:rPr>
        <w:t xml:space="preserve"> </w:t>
      </w:r>
      <w:r w:rsidR="00CF2D41" w:rsidRPr="003B44D7">
        <w:rPr>
          <w:rFonts w:cstheme="minorHAnsi"/>
          <w:sz w:val="24"/>
          <w:szCs w:val="24"/>
        </w:rPr>
        <w:t>the</w:t>
      </w:r>
      <w:r w:rsidR="00643827" w:rsidRPr="003B44D7">
        <w:rPr>
          <w:rFonts w:cstheme="minorHAnsi"/>
          <w:sz w:val="24"/>
          <w:szCs w:val="24"/>
        </w:rPr>
        <w:t xml:space="preserve"> State </w:t>
      </w:r>
      <w:r w:rsidR="00140C4B" w:rsidRPr="003B44D7">
        <w:rPr>
          <w:rFonts w:cstheme="minorHAnsi"/>
          <w:sz w:val="24"/>
          <w:szCs w:val="24"/>
        </w:rPr>
        <w:t xml:space="preserve">abdicates </w:t>
      </w:r>
      <w:r w:rsidR="00901418" w:rsidRPr="003B44D7">
        <w:rPr>
          <w:rFonts w:cstheme="minorHAnsi"/>
          <w:sz w:val="24"/>
          <w:szCs w:val="24"/>
        </w:rPr>
        <w:t xml:space="preserve">its </w:t>
      </w:r>
      <w:r w:rsidR="00140C4B" w:rsidRPr="003B44D7">
        <w:rPr>
          <w:rFonts w:cstheme="minorHAnsi"/>
          <w:sz w:val="24"/>
          <w:szCs w:val="24"/>
        </w:rPr>
        <w:t>responsibility</w:t>
      </w:r>
      <w:r w:rsidR="008B75BE" w:rsidRPr="003B44D7">
        <w:rPr>
          <w:rFonts w:cstheme="minorHAnsi"/>
          <w:sz w:val="24"/>
          <w:szCs w:val="24"/>
        </w:rPr>
        <w:t>,</w:t>
      </w:r>
      <w:r w:rsidR="00901418" w:rsidRPr="003B44D7">
        <w:rPr>
          <w:rFonts w:cstheme="minorHAnsi"/>
          <w:sz w:val="24"/>
          <w:szCs w:val="24"/>
        </w:rPr>
        <w:t xml:space="preserve"> </w:t>
      </w:r>
      <w:r w:rsidR="008B75BE" w:rsidRPr="003B44D7">
        <w:rPr>
          <w:rFonts w:cstheme="minorHAnsi"/>
          <w:sz w:val="24"/>
          <w:szCs w:val="24"/>
        </w:rPr>
        <w:t>and</w:t>
      </w:r>
      <w:r w:rsidR="00891092" w:rsidRPr="003B44D7">
        <w:rPr>
          <w:rFonts w:cstheme="minorHAnsi"/>
          <w:sz w:val="24"/>
          <w:szCs w:val="24"/>
        </w:rPr>
        <w:t xml:space="preserve">, </w:t>
      </w:r>
      <w:r w:rsidR="00891092" w:rsidRPr="003B44D7">
        <w:rPr>
          <w:rFonts w:cstheme="minorHAnsi"/>
          <w:i/>
          <w:iCs/>
          <w:sz w:val="24"/>
          <w:szCs w:val="24"/>
        </w:rPr>
        <w:t>second,</w:t>
      </w:r>
      <w:r w:rsidR="008B75BE" w:rsidRPr="003B44D7">
        <w:rPr>
          <w:rFonts w:cstheme="minorHAnsi"/>
          <w:sz w:val="24"/>
          <w:szCs w:val="24"/>
        </w:rPr>
        <w:t xml:space="preserve"> that the</w:t>
      </w:r>
      <w:r w:rsidR="00F4184A">
        <w:rPr>
          <w:rFonts w:cstheme="minorHAnsi"/>
          <w:sz w:val="24"/>
          <w:szCs w:val="24"/>
        </w:rPr>
        <w:t xml:space="preserve"> </w:t>
      </w:r>
      <w:r w:rsidR="008B75BE" w:rsidRPr="003B44D7">
        <w:rPr>
          <w:rFonts w:cstheme="minorHAnsi"/>
          <w:sz w:val="24"/>
          <w:szCs w:val="24"/>
        </w:rPr>
        <w:t xml:space="preserve">private actors </w:t>
      </w:r>
      <w:r w:rsidR="00F4184A">
        <w:rPr>
          <w:rFonts w:cstheme="minorHAnsi"/>
          <w:sz w:val="24"/>
          <w:szCs w:val="24"/>
        </w:rPr>
        <w:t xml:space="preserve">burdened with the law enforcement </w:t>
      </w:r>
      <w:r w:rsidR="008B75BE" w:rsidRPr="003B44D7">
        <w:rPr>
          <w:rFonts w:cstheme="minorHAnsi"/>
          <w:sz w:val="24"/>
          <w:szCs w:val="24"/>
        </w:rPr>
        <w:t xml:space="preserve">are </w:t>
      </w:r>
      <w:r w:rsidR="008C264D" w:rsidRPr="003B44D7">
        <w:rPr>
          <w:rFonts w:cstheme="minorHAnsi"/>
          <w:sz w:val="24"/>
          <w:szCs w:val="24"/>
        </w:rPr>
        <w:t xml:space="preserve">liable </w:t>
      </w:r>
      <w:r w:rsidR="008B75BE" w:rsidRPr="003B44D7">
        <w:rPr>
          <w:rFonts w:cstheme="minorHAnsi"/>
          <w:sz w:val="24"/>
          <w:szCs w:val="24"/>
        </w:rPr>
        <w:t xml:space="preserve">to </w:t>
      </w:r>
      <w:proofErr w:type="spellStart"/>
      <w:r w:rsidR="008B75BE" w:rsidRPr="003B44D7">
        <w:rPr>
          <w:rFonts w:cstheme="minorHAnsi"/>
          <w:sz w:val="24"/>
          <w:szCs w:val="24"/>
        </w:rPr>
        <w:t>overblock</w:t>
      </w:r>
      <w:proofErr w:type="spellEnd"/>
      <w:r w:rsidR="001A3B0F" w:rsidRPr="003B44D7">
        <w:rPr>
          <w:rFonts w:cstheme="minorHAnsi"/>
          <w:sz w:val="24"/>
          <w:szCs w:val="24"/>
        </w:rPr>
        <w:t xml:space="preserve"> to avoid </w:t>
      </w:r>
      <w:r w:rsidR="00C75665" w:rsidRPr="003B44D7">
        <w:rPr>
          <w:rFonts w:cstheme="minorHAnsi"/>
          <w:sz w:val="24"/>
          <w:szCs w:val="24"/>
        </w:rPr>
        <w:t xml:space="preserve">liability </w:t>
      </w:r>
      <w:r w:rsidR="00891092" w:rsidRPr="003B44D7">
        <w:rPr>
          <w:rFonts w:cstheme="minorHAnsi"/>
          <w:sz w:val="24"/>
          <w:szCs w:val="24"/>
        </w:rPr>
        <w:t>and thereby unduly interfere with freedom of expression.</w:t>
      </w:r>
      <w:r w:rsidR="008D7BD3" w:rsidRPr="003B44D7">
        <w:rPr>
          <w:rStyle w:val="FootnoteReference"/>
          <w:rFonts w:cstheme="minorHAnsi"/>
          <w:sz w:val="24"/>
          <w:szCs w:val="24"/>
        </w:rPr>
        <w:footnoteReference w:id="78"/>
      </w:r>
      <w:r w:rsidR="008D7BD3" w:rsidRPr="003B44D7">
        <w:rPr>
          <w:rFonts w:cstheme="minorHAnsi"/>
          <w:sz w:val="24"/>
          <w:szCs w:val="24"/>
        </w:rPr>
        <w:t xml:space="preserve"> </w:t>
      </w:r>
      <w:r w:rsidR="00891092" w:rsidRPr="003B44D7">
        <w:rPr>
          <w:rFonts w:cstheme="minorHAnsi"/>
          <w:sz w:val="24"/>
          <w:szCs w:val="24"/>
        </w:rPr>
        <w:t xml:space="preserve"> </w:t>
      </w:r>
      <w:r w:rsidR="00D332F4" w:rsidRPr="003B44D7">
        <w:rPr>
          <w:rFonts w:cstheme="minorHAnsi"/>
          <w:sz w:val="24"/>
          <w:szCs w:val="24"/>
        </w:rPr>
        <w:t xml:space="preserve">The </w:t>
      </w:r>
      <w:r w:rsidR="00A143FA" w:rsidRPr="003B44D7">
        <w:rPr>
          <w:rFonts w:cstheme="minorHAnsi"/>
          <w:sz w:val="24"/>
          <w:szCs w:val="24"/>
        </w:rPr>
        <w:t xml:space="preserve">latter </w:t>
      </w:r>
      <w:r w:rsidR="00D332F4" w:rsidRPr="003B44D7">
        <w:rPr>
          <w:rFonts w:cstheme="minorHAnsi"/>
          <w:sz w:val="24"/>
          <w:szCs w:val="24"/>
        </w:rPr>
        <w:t xml:space="preserve">objection </w:t>
      </w:r>
      <w:r w:rsidR="005179A6">
        <w:rPr>
          <w:rFonts w:cstheme="minorHAnsi"/>
          <w:sz w:val="24"/>
          <w:szCs w:val="24"/>
        </w:rPr>
        <w:t xml:space="preserve">tends to be treated as </w:t>
      </w:r>
      <w:r w:rsidR="00D332F4" w:rsidRPr="003B44D7">
        <w:rPr>
          <w:rFonts w:cstheme="minorHAnsi"/>
          <w:sz w:val="24"/>
          <w:szCs w:val="24"/>
        </w:rPr>
        <w:t>a</w:t>
      </w:r>
      <w:r w:rsidR="00C76237" w:rsidRPr="003B44D7">
        <w:rPr>
          <w:rFonts w:cstheme="minorHAnsi"/>
          <w:sz w:val="24"/>
          <w:szCs w:val="24"/>
        </w:rPr>
        <w:t xml:space="preserve"> practical </w:t>
      </w:r>
      <w:r w:rsidR="00D332F4" w:rsidRPr="003B44D7">
        <w:rPr>
          <w:rFonts w:cstheme="minorHAnsi"/>
          <w:sz w:val="24"/>
          <w:szCs w:val="24"/>
        </w:rPr>
        <w:t>instantiation of the f</w:t>
      </w:r>
      <w:r w:rsidR="00A143FA" w:rsidRPr="003B44D7">
        <w:rPr>
          <w:rFonts w:cstheme="minorHAnsi"/>
          <w:sz w:val="24"/>
          <w:szCs w:val="24"/>
        </w:rPr>
        <w:t>ormer</w:t>
      </w:r>
      <w:r w:rsidR="00983A93" w:rsidRPr="003B44D7">
        <w:rPr>
          <w:rFonts w:cstheme="minorHAnsi"/>
          <w:sz w:val="24"/>
          <w:szCs w:val="24"/>
        </w:rPr>
        <w:t xml:space="preserve">: </w:t>
      </w:r>
      <w:r w:rsidR="00CC4FBE" w:rsidRPr="003B44D7">
        <w:rPr>
          <w:rFonts w:cstheme="minorHAnsi"/>
          <w:sz w:val="24"/>
          <w:szCs w:val="24"/>
        </w:rPr>
        <w:t xml:space="preserve">unaccountable </w:t>
      </w:r>
      <w:r w:rsidR="00D332F4" w:rsidRPr="003B44D7">
        <w:rPr>
          <w:rFonts w:cstheme="minorHAnsi"/>
          <w:sz w:val="24"/>
          <w:szCs w:val="24"/>
        </w:rPr>
        <w:t>private</w:t>
      </w:r>
      <w:r w:rsidR="00CC4FBE" w:rsidRPr="003B44D7">
        <w:rPr>
          <w:rFonts w:cstheme="minorHAnsi"/>
          <w:sz w:val="24"/>
          <w:szCs w:val="24"/>
        </w:rPr>
        <w:t xml:space="preserve"> </w:t>
      </w:r>
      <w:r w:rsidR="00D332F4" w:rsidRPr="003B44D7">
        <w:rPr>
          <w:rFonts w:cstheme="minorHAnsi"/>
          <w:sz w:val="24"/>
          <w:szCs w:val="24"/>
        </w:rPr>
        <w:t>actors can</w:t>
      </w:r>
      <w:r w:rsidR="00E7321E" w:rsidRPr="003B44D7">
        <w:rPr>
          <w:rFonts w:cstheme="minorHAnsi"/>
          <w:sz w:val="24"/>
          <w:szCs w:val="24"/>
        </w:rPr>
        <w:t xml:space="preserve">not </w:t>
      </w:r>
      <w:r w:rsidR="00D332F4" w:rsidRPr="003B44D7">
        <w:rPr>
          <w:rFonts w:cstheme="minorHAnsi"/>
          <w:sz w:val="24"/>
          <w:szCs w:val="24"/>
        </w:rPr>
        <w:t>be trusted</w:t>
      </w:r>
      <w:r w:rsidR="008C264D" w:rsidRPr="003B44D7">
        <w:rPr>
          <w:rFonts w:cstheme="minorHAnsi"/>
          <w:sz w:val="24"/>
          <w:szCs w:val="24"/>
        </w:rPr>
        <w:t xml:space="preserve"> </w:t>
      </w:r>
      <w:r w:rsidR="00D332F4" w:rsidRPr="003B44D7">
        <w:rPr>
          <w:rFonts w:cstheme="minorHAnsi"/>
          <w:sz w:val="24"/>
          <w:szCs w:val="24"/>
        </w:rPr>
        <w:t xml:space="preserve">to </w:t>
      </w:r>
      <w:r w:rsidR="00A143FA" w:rsidRPr="003B44D7">
        <w:rPr>
          <w:rFonts w:cstheme="minorHAnsi"/>
          <w:sz w:val="24"/>
          <w:szCs w:val="24"/>
        </w:rPr>
        <w:t xml:space="preserve">apply </w:t>
      </w:r>
      <w:r w:rsidR="00D332F4" w:rsidRPr="003B44D7">
        <w:rPr>
          <w:rFonts w:cstheme="minorHAnsi"/>
          <w:sz w:val="24"/>
          <w:szCs w:val="24"/>
        </w:rPr>
        <w:t xml:space="preserve">the </w:t>
      </w:r>
      <w:r w:rsidR="00E7321E" w:rsidRPr="003B44D7">
        <w:rPr>
          <w:rFonts w:cstheme="minorHAnsi"/>
          <w:sz w:val="24"/>
          <w:szCs w:val="24"/>
        </w:rPr>
        <w:t>law</w:t>
      </w:r>
      <w:r w:rsidR="000D585F" w:rsidRPr="003B44D7">
        <w:rPr>
          <w:rFonts w:cstheme="minorHAnsi"/>
          <w:sz w:val="24"/>
          <w:szCs w:val="24"/>
        </w:rPr>
        <w:t xml:space="preserve"> neutrally and objectively</w:t>
      </w:r>
      <w:r w:rsidR="00E7321E" w:rsidRPr="003B44D7">
        <w:rPr>
          <w:rFonts w:cstheme="minorHAnsi"/>
          <w:sz w:val="24"/>
          <w:szCs w:val="24"/>
        </w:rPr>
        <w:t xml:space="preserve"> </w:t>
      </w:r>
      <w:r w:rsidR="000D585F" w:rsidRPr="003B44D7">
        <w:rPr>
          <w:rFonts w:cstheme="minorHAnsi"/>
          <w:sz w:val="24"/>
          <w:szCs w:val="24"/>
        </w:rPr>
        <w:t xml:space="preserve">in disregard of their own </w:t>
      </w:r>
      <w:r w:rsidR="00D332F4" w:rsidRPr="003B44D7">
        <w:rPr>
          <w:rFonts w:cstheme="minorHAnsi"/>
          <w:sz w:val="24"/>
          <w:szCs w:val="24"/>
        </w:rPr>
        <w:t>interest</w:t>
      </w:r>
      <w:r w:rsidR="000D585F" w:rsidRPr="003B44D7">
        <w:rPr>
          <w:rFonts w:cstheme="minorHAnsi"/>
          <w:sz w:val="24"/>
          <w:szCs w:val="24"/>
        </w:rPr>
        <w:t xml:space="preserve">. </w:t>
      </w:r>
      <w:r w:rsidR="00E7321E" w:rsidRPr="003B44D7">
        <w:rPr>
          <w:rFonts w:cstheme="minorHAnsi"/>
          <w:sz w:val="24"/>
          <w:szCs w:val="24"/>
        </w:rPr>
        <w:t>Th</w:t>
      </w:r>
      <w:r w:rsidR="00C76237" w:rsidRPr="003B44D7">
        <w:rPr>
          <w:rFonts w:cstheme="minorHAnsi"/>
          <w:sz w:val="24"/>
          <w:szCs w:val="24"/>
        </w:rPr>
        <w:t>e overblocking</w:t>
      </w:r>
      <w:r w:rsidR="00E7321E" w:rsidRPr="003B44D7">
        <w:rPr>
          <w:rFonts w:cstheme="minorHAnsi"/>
          <w:sz w:val="24"/>
          <w:szCs w:val="24"/>
        </w:rPr>
        <w:t xml:space="preserve"> objection is a familiar one from earlier notice-and-takedown </w:t>
      </w:r>
      <w:r w:rsidR="007D6199" w:rsidRPr="003B44D7">
        <w:rPr>
          <w:rFonts w:cstheme="minorHAnsi"/>
          <w:sz w:val="24"/>
          <w:szCs w:val="24"/>
        </w:rPr>
        <w:t xml:space="preserve">regimes </w:t>
      </w:r>
      <w:r w:rsidR="00E7321E" w:rsidRPr="003B44D7">
        <w:rPr>
          <w:rFonts w:cstheme="minorHAnsi"/>
          <w:sz w:val="24"/>
          <w:szCs w:val="24"/>
        </w:rPr>
        <w:t>and</w:t>
      </w:r>
      <w:r w:rsidR="00891092" w:rsidRPr="003B44D7">
        <w:rPr>
          <w:rFonts w:cstheme="minorHAnsi"/>
          <w:sz w:val="24"/>
          <w:szCs w:val="24"/>
        </w:rPr>
        <w:t xml:space="preserve"> </w:t>
      </w:r>
      <w:r w:rsidR="00901418" w:rsidRPr="003B44D7">
        <w:rPr>
          <w:rFonts w:cstheme="minorHAnsi"/>
          <w:sz w:val="24"/>
          <w:szCs w:val="24"/>
        </w:rPr>
        <w:t xml:space="preserve">based on the idea that </w:t>
      </w:r>
      <w:r w:rsidR="00E7321E" w:rsidRPr="003B44D7">
        <w:rPr>
          <w:rFonts w:cstheme="minorHAnsi"/>
          <w:sz w:val="24"/>
          <w:szCs w:val="24"/>
        </w:rPr>
        <w:t xml:space="preserve">a </w:t>
      </w:r>
      <w:r w:rsidR="00891092" w:rsidRPr="003B44D7">
        <w:rPr>
          <w:rFonts w:cstheme="minorHAnsi"/>
          <w:sz w:val="24"/>
          <w:szCs w:val="24"/>
        </w:rPr>
        <w:t xml:space="preserve">law </w:t>
      </w:r>
      <w:r w:rsidR="00E7321E" w:rsidRPr="003B44D7">
        <w:rPr>
          <w:rFonts w:cstheme="minorHAnsi"/>
          <w:sz w:val="24"/>
          <w:szCs w:val="24"/>
        </w:rPr>
        <w:t>with review obligations</w:t>
      </w:r>
      <w:r w:rsidR="00F60543" w:rsidRPr="003B44D7">
        <w:rPr>
          <w:rFonts w:cstheme="minorHAnsi"/>
          <w:sz w:val="24"/>
          <w:szCs w:val="24"/>
        </w:rPr>
        <w:t xml:space="preserve"> on private actors</w:t>
      </w:r>
      <w:r w:rsidR="000B4D78">
        <w:rPr>
          <w:rFonts w:cstheme="minorHAnsi"/>
          <w:sz w:val="24"/>
          <w:szCs w:val="24"/>
        </w:rPr>
        <w:t xml:space="preserve"> backed with penalties</w:t>
      </w:r>
      <w:r w:rsidR="009133C0" w:rsidRPr="003B44D7">
        <w:rPr>
          <w:rFonts w:cstheme="minorHAnsi"/>
          <w:sz w:val="24"/>
          <w:szCs w:val="24"/>
        </w:rPr>
        <w:t xml:space="preserve"> creates incentive structures for</w:t>
      </w:r>
      <w:r w:rsidR="00E7321E" w:rsidRPr="003B44D7">
        <w:rPr>
          <w:rFonts w:cstheme="minorHAnsi"/>
          <w:sz w:val="24"/>
          <w:szCs w:val="24"/>
        </w:rPr>
        <w:t xml:space="preserve"> </w:t>
      </w:r>
      <w:r w:rsidR="009133C0" w:rsidRPr="003B44D7">
        <w:rPr>
          <w:rFonts w:cstheme="minorHAnsi"/>
          <w:sz w:val="24"/>
          <w:szCs w:val="24"/>
        </w:rPr>
        <w:t>private</w:t>
      </w:r>
      <w:r w:rsidR="00901418" w:rsidRPr="003B44D7">
        <w:rPr>
          <w:rFonts w:cstheme="minorHAnsi"/>
          <w:sz w:val="24"/>
          <w:szCs w:val="24"/>
        </w:rPr>
        <w:t xml:space="preserve"> </w:t>
      </w:r>
      <w:r w:rsidR="009133C0" w:rsidRPr="003B44D7">
        <w:rPr>
          <w:rFonts w:cstheme="minorHAnsi"/>
          <w:sz w:val="24"/>
          <w:szCs w:val="24"/>
        </w:rPr>
        <w:t xml:space="preserve">actors </w:t>
      </w:r>
      <w:r w:rsidR="00901418" w:rsidRPr="003B44D7">
        <w:rPr>
          <w:rFonts w:cstheme="minorHAnsi"/>
          <w:sz w:val="24"/>
          <w:szCs w:val="24"/>
        </w:rPr>
        <w:t>to err on the side of caution in taking down content</w:t>
      </w:r>
      <w:r w:rsidR="00280435" w:rsidRPr="003B44D7">
        <w:rPr>
          <w:rFonts w:cstheme="minorHAnsi"/>
          <w:sz w:val="24"/>
          <w:szCs w:val="24"/>
        </w:rPr>
        <w:t xml:space="preserve"> in order to avoid liability or fines</w:t>
      </w:r>
      <w:r w:rsidR="00891092" w:rsidRPr="003B44D7">
        <w:rPr>
          <w:rFonts w:cstheme="minorHAnsi"/>
          <w:sz w:val="24"/>
          <w:szCs w:val="24"/>
        </w:rPr>
        <w:t xml:space="preserve">, </w:t>
      </w:r>
      <w:r w:rsidR="009133C0" w:rsidRPr="003B44D7">
        <w:rPr>
          <w:rFonts w:cstheme="minorHAnsi"/>
          <w:sz w:val="24"/>
          <w:szCs w:val="24"/>
        </w:rPr>
        <w:t xml:space="preserve">and </w:t>
      </w:r>
      <w:r w:rsidR="00AE7C71" w:rsidRPr="003B44D7">
        <w:rPr>
          <w:rFonts w:cstheme="minorHAnsi"/>
          <w:sz w:val="24"/>
          <w:szCs w:val="24"/>
        </w:rPr>
        <w:t>especiall</w:t>
      </w:r>
      <w:r w:rsidR="00FE4AC2" w:rsidRPr="003B44D7">
        <w:rPr>
          <w:rFonts w:cstheme="minorHAnsi"/>
          <w:sz w:val="24"/>
          <w:szCs w:val="24"/>
        </w:rPr>
        <w:t>y</w:t>
      </w:r>
      <w:r w:rsidR="009133C0" w:rsidRPr="003B44D7">
        <w:rPr>
          <w:rFonts w:cstheme="minorHAnsi"/>
          <w:sz w:val="24"/>
          <w:szCs w:val="24"/>
        </w:rPr>
        <w:t xml:space="preserve"> so</w:t>
      </w:r>
      <w:r w:rsidR="00891092" w:rsidRPr="003B44D7">
        <w:rPr>
          <w:rFonts w:cstheme="minorHAnsi"/>
          <w:sz w:val="24"/>
          <w:szCs w:val="24"/>
        </w:rPr>
        <w:t xml:space="preserve"> when</w:t>
      </w:r>
      <w:r w:rsidR="00FE4AC2" w:rsidRPr="003B44D7">
        <w:rPr>
          <w:rFonts w:cstheme="minorHAnsi"/>
          <w:sz w:val="24"/>
          <w:szCs w:val="24"/>
        </w:rPr>
        <w:t xml:space="preserve"> under time </w:t>
      </w:r>
      <w:r w:rsidR="00AB0DE5" w:rsidRPr="003B44D7">
        <w:rPr>
          <w:rFonts w:cstheme="minorHAnsi"/>
          <w:sz w:val="24"/>
          <w:szCs w:val="24"/>
        </w:rPr>
        <w:t>pressure</w:t>
      </w:r>
      <w:r w:rsidR="00BE2A18" w:rsidRPr="003B44D7">
        <w:rPr>
          <w:rFonts w:cstheme="minorHAnsi"/>
          <w:sz w:val="24"/>
          <w:szCs w:val="24"/>
        </w:rPr>
        <w:t>.</w:t>
      </w:r>
      <w:r w:rsidR="007D4FF9" w:rsidRPr="003B44D7">
        <w:rPr>
          <w:rStyle w:val="FootnoteReference"/>
          <w:rFonts w:cstheme="minorHAnsi"/>
          <w:sz w:val="24"/>
          <w:szCs w:val="24"/>
        </w:rPr>
        <w:footnoteReference w:id="79"/>
      </w:r>
      <w:r w:rsidR="00BE2A18" w:rsidRPr="003B44D7">
        <w:rPr>
          <w:rFonts w:cstheme="minorHAnsi"/>
          <w:sz w:val="24"/>
          <w:szCs w:val="24"/>
        </w:rPr>
        <w:t xml:space="preserve"> </w:t>
      </w:r>
      <w:r w:rsidR="00DF6271" w:rsidRPr="003B44D7">
        <w:rPr>
          <w:rFonts w:cstheme="minorHAnsi"/>
          <w:sz w:val="24"/>
          <w:szCs w:val="24"/>
        </w:rPr>
        <w:t>S</w:t>
      </w:r>
      <w:r w:rsidR="00BE2A18" w:rsidRPr="003B44D7">
        <w:rPr>
          <w:rFonts w:cstheme="minorHAnsi"/>
          <w:sz w:val="24"/>
          <w:szCs w:val="24"/>
        </w:rPr>
        <w:t xml:space="preserve">uch law is </w:t>
      </w:r>
      <w:r w:rsidR="008C264D" w:rsidRPr="003B44D7">
        <w:rPr>
          <w:rFonts w:cstheme="minorHAnsi"/>
          <w:sz w:val="24"/>
          <w:szCs w:val="24"/>
        </w:rPr>
        <w:t>bound</w:t>
      </w:r>
      <w:r w:rsidR="00BE2A18" w:rsidRPr="003B44D7">
        <w:rPr>
          <w:rFonts w:cstheme="minorHAnsi"/>
          <w:sz w:val="24"/>
          <w:szCs w:val="24"/>
        </w:rPr>
        <w:t xml:space="preserve"> to lead to the </w:t>
      </w:r>
      <w:r w:rsidR="00C76237" w:rsidRPr="003B44D7">
        <w:rPr>
          <w:rFonts w:cstheme="minorHAnsi"/>
          <w:sz w:val="24"/>
          <w:szCs w:val="24"/>
        </w:rPr>
        <w:t>suppress</w:t>
      </w:r>
      <w:r w:rsidR="00BE2A18" w:rsidRPr="003B44D7">
        <w:rPr>
          <w:rFonts w:cstheme="minorHAnsi"/>
          <w:sz w:val="24"/>
          <w:szCs w:val="24"/>
        </w:rPr>
        <w:t>ion of</w:t>
      </w:r>
      <w:r w:rsidR="00C76237" w:rsidRPr="003B44D7">
        <w:rPr>
          <w:rFonts w:cstheme="minorHAnsi"/>
          <w:sz w:val="24"/>
          <w:szCs w:val="24"/>
        </w:rPr>
        <w:t xml:space="preserve"> </w:t>
      </w:r>
      <w:r w:rsidR="00A143FA" w:rsidRPr="003B44D7">
        <w:rPr>
          <w:rFonts w:cstheme="minorHAnsi"/>
          <w:sz w:val="24"/>
          <w:szCs w:val="24"/>
        </w:rPr>
        <w:t>legal</w:t>
      </w:r>
      <w:r w:rsidR="007D6199" w:rsidRPr="003B44D7">
        <w:rPr>
          <w:rFonts w:cstheme="minorHAnsi"/>
          <w:sz w:val="24"/>
          <w:szCs w:val="24"/>
        </w:rPr>
        <w:t>ly permissible</w:t>
      </w:r>
      <w:r w:rsidR="00A143FA" w:rsidRPr="003B44D7">
        <w:rPr>
          <w:rFonts w:cstheme="minorHAnsi"/>
          <w:sz w:val="24"/>
          <w:szCs w:val="24"/>
        </w:rPr>
        <w:t xml:space="preserve"> </w:t>
      </w:r>
      <w:r w:rsidR="009A0CA9" w:rsidRPr="003B44D7">
        <w:rPr>
          <w:rFonts w:cstheme="minorHAnsi"/>
          <w:sz w:val="24"/>
          <w:szCs w:val="24"/>
        </w:rPr>
        <w:t>communications</w:t>
      </w:r>
      <w:r w:rsidR="005873F6">
        <w:rPr>
          <w:rFonts w:cstheme="minorHAnsi"/>
          <w:sz w:val="24"/>
          <w:szCs w:val="24"/>
        </w:rPr>
        <w:t>.</w:t>
      </w:r>
      <w:r w:rsidR="009C352A" w:rsidRPr="003B44D7">
        <w:rPr>
          <w:rStyle w:val="FootnoteReference"/>
          <w:rFonts w:cstheme="minorHAnsi"/>
          <w:sz w:val="24"/>
          <w:szCs w:val="24"/>
        </w:rPr>
        <w:footnoteReference w:id="80"/>
      </w:r>
      <w:r w:rsidR="007D6199" w:rsidRPr="003B44D7">
        <w:rPr>
          <w:rFonts w:cstheme="minorHAnsi"/>
          <w:sz w:val="24"/>
          <w:szCs w:val="24"/>
        </w:rPr>
        <w:t xml:space="preserve"> </w:t>
      </w:r>
      <w:r w:rsidR="005873F6">
        <w:rPr>
          <w:rFonts w:cstheme="minorHAnsi"/>
          <w:sz w:val="24"/>
          <w:szCs w:val="24"/>
        </w:rPr>
        <w:t>Thus</w:t>
      </w:r>
      <w:r w:rsidR="008C264D" w:rsidRPr="003B44D7">
        <w:rPr>
          <w:rFonts w:cstheme="minorHAnsi"/>
          <w:sz w:val="24"/>
          <w:szCs w:val="24"/>
        </w:rPr>
        <w:t xml:space="preserve"> the effort to protect </w:t>
      </w:r>
      <w:r w:rsidR="000B4D78">
        <w:rPr>
          <w:rFonts w:cstheme="minorHAnsi"/>
          <w:sz w:val="24"/>
          <w:szCs w:val="24"/>
        </w:rPr>
        <w:t xml:space="preserve">the </w:t>
      </w:r>
      <w:r w:rsidR="008C264D" w:rsidRPr="003B44D7">
        <w:rPr>
          <w:rFonts w:cstheme="minorHAnsi"/>
          <w:sz w:val="24"/>
          <w:szCs w:val="24"/>
        </w:rPr>
        <w:t xml:space="preserve">dignity of vulnerable members of society </w:t>
      </w:r>
      <w:r w:rsidR="009C352A" w:rsidRPr="003B44D7">
        <w:rPr>
          <w:rFonts w:cstheme="minorHAnsi"/>
          <w:sz w:val="24"/>
          <w:szCs w:val="24"/>
        </w:rPr>
        <w:t>has the effect of</w:t>
      </w:r>
      <w:r w:rsidR="009133C0" w:rsidRPr="003B44D7">
        <w:rPr>
          <w:rFonts w:cstheme="minorHAnsi"/>
          <w:sz w:val="24"/>
          <w:szCs w:val="24"/>
        </w:rPr>
        <w:t xml:space="preserve"> </w:t>
      </w:r>
      <w:r w:rsidR="008C264D" w:rsidRPr="003B44D7">
        <w:rPr>
          <w:rFonts w:cstheme="minorHAnsi"/>
          <w:sz w:val="24"/>
          <w:szCs w:val="24"/>
        </w:rPr>
        <w:t>violating the</w:t>
      </w:r>
      <w:r w:rsidR="00643A4A" w:rsidRPr="003B44D7">
        <w:rPr>
          <w:rFonts w:cstheme="minorHAnsi"/>
          <w:sz w:val="24"/>
          <w:szCs w:val="24"/>
        </w:rPr>
        <w:t xml:space="preserve"> speech</w:t>
      </w:r>
      <w:r w:rsidR="008C264D" w:rsidRPr="003B44D7">
        <w:rPr>
          <w:rFonts w:cstheme="minorHAnsi"/>
          <w:sz w:val="24"/>
          <w:szCs w:val="24"/>
        </w:rPr>
        <w:t xml:space="preserve"> rights of others.</w:t>
      </w:r>
      <w:r w:rsidR="00A143FA" w:rsidRPr="003B44D7">
        <w:rPr>
          <w:rFonts w:cstheme="minorHAnsi"/>
          <w:sz w:val="24"/>
          <w:szCs w:val="24"/>
        </w:rPr>
        <w:t xml:space="preserve"> </w:t>
      </w:r>
      <w:r w:rsidR="009C352A" w:rsidRPr="003B44D7">
        <w:rPr>
          <w:rFonts w:cstheme="minorHAnsi"/>
          <w:sz w:val="24"/>
          <w:szCs w:val="24"/>
        </w:rPr>
        <w:t>The</w:t>
      </w:r>
      <w:r w:rsidR="00C76237" w:rsidRPr="003B44D7">
        <w:rPr>
          <w:rFonts w:cstheme="minorHAnsi"/>
          <w:sz w:val="24"/>
          <w:szCs w:val="24"/>
        </w:rPr>
        <w:t xml:space="preserve"> concern</w:t>
      </w:r>
      <w:r w:rsidR="00E7321E" w:rsidRPr="003B44D7">
        <w:rPr>
          <w:rFonts w:cstheme="minorHAnsi"/>
          <w:sz w:val="24"/>
          <w:szCs w:val="24"/>
        </w:rPr>
        <w:t xml:space="preserve"> </w:t>
      </w:r>
      <w:r w:rsidR="00643A4A" w:rsidRPr="003B44D7">
        <w:rPr>
          <w:rFonts w:cstheme="minorHAnsi"/>
          <w:sz w:val="24"/>
          <w:szCs w:val="24"/>
        </w:rPr>
        <w:t>is</w:t>
      </w:r>
      <w:r w:rsidR="00AE36A4" w:rsidRPr="003B44D7">
        <w:rPr>
          <w:rFonts w:cstheme="minorHAnsi"/>
          <w:sz w:val="24"/>
          <w:szCs w:val="24"/>
        </w:rPr>
        <w:t xml:space="preserve"> in </w:t>
      </w:r>
      <w:r w:rsidR="00DB01D5" w:rsidRPr="003B44D7">
        <w:rPr>
          <w:rFonts w:cstheme="minorHAnsi"/>
          <w:sz w:val="24"/>
          <w:szCs w:val="24"/>
        </w:rPr>
        <w:t>principle</w:t>
      </w:r>
      <w:r w:rsidR="00643A4A" w:rsidRPr="003B44D7">
        <w:rPr>
          <w:rFonts w:cstheme="minorHAnsi"/>
          <w:sz w:val="24"/>
          <w:szCs w:val="24"/>
        </w:rPr>
        <w:t xml:space="preserve"> legitimate but appear</w:t>
      </w:r>
      <w:r w:rsidR="00AE36A4" w:rsidRPr="003B44D7">
        <w:rPr>
          <w:rFonts w:cstheme="minorHAnsi"/>
          <w:sz w:val="24"/>
          <w:szCs w:val="24"/>
        </w:rPr>
        <w:t>s</w:t>
      </w:r>
      <w:r w:rsidR="00E7321E" w:rsidRPr="003B44D7">
        <w:rPr>
          <w:rFonts w:cstheme="minorHAnsi"/>
          <w:sz w:val="24"/>
          <w:szCs w:val="24"/>
        </w:rPr>
        <w:t xml:space="preserve"> not</w:t>
      </w:r>
      <w:r w:rsidR="00643A4A" w:rsidRPr="003B44D7">
        <w:rPr>
          <w:rFonts w:cstheme="minorHAnsi"/>
          <w:sz w:val="24"/>
          <w:szCs w:val="24"/>
        </w:rPr>
        <w:t xml:space="preserve"> to have</w:t>
      </w:r>
      <w:r w:rsidR="00C76237" w:rsidRPr="003B44D7">
        <w:rPr>
          <w:rFonts w:cstheme="minorHAnsi"/>
          <w:sz w:val="24"/>
          <w:szCs w:val="24"/>
        </w:rPr>
        <w:t xml:space="preserve"> materialised</w:t>
      </w:r>
      <w:r w:rsidR="00F60543" w:rsidRPr="003B44D7">
        <w:rPr>
          <w:rFonts w:cstheme="minorHAnsi"/>
          <w:sz w:val="24"/>
          <w:szCs w:val="24"/>
        </w:rPr>
        <w:t xml:space="preserve"> </w:t>
      </w:r>
      <w:r w:rsidR="008C264D" w:rsidRPr="003B44D7">
        <w:rPr>
          <w:rFonts w:cstheme="minorHAnsi"/>
          <w:sz w:val="24"/>
          <w:szCs w:val="24"/>
        </w:rPr>
        <w:t xml:space="preserve">in respect of </w:t>
      </w:r>
      <w:r w:rsidR="00643A4A" w:rsidRPr="003B44D7">
        <w:rPr>
          <w:rFonts w:cstheme="minorHAnsi"/>
          <w:sz w:val="24"/>
          <w:szCs w:val="24"/>
        </w:rPr>
        <w:t xml:space="preserve">other </w:t>
      </w:r>
      <w:r w:rsidR="008C264D" w:rsidRPr="003B44D7">
        <w:rPr>
          <w:rFonts w:cstheme="minorHAnsi"/>
          <w:sz w:val="24"/>
          <w:szCs w:val="24"/>
        </w:rPr>
        <w:t>notice</w:t>
      </w:r>
      <w:r w:rsidR="007D6199" w:rsidRPr="003B44D7">
        <w:rPr>
          <w:rFonts w:cstheme="minorHAnsi"/>
          <w:sz w:val="24"/>
          <w:szCs w:val="24"/>
        </w:rPr>
        <w:t>-and-</w:t>
      </w:r>
      <w:r w:rsidR="008C264D" w:rsidRPr="003B44D7">
        <w:rPr>
          <w:rFonts w:cstheme="minorHAnsi"/>
          <w:sz w:val="24"/>
          <w:szCs w:val="24"/>
        </w:rPr>
        <w:t>takedown regimes</w:t>
      </w:r>
      <w:r w:rsidR="00E7321E" w:rsidRPr="003B44D7">
        <w:rPr>
          <w:rFonts w:cstheme="minorHAnsi"/>
          <w:sz w:val="24"/>
          <w:szCs w:val="24"/>
        </w:rPr>
        <w:t xml:space="preserve"> </w:t>
      </w:r>
      <w:r w:rsidR="009A0CA9" w:rsidRPr="003B44D7">
        <w:rPr>
          <w:rFonts w:cstheme="minorHAnsi"/>
          <w:sz w:val="24"/>
          <w:szCs w:val="24"/>
        </w:rPr>
        <w:t>as</w:t>
      </w:r>
      <w:r w:rsidR="00E7321E" w:rsidRPr="003B44D7">
        <w:rPr>
          <w:rFonts w:cstheme="minorHAnsi"/>
          <w:sz w:val="24"/>
          <w:szCs w:val="24"/>
        </w:rPr>
        <w:t xml:space="preserve"> </w:t>
      </w:r>
      <w:r w:rsidR="00F60543" w:rsidRPr="003B44D7">
        <w:rPr>
          <w:rFonts w:cstheme="minorHAnsi"/>
          <w:sz w:val="24"/>
          <w:szCs w:val="24"/>
        </w:rPr>
        <w:t xml:space="preserve">intermediaries </w:t>
      </w:r>
      <w:r w:rsidR="00E7321E" w:rsidRPr="003B44D7">
        <w:rPr>
          <w:rFonts w:cstheme="minorHAnsi"/>
          <w:sz w:val="24"/>
          <w:szCs w:val="24"/>
        </w:rPr>
        <w:t>have</w:t>
      </w:r>
      <w:r w:rsidR="00DF6271" w:rsidRPr="003B44D7">
        <w:rPr>
          <w:rFonts w:cstheme="minorHAnsi"/>
          <w:sz w:val="24"/>
          <w:szCs w:val="24"/>
        </w:rPr>
        <w:t xml:space="preserve"> </w:t>
      </w:r>
      <w:r w:rsidR="00C76237" w:rsidRPr="003B44D7">
        <w:rPr>
          <w:rFonts w:cstheme="minorHAnsi"/>
          <w:sz w:val="24"/>
          <w:szCs w:val="24"/>
        </w:rPr>
        <w:t>strong countervailing interests in</w:t>
      </w:r>
      <w:r w:rsidR="00E7321E" w:rsidRPr="003B44D7">
        <w:rPr>
          <w:rFonts w:cstheme="minorHAnsi"/>
          <w:sz w:val="24"/>
          <w:szCs w:val="24"/>
        </w:rPr>
        <w:t xml:space="preserve"> </w:t>
      </w:r>
      <w:r w:rsidR="009A0CA9" w:rsidRPr="003B44D7">
        <w:rPr>
          <w:rFonts w:cstheme="minorHAnsi"/>
          <w:sz w:val="24"/>
          <w:szCs w:val="24"/>
        </w:rPr>
        <w:t>allowing</w:t>
      </w:r>
      <w:r w:rsidR="00E7321E" w:rsidRPr="003B44D7">
        <w:rPr>
          <w:rFonts w:cstheme="minorHAnsi"/>
          <w:sz w:val="24"/>
          <w:szCs w:val="24"/>
        </w:rPr>
        <w:t xml:space="preserve"> user content</w:t>
      </w:r>
      <w:r w:rsidR="00AE36A4" w:rsidRPr="003B44D7">
        <w:rPr>
          <w:rFonts w:cstheme="minorHAnsi"/>
          <w:sz w:val="24"/>
          <w:szCs w:val="24"/>
        </w:rPr>
        <w:t>.</w:t>
      </w:r>
      <w:r w:rsidR="009A0CA9" w:rsidRPr="003B44D7">
        <w:rPr>
          <w:rStyle w:val="FootnoteReference"/>
          <w:rFonts w:cstheme="minorHAnsi"/>
          <w:sz w:val="24"/>
          <w:szCs w:val="24"/>
        </w:rPr>
        <w:footnoteReference w:id="81"/>
      </w:r>
      <w:r w:rsidR="00E7321E" w:rsidRPr="003B44D7">
        <w:rPr>
          <w:rFonts w:cstheme="minorHAnsi"/>
          <w:sz w:val="24"/>
          <w:szCs w:val="24"/>
        </w:rPr>
        <w:t xml:space="preserve"> </w:t>
      </w:r>
      <w:r w:rsidR="00AE36A4" w:rsidRPr="003B44D7">
        <w:rPr>
          <w:rFonts w:cstheme="minorHAnsi"/>
          <w:sz w:val="24"/>
          <w:szCs w:val="24"/>
        </w:rPr>
        <w:t xml:space="preserve">It </w:t>
      </w:r>
      <w:r w:rsidR="00E7321E" w:rsidRPr="003B44D7">
        <w:rPr>
          <w:rFonts w:cstheme="minorHAnsi"/>
          <w:sz w:val="24"/>
          <w:szCs w:val="24"/>
        </w:rPr>
        <w:t xml:space="preserve">is even less likely to materialise </w:t>
      </w:r>
      <w:r w:rsidR="00F60543" w:rsidRPr="003B44D7">
        <w:rPr>
          <w:rFonts w:cstheme="minorHAnsi"/>
          <w:sz w:val="24"/>
          <w:szCs w:val="24"/>
        </w:rPr>
        <w:t xml:space="preserve">under NetzDG </w:t>
      </w:r>
      <w:r w:rsidR="00E7321E" w:rsidRPr="003B44D7">
        <w:rPr>
          <w:rFonts w:cstheme="minorHAnsi"/>
          <w:sz w:val="24"/>
          <w:szCs w:val="24"/>
        </w:rPr>
        <w:t xml:space="preserve">given that fines </w:t>
      </w:r>
      <w:r w:rsidR="00C76237" w:rsidRPr="003B44D7">
        <w:rPr>
          <w:rFonts w:cstheme="minorHAnsi"/>
          <w:sz w:val="24"/>
          <w:szCs w:val="24"/>
        </w:rPr>
        <w:t>do</w:t>
      </w:r>
      <w:r w:rsidR="00E7321E" w:rsidRPr="003B44D7">
        <w:rPr>
          <w:rFonts w:cstheme="minorHAnsi"/>
          <w:sz w:val="24"/>
          <w:szCs w:val="24"/>
        </w:rPr>
        <w:t xml:space="preserve"> not attach to </w:t>
      </w:r>
      <w:r w:rsidR="00C76237" w:rsidRPr="003B44D7">
        <w:rPr>
          <w:rFonts w:cstheme="minorHAnsi"/>
          <w:sz w:val="24"/>
          <w:szCs w:val="24"/>
        </w:rPr>
        <w:t>individual</w:t>
      </w:r>
      <w:r w:rsidR="00E7321E" w:rsidRPr="003B44D7">
        <w:rPr>
          <w:rFonts w:cstheme="minorHAnsi"/>
          <w:sz w:val="24"/>
          <w:szCs w:val="24"/>
        </w:rPr>
        <w:t xml:space="preserve"> decisions</w:t>
      </w:r>
      <w:r w:rsidR="00DB01D5" w:rsidRPr="003B44D7">
        <w:rPr>
          <w:rFonts w:cstheme="minorHAnsi"/>
          <w:sz w:val="24"/>
          <w:szCs w:val="24"/>
        </w:rPr>
        <w:t>, but to failure</w:t>
      </w:r>
      <w:r w:rsidR="00644E40" w:rsidRPr="003B44D7">
        <w:rPr>
          <w:rFonts w:cstheme="minorHAnsi"/>
          <w:sz w:val="24"/>
          <w:szCs w:val="24"/>
        </w:rPr>
        <w:t>s</w:t>
      </w:r>
      <w:r w:rsidR="00DB01D5" w:rsidRPr="003B44D7">
        <w:rPr>
          <w:rFonts w:cstheme="minorHAnsi"/>
          <w:sz w:val="24"/>
          <w:szCs w:val="24"/>
        </w:rPr>
        <w:t xml:space="preserve"> in the processes.</w:t>
      </w:r>
      <w:r w:rsidR="00E7321E" w:rsidRPr="003B44D7">
        <w:rPr>
          <w:rStyle w:val="FootnoteReference"/>
          <w:rFonts w:cstheme="minorHAnsi"/>
          <w:sz w:val="24"/>
          <w:szCs w:val="24"/>
        </w:rPr>
        <w:footnoteReference w:id="82"/>
      </w:r>
      <w:r w:rsidR="00CC4FBE" w:rsidRPr="003B44D7">
        <w:rPr>
          <w:rFonts w:cstheme="minorHAnsi"/>
          <w:sz w:val="24"/>
          <w:szCs w:val="24"/>
        </w:rPr>
        <w:t xml:space="preserve"> </w:t>
      </w:r>
      <w:r w:rsidR="009133C0" w:rsidRPr="003B44D7">
        <w:rPr>
          <w:rFonts w:cstheme="minorHAnsi"/>
          <w:sz w:val="24"/>
          <w:szCs w:val="24"/>
        </w:rPr>
        <w:t xml:space="preserve">Thus individual wrong decisions are not caught by NetzDG, only </w:t>
      </w:r>
      <w:r w:rsidR="009133C0" w:rsidRPr="003B44D7">
        <w:rPr>
          <w:rFonts w:cstheme="minorHAnsi"/>
          <w:i/>
          <w:iCs/>
          <w:sz w:val="24"/>
          <w:szCs w:val="24"/>
        </w:rPr>
        <w:t xml:space="preserve">systemic </w:t>
      </w:r>
      <w:proofErr w:type="spellStart"/>
      <w:r w:rsidR="009133C0" w:rsidRPr="003B44D7">
        <w:rPr>
          <w:rFonts w:cstheme="minorHAnsi"/>
          <w:sz w:val="24"/>
          <w:szCs w:val="24"/>
        </w:rPr>
        <w:t>underblocking</w:t>
      </w:r>
      <w:proofErr w:type="spellEnd"/>
      <w:r w:rsidR="009133C0" w:rsidRPr="003B44D7">
        <w:rPr>
          <w:rFonts w:cstheme="minorHAnsi"/>
          <w:sz w:val="24"/>
          <w:szCs w:val="24"/>
        </w:rPr>
        <w:t xml:space="preserve"> would raise questions about the adequacy of the platform’s processes.</w:t>
      </w:r>
      <w:r w:rsidR="009133C0" w:rsidRPr="003B44D7">
        <w:rPr>
          <w:rStyle w:val="FootnoteReference"/>
          <w:rFonts w:cstheme="minorHAnsi"/>
          <w:sz w:val="24"/>
          <w:szCs w:val="24"/>
        </w:rPr>
        <w:footnoteReference w:id="83"/>
      </w:r>
      <w:r w:rsidR="009133C0" w:rsidRPr="003B44D7">
        <w:rPr>
          <w:rFonts w:cstheme="minorHAnsi"/>
          <w:sz w:val="24"/>
          <w:szCs w:val="24"/>
        </w:rPr>
        <w:t xml:space="preserve"> </w:t>
      </w:r>
      <w:r w:rsidR="005C3733" w:rsidRPr="003B44D7">
        <w:rPr>
          <w:rFonts w:cstheme="minorHAnsi"/>
          <w:sz w:val="24"/>
          <w:szCs w:val="24"/>
        </w:rPr>
        <w:t>Systemic o</w:t>
      </w:r>
      <w:r w:rsidR="009133C0" w:rsidRPr="003B44D7">
        <w:rPr>
          <w:rFonts w:cstheme="minorHAnsi"/>
          <w:sz w:val="24"/>
          <w:szCs w:val="24"/>
        </w:rPr>
        <w:t xml:space="preserve">verblocking </w:t>
      </w:r>
      <w:r w:rsidR="005C3733" w:rsidRPr="003B44D7">
        <w:rPr>
          <w:rFonts w:cstheme="minorHAnsi"/>
          <w:sz w:val="24"/>
          <w:szCs w:val="24"/>
        </w:rPr>
        <w:t>is</w:t>
      </w:r>
      <w:r w:rsidR="0019098A" w:rsidRPr="003B44D7">
        <w:rPr>
          <w:rFonts w:cstheme="minorHAnsi"/>
          <w:sz w:val="24"/>
          <w:szCs w:val="24"/>
        </w:rPr>
        <w:t xml:space="preserve"> </w:t>
      </w:r>
      <w:r w:rsidR="005873F6">
        <w:rPr>
          <w:rFonts w:cstheme="minorHAnsi"/>
          <w:sz w:val="24"/>
          <w:szCs w:val="24"/>
        </w:rPr>
        <w:t xml:space="preserve">in any event </w:t>
      </w:r>
      <w:r w:rsidR="000B4D78">
        <w:rPr>
          <w:rFonts w:cstheme="minorHAnsi"/>
          <w:sz w:val="24"/>
          <w:szCs w:val="24"/>
        </w:rPr>
        <w:t>not</w:t>
      </w:r>
      <w:r w:rsidR="0019098A" w:rsidRPr="003B44D7">
        <w:rPr>
          <w:rFonts w:cstheme="minorHAnsi"/>
          <w:sz w:val="24"/>
          <w:szCs w:val="24"/>
        </w:rPr>
        <w:t xml:space="preserve"> </w:t>
      </w:r>
      <w:r w:rsidR="005C3733" w:rsidRPr="003B44D7">
        <w:rPr>
          <w:rFonts w:cstheme="minorHAnsi"/>
          <w:sz w:val="24"/>
          <w:szCs w:val="24"/>
        </w:rPr>
        <w:t xml:space="preserve">caught by NetzDG as it does not prevent </w:t>
      </w:r>
      <w:r w:rsidR="005C3733" w:rsidRPr="003B44D7">
        <w:rPr>
          <w:rFonts w:cstheme="minorHAnsi"/>
          <w:sz w:val="24"/>
          <w:szCs w:val="24"/>
        </w:rPr>
        <w:lastRenderedPageBreak/>
        <w:t xml:space="preserve">the platform’s own content moderation policies to limit speech over and above </w:t>
      </w:r>
      <w:r w:rsidR="0019098A" w:rsidRPr="003B44D7">
        <w:rPr>
          <w:rFonts w:cstheme="minorHAnsi"/>
          <w:sz w:val="24"/>
          <w:szCs w:val="24"/>
        </w:rPr>
        <w:t xml:space="preserve">the </w:t>
      </w:r>
      <w:r w:rsidR="005C3733" w:rsidRPr="003B44D7">
        <w:rPr>
          <w:rFonts w:cstheme="minorHAnsi"/>
          <w:sz w:val="24"/>
          <w:szCs w:val="24"/>
        </w:rPr>
        <w:t>legal requirements</w:t>
      </w:r>
      <w:r w:rsidR="004D6D16">
        <w:rPr>
          <w:rFonts w:cstheme="minorHAnsi"/>
          <w:sz w:val="24"/>
          <w:szCs w:val="24"/>
        </w:rPr>
        <w:t xml:space="preserve">, </w:t>
      </w:r>
      <w:r w:rsidR="005873F6">
        <w:rPr>
          <w:rFonts w:cstheme="minorHAnsi"/>
          <w:sz w:val="24"/>
          <w:szCs w:val="24"/>
        </w:rPr>
        <w:t>see</w:t>
      </w:r>
      <w:r w:rsidR="004D6D16">
        <w:rPr>
          <w:rFonts w:cstheme="minorHAnsi"/>
          <w:sz w:val="24"/>
          <w:szCs w:val="24"/>
        </w:rPr>
        <w:t xml:space="preserve"> below.</w:t>
      </w:r>
    </w:p>
    <w:p w14:paraId="731E6351" w14:textId="77777777" w:rsidR="00AE36A4" w:rsidRPr="003B44D7" w:rsidRDefault="00AE36A4" w:rsidP="004E7EB4">
      <w:pPr>
        <w:spacing w:after="0" w:line="240" w:lineRule="auto"/>
        <w:jc w:val="both"/>
        <w:rPr>
          <w:rFonts w:cstheme="minorHAnsi"/>
          <w:sz w:val="24"/>
          <w:szCs w:val="24"/>
        </w:rPr>
      </w:pPr>
    </w:p>
    <w:p w14:paraId="371AE769" w14:textId="0A30B1FD" w:rsidR="006326F2" w:rsidRPr="003B44D7" w:rsidRDefault="00B9346D" w:rsidP="004E7EB4">
      <w:pPr>
        <w:spacing w:after="0" w:line="240" w:lineRule="auto"/>
        <w:jc w:val="both"/>
        <w:rPr>
          <w:rFonts w:cstheme="minorHAnsi"/>
          <w:sz w:val="24"/>
          <w:szCs w:val="24"/>
        </w:rPr>
      </w:pPr>
      <w:r w:rsidRPr="003B44D7">
        <w:rPr>
          <w:rFonts w:cstheme="minorHAnsi"/>
          <w:sz w:val="24"/>
          <w:szCs w:val="24"/>
        </w:rPr>
        <w:t>Still, t</w:t>
      </w:r>
      <w:r w:rsidR="00E7321E" w:rsidRPr="003B44D7">
        <w:rPr>
          <w:rFonts w:cstheme="minorHAnsi"/>
          <w:sz w:val="24"/>
          <w:szCs w:val="24"/>
        </w:rPr>
        <w:t>he</w:t>
      </w:r>
      <w:r w:rsidR="00AE36A4" w:rsidRPr="003B44D7">
        <w:rPr>
          <w:rFonts w:cstheme="minorHAnsi"/>
          <w:sz w:val="24"/>
          <w:szCs w:val="24"/>
        </w:rPr>
        <w:t xml:space="preserve"> first</w:t>
      </w:r>
      <w:r w:rsidR="00E7321E" w:rsidRPr="003B44D7">
        <w:rPr>
          <w:rFonts w:cstheme="minorHAnsi"/>
          <w:sz w:val="24"/>
          <w:szCs w:val="24"/>
        </w:rPr>
        <w:t xml:space="preserve"> objection that private platforms</w:t>
      </w:r>
      <w:r w:rsidR="00CC4FBE" w:rsidRPr="003B44D7">
        <w:rPr>
          <w:rFonts w:cstheme="minorHAnsi"/>
          <w:sz w:val="24"/>
          <w:szCs w:val="24"/>
        </w:rPr>
        <w:t xml:space="preserve"> </w:t>
      </w:r>
      <w:r w:rsidR="00E7321E" w:rsidRPr="003B44D7">
        <w:rPr>
          <w:rFonts w:cstheme="minorHAnsi"/>
          <w:sz w:val="24"/>
          <w:szCs w:val="24"/>
        </w:rPr>
        <w:t>ought not to be the final arbiters of</w:t>
      </w:r>
      <w:r w:rsidR="00DB01D5" w:rsidRPr="003B44D7">
        <w:rPr>
          <w:rFonts w:cstheme="minorHAnsi"/>
          <w:sz w:val="24"/>
          <w:szCs w:val="24"/>
        </w:rPr>
        <w:t xml:space="preserve"> compliance with</w:t>
      </w:r>
      <w:r w:rsidR="00E7321E" w:rsidRPr="003B44D7">
        <w:rPr>
          <w:rFonts w:cstheme="minorHAnsi"/>
          <w:sz w:val="24"/>
          <w:szCs w:val="24"/>
        </w:rPr>
        <w:t xml:space="preserve"> legal standards remains intact</w:t>
      </w:r>
      <w:r w:rsidR="009C352A" w:rsidRPr="003B44D7">
        <w:rPr>
          <w:rFonts w:cstheme="minorHAnsi"/>
          <w:sz w:val="24"/>
          <w:szCs w:val="24"/>
        </w:rPr>
        <w:t xml:space="preserve"> </w:t>
      </w:r>
      <w:r w:rsidR="00643A4A" w:rsidRPr="003B44D7">
        <w:rPr>
          <w:rFonts w:cstheme="minorHAnsi"/>
          <w:sz w:val="24"/>
          <w:szCs w:val="24"/>
        </w:rPr>
        <w:t xml:space="preserve">quite </w:t>
      </w:r>
      <w:r w:rsidR="009C352A" w:rsidRPr="003B44D7">
        <w:rPr>
          <w:rFonts w:cstheme="minorHAnsi"/>
          <w:sz w:val="24"/>
          <w:szCs w:val="24"/>
        </w:rPr>
        <w:t xml:space="preserve">regardless of </w:t>
      </w:r>
      <w:proofErr w:type="gramStart"/>
      <w:r w:rsidR="005C3733" w:rsidRPr="003B44D7">
        <w:rPr>
          <w:rFonts w:cstheme="minorHAnsi"/>
          <w:sz w:val="24"/>
          <w:szCs w:val="24"/>
        </w:rPr>
        <w:t xml:space="preserve">whether </w:t>
      </w:r>
      <w:r w:rsidR="00644E40" w:rsidRPr="003B44D7">
        <w:rPr>
          <w:rFonts w:cstheme="minorHAnsi"/>
          <w:sz w:val="24"/>
          <w:szCs w:val="24"/>
        </w:rPr>
        <w:t>or not</w:t>
      </w:r>
      <w:proofErr w:type="gramEnd"/>
      <w:r w:rsidR="00644E40" w:rsidRPr="003B44D7">
        <w:rPr>
          <w:rFonts w:cstheme="minorHAnsi"/>
          <w:sz w:val="24"/>
          <w:szCs w:val="24"/>
        </w:rPr>
        <w:t xml:space="preserve"> </w:t>
      </w:r>
      <w:r w:rsidR="005C3733" w:rsidRPr="003B44D7">
        <w:rPr>
          <w:rFonts w:cstheme="minorHAnsi"/>
          <w:sz w:val="24"/>
          <w:szCs w:val="24"/>
        </w:rPr>
        <w:t xml:space="preserve">NetzDG incentivises </w:t>
      </w:r>
      <w:r w:rsidR="009C352A" w:rsidRPr="003B44D7">
        <w:rPr>
          <w:rFonts w:cstheme="minorHAnsi"/>
          <w:sz w:val="24"/>
          <w:szCs w:val="24"/>
        </w:rPr>
        <w:t>overblocking</w:t>
      </w:r>
      <w:r w:rsidR="00AE36A4" w:rsidRPr="003B44D7">
        <w:rPr>
          <w:rFonts w:cstheme="minorHAnsi"/>
          <w:sz w:val="24"/>
          <w:szCs w:val="24"/>
        </w:rPr>
        <w:t xml:space="preserve">, </w:t>
      </w:r>
      <w:r w:rsidR="00DB01D5" w:rsidRPr="003B44D7">
        <w:rPr>
          <w:rFonts w:cstheme="minorHAnsi"/>
          <w:sz w:val="24"/>
          <w:szCs w:val="24"/>
        </w:rPr>
        <w:t>given that</w:t>
      </w:r>
      <w:r w:rsidR="00AE36A4" w:rsidRPr="003B44D7">
        <w:rPr>
          <w:rFonts w:cstheme="minorHAnsi"/>
          <w:sz w:val="24"/>
          <w:szCs w:val="24"/>
        </w:rPr>
        <w:t xml:space="preserve"> </w:t>
      </w:r>
      <w:r w:rsidR="00FF48E5" w:rsidRPr="003B44D7">
        <w:rPr>
          <w:rFonts w:cstheme="minorHAnsi"/>
          <w:sz w:val="24"/>
          <w:szCs w:val="24"/>
        </w:rPr>
        <w:t>th</w:t>
      </w:r>
      <w:r w:rsidR="00DB01D5" w:rsidRPr="003B44D7">
        <w:rPr>
          <w:rFonts w:cstheme="minorHAnsi"/>
          <w:sz w:val="24"/>
          <w:szCs w:val="24"/>
        </w:rPr>
        <w:t>is</w:t>
      </w:r>
      <w:r w:rsidR="00FF48E5" w:rsidRPr="003B44D7">
        <w:rPr>
          <w:rFonts w:cstheme="minorHAnsi"/>
          <w:sz w:val="24"/>
          <w:szCs w:val="24"/>
        </w:rPr>
        <w:t xml:space="preserve"> objection</w:t>
      </w:r>
      <w:r w:rsidR="00E7321E" w:rsidRPr="003B44D7">
        <w:rPr>
          <w:rFonts w:cstheme="minorHAnsi"/>
          <w:sz w:val="24"/>
          <w:szCs w:val="24"/>
        </w:rPr>
        <w:t xml:space="preserve"> is only </w:t>
      </w:r>
      <w:r w:rsidR="00BE2A18" w:rsidRPr="003B44D7">
        <w:rPr>
          <w:rFonts w:cstheme="minorHAnsi"/>
          <w:sz w:val="24"/>
          <w:szCs w:val="24"/>
        </w:rPr>
        <w:t>partly</w:t>
      </w:r>
      <w:r w:rsidR="00E7321E" w:rsidRPr="003B44D7">
        <w:rPr>
          <w:rFonts w:cstheme="minorHAnsi"/>
          <w:sz w:val="24"/>
          <w:szCs w:val="24"/>
        </w:rPr>
        <w:t xml:space="preserve"> anchored in the untrustworthines</w:t>
      </w:r>
      <w:r w:rsidR="009A0CA9" w:rsidRPr="003B44D7">
        <w:rPr>
          <w:rFonts w:cstheme="minorHAnsi"/>
          <w:sz w:val="24"/>
          <w:szCs w:val="24"/>
        </w:rPr>
        <w:t>s</w:t>
      </w:r>
      <w:r w:rsidR="00E7321E" w:rsidRPr="003B44D7">
        <w:rPr>
          <w:rFonts w:cstheme="minorHAnsi"/>
          <w:sz w:val="24"/>
          <w:szCs w:val="24"/>
        </w:rPr>
        <w:t xml:space="preserve"> of </w:t>
      </w:r>
      <w:r w:rsidR="00DB01D5" w:rsidRPr="003B44D7">
        <w:rPr>
          <w:rFonts w:cstheme="minorHAnsi"/>
          <w:sz w:val="24"/>
          <w:szCs w:val="24"/>
        </w:rPr>
        <w:t>private actors</w:t>
      </w:r>
      <w:r w:rsidR="00C76237" w:rsidRPr="003B44D7">
        <w:rPr>
          <w:rFonts w:cstheme="minorHAnsi"/>
          <w:sz w:val="24"/>
          <w:szCs w:val="24"/>
        </w:rPr>
        <w:t xml:space="preserve"> as legal arbiters</w:t>
      </w:r>
      <w:r w:rsidR="00DF6271" w:rsidRPr="003B44D7">
        <w:rPr>
          <w:rFonts w:cstheme="minorHAnsi"/>
          <w:sz w:val="24"/>
          <w:szCs w:val="24"/>
        </w:rPr>
        <w:t xml:space="preserve"> as a</w:t>
      </w:r>
      <w:r w:rsidR="0087110E" w:rsidRPr="003B44D7">
        <w:rPr>
          <w:rFonts w:cstheme="minorHAnsi"/>
          <w:sz w:val="24"/>
          <w:szCs w:val="24"/>
        </w:rPr>
        <w:t xml:space="preserve">n empirical </w:t>
      </w:r>
      <w:r w:rsidR="00DF6271" w:rsidRPr="003B44D7">
        <w:rPr>
          <w:rFonts w:cstheme="minorHAnsi"/>
          <w:sz w:val="24"/>
          <w:szCs w:val="24"/>
        </w:rPr>
        <w:t>matter</w:t>
      </w:r>
      <w:r w:rsidR="00BE2A18" w:rsidRPr="003B44D7">
        <w:rPr>
          <w:rFonts w:cstheme="minorHAnsi"/>
          <w:sz w:val="24"/>
          <w:szCs w:val="24"/>
        </w:rPr>
        <w:t>.</w:t>
      </w:r>
      <w:r w:rsidR="00F60543" w:rsidRPr="003B44D7">
        <w:rPr>
          <w:rFonts w:cstheme="minorHAnsi"/>
          <w:sz w:val="24"/>
          <w:szCs w:val="24"/>
        </w:rPr>
        <w:t xml:space="preserve"> </w:t>
      </w:r>
      <w:r w:rsidR="00CF2D41" w:rsidRPr="003B44D7">
        <w:rPr>
          <w:rFonts w:cstheme="minorHAnsi"/>
          <w:sz w:val="24"/>
          <w:szCs w:val="24"/>
        </w:rPr>
        <w:t>Mainly, t</w:t>
      </w:r>
      <w:r w:rsidR="009A0CA9" w:rsidRPr="003B44D7">
        <w:rPr>
          <w:rFonts w:cstheme="minorHAnsi"/>
          <w:sz w:val="24"/>
          <w:szCs w:val="24"/>
        </w:rPr>
        <w:t>h</w:t>
      </w:r>
      <w:r w:rsidR="00CD1EE2" w:rsidRPr="003B44D7">
        <w:rPr>
          <w:rFonts w:cstheme="minorHAnsi"/>
          <w:sz w:val="24"/>
          <w:szCs w:val="24"/>
        </w:rPr>
        <w:t xml:space="preserve">e </w:t>
      </w:r>
      <w:r w:rsidR="00F60543" w:rsidRPr="003B44D7">
        <w:rPr>
          <w:rFonts w:cstheme="minorHAnsi"/>
          <w:sz w:val="24"/>
          <w:szCs w:val="24"/>
        </w:rPr>
        <w:t xml:space="preserve">objection against privatised censorship </w:t>
      </w:r>
      <w:r w:rsidR="00BE2A18" w:rsidRPr="003B44D7">
        <w:rPr>
          <w:rFonts w:cstheme="minorHAnsi"/>
          <w:sz w:val="24"/>
          <w:szCs w:val="24"/>
        </w:rPr>
        <w:t xml:space="preserve">strikes a constitutional chord: </w:t>
      </w:r>
      <w:r w:rsidR="00BB1552" w:rsidRPr="003B44D7">
        <w:rPr>
          <w:rFonts w:cstheme="minorHAnsi"/>
          <w:sz w:val="24"/>
          <w:szCs w:val="24"/>
        </w:rPr>
        <w:t xml:space="preserve">the </w:t>
      </w:r>
      <w:r w:rsidR="00BE2A18" w:rsidRPr="003B44D7">
        <w:rPr>
          <w:rFonts w:cstheme="minorHAnsi"/>
          <w:sz w:val="24"/>
          <w:szCs w:val="24"/>
        </w:rPr>
        <w:t>rule of law</w:t>
      </w:r>
      <w:r w:rsidR="00BB1552" w:rsidRPr="003B44D7">
        <w:rPr>
          <w:rFonts w:cstheme="minorHAnsi"/>
          <w:sz w:val="24"/>
          <w:szCs w:val="24"/>
        </w:rPr>
        <w:t xml:space="preserve">, </w:t>
      </w:r>
      <w:r w:rsidR="00A31312" w:rsidRPr="003B44D7">
        <w:rPr>
          <w:rFonts w:cstheme="minorHAnsi"/>
          <w:sz w:val="24"/>
          <w:szCs w:val="24"/>
        </w:rPr>
        <w:t>or</w:t>
      </w:r>
      <w:r w:rsidR="00BB1552" w:rsidRPr="003B44D7">
        <w:rPr>
          <w:rFonts w:cstheme="minorHAnsi"/>
          <w:sz w:val="24"/>
          <w:szCs w:val="24"/>
        </w:rPr>
        <w:t xml:space="preserve"> equality before the law, is </w:t>
      </w:r>
      <w:r w:rsidR="0087110E" w:rsidRPr="003B44D7">
        <w:rPr>
          <w:rFonts w:cstheme="minorHAnsi"/>
          <w:sz w:val="24"/>
          <w:szCs w:val="24"/>
        </w:rPr>
        <w:t>constituted</w:t>
      </w:r>
      <w:r w:rsidR="00BB1552" w:rsidRPr="003B44D7">
        <w:rPr>
          <w:rFonts w:cstheme="minorHAnsi"/>
          <w:sz w:val="24"/>
          <w:szCs w:val="24"/>
        </w:rPr>
        <w:t xml:space="preserve"> by </w:t>
      </w:r>
      <w:r w:rsidR="00FC44E4" w:rsidRPr="003B44D7">
        <w:rPr>
          <w:rFonts w:cstheme="minorHAnsi"/>
          <w:sz w:val="24"/>
          <w:szCs w:val="24"/>
        </w:rPr>
        <w:t>law</w:t>
      </w:r>
      <w:r w:rsidR="00643A4A" w:rsidRPr="003B44D7">
        <w:rPr>
          <w:rFonts w:cstheme="minorHAnsi"/>
          <w:sz w:val="24"/>
          <w:szCs w:val="24"/>
        </w:rPr>
        <w:t>s</w:t>
      </w:r>
      <w:r w:rsidR="00FC44E4" w:rsidRPr="003B44D7">
        <w:rPr>
          <w:rFonts w:cstheme="minorHAnsi"/>
          <w:sz w:val="24"/>
          <w:szCs w:val="24"/>
        </w:rPr>
        <w:t xml:space="preserve"> </w:t>
      </w:r>
      <w:r w:rsidR="00643A4A" w:rsidRPr="003B44D7">
        <w:rPr>
          <w:rFonts w:cstheme="minorHAnsi"/>
          <w:sz w:val="24"/>
          <w:szCs w:val="24"/>
        </w:rPr>
        <w:t>being</w:t>
      </w:r>
      <w:r w:rsidR="00DE3DE2" w:rsidRPr="003B44D7">
        <w:rPr>
          <w:rFonts w:cstheme="minorHAnsi"/>
          <w:sz w:val="24"/>
          <w:szCs w:val="24"/>
        </w:rPr>
        <w:t xml:space="preserve"> </w:t>
      </w:r>
      <w:r w:rsidR="00FC44E4" w:rsidRPr="003B44D7">
        <w:rPr>
          <w:rFonts w:cstheme="minorHAnsi"/>
          <w:sz w:val="24"/>
          <w:szCs w:val="24"/>
        </w:rPr>
        <w:t>adjudicat</w:t>
      </w:r>
      <w:r w:rsidR="00643A4A" w:rsidRPr="003B44D7">
        <w:rPr>
          <w:rFonts w:cstheme="minorHAnsi"/>
          <w:sz w:val="24"/>
          <w:szCs w:val="24"/>
        </w:rPr>
        <w:t>ed by</w:t>
      </w:r>
      <w:r w:rsidR="00BB1552" w:rsidRPr="003B44D7">
        <w:rPr>
          <w:rFonts w:cstheme="minorHAnsi"/>
          <w:sz w:val="24"/>
          <w:szCs w:val="24"/>
        </w:rPr>
        <w:t xml:space="preserve"> the </w:t>
      </w:r>
      <w:r w:rsidR="00FF48E5" w:rsidRPr="003B44D7">
        <w:rPr>
          <w:rFonts w:cstheme="minorHAnsi"/>
          <w:sz w:val="24"/>
          <w:szCs w:val="24"/>
        </w:rPr>
        <w:t>judiciary; i</w:t>
      </w:r>
      <w:r w:rsidR="00CC4FBE" w:rsidRPr="003B44D7">
        <w:rPr>
          <w:rFonts w:cstheme="minorHAnsi"/>
          <w:sz w:val="24"/>
          <w:szCs w:val="24"/>
        </w:rPr>
        <w:t xml:space="preserve">t is the function of </w:t>
      </w:r>
      <w:r w:rsidR="00643A4A" w:rsidRPr="003B44D7">
        <w:rPr>
          <w:rFonts w:cstheme="minorHAnsi"/>
          <w:sz w:val="24"/>
          <w:szCs w:val="24"/>
        </w:rPr>
        <w:t>independent and transparent</w:t>
      </w:r>
      <w:r w:rsidR="00CC4FBE" w:rsidRPr="003B44D7">
        <w:rPr>
          <w:rFonts w:cstheme="minorHAnsi"/>
          <w:sz w:val="24"/>
          <w:szCs w:val="24"/>
        </w:rPr>
        <w:t xml:space="preserve"> courts to be the final and authoritative adjudicator on whether a law has been broken and whether sanctions should be applied.</w:t>
      </w:r>
      <w:r w:rsidR="00812B27" w:rsidRPr="003B44D7">
        <w:rPr>
          <w:rStyle w:val="FootnoteReference"/>
          <w:rFonts w:cstheme="minorHAnsi"/>
          <w:sz w:val="24"/>
          <w:szCs w:val="24"/>
        </w:rPr>
        <w:footnoteReference w:id="84"/>
      </w:r>
      <w:r w:rsidR="00CC4FBE" w:rsidRPr="003B44D7">
        <w:rPr>
          <w:rFonts w:cstheme="minorHAnsi"/>
          <w:sz w:val="24"/>
          <w:szCs w:val="24"/>
        </w:rPr>
        <w:t xml:space="preserve"> </w:t>
      </w:r>
      <w:r w:rsidR="009A044B" w:rsidRPr="003B44D7">
        <w:rPr>
          <w:rFonts w:cstheme="minorHAnsi"/>
          <w:sz w:val="24"/>
          <w:szCs w:val="24"/>
        </w:rPr>
        <w:t xml:space="preserve">Through NetzDG the State appears to </w:t>
      </w:r>
      <w:r w:rsidR="00C443D4" w:rsidRPr="003B44D7">
        <w:rPr>
          <w:rFonts w:cstheme="minorHAnsi"/>
          <w:sz w:val="24"/>
          <w:szCs w:val="24"/>
        </w:rPr>
        <w:t>abdicate</w:t>
      </w:r>
      <w:r w:rsidR="009A044B" w:rsidRPr="003B44D7">
        <w:rPr>
          <w:rFonts w:cstheme="minorHAnsi"/>
          <w:sz w:val="24"/>
          <w:szCs w:val="24"/>
        </w:rPr>
        <w:t xml:space="preserve"> that responsibility. </w:t>
      </w:r>
      <w:proofErr w:type="gramStart"/>
      <w:r w:rsidR="00D02E07" w:rsidRPr="003B44D7">
        <w:rPr>
          <w:rFonts w:cstheme="minorHAnsi"/>
          <w:sz w:val="24"/>
          <w:szCs w:val="24"/>
        </w:rPr>
        <w:t>Yet,</w:t>
      </w:r>
      <w:proofErr w:type="gramEnd"/>
      <w:r w:rsidR="00C443D4" w:rsidRPr="003B44D7">
        <w:rPr>
          <w:rFonts w:cstheme="minorHAnsi"/>
          <w:sz w:val="24"/>
          <w:szCs w:val="24"/>
        </w:rPr>
        <w:t xml:space="preserve"> </w:t>
      </w:r>
      <w:r w:rsidR="00C443D4" w:rsidRPr="003B44D7">
        <w:rPr>
          <w:rFonts w:cstheme="minorHAnsi"/>
          <w:i/>
          <w:iCs/>
          <w:sz w:val="24"/>
          <w:szCs w:val="24"/>
        </w:rPr>
        <w:t>formally</w:t>
      </w:r>
      <w:r w:rsidR="00C443D4" w:rsidRPr="003B44D7">
        <w:rPr>
          <w:rFonts w:cstheme="minorHAnsi"/>
          <w:sz w:val="24"/>
          <w:szCs w:val="24"/>
        </w:rPr>
        <w:t xml:space="preserve"> this is not the case given that the judiciary retains the right to make </w:t>
      </w:r>
      <w:r w:rsidR="00C443D4" w:rsidRPr="003B44D7">
        <w:rPr>
          <w:rFonts w:cstheme="minorHAnsi"/>
          <w:i/>
          <w:iCs/>
          <w:sz w:val="24"/>
          <w:szCs w:val="24"/>
        </w:rPr>
        <w:t xml:space="preserve">final </w:t>
      </w:r>
      <w:r w:rsidR="00C443D4" w:rsidRPr="003B44D7">
        <w:rPr>
          <w:rFonts w:cstheme="minorHAnsi"/>
          <w:sz w:val="24"/>
          <w:szCs w:val="24"/>
        </w:rPr>
        <w:t xml:space="preserve">assessments on content decisions by platforms. </w:t>
      </w:r>
      <w:r w:rsidR="00AE36A4" w:rsidRPr="003B44D7">
        <w:rPr>
          <w:rFonts w:cstheme="minorHAnsi"/>
          <w:sz w:val="24"/>
          <w:szCs w:val="24"/>
        </w:rPr>
        <w:t xml:space="preserve">Through the </w:t>
      </w:r>
      <w:r w:rsidR="00DB01D5" w:rsidRPr="003B44D7">
        <w:rPr>
          <w:rFonts w:cstheme="minorHAnsi"/>
          <w:sz w:val="24"/>
          <w:szCs w:val="24"/>
        </w:rPr>
        <w:t>continuing</w:t>
      </w:r>
      <w:r w:rsidR="00573F96" w:rsidRPr="003B44D7">
        <w:rPr>
          <w:rFonts w:cstheme="minorHAnsi"/>
          <w:sz w:val="24"/>
          <w:szCs w:val="24"/>
        </w:rPr>
        <w:t xml:space="preserve"> application of existing substantive legal regimes</w:t>
      </w:r>
      <w:r w:rsidR="005C3733" w:rsidRPr="003B44D7">
        <w:rPr>
          <w:rFonts w:cstheme="minorHAnsi"/>
          <w:sz w:val="24"/>
          <w:szCs w:val="24"/>
        </w:rPr>
        <w:t xml:space="preserve"> </w:t>
      </w:r>
      <w:r w:rsidR="008B5C0C" w:rsidRPr="003B44D7">
        <w:rPr>
          <w:rFonts w:cstheme="minorHAnsi"/>
          <w:sz w:val="24"/>
          <w:szCs w:val="24"/>
        </w:rPr>
        <w:t xml:space="preserve">outside </w:t>
      </w:r>
      <w:r w:rsidR="00644E40" w:rsidRPr="003B44D7">
        <w:rPr>
          <w:rFonts w:cstheme="minorHAnsi"/>
          <w:sz w:val="24"/>
          <w:szCs w:val="24"/>
        </w:rPr>
        <w:t xml:space="preserve">of </w:t>
      </w:r>
      <w:r w:rsidR="008B5C0C" w:rsidRPr="003B44D7">
        <w:rPr>
          <w:rFonts w:cstheme="minorHAnsi"/>
          <w:sz w:val="24"/>
          <w:szCs w:val="24"/>
        </w:rPr>
        <w:t>NetzDG</w:t>
      </w:r>
      <w:r w:rsidR="00812B27" w:rsidRPr="003B44D7">
        <w:rPr>
          <w:rFonts w:cstheme="minorHAnsi"/>
          <w:sz w:val="24"/>
          <w:szCs w:val="24"/>
        </w:rPr>
        <w:t xml:space="preserve">, including the </w:t>
      </w:r>
      <w:r w:rsidR="005C3733" w:rsidRPr="003B44D7">
        <w:rPr>
          <w:rFonts w:cstheme="minorHAnsi"/>
          <w:sz w:val="24"/>
          <w:szCs w:val="24"/>
        </w:rPr>
        <w:t xml:space="preserve">possibility of </w:t>
      </w:r>
      <w:r w:rsidR="00812B27" w:rsidRPr="003B44D7">
        <w:rPr>
          <w:rFonts w:cstheme="minorHAnsi"/>
          <w:sz w:val="24"/>
          <w:szCs w:val="24"/>
        </w:rPr>
        <w:t xml:space="preserve">accessory </w:t>
      </w:r>
      <w:r w:rsidR="005C3733" w:rsidRPr="003B44D7">
        <w:rPr>
          <w:rFonts w:cstheme="minorHAnsi"/>
          <w:sz w:val="24"/>
          <w:szCs w:val="24"/>
        </w:rPr>
        <w:t>liability of platforms</w:t>
      </w:r>
      <w:r w:rsidR="00D2748C" w:rsidRPr="003B44D7">
        <w:rPr>
          <w:rFonts w:cstheme="minorHAnsi"/>
          <w:sz w:val="24"/>
          <w:szCs w:val="24"/>
        </w:rPr>
        <w:t>,</w:t>
      </w:r>
      <w:r w:rsidR="00573F96" w:rsidRPr="003B44D7">
        <w:rPr>
          <w:rFonts w:cstheme="minorHAnsi"/>
          <w:sz w:val="24"/>
          <w:szCs w:val="24"/>
        </w:rPr>
        <w:t xml:space="preserve"> </w:t>
      </w:r>
      <w:r w:rsidR="00181BD6" w:rsidRPr="003B44D7">
        <w:rPr>
          <w:rFonts w:cstheme="minorHAnsi"/>
          <w:sz w:val="24"/>
          <w:szCs w:val="24"/>
        </w:rPr>
        <w:t>takedown decisions</w:t>
      </w:r>
      <w:r w:rsidR="00FD02F2" w:rsidRPr="003B44D7">
        <w:rPr>
          <w:rFonts w:cstheme="minorHAnsi"/>
          <w:sz w:val="24"/>
          <w:szCs w:val="24"/>
        </w:rPr>
        <w:t xml:space="preserve"> </w:t>
      </w:r>
      <w:r w:rsidR="003625A9" w:rsidRPr="003B44D7">
        <w:rPr>
          <w:rFonts w:cstheme="minorHAnsi"/>
          <w:sz w:val="24"/>
          <w:szCs w:val="24"/>
        </w:rPr>
        <w:t>by</w:t>
      </w:r>
      <w:r w:rsidR="00D02E07" w:rsidRPr="003B44D7">
        <w:rPr>
          <w:rFonts w:cstheme="minorHAnsi"/>
          <w:sz w:val="24"/>
          <w:szCs w:val="24"/>
        </w:rPr>
        <w:t xml:space="preserve"> platforms </w:t>
      </w:r>
      <w:r w:rsidR="00FD02F2" w:rsidRPr="003B44D7">
        <w:rPr>
          <w:rFonts w:cstheme="minorHAnsi"/>
          <w:sz w:val="24"/>
          <w:szCs w:val="24"/>
        </w:rPr>
        <w:t xml:space="preserve">can be challenged </w:t>
      </w:r>
      <w:r w:rsidR="00137BDF" w:rsidRPr="003B44D7">
        <w:rPr>
          <w:rFonts w:cstheme="minorHAnsi"/>
          <w:sz w:val="24"/>
          <w:szCs w:val="24"/>
        </w:rPr>
        <w:t xml:space="preserve">before courts </w:t>
      </w:r>
      <w:r w:rsidR="00D2748C" w:rsidRPr="003B44D7">
        <w:rPr>
          <w:rFonts w:cstheme="minorHAnsi"/>
          <w:sz w:val="24"/>
          <w:szCs w:val="24"/>
        </w:rPr>
        <w:t xml:space="preserve">as </w:t>
      </w:r>
      <w:r w:rsidR="00137BDF" w:rsidRPr="003B44D7">
        <w:rPr>
          <w:rFonts w:cstheme="minorHAnsi"/>
          <w:sz w:val="24"/>
          <w:szCs w:val="24"/>
        </w:rPr>
        <w:t xml:space="preserve">has </w:t>
      </w:r>
      <w:r w:rsidR="00FD02F2" w:rsidRPr="003B44D7">
        <w:rPr>
          <w:rFonts w:cstheme="minorHAnsi"/>
          <w:sz w:val="24"/>
          <w:szCs w:val="24"/>
        </w:rPr>
        <w:t>occurred</w:t>
      </w:r>
      <w:r w:rsidR="00137BDF" w:rsidRPr="003B44D7">
        <w:rPr>
          <w:rFonts w:cstheme="minorHAnsi"/>
          <w:sz w:val="24"/>
          <w:szCs w:val="24"/>
        </w:rPr>
        <w:t xml:space="preserve"> on </w:t>
      </w:r>
      <w:r w:rsidR="00816939" w:rsidRPr="003B44D7">
        <w:rPr>
          <w:rFonts w:cstheme="minorHAnsi"/>
          <w:sz w:val="24"/>
          <w:szCs w:val="24"/>
        </w:rPr>
        <w:t>occasions</w:t>
      </w:r>
      <w:r w:rsidR="00D02E07" w:rsidRPr="003B44D7">
        <w:rPr>
          <w:rFonts w:cstheme="minorHAnsi"/>
          <w:sz w:val="24"/>
          <w:szCs w:val="24"/>
        </w:rPr>
        <w:t>.</w:t>
      </w:r>
      <w:r w:rsidR="008C264D" w:rsidRPr="003B44D7">
        <w:rPr>
          <w:rStyle w:val="FootnoteReference"/>
          <w:rFonts w:cstheme="minorHAnsi"/>
          <w:sz w:val="24"/>
          <w:szCs w:val="24"/>
        </w:rPr>
        <w:footnoteReference w:id="85"/>
      </w:r>
      <w:r w:rsidR="00181BD6" w:rsidRPr="003B44D7">
        <w:rPr>
          <w:rFonts w:cstheme="minorHAnsi"/>
          <w:sz w:val="24"/>
          <w:szCs w:val="24"/>
        </w:rPr>
        <w:t xml:space="preserve"> </w:t>
      </w:r>
      <w:r w:rsidR="00573F96" w:rsidRPr="003B44D7">
        <w:rPr>
          <w:rFonts w:cstheme="minorHAnsi"/>
          <w:sz w:val="24"/>
          <w:szCs w:val="24"/>
        </w:rPr>
        <w:t xml:space="preserve">NetzDG itself </w:t>
      </w:r>
      <w:r w:rsidR="00137BDF" w:rsidRPr="003B44D7">
        <w:rPr>
          <w:rFonts w:cstheme="minorHAnsi"/>
          <w:sz w:val="24"/>
          <w:szCs w:val="24"/>
        </w:rPr>
        <w:t xml:space="preserve">also </w:t>
      </w:r>
      <w:r w:rsidR="00FD02F2" w:rsidRPr="003B44D7">
        <w:rPr>
          <w:rFonts w:cstheme="minorHAnsi"/>
          <w:sz w:val="24"/>
          <w:szCs w:val="24"/>
        </w:rPr>
        <w:t xml:space="preserve">provides in </w:t>
      </w:r>
      <w:r w:rsidR="00181BD6" w:rsidRPr="003B44D7">
        <w:rPr>
          <w:rFonts w:cstheme="minorHAnsi"/>
          <w:sz w:val="24"/>
          <w:szCs w:val="24"/>
        </w:rPr>
        <w:t>s.4(5)</w:t>
      </w:r>
      <w:r w:rsidR="00914FDD" w:rsidRPr="003B44D7">
        <w:rPr>
          <w:rFonts w:cstheme="minorHAnsi"/>
          <w:sz w:val="24"/>
          <w:szCs w:val="24"/>
        </w:rPr>
        <w:t xml:space="preserve"> </w:t>
      </w:r>
      <w:r w:rsidR="00181BD6" w:rsidRPr="003B44D7">
        <w:rPr>
          <w:rFonts w:cstheme="minorHAnsi"/>
          <w:sz w:val="24"/>
          <w:szCs w:val="24"/>
        </w:rPr>
        <w:t>that</w:t>
      </w:r>
      <w:r w:rsidR="00E658D5" w:rsidRPr="003B44D7">
        <w:rPr>
          <w:rFonts w:cstheme="minorHAnsi"/>
          <w:sz w:val="24"/>
          <w:szCs w:val="24"/>
        </w:rPr>
        <w:t xml:space="preserve"> if</w:t>
      </w:r>
      <w:r w:rsidR="00181BD6" w:rsidRPr="003B44D7">
        <w:rPr>
          <w:rFonts w:cstheme="minorHAnsi"/>
          <w:sz w:val="24"/>
          <w:szCs w:val="24"/>
        </w:rPr>
        <w:t xml:space="preserve"> the </w:t>
      </w:r>
      <w:r w:rsidR="00914FDD" w:rsidRPr="003B44D7">
        <w:rPr>
          <w:rFonts w:cstheme="minorHAnsi"/>
          <w:sz w:val="24"/>
          <w:szCs w:val="24"/>
        </w:rPr>
        <w:t>overs</w:t>
      </w:r>
      <w:r w:rsidR="00477DDC" w:rsidRPr="003B44D7">
        <w:rPr>
          <w:rFonts w:cstheme="minorHAnsi"/>
          <w:sz w:val="24"/>
          <w:szCs w:val="24"/>
        </w:rPr>
        <w:t>ight</w:t>
      </w:r>
      <w:r w:rsidR="00914FDD" w:rsidRPr="003B44D7">
        <w:rPr>
          <w:rFonts w:cstheme="minorHAnsi"/>
          <w:sz w:val="24"/>
          <w:szCs w:val="24"/>
        </w:rPr>
        <w:t xml:space="preserve"> administrative</w:t>
      </w:r>
      <w:r w:rsidR="00181BD6" w:rsidRPr="003B44D7">
        <w:rPr>
          <w:rFonts w:cstheme="minorHAnsi"/>
          <w:sz w:val="24"/>
          <w:szCs w:val="24"/>
        </w:rPr>
        <w:t xml:space="preserve"> authority</w:t>
      </w:r>
      <w:r w:rsidR="00FF48E5" w:rsidRPr="003B44D7">
        <w:rPr>
          <w:rFonts w:cstheme="minorHAnsi"/>
          <w:sz w:val="24"/>
          <w:szCs w:val="24"/>
        </w:rPr>
        <w:t xml:space="preserve"> </w:t>
      </w:r>
      <w:r w:rsidR="00E658D5" w:rsidRPr="003B44D7">
        <w:rPr>
          <w:rFonts w:cstheme="minorHAnsi"/>
          <w:sz w:val="24"/>
          <w:szCs w:val="24"/>
        </w:rPr>
        <w:t xml:space="preserve">wants to challenge </w:t>
      </w:r>
      <w:r w:rsidR="00FF48E5" w:rsidRPr="003B44D7">
        <w:rPr>
          <w:rFonts w:cstheme="minorHAnsi"/>
          <w:sz w:val="24"/>
          <w:szCs w:val="24"/>
        </w:rPr>
        <w:t xml:space="preserve">a </w:t>
      </w:r>
      <w:r w:rsidR="00E658D5" w:rsidRPr="003B44D7">
        <w:rPr>
          <w:rFonts w:cstheme="minorHAnsi"/>
          <w:sz w:val="24"/>
          <w:szCs w:val="24"/>
        </w:rPr>
        <w:t xml:space="preserve">platform </w:t>
      </w:r>
      <w:r w:rsidR="00181BD6" w:rsidRPr="003B44D7">
        <w:rPr>
          <w:rFonts w:cstheme="minorHAnsi"/>
          <w:sz w:val="24"/>
          <w:szCs w:val="24"/>
        </w:rPr>
        <w:t xml:space="preserve">decision </w:t>
      </w:r>
      <w:r w:rsidR="00E658D5" w:rsidRPr="003B44D7">
        <w:rPr>
          <w:rFonts w:cstheme="minorHAnsi"/>
          <w:sz w:val="24"/>
          <w:szCs w:val="24"/>
        </w:rPr>
        <w:t>not to remove content</w:t>
      </w:r>
      <w:r w:rsidR="00FF48E5" w:rsidRPr="003B44D7">
        <w:rPr>
          <w:rFonts w:cstheme="minorHAnsi"/>
          <w:sz w:val="24"/>
          <w:szCs w:val="24"/>
        </w:rPr>
        <w:t xml:space="preserve">, as part and parcel of making a case of systemic deficiencies, </w:t>
      </w:r>
      <w:r w:rsidR="00E658D5" w:rsidRPr="003B44D7">
        <w:rPr>
          <w:rFonts w:cstheme="minorHAnsi"/>
          <w:sz w:val="24"/>
          <w:szCs w:val="24"/>
        </w:rPr>
        <w:t>it needs</w:t>
      </w:r>
      <w:r w:rsidR="00914FDD" w:rsidRPr="003B44D7">
        <w:rPr>
          <w:rFonts w:cstheme="minorHAnsi"/>
          <w:sz w:val="24"/>
          <w:szCs w:val="24"/>
        </w:rPr>
        <w:t xml:space="preserve"> </w:t>
      </w:r>
      <w:r w:rsidR="00E658D5" w:rsidRPr="003B44D7">
        <w:rPr>
          <w:rFonts w:cstheme="minorHAnsi"/>
          <w:sz w:val="24"/>
          <w:szCs w:val="24"/>
        </w:rPr>
        <w:t xml:space="preserve">a </w:t>
      </w:r>
      <w:r w:rsidR="00914FDD" w:rsidRPr="003B44D7">
        <w:rPr>
          <w:rFonts w:cstheme="minorHAnsi"/>
          <w:sz w:val="24"/>
          <w:szCs w:val="24"/>
        </w:rPr>
        <w:t>preliminary rul</w:t>
      </w:r>
      <w:r w:rsidR="00A536D0" w:rsidRPr="003B44D7">
        <w:rPr>
          <w:rFonts w:cstheme="minorHAnsi"/>
          <w:sz w:val="24"/>
          <w:szCs w:val="24"/>
        </w:rPr>
        <w:t>ing</w:t>
      </w:r>
      <w:r w:rsidR="00914FDD" w:rsidRPr="003B44D7">
        <w:rPr>
          <w:rFonts w:cstheme="minorHAnsi"/>
          <w:sz w:val="24"/>
          <w:szCs w:val="24"/>
        </w:rPr>
        <w:t xml:space="preserve"> by a court</w:t>
      </w:r>
      <w:r w:rsidR="00E658D5" w:rsidRPr="003B44D7">
        <w:rPr>
          <w:rFonts w:cstheme="minorHAnsi"/>
          <w:sz w:val="24"/>
          <w:szCs w:val="24"/>
        </w:rPr>
        <w:t xml:space="preserve"> to confirm the unlawfulness of the content.</w:t>
      </w:r>
      <w:r w:rsidR="00914FDD" w:rsidRPr="003B44D7">
        <w:rPr>
          <w:rFonts w:cstheme="minorHAnsi"/>
          <w:sz w:val="24"/>
          <w:szCs w:val="24"/>
        </w:rPr>
        <w:t xml:space="preserve"> </w:t>
      </w:r>
      <w:r w:rsidR="00573F96" w:rsidRPr="003B44D7">
        <w:rPr>
          <w:rFonts w:cstheme="minorHAnsi"/>
          <w:sz w:val="24"/>
          <w:szCs w:val="24"/>
        </w:rPr>
        <w:t xml:space="preserve">So </w:t>
      </w:r>
      <w:r w:rsidR="00573F96" w:rsidRPr="003B44D7">
        <w:rPr>
          <w:rFonts w:cstheme="minorHAnsi"/>
          <w:i/>
          <w:iCs/>
          <w:sz w:val="24"/>
          <w:szCs w:val="24"/>
        </w:rPr>
        <w:t>formally</w:t>
      </w:r>
      <w:r w:rsidR="00573F96" w:rsidRPr="003B44D7">
        <w:rPr>
          <w:rFonts w:cstheme="minorHAnsi"/>
          <w:sz w:val="24"/>
          <w:szCs w:val="24"/>
        </w:rPr>
        <w:t xml:space="preserve"> the State </w:t>
      </w:r>
      <w:r w:rsidR="00137BDF" w:rsidRPr="003B44D7">
        <w:rPr>
          <w:rFonts w:cstheme="minorHAnsi"/>
          <w:sz w:val="24"/>
          <w:szCs w:val="24"/>
        </w:rPr>
        <w:t>through</w:t>
      </w:r>
      <w:r w:rsidR="00DB01D5" w:rsidRPr="003B44D7">
        <w:rPr>
          <w:rFonts w:cstheme="minorHAnsi"/>
          <w:sz w:val="24"/>
          <w:szCs w:val="24"/>
        </w:rPr>
        <w:t xml:space="preserve"> its judiciary </w:t>
      </w:r>
      <w:r w:rsidR="00573F96" w:rsidRPr="003B44D7">
        <w:rPr>
          <w:rFonts w:cstheme="minorHAnsi"/>
          <w:sz w:val="24"/>
          <w:szCs w:val="24"/>
        </w:rPr>
        <w:t>remain</w:t>
      </w:r>
      <w:r w:rsidR="00137BDF" w:rsidRPr="003B44D7">
        <w:rPr>
          <w:rFonts w:cstheme="minorHAnsi"/>
          <w:sz w:val="24"/>
          <w:szCs w:val="24"/>
        </w:rPr>
        <w:t>s</w:t>
      </w:r>
      <w:r w:rsidR="00573F96" w:rsidRPr="003B44D7">
        <w:rPr>
          <w:rFonts w:cstheme="minorHAnsi"/>
          <w:sz w:val="24"/>
          <w:szCs w:val="24"/>
        </w:rPr>
        <w:t xml:space="preserve"> </w:t>
      </w:r>
      <w:r w:rsidR="009215B9" w:rsidRPr="003B44D7">
        <w:rPr>
          <w:rFonts w:cstheme="minorHAnsi"/>
          <w:sz w:val="24"/>
          <w:szCs w:val="24"/>
        </w:rPr>
        <w:t>the</w:t>
      </w:r>
      <w:r w:rsidR="005C3733" w:rsidRPr="003B44D7">
        <w:rPr>
          <w:rFonts w:cstheme="minorHAnsi"/>
          <w:sz w:val="24"/>
          <w:szCs w:val="24"/>
        </w:rPr>
        <w:t xml:space="preserve"> final arbiter</w:t>
      </w:r>
      <w:r w:rsidR="00137BDF" w:rsidRPr="003B44D7">
        <w:rPr>
          <w:rFonts w:cstheme="minorHAnsi"/>
          <w:sz w:val="24"/>
          <w:szCs w:val="24"/>
        </w:rPr>
        <w:t xml:space="preserve"> of content review decisions</w:t>
      </w:r>
      <w:r w:rsidR="00EC7F42">
        <w:rPr>
          <w:rFonts w:cstheme="minorHAnsi"/>
          <w:sz w:val="24"/>
          <w:szCs w:val="24"/>
        </w:rPr>
        <w:t>, and thus</w:t>
      </w:r>
      <w:r w:rsidR="000305BD">
        <w:rPr>
          <w:rFonts w:cstheme="minorHAnsi"/>
          <w:sz w:val="24"/>
          <w:szCs w:val="24"/>
        </w:rPr>
        <w:t xml:space="preserve"> provides</w:t>
      </w:r>
      <w:r w:rsidR="00EC7F42">
        <w:rPr>
          <w:rFonts w:cstheme="minorHAnsi"/>
          <w:sz w:val="24"/>
          <w:szCs w:val="24"/>
        </w:rPr>
        <w:t xml:space="preserve"> an assurance of ultimate oversight</w:t>
      </w:r>
      <w:r w:rsidR="006326F2" w:rsidRPr="003B44D7">
        <w:rPr>
          <w:rFonts w:cstheme="minorHAnsi"/>
          <w:sz w:val="24"/>
          <w:szCs w:val="24"/>
        </w:rPr>
        <w:t>.</w:t>
      </w:r>
      <w:r w:rsidR="006326F2" w:rsidRPr="003B44D7">
        <w:rPr>
          <w:rStyle w:val="FootnoteReference"/>
          <w:rFonts w:cstheme="minorHAnsi"/>
          <w:sz w:val="24"/>
          <w:szCs w:val="24"/>
        </w:rPr>
        <w:footnoteReference w:id="86"/>
      </w:r>
    </w:p>
    <w:p w14:paraId="22AAA69E" w14:textId="04FF2E50" w:rsidR="00FD02F2" w:rsidRPr="003B44D7" w:rsidRDefault="00FD02F2" w:rsidP="004E7EB4">
      <w:pPr>
        <w:spacing w:after="0" w:line="240" w:lineRule="auto"/>
        <w:jc w:val="both"/>
        <w:rPr>
          <w:sz w:val="24"/>
          <w:szCs w:val="24"/>
        </w:rPr>
      </w:pPr>
      <w:r w:rsidRPr="003B44D7">
        <w:rPr>
          <w:rFonts w:cstheme="minorHAnsi"/>
          <w:sz w:val="24"/>
          <w:szCs w:val="24"/>
        </w:rPr>
        <w:t xml:space="preserve"> </w:t>
      </w:r>
    </w:p>
    <w:p w14:paraId="00081B21" w14:textId="75D62512" w:rsidR="001C6A38" w:rsidRPr="003B44D7" w:rsidRDefault="008A1B29" w:rsidP="004E7EB4">
      <w:pPr>
        <w:spacing w:after="0" w:line="240" w:lineRule="auto"/>
        <w:jc w:val="both"/>
        <w:rPr>
          <w:sz w:val="24"/>
          <w:szCs w:val="24"/>
        </w:rPr>
      </w:pPr>
      <w:r w:rsidRPr="003B44D7">
        <w:rPr>
          <w:sz w:val="24"/>
          <w:szCs w:val="24"/>
        </w:rPr>
        <w:t xml:space="preserve">Still </w:t>
      </w:r>
      <w:r w:rsidR="003869E6" w:rsidRPr="003B44D7">
        <w:rPr>
          <w:sz w:val="24"/>
          <w:szCs w:val="24"/>
        </w:rPr>
        <w:t>despite th</w:t>
      </w:r>
      <w:r w:rsidR="00442B1D" w:rsidRPr="003B44D7">
        <w:rPr>
          <w:sz w:val="24"/>
          <w:szCs w:val="24"/>
        </w:rPr>
        <w:t>e</w:t>
      </w:r>
      <w:r w:rsidR="003869E6" w:rsidRPr="003B44D7">
        <w:rPr>
          <w:sz w:val="24"/>
          <w:szCs w:val="24"/>
        </w:rPr>
        <w:t xml:space="preserve"> final </w:t>
      </w:r>
      <w:r w:rsidR="00BC4A04" w:rsidRPr="003B44D7">
        <w:rPr>
          <w:sz w:val="24"/>
          <w:szCs w:val="24"/>
        </w:rPr>
        <w:t xml:space="preserve">formal </w:t>
      </w:r>
      <w:r w:rsidR="003869E6" w:rsidRPr="003B44D7">
        <w:rPr>
          <w:sz w:val="24"/>
          <w:szCs w:val="24"/>
        </w:rPr>
        <w:t xml:space="preserve">authority of the State, </w:t>
      </w:r>
      <w:r w:rsidR="005414B0" w:rsidRPr="003B44D7">
        <w:rPr>
          <w:sz w:val="24"/>
          <w:szCs w:val="24"/>
        </w:rPr>
        <w:t>the</w:t>
      </w:r>
      <w:r w:rsidR="00FD02F2" w:rsidRPr="003B44D7">
        <w:rPr>
          <w:rFonts w:cstheme="minorHAnsi"/>
          <w:sz w:val="24"/>
          <w:szCs w:val="24"/>
        </w:rPr>
        <w:t xml:space="preserve"> </w:t>
      </w:r>
      <w:r w:rsidR="003625A9" w:rsidRPr="003B44D7">
        <w:rPr>
          <w:i/>
          <w:iCs/>
          <w:sz w:val="24"/>
          <w:szCs w:val="24"/>
        </w:rPr>
        <w:t xml:space="preserve">raison </w:t>
      </w:r>
      <w:proofErr w:type="spellStart"/>
      <w:r w:rsidR="003625A9" w:rsidRPr="003B44D7">
        <w:rPr>
          <w:i/>
          <w:iCs/>
          <w:sz w:val="24"/>
          <w:szCs w:val="24"/>
        </w:rPr>
        <w:t>d'etre</w:t>
      </w:r>
      <w:proofErr w:type="spellEnd"/>
      <w:r w:rsidR="003625A9" w:rsidRPr="003B44D7">
        <w:rPr>
          <w:sz w:val="24"/>
          <w:szCs w:val="24"/>
        </w:rPr>
        <w:t xml:space="preserve"> of NetzDG</w:t>
      </w:r>
      <w:r w:rsidR="003625A9" w:rsidRPr="003B44D7">
        <w:rPr>
          <w:i/>
          <w:iCs/>
          <w:sz w:val="24"/>
          <w:szCs w:val="24"/>
        </w:rPr>
        <w:t xml:space="preserve"> is</w:t>
      </w:r>
      <w:r w:rsidR="00BC4A04" w:rsidRPr="003B44D7">
        <w:rPr>
          <w:sz w:val="24"/>
          <w:szCs w:val="24"/>
        </w:rPr>
        <w:t xml:space="preserve"> </w:t>
      </w:r>
      <w:r w:rsidR="00584B32" w:rsidRPr="003B44D7">
        <w:rPr>
          <w:sz w:val="24"/>
          <w:szCs w:val="24"/>
        </w:rPr>
        <w:t xml:space="preserve">indeed </w:t>
      </w:r>
      <w:r w:rsidR="00A041C3" w:rsidRPr="003B44D7">
        <w:rPr>
          <w:sz w:val="24"/>
          <w:szCs w:val="24"/>
        </w:rPr>
        <w:t>t</w:t>
      </w:r>
      <w:r w:rsidR="003625A9" w:rsidRPr="003B44D7">
        <w:rPr>
          <w:sz w:val="24"/>
          <w:szCs w:val="24"/>
        </w:rPr>
        <w:t xml:space="preserve">o </w:t>
      </w:r>
      <w:r w:rsidR="00F8075F" w:rsidRPr="003B44D7">
        <w:rPr>
          <w:sz w:val="24"/>
          <w:szCs w:val="24"/>
        </w:rPr>
        <w:t>heighten the legitimacy of the</w:t>
      </w:r>
      <w:r w:rsidR="00F8075F" w:rsidRPr="003B44D7">
        <w:rPr>
          <w:rFonts w:cstheme="minorHAnsi"/>
          <w:sz w:val="24"/>
          <w:szCs w:val="24"/>
        </w:rPr>
        <w:t xml:space="preserve"> private review process</w:t>
      </w:r>
      <w:r w:rsidR="00816939" w:rsidRPr="003B44D7">
        <w:rPr>
          <w:rFonts w:cstheme="minorHAnsi"/>
          <w:sz w:val="24"/>
          <w:szCs w:val="24"/>
        </w:rPr>
        <w:t>es</w:t>
      </w:r>
      <w:r w:rsidR="00F8075F" w:rsidRPr="003B44D7">
        <w:rPr>
          <w:rFonts w:cstheme="minorHAnsi"/>
          <w:sz w:val="24"/>
          <w:szCs w:val="24"/>
        </w:rPr>
        <w:t xml:space="preserve"> which platforms have </w:t>
      </w:r>
      <w:r w:rsidR="00EB544F" w:rsidRPr="003B44D7">
        <w:rPr>
          <w:rFonts w:cstheme="minorHAnsi"/>
          <w:sz w:val="24"/>
          <w:szCs w:val="24"/>
        </w:rPr>
        <w:t>had</w:t>
      </w:r>
      <w:r w:rsidR="00F8075F" w:rsidRPr="003B44D7">
        <w:rPr>
          <w:rFonts w:cstheme="minorHAnsi"/>
          <w:sz w:val="24"/>
          <w:szCs w:val="24"/>
        </w:rPr>
        <w:t xml:space="preserve"> in place for some time, and </w:t>
      </w:r>
      <w:r w:rsidR="00EF479D" w:rsidRPr="003B44D7">
        <w:rPr>
          <w:sz w:val="24"/>
          <w:szCs w:val="24"/>
        </w:rPr>
        <w:t xml:space="preserve">thereby their </w:t>
      </w:r>
      <w:r w:rsidR="009215B9" w:rsidRPr="003B44D7">
        <w:rPr>
          <w:sz w:val="24"/>
          <w:szCs w:val="24"/>
        </w:rPr>
        <w:t xml:space="preserve">relative </w:t>
      </w:r>
      <w:r w:rsidR="00EF479D" w:rsidRPr="003B44D7">
        <w:rPr>
          <w:sz w:val="24"/>
          <w:szCs w:val="24"/>
        </w:rPr>
        <w:t>self-sufficiency</w:t>
      </w:r>
      <w:r w:rsidR="005A2677" w:rsidRPr="003B44D7">
        <w:rPr>
          <w:sz w:val="24"/>
          <w:szCs w:val="24"/>
        </w:rPr>
        <w:t>,</w:t>
      </w:r>
      <w:r w:rsidR="00EF479D" w:rsidRPr="003B44D7">
        <w:rPr>
          <w:sz w:val="24"/>
          <w:szCs w:val="24"/>
        </w:rPr>
        <w:t xml:space="preserve"> </w:t>
      </w:r>
      <w:r w:rsidR="00EF479D" w:rsidRPr="003B44D7">
        <w:rPr>
          <w:rFonts w:cstheme="minorHAnsi"/>
          <w:sz w:val="24"/>
          <w:szCs w:val="24"/>
        </w:rPr>
        <w:t>and thus</w:t>
      </w:r>
      <w:r w:rsidR="00137BDF" w:rsidRPr="003B44D7">
        <w:rPr>
          <w:rFonts w:cstheme="minorHAnsi"/>
          <w:sz w:val="24"/>
          <w:szCs w:val="24"/>
        </w:rPr>
        <w:t xml:space="preserve"> </w:t>
      </w:r>
      <w:r w:rsidR="00EF479D" w:rsidRPr="003B44D7">
        <w:rPr>
          <w:rFonts w:cstheme="minorHAnsi"/>
          <w:sz w:val="24"/>
          <w:szCs w:val="24"/>
        </w:rPr>
        <w:t>to</w:t>
      </w:r>
      <w:r w:rsidR="00F8075F" w:rsidRPr="003B44D7">
        <w:rPr>
          <w:rFonts w:cstheme="minorHAnsi"/>
          <w:sz w:val="24"/>
          <w:szCs w:val="24"/>
        </w:rPr>
        <w:t xml:space="preserve"> </w:t>
      </w:r>
      <w:r w:rsidR="00F8075F" w:rsidRPr="003B44D7">
        <w:rPr>
          <w:sz w:val="24"/>
          <w:szCs w:val="24"/>
        </w:rPr>
        <w:t xml:space="preserve">minimise the expected </w:t>
      </w:r>
      <w:r w:rsidR="00F8075F" w:rsidRPr="003B44D7">
        <w:rPr>
          <w:i/>
          <w:iCs/>
          <w:sz w:val="24"/>
          <w:szCs w:val="24"/>
        </w:rPr>
        <w:t>substantive</w:t>
      </w:r>
      <w:r w:rsidR="00F8075F" w:rsidRPr="003B44D7">
        <w:rPr>
          <w:sz w:val="24"/>
          <w:szCs w:val="24"/>
        </w:rPr>
        <w:t xml:space="preserve"> role of the State to </w:t>
      </w:r>
      <w:r w:rsidR="00EF479D" w:rsidRPr="003B44D7">
        <w:rPr>
          <w:sz w:val="24"/>
          <w:szCs w:val="24"/>
        </w:rPr>
        <w:t>deal with</w:t>
      </w:r>
      <w:r w:rsidR="00F8075F" w:rsidRPr="003B44D7">
        <w:rPr>
          <w:sz w:val="24"/>
          <w:szCs w:val="24"/>
        </w:rPr>
        <w:t xml:space="preserve"> </w:t>
      </w:r>
      <w:r w:rsidR="00C26F7A" w:rsidRPr="003B44D7">
        <w:rPr>
          <w:sz w:val="24"/>
          <w:szCs w:val="24"/>
        </w:rPr>
        <w:t xml:space="preserve">problematic </w:t>
      </w:r>
      <w:r w:rsidR="00F8075F" w:rsidRPr="003B44D7">
        <w:rPr>
          <w:sz w:val="24"/>
          <w:szCs w:val="24"/>
        </w:rPr>
        <w:t>online content. Given the sheer quantity of online content,</w:t>
      </w:r>
      <w:r w:rsidR="00EF479D" w:rsidRPr="003B44D7">
        <w:rPr>
          <w:sz w:val="24"/>
          <w:szCs w:val="24"/>
        </w:rPr>
        <w:t xml:space="preserve"> discharging th</w:t>
      </w:r>
      <w:r w:rsidR="005A2677" w:rsidRPr="003B44D7">
        <w:rPr>
          <w:sz w:val="24"/>
          <w:szCs w:val="24"/>
        </w:rPr>
        <w:t>at</w:t>
      </w:r>
      <w:r w:rsidR="00EF479D" w:rsidRPr="003B44D7">
        <w:rPr>
          <w:sz w:val="24"/>
          <w:szCs w:val="24"/>
        </w:rPr>
        <w:t xml:space="preserve"> substantive role would otherwise </w:t>
      </w:r>
      <w:r w:rsidR="00816939" w:rsidRPr="003B44D7">
        <w:rPr>
          <w:sz w:val="24"/>
          <w:szCs w:val="24"/>
        </w:rPr>
        <w:t>require</w:t>
      </w:r>
      <w:r w:rsidR="00EF479D" w:rsidRPr="003B44D7">
        <w:rPr>
          <w:sz w:val="24"/>
          <w:szCs w:val="24"/>
        </w:rPr>
        <w:t xml:space="preserve"> the State’s heavy investment in ‘its own infrastructure... to improve the enforcement of its laws – by strengthening law enforcement authority, prosecutors and court…’</w:t>
      </w:r>
      <w:r w:rsidR="00EF479D" w:rsidRPr="003B44D7">
        <w:rPr>
          <w:rStyle w:val="FootnoteReference"/>
          <w:sz w:val="24"/>
          <w:szCs w:val="24"/>
        </w:rPr>
        <w:footnoteReference w:id="87"/>
      </w:r>
      <w:r w:rsidR="009215B9" w:rsidRPr="003B44D7">
        <w:rPr>
          <w:sz w:val="24"/>
          <w:szCs w:val="24"/>
        </w:rPr>
        <w:t xml:space="preserve"> Content a</w:t>
      </w:r>
      <w:r w:rsidR="002664CA" w:rsidRPr="003B44D7">
        <w:rPr>
          <w:sz w:val="24"/>
          <w:szCs w:val="24"/>
        </w:rPr>
        <w:t>ssessment and takedown</w:t>
      </w:r>
      <w:r w:rsidR="009215B9" w:rsidRPr="003B44D7">
        <w:rPr>
          <w:sz w:val="24"/>
          <w:szCs w:val="24"/>
        </w:rPr>
        <w:t xml:space="preserve"> is</w:t>
      </w:r>
      <w:r w:rsidR="00A041C3" w:rsidRPr="003B44D7">
        <w:rPr>
          <w:sz w:val="24"/>
          <w:szCs w:val="24"/>
        </w:rPr>
        <w:t xml:space="preserve"> th</w:t>
      </w:r>
      <w:r w:rsidR="00EB544F" w:rsidRPr="003B44D7">
        <w:rPr>
          <w:sz w:val="24"/>
          <w:szCs w:val="24"/>
        </w:rPr>
        <w:t>us</w:t>
      </w:r>
      <w:r w:rsidR="003869E6" w:rsidRPr="003B44D7">
        <w:rPr>
          <w:sz w:val="24"/>
          <w:szCs w:val="24"/>
        </w:rPr>
        <w:t xml:space="preserve"> </w:t>
      </w:r>
      <w:r w:rsidR="00D4622C">
        <w:rPr>
          <w:sz w:val="24"/>
          <w:szCs w:val="24"/>
        </w:rPr>
        <w:t>‘</w:t>
      </w:r>
      <w:r w:rsidR="009215B9" w:rsidRPr="003B44D7">
        <w:rPr>
          <w:sz w:val="24"/>
          <w:szCs w:val="24"/>
        </w:rPr>
        <w:t>transferred</w:t>
      </w:r>
      <w:r w:rsidR="00D4622C">
        <w:rPr>
          <w:sz w:val="24"/>
          <w:szCs w:val="24"/>
        </w:rPr>
        <w:t>’</w:t>
      </w:r>
      <w:r w:rsidR="009215B9" w:rsidRPr="003B44D7">
        <w:rPr>
          <w:sz w:val="24"/>
          <w:szCs w:val="24"/>
        </w:rPr>
        <w:t xml:space="preserve"> to platform</w:t>
      </w:r>
      <w:r w:rsidR="00522717" w:rsidRPr="003B44D7">
        <w:rPr>
          <w:sz w:val="24"/>
          <w:szCs w:val="24"/>
        </w:rPr>
        <w:t>s</w:t>
      </w:r>
      <w:r w:rsidR="009215B9" w:rsidRPr="003B44D7">
        <w:rPr>
          <w:sz w:val="24"/>
          <w:szCs w:val="24"/>
        </w:rPr>
        <w:t xml:space="preserve"> </w:t>
      </w:r>
      <w:r w:rsidR="00816939" w:rsidRPr="003B44D7">
        <w:rPr>
          <w:sz w:val="24"/>
          <w:szCs w:val="24"/>
        </w:rPr>
        <w:t>as</w:t>
      </w:r>
      <w:r w:rsidR="003869E6" w:rsidRPr="003B44D7">
        <w:rPr>
          <w:sz w:val="24"/>
          <w:szCs w:val="24"/>
        </w:rPr>
        <w:t xml:space="preserve"> </w:t>
      </w:r>
      <w:r w:rsidR="00127B13" w:rsidRPr="003B44D7">
        <w:rPr>
          <w:sz w:val="24"/>
          <w:szCs w:val="24"/>
        </w:rPr>
        <w:t xml:space="preserve">active </w:t>
      </w:r>
      <w:r w:rsidR="005208A0">
        <w:rPr>
          <w:sz w:val="24"/>
          <w:szCs w:val="24"/>
        </w:rPr>
        <w:t xml:space="preserve">in situ </w:t>
      </w:r>
      <w:r w:rsidR="001B1208" w:rsidRPr="003B44D7">
        <w:rPr>
          <w:sz w:val="24"/>
          <w:szCs w:val="24"/>
        </w:rPr>
        <w:t xml:space="preserve">gatekeepers to </w:t>
      </w:r>
      <w:r w:rsidR="00185D12" w:rsidRPr="003B44D7">
        <w:rPr>
          <w:sz w:val="24"/>
          <w:szCs w:val="24"/>
        </w:rPr>
        <w:t xml:space="preserve">act as </w:t>
      </w:r>
      <w:r w:rsidR="000B4D78">
        <w:rPr>
          <w:sz w:val="24"/>
          <w:szCs w:val="24"/>
        </w:rPr>
        <w:t xml:space="preserve">a </w:t>
      </w:r>
      <w:r w:rsidR="00185D12" w:rsidRPr="003B44D7">
        <w:rPr>
          <w:sz w:val="24"/>
          <w:szCs w:val="24"/>
        </w:rPr>
        <w:t>kind of</w:t>
      </w:r>
      <w:r w:rsidR="001B1208" w:rsidRPr="003B44D7">
        <w:rPr>
          <w:sz w:val="24"/>
          <w:szCs w:val="24"/>
        </w:rPr>
        <w:t xml:space="preserve"> </w:t>
      </w:r>
      <w:r w:rsidR="003869E6" w:rsidRPr="003B44D7">
        <w:rPr>
          <w:sz w:val="24"/>
          <w:szCs w:val="24"/>
        </w:rPr>
        <w:t>first instance</w:t>
      </w:r>
      <w:r w:rsidR="00816939" w:rsidRPr="003B44D7">
        <w:rPr>
          <w:sz w:val="24"/>
          <w:szCs w:val="24"/>
        </w:rPr>
        <w:t xml:space="preserve"> </w:t>
      </w:r>
      <w:r w:rsidR="00127B13" w:rsidRPr="003B44D7">
        <w:rPr>
          <w:sz w:val="24"/>
          <w:szCs w:val="24"/>
        </w:rPr>
        <w:t>t</w:t>
      </w:r>
      <w:r w:rsidR="00816939" w:rsidRPr="003B44D7">
        <w:rPr>
          <w:sz w:val="24"/>
          <w:szCs w:val="24"/>
        </w:rPr>
        <w:t>ribunal</w:t>
      </w:r>
      <w:r w:rsidR="00185D12" w:rsidRPr="003B44D7">
        <w:rPr>
          <w:sz w:val="24"/>
          <w:szCs w:val="24"/>
        </w:rPr>
        <w:t xml:space="preserve">s - </w:t>
      </w:r>
      <w:r w:rsidR="00127B13" w:rsidRPr="003B44D7">
        <w:rPr>
          <w:sz w:val="24"/>
          <w:szCs w:val="24"/>
        </w:rPr>
        <w:t>albeit</w:t>
      </w:r>
      <w:r w:rsidR="001B1208" w:rsidRPr="003B44D7">
        <w:rPr>
          <w:sz w:val="24"/>
          <w:szCs w:val="24"/>
        </w:rPr>
        <w:t xml:space="preserve"> on the assumption that their</w:t>
      </w:r>
      <w:r w:rsidR="00137BDF" w:rsidRPr="003B44D7">
        <w:rPr>
          <w:sz w:val="24"/>
          <w:szCs w:val="24"/>
        </w:rPr>
        <w:t xml:space="preserve"> process</w:t>
      </w:r>
      <w:r w:rsidR="00816939" w:rsidRPr="003B44D7">
        <w:rPr>
          <w:sz w:val="24"/>
          <w:szCs w:val="24"/>
        </w:rPr>
        <w:t xml:space="preserve">es </w:t>
      </w:r>
      <w:r w:rsidR="00137BDF" w:rsidRPr="003B44D7">
        <w:rPr>
          <w:sz w:val="24"/>
          <w:szCs w:val="24"/>
        </w:rPr>
        <w:t>will</w:t>
      </w:r>
      <w:r w:rsidR="00816939" w:rsidRPr="003B44D7">
        <w:rPr>
          <w:sz w:val="24"/>
          <w:szCs w:val="24"/>
        </w:rPr>
        <w:t xml:space="preserve"> </w:t>
      </w:r>
      <w:r w:rsidR="00137BDF" w:rsidRPr="003B44D7">
        <w:rPr>
          <w:sz w:val="24"/>
          <w:szCs w:val="24"/>
        </w:rPr>
        <w:t xml:space="preserve">be conclusive in </w:t>
      </w:r>
      <w:r w:rsidR="00127B13" w:rsidRPr="003B44D7">
        <w:rPr>
          <w:sz w:val="24"/>
          <w:szCs w:val="24"/>
        </w:rPr>
        <w:t>most</w:t>
      </w:r>
      <w:r w:rsidR="00137BDF" w:rsidRPr="003B44D7">
        <w:rPr>
          <w:sz w:val="24"/>
          <w:szCs w:val="24"/>
        </w:rPr>
        <w:t xml:space="preserve"> cases</w:t>
      </w:r>
      <w:r w:rsidR="005208A0">
        <w:rPr>
          <w:sz w:val="24"/>
          <w:szCs w:val="24"/>
        </w:rPr>
        <w:t>,</w:t>
      </w:r>
      <w:r w:rsidR="00816939" w:rsidRPr="003B44D7">
        <w:rPr>
          <w:sz w:val="24"/>
          <w:szCs w:val="24"/>
        </w:rPr>
        <w:t xml:space="preserve"> </w:t>
      </w:r>
      <w:r w:rsidR="001B1208" w:rsidRPr="003B44D7">
        <w:rPr>
          <w:sz w:val="24"/>
          <w:szCs w:val="24"/>
        </w:rPr>
        <w:t>given</w:t>
      </w:r>
      <w:r w:rsidR="00816939" w:rsidRPr="003B44D7">
        <w:rPr>
          <w:sz w:val="24"/>
          <w:szCs w:val="24"/>
        </w:rPr>
        <w:t xml:space="preserve"> </w:t>
      </w:r>
      <w:r w:rsidR="003869E6" w:rsidRPr="003B44D7">
        <w:rPr>
          <w:sz w:val="24"/>
          <w:szCs w:val="24"/>
        </w:rPr>
        <w:t>the cost of litigation</w:t>
      </w:r>
      <w:r w:rsidR="00816939" w:rsidRPr="003B44D7">
        <w:rPr>
          <w:sz w:val="24"/>
          <w:szCs w:val="24"/>
        </w:rPr>
        <w:t xml:space="preserve"> </w:t>
      </w:r>
      <w:r w:rsidR="001F74BF" w:rsidRPr="003B44D7">
        <w:rPr>
          <w:sz w:val="24"/>
          <w:szCs w:val="24"/>
        </w:rPr>
        <w:t>vis-à-vis</w:t>
      </w:r>
      <w:r w:rsidR="00816939" w:rsidRPr="003B44D7">
        <w:rPr>
          <w:sz w:val="24"/>
          <w:szCs w:val="24"/>
        </w:rPr>
        <w:t xml:space="preserve"> the</w:t>
      </w:r>
      <w:r w:rsidR="001F74BF" w:rsidRPr="003B44D7">
        <w:rPr>
          <w:sz w:val="24"/>
          <w:szCs w:val="24"/>
        </w:rPr>
        <w:t xml:space="preserve"> relatively</w:t>
      </w:r>
      <w:r w:rsidR="00816939" w:rsidRPr="003B44D7">
        <w:rPr>
          <w:sz w:val="24"/>
          <w:szCs w:val="24"/>
        </w:rPr>
        <w:t xml:space="preserve"> low-</w:t>
      </w:r>
      <w:r w:rsidR="00EB544F" w:rsidRPr="003B44D7">
        <w:rPr>
          <w:sz w:val="24"/>
          <w:szCs w:val="24"/>
        </w:rPr>
        <w:t>value</w:t>
      </w:r>
      <w:r w:rsidR="00816939" w:rsidRPr="003B44D7">
        <w:rPr>
          <w:sz w:val="24"/>
          <w:szCs w:val="24"/>
        </w:rPr>
        <w:t xml:space="preserve"> of </w:t>
      </w:r>
      <w:r w:rsidR="001F74BF" w:rsidRPr="003B44D7">
        <w:rPr>
          <w:sz w:val="24"/>
          <w:szCs w:val="24"/>
        </w:rPr>
        <w:t>most complaints</w:t>
      </w:r>
      <w:r w:rsidR="00137BDF" w:rsidRPr="003B44D7">
        <w:rPr>
          <w:sz w:val="24"/>
          <w:szCs w:val="24"/>
        </w:rPr>
        <w:t>.</w:t>
      </w:r>
      <w:r w:rsidR="000B1A20">
        <w:rPr>
          <w:rStyle w:val="FootnoteReference"/>
          <w:sz w:val="24"/>
          <w:szCs w:val="24"/>
        </w:rPr>
        <w:footnoteReference w:id="88"/>
      </w:r>
      <w:r w:rsidR="00137BDF" w:rsidRPr="003B44D7">
        <w:rPr>
          <w:sz w:val="24"/>
          <w:szCs w:val="24"/>
        </w:rPr>
        <w:t xml:space="preserve"> </w:t>
      </w:r>
      <w:r w:rsidR="00D4622C">
        <w:rPr>
          <w:sz w:val="24"/>
          <w:szCs w:val="24"/>
        </w:rPr>
        <w:t>T</w:t>
      </w:r>
      <w:r w:rsidR="003869E6" w:rsidRPr="003B44D7">
        <w:rPr>
          <w:sz w:val="24"/>
          <w:szCs w:val="24"/>
        </w:rPr>
        <w:t>h</w:t>
      </w:r>
      <w:r w:rsidR="00D4622C">
        <w:rPr>
          <w:sz w:val="24"/>
          <w:szCs w:val="24"/>
        </w:rPr>
        <w:t>e term</w:t>
      </w:r>
      <w:r w:rsidR="00137BDF" w:rsidRPr="003B44D7">
        <w:rPr>
          <w:sz w:val="24"/>
          <w:szCs w:val="24"/>
        </w:rPr>
        <w:t xml:space="preserve"> </w:t>
      </w:r>
      <w:r w:rsidR="00D4622C">
        <w:rPr>
          <w:sz w:val="24"/>
          <w:szCs w:val="24"/>
        </w:rPr>
        <w:t>‘</w:t>
      </w:r>
      <w:r w:rsidR="00137BDF" w:rsidRPr="003B44D7">
        <w:rPr>
          <w:sz w:val="24"/>
          <w:szCs w:val="24"/>
        </w:rPr>
        <w:t>transfer</w:t>
      </w:r>
      <w:r w:rsidR="00D4622C">
        <w:rPr>
          <w:sz w:val="24"/>
          <w:szCs w:val="24"/>
        </w:rPr>
        <w:t>’</w:t>
      </w:r>
      <w:r w:rsidR="00B54FE2">
        <w:rPr>
          <w:sz w:val="24"/>
          <w:szCs w:val="24"/>
        </w:rPr>
        <w:t xml:space="preserve"> </w:t>
      </w:r>
      <w:r w:rsidR="00D4622C">
        <w:rPr>
          <w:sz w:val="24"/>
          <w:szCs w:val="24"/>
        </w:rPr>
        <w:t>misrepresents the situation</w:t>
      </w:r>
      <w:r w:rsidR="00B54FE2">
        <w:rPr>
          <w:sz w:val="24"/>
          <w:szCs w:val="24"/>
        </w:rPr>
        <w:t xml:space="preserve"> </w:t>
      </w:r>
      <w:r w:rsidR="005208A0">
        <w:rPr>
          <w:sz w:val="24"/>
          <w:szCs w:val="24"/>
        </w:rPr>
        <w:t xml:space="preserve">in so far as </w:t>
      </w:r>
      <w:r w:rsidR="00D4622C">
        <w:rPr>
          <w:sz w:val="24"/>
          <w:szCs w:val="24"/>
        </w:rPr>
        <w:t xml:space="preserve">the State had not previously discharged </w:t>
      </w:r>
      <w:r w:rsidR="005208A0">
        <w:rPr>
          <w:sz w:val="24"/>
          <w:szCs w:val="24"/>
        </w:rPr>
        <w:t>a comparable</w:t>
      </w:r>
      <w:r w:rsidR="00D4622C">
        <w:rPr>
          <w:sz w:val="24"/>
          <w:szCs w:val="24"/>
        </w:rPr>
        <w:t xml:space="preserve"> takedown role, other than in the isolated cases brought before courts. In any event, such ‘transfer’ of responsibility </w:t>
      </w:r>
      <w:r w:rsidR="000305BD">
        <w:rPr>
          <w:sz w:val="24"/>
          <w:szCs w:val="24"/>
        </w:rPr>
        <w:t xml:space="preserve">is </w:t>
      </w:r>
      <w:r w:rsidR="003869E6" w:rsidRPr="003B44D7">
        <w:rPr>
          <w:sz w:val="24"/>
          <w:szCs w:val="24"/>
        </w:rPr>
        <w:t>n</w:t>
      </w:r>
      <w:r w:rsidR="00816939" w:rsidRPr="003B44D7">
        <w:rPr>
          <w:sz w:val="24"/>
          <w:szCs w:val="24"/>
        </w:rPr>
        <w:t>either</w:t>
      </w:r>
      <w:r w:rsidR="003869E6" w:rsidRPr="003B44D7">
        <w:rPr>
          <w:sz w:val="24"/>
          <w:szCs w:val="24"/>
        </w:rPr>
        <w:t xml:space="preserve"> in itself nove</w:t>
      </w:r>
      <w:r w:rsidR="00EC7F42">
        <w:rPr>
          <w:sz w:val="24"/>
          <w:szCs w:val="24"/>
        </w:rPr>
        <w:t>l</w:t>
      </w:r>
      <w:r w:rsidR="00EC7F42" w:rsidRPr="003B44D7">
        <w:rPr>
          <w:rStyle w:val="FootnoteReference"/>
          <w:sz w:val="24"/>
          <w:szCs w:val="24"/>
        </w:rPr>
        <w:footnoteReference w:id="89"/>
      </w:r>
      <w:r w:rsidR="00816939" w:rsidRPr="003B44D7">
        <w:rPr>
          <w:sz w:val="24"/>
          <w:szCs w:val="24"/>
        </w:rPr>
        <w:t xml:space="preserve"> nor </w:t>
      </w:r>
      <w:r w:rsidR="00816939" w:rsidRPr="003B44D7">
        <w:rPr>
          <w:sz w:val="24"/>
          <w:szCs w:val="24"/>
        </w:rPr>
        <w:lastRenderedPageBreak/>
        <w:t>constitutionally problematic</w:t>
      </w:r>
      <w:r w:rsidR="00185D12" w:rsidRPr="003B44D7">
        <w:rPr>
          <w:sz w:val="24"/>
          <w:szCs w:val="24"/>
        </w:rPr>
        <w:t xml:space="preserve"> under German or EU law</w:t>
      </w:r>
      <w:r w:rsidR="00D4622C">
        <w:rPr>
          <w:sz w:val="24"/>
          <w:szCs w:val="24"/>
        </w:rPr>
        <w:t>.</w:t>
      </w:r>
      <w:r w:rsidR="00816939" w:rsidRPr="003B44D7">
        <w:rPr>
          <w:rStyle w:val="FootnoteReference"/>
          <w:sz w:val="24"/>
          <w:szCs w:val="24"/>
        </w:rPr>
        <w:footnoteReference w:id="90"/>
      </w:r>
      <w:r w:rsidR="003869E6" w:rsidRPr="003B44D7">
        <w:rPr>
          <w:sz w:val="24"/>
          <w:szCs w:val="24"/>
        </w:rPr>
        <w:t xml:space="preserve"> </w:t>
      </w:r>
      <w:r w:rsidR="00D4622C">
        <w:rPr>
          <w:sz w:val="24"/>
          <w:szCs w:val="24"/>
        </w:rPr>
        <w:t>Still, b</w:t>
      </w:r>
      <w:r w:rsidR="003869E6" w:rsidRPr="003B44D7">
        <w:rPr>
          <w:sz w:val="24"/>
          <w:szCs w:val="24"/>
        </w:rPr>
        <w:t>y</w:t>
      </w:r>
      <w:r w:rsidR="00816939" w:rsidRPr="003B44D7">
        <w:rPr>
          <w:sz w:val="24"/>
          <w:szCs w:val="24"/>
        </w:rPr>
        <w:t xml:space="preserve"> </w:t>
      </w:r>
      <w:r w:rsidR="00363A2D" w:rsidRPr="003B44D7">
        <w:rPr>
          <w:sz w:val="24"/>
          <w:szCs w:val="24"/>
        </w:rPr>
        <w:t xml:space="preserve">imposing </w:t>
      </w:r>
      <w:r w:rsidR="002664CA" w:rsidRPr="003B44D7">
        <w:rPr>
          <w:sz w:val="24"/>
          <w:szCs w:val="24"/>
        </w:rPr>
        <w:t>minimum transparency and procedural fairness standards</w:t>
      </w:r>
      <w:r w:rsidR="00363A2D" w:rsidRPr="003B44D7">
        <w:rPr>
          <w:sz w:val="24"/>
          <w:szCs w:val="24"/>
        </w:rPr>
        <w:t xml:space="preserve"> </w:t>
      </w:r>
      <w:r w:rsidR="00522717" w:rsidRPr="003B44D7">
        <w:rPr>
          <w:sz w:val="24"/>
          <w:szCs w:val="24"/>
        </w:rPr>
        <w:t>on</w:t>
      </w:r>
      <w:r w:rsidR="00363A2D" w:rsidRPr="003B44D7">
        <w:rPr>
          <w:sz w:val="24"/>
          <w:szCs w:val="24"/>
        </w:rPr>
        <w:t xml:space="preserve"> the</w:t>
      </w:r>
      <w:r w:rsidR="00EF479D" w:rsidRPr="003B44D7">
        <w:rPr>
          <w:sz w:val="24"/>
          <w:szCs w:val="24"/>
        </w:rPr>
        <w:t xml:space="preserve"> review process, </w:t>
      </w:r>
      <w:r w:rsidR="007E2CC0" w:rsidRPr="003B44D7">
        <w:rPr>
          <w:rFonts w:cstheme="minorHAnsi"/>
          <w:sz w:val="24"/>
          <w:szCs w:val="24"/>
        </w:rPr>
        <w:t xml:space="preserve">NetzDG fundamentally breaks with </w:t>
      </w:r>
      <w:r w:rsidR="00816939" w:rsidRPr="003B44D7">
        <w:rPr>
          <w:rFonts w:cstheme="minorHAnsi"/>
          <w:sz w:val="24"/>
          <w:szCs w:val="24"/>
        </w:rPr>
        <w:t>existing</w:t>
      </w:r>
      <w:r w:rsidR="00477DDC" w:rsidRPr="003B44D7">
        <w:rPr>
          <w:rFonts w:cstheme="minorHAnsi"/>
          <w:sz w:val="24"/>
          <w:szCs w:val="24"/>
        </w:rPr>
        <w:t xml:space="preserve"> intermediary</w:t>
      </w:r>
      <w:r w:rsidR="009C352A" w:rsidRPr="003B44D7">
        <w:rPr>
          <w:rFonts w:cstheme="minorHAnsi"/>
          <w:sz w:val="24"/>
          <w:szCs w:val="24"/>
        </w:rPr>
        <w:t xml:space="preserve"> takedown</w:t>
      </w:r>
      <w:r w:rsidR="007E2CC0" w:rsidRPr="003B44D7">
        <w:rPr>
          <w:rFonts w:cstheme="minorHAnsi"/>
          <w:sz w:val="24"/>
          <w:szCs w:val="24"/>
        </w:rPr>
        <w:t xml:space="preserve"> regi</w:t>
      </w:r>
      <w:r w:rsidR="00477DDC" w:rsidRPr="003B44D7">
        <w:rPr>
          <w:rFonts w:cstheme="minorHAnsi"/>
          <w:sz w:val="24"/>
          <w:szCs w:val="24"/>
        </w:rPr>
        <w:t>mes</w:t>
      </w:r>
      <w:r w:rsidR="00D4622C">
        <w:rPr>
          <w:rFonts w:cstheme="minorHAnsi"/>
          <w:sz w:val="24"/>
          <w:szCs w:val="24"/>
        </w:rPr>
        <w:t>,</w:t>
      </w:r>
      <w:r w:rsidR="000324E2" w:rsidRPr="003B44D7">
        <w:rPr>
          <w:rStyle w:val="FootnoteReference"/>
          <w:rFonts w:cstheme="minorHAnsi"/>
          <w:sz w:val="24"/>
          <w:szCs w:val="24"/>
        </w:rPr>
        <w:footnoteReference w:id="91"/>
      </w:r>
      <w:r w:rsidR="00D4622C">
        <w:rPr>
          <w:rFonts w:cstheme="minorHAnsi"/>
          <w:sz w:val="24"/>
          <w:szCs w:val="24"/>
        </w:rPr>
        <w:t xml:space="preserve"> which </w:t>
      </w:r>
      <w:r w:rsidR="002664CA" w:rsidRPr="003B44D7">
        <w:rPr>
          <w:rFonts w:cstheme="minorHAnsi"/>
          <w:sz w:val="24"/>
          <w:szCs w:val="24"/>
        </w:rPr>
        <w:t>had</w:t>
      </w:r>
      <w:r w:rsidR="00EF479D" w:rsidRPr="003B44D7">
        <w:rPr>
          <w:rFonts w:cstheme="minorHAnsi"/>
          <w:sz w:val="24"/>
          <w:szCs w:val="24"/>
        </w:rPr>
        <w:t xml:space="preserve"> simply</w:t>
      </w:r>
      <w:r w:rsidR="00B9346D" w:rsidRPr="003B44D7">
        <w:rPr>
          <w:rFonts w:cstheme="minorHAnsi"/>
          <w:sz w:val="24"/>
          <w:szCs w:val="24"/>
        </w:rPr>
        <w:t xml:space="preserve"> </w:t>
      </w:r>
      <w:r w:rsidR="00C11744" w:rsidRPr="003B44D7">
        <w:rPr>
          <w:rFonts w:cstheme="minorHAnsi"/>
          <w:sz w:val="24"/>
          <w:szCs w:val="24"/>
        </w:rPr>
        <w:t>outsourc</w:t>
      </w:r>
      <w:r w:rsidR="007E2CC0" w:rsidRPr="003B44D7">
        <w:rPr>
          <w:rFonts w:cstheme="minorHAnsi"/>
          <w:sz w:val="24"/>
          <w:szCs w:val="24"/>
        </w:rPr>
        <w:t xml:space="preserve">ed </w:t>
      </w:r>
      <w:r w:rsidR="00C11744" w:rsidRPr="003B44D7">
        <w:rPr>
          <w:rFonts w:cstheme="minorHAnsi"/>
          <w:sz w:val="24"/>
          <w:szCs w:val="24"/>
        </w:rPr>
        <w:t xml:space="preserve">decisions </w:t>
      </w:r>
      <w:r w:rsidR="007E2CC0" w:rsidRPr="003B44D7">
        <w:rPr>
          <w:rFonts w:cstheme="minorHAnsi"/>
          <w:sz w:val="24"/>
          <w:szCs w:val="24"/>
        </w:rPr>
        <w:t>on</w:t>
      </w:r>
      <w:r w:rsidR="00A536D0" w:rsidRPr="003B44D7">
        <w:rPr>
          <w:rFonts w:cstheme="minorHAnsi"/>
          <w:sz w:val="24"/>
          <w:szCs w:val="24"/>
        </w:rPr>
        <w:t xml:space="preserve"> the legality of communications</w:t>
      </w:r>
      <w:r w:rsidR="007E2CC0" w:rsidRPr="003B44D7">
        <w:rPr>
          <w:rFonts w:cstheme="minorHAnsi"/>
          <w:sz w:val="24"/>
          <w:szCs w:val="24"/>
        </w:rPr>
        <w:t xml:space="preserve"> </w:t>
      </w:r>
      <w:r w:rsidR="00EF479D" w:rsidRPr="003B44D7">
        <w:rPr>
          <w:rFonts w:cstheme="minorHAnsi"/>
          <w:sz w:val="24"/>
          <w:szCs w:val="24"/>
        </w:rPr>
        <w:t>without</w:t>
      </w:r>
      <w:r w:rsidR="002664CA" w:rsidRPr="003B44D7">
        <w:rPr>
          <w:rFonts w:cstheme="minorHAnsi"/>
          <w:sz w:val="24"/>
          <w:szCs w:val="24"/>
        </w:rPr>
        <w:t xml:space="preserve"> paying</w:t>
      </w:r>
      <w:r w:rsidR="00EF479D" w:rsidRPr="003B44D7">
        <w:rPr>
          <w:rFonts w:cstheme="minorHAnsi"/>
          <w:sz w:val="24"/>
          <w:szCs w:val="24"/>
        </w:rPr>
        <w:t xml:space="preserve"> attention how those decisions</w:t>
      </w:r>
      <w:r w:rsidR="005A2677" w:rsidRPr="003B44D7">
        <w:rPr>
          <w:rFonts w:cstheme="minorHAnsi"/>
          <w:sz w:val="24"/>
          <w:szCs w:val="24"/>
        </w:rPr>
        <w:t xml:space="preserve"> would be</w:t>
      </w:r>
      <w:r w:rsidR="00EF479D" w:rsidRPr="003B44D7">
        <w:rPr>
          <w:rFonts w:cstheme="minorHAnsi"/>
          <w:sz w:val="24"/>
          <w:szCs w:val="24"/>
        </w:rPr>
        <w:t xml:space="preserve"> </w:t>
      </w:r>
      <w:r w:rsidR="004D6D16">
        <w:rPr>
          <w:rFonts w:cstheme="minorHAnsi"/>
          <w:sz w:val="24"/>
          <w:szCs w:val="24"/>
        </w:rPr>
        <w:t>made</w:t>
      </w:r>
      <w:r w:rsidR="00EF479D" w:rsidRPr="003B44D7">
        <w:rPr>
          <w:rFonts w:cstheme="minorHAnsi"/>
          <w:sz w:val="24"/>
          <w:szCs w:val="24"/>
        </w:rPr>
        <w:t>.</w:t>
      </w:r>
      <w:r w:rsidR="006C24F2" w:rsidRPr="003B44D7">
        <w:rPr>
          <w:rFonts w:cstheme="minorHAnsi"/>
          <w:sz w:val="24"/>
          <w:szCs w:val="24"/>
        </w:rPr>
        <w:t xml:space="preserve"> </w:t>
      </w:r>
      <w:r w:rsidR="00A041C3" w:rsidRPr="003B44D7">
        <w:rPr>
          <w:rFonts w:cstheme="minorHAnsi"/>
          <w:sz w:val="24"/>
          <w:szCs w:val="24"/>
        </w:rPr>
        <w:t>NetzDG</w:t>
      </w:r>
      <w:r w:rsidR="009215B9" w:rsidRPr="003B44D7">
        <w:rPr>
          <w:rFonts w:cstheme="minorHAnsi"/>
          <w:sz w:val="24"/>
          <w:szCs w:val="24"/>
        </w:rPr>
        <w:t xml:space="preserve"> </w:t>
      </w:r>
      <w:r w:rsidR="001D6F4C" w:rsidRPr="003B44D7">
        <w:rPr>
          <w:rFonts w:cstheme="minorHAnsi"/>
          <w:sz w:val="24"/>
          <w:szCs w:val="24"/>
        </w:rPr>
        <w:t>s</w:t>
      </w:r>
      <w:r w:rsidR="003957D0" w:rsidRPr="003B44D7">
        <w:rPr>
          <w:rFonts w:cstheme="minorHAnsi"/>
          <w:sz w:val="24"/>
          <w:szCs w:val="24"/>
        </w:rPr>
        <w:t>hift</w:t>
      </w:r>
      <w:r w:rsidR="00EF479D" w:rsidRPr="003B44D7">
        <w:rPr>
          <w:rFonts w:cstheme="minorHAnsi"/>
          <w:sz w:val="24"/>
          <w:szCs w:val="24"/>
        </w:rPr>
        <w:t xml:space="preserve">s </w:t>
      </w:r>
      <w:r w:rsidR="003957D0" w:rsidRPr="003B44D7">
        <w:rPr>
          <w:rFonts w:cstheme="minorHAnsi"/>
          <w:sz w:val="24"/>
          <w:szCs w:val="24"/>
        </w:rPr>
        <w:t xml:space="preserve">the focus </w:t>
      </w:r>
      <w:r w:rsidR="003957D0" w:rsidRPr="003B44D7">
        <w:rPr>
          <w:rFonts w:cstheme="minorHAnsi"/>
          <w:i/>
          <w:iCs/>
          <w:sz w:val="24"/>
          <w:szCs w:val="24"/>
        </w:rPr>
        <w:t xml:space="preserve">from </w:t>
      </w:r>
      <w:r w:rsidR="003957D0" w:rsidRPr="003B44D7">
        <w:rPr>
          <w:rFonts w:cstheme="minorHAnsi"/>
          <w:sz w:val="24"/>
          <w:szCs w:val="24"/>
        </w:rPr>
        <w:t xml:space="preserve">the </w:t>
      </w:r>
      <w:r w:rsidR="00566FDD" w:rsidRPr="003B44D7">
        <w:rPr>
          <w:rFonts w:cstheme="minorHAnsi"/>
          <w:sz w:val="24"/>
          <w:szCs w:val="24"/>
        </w:rPr>
        <w:t xml:space="preserve">validity of the </w:t>
      </w:r>
      <w:r w:rsidR="003957D0" w:rsidRPr="003B44D7">
        <w:rPr>
          <w:rFonts w:cstheme="minorHAnsi"/>
          <w:sz w:val="24"/>
          <w:szCs w:val="24"/>
        </w:rPr>
        <w:t>decision</w:t>
      </w:r>
      <w:r w:rsidR="00A33511" w:rsidRPr="003B44D7">
        <w:rPr>
          <w:rFonts w:cstheme="minorHAnsi"/>
          <w:sz w:val="24"/>
          <w:szCs w:val="24"/>
        </w:rPr>
        <w:t>s</w:t>
      </w:r>
      <w:r w:rsidR="001D3623" w:rsidRPr="003B44D7">
        <w:rPr>
          <w:rFonts w:cstheme="minorHAnsi"/>
          <w:sz w:val="24"/>
          <w:szCs w:val="24"/>
        </w:rPr>
        <w:t xml:space="preserve"> </w:t>
      </w:r>
      <w:r w:rsidR="003957D0" w:rsidRPr="003B44D7">
        <w:rPr>
          <w:rFonts w:cstheme="minorHAnsi"/>
          <w:i/>
          <w:iCs/>
          <w:sz w:val="24"/>
          <w:szCs w:val="24"/>
        </w:rPr>
        <w:t>to</w:t>
      </w:r>
      <w:r w:rsidR="003957D0" w:rsidRPr="003B44D7">
        <w:rPr>
          <w:rFonts w:cstheme="minorHAnsi"/>
          <w:sz w:val="24"/>
          <w:szCs w:val="24"/>
        </w:rPr>
        <w:t xml:space="preserve"> the</w:t>
      </w:r>
      <w:r w:rsidR="00A33511" w:rsidRPr="003B44D7">
        <w:rPr>
          <w:rFonts w:cstheme="minorHAnsi"/>
          <w:sz w:val="24"/>
          <w:szCs w:val="24"/>
        </w:rPr>
        <w:t xml:space="preserve"> </w:t>
      </w:r>
      <w:r w:rsidR="00605C58">
        <w:rPr>
          <w:rFonts w:cstheme="minorHAnsi"/>
          <w:sz w:val="24"/>
          <w:szCs w:val="24"/>
        </w:rPr>
        <w:t xml:space="preserve">propriety </w:t>
      </w:r>
      <w:r w:rsidR="00A33511" w:rsidRPr="003B44D7">
        <w:rPr>
          <w:rFonts w:cstheme="minorHAnsi"/>
          <w:sz w:val="24"/>
          <w:szCs w:val="24"/>
        </w:rPr>
        <w:t>of the</w:t>
      </w:r>
      <w:r w:rsidR="003957D0" w:rsidRPr="003B44D7">
        <w:rPr>
          <w:rFonts w:cstheme="minorHAnsi"/>
          <w:sz w:val="24"/>
          <w:szCs w:val="24"/>
        </w:rPr>
        <w:t xml:space="preserve"> </w:t>
      </w:r>
      <w:r w:rsidR="004D6D16" w:rsidRPr="003B44D7">
        <w:rPr>
          <w:rFonts w:cstheme="minorHAnsi"/>
          <w:sz w:val="24"/>
          <w:szCs w:val="24"/>
        </w:rPr>
        <w:t>decision</w:t>
      </w:r>
      <w:r w:rsidR="004D6D16">
        <w:rPr>
          <w:rFonts w:cstheme="minorHAnsi"/>
          <w:sz w:val="24"/>
          <w:szCs w:val="24"/>
        </w:rPr>
        <w:t xml:space="preserve">-making </w:t>
      </w:r>
      <w:r w:rsidR="003957D0" w:rsidRPr="003B44D7">
        <w:rPr>
          <w:rFonts w:cstheme="minorHAnsi"/>
          <w:sz w:val="24"/>
          <w:szCs w:val="24"/>
        </w:rPr>
        <w:t>process</w:t>
      </w:r>
      <w:r w:rsidR="00865715" w:rsidRPr="003B44D7">
        <w:rPr>
          <w:rFonts w:cstheme="minorHAnsi"/>
          <w:sz w:val="24"/>
          <w:szCs w:val="24"/>
        </w:rPr>
        <w:t>: ‘the existing liability regime was only interested in the output – what mattered was that illegal content was removed, how providers managed to do so, was their business… [NetzDG] introduces new organizational obligations for intermediaries....’</w:t>
      </w:r>
      <w:r w:rsidR="00865715" w:rsidRPr="003B44D7">
        <w:rPr>
          <w:rStyle w:val="FootnoteReference"/>
          <w:rFonts w:cstheme="minorHAnsi"/>
          <w:sz w:val="24"/>
          <w:szCs w:val="24"/>
        </w:rPr>
        <w:footnoteReference w:id="92"/>
      </w:r>
      <w:r w:rsidR="00EF479D" w:rsidRPr="003B44D7">
        <w:rPr>
          <w:rFonts w:cstheme="minorHAnsi"/>
          <w:sz w:val="24"/>
          <w:szCs w:val="24"/>
        </w:rPr>
        <w:t xml:space="preserve"> It </w:t>
      </w:r>
      <w:r w:rsidR="005D5519" w:rsidRPr="003B44D7">
        <w:rPr>
          <w:rFonts w:cstheme="minorHAnsi"/>
          <w:sz w:val="24"/>
          <w:szCs w:val="24"/>
        </w:rPr>
        <w:t>require</w:t>
      </w:r>
      <w:r w:rsidR="001D3623" w:rsidRPr="003B44D7">
        <w:rPr>
          <w:rFonts w:cstheme="minorHAnsi"/>
          <w:sz w:val="24"/>
          <w:szCs w:val="24"/>
        </w:rPr>
        <w:t>s</w:t>
      </w:r>
      <w:r w:rsidR="005D5519" w:rsidRPr="003B44D7">
        <w:rPr>
          <w:rFonts w:cstheme="minorHAnsi"/>
          <w:sz w:val="24"/>
          <w:szCs w:val="24"/>
        </w:rPr>
        <w:t xml:space="preserve"> platforms to</w:t>
      </w:r>
      <w:r w:rsidR="009174B6" w:rsidRPr="003B44D7">
        <w:rPr>
          <w:rFonts w:cstheme="minorHAnsi"/>
          <w:sz w:val="24"/>
          <w:szCs w:val="24"/>
        </w:rPr>
        <w:t xml:space="preserve"> ‘</w:t>
      </w:r>
      <w:r w:rsidR="009174B6" w:rsidRPr="003B44D7">
        <w:rPr>
          <w:sz w:val="24"/>
          <w:szCs w:val="24"/>
        </w:rPr>
        <w:t xml:space="preserve">supply users with an easily recognisable, directly accessible and permanently available procedure for submitting complaints about unlawful content’ and </w:t>
      </w:r>
      <w:r w:rsidR="005D5519" w:rsidRPr="003B44D7">
        <w:rPr>
          <w:sz w:val="24"/>
          <w:szCs w:val="24"/>
        </w:rPr>
        <w:t xml:space="preserve">‘maintain an effective and transparent procedure for handling </w:t>
      </w:r>
      <w:r w:rsidR="009174B6" w:rsidRPr="003B44D7">
        <w:rPr>
          <w:sz w:val="24"/>
          <w:szCs w:val="24"/>
        </w:rPr>
        <w:t xml:space="preserve">[these] </w:t>
      </w:r>
      <w:r w:rsidR="005D5519" w:rsidRPr="003B44D7">
        <w:rPr>
          <w:sz w:val="24"/>
          <w:szCs w:val="24"/>
        </w:rPr>
        <w:t>complaints</w:t>
      </w:r>
      <w:r w:rsidR="009174B6" w:rsidRPr="003B44D7">
        <w:rPr>
          <w:sz w:val="24"/>
          <w:szCs w:val="24"/>
        </w:rPr>
        <w:t>.’</w:t>
      </w:r>
      <w:r w:rsidR="009174B6" w:rsidRPr="003B44D7">
        <w:rPr>
          <w:rStyle w:val="FootnoteReference"/>
          <w:sz w:val="24"/>
          <w:szCs w:val="24"/>
        </w:rPr>
        <w:footnoteReference w:id="93"/>
      </w:r>
      <w:r w:rsidR="005D5519" w:rsidRPr="003B44D7">
        <w:rPr>
          <w:sz w:val="24"/>
          <w:szCs w:val="24"/>
        </w:rPr>
        <w:t xml:space="preserve"> </w:t>
      </w:r>
      <w:r w:rsidR="00CF2D41" w:rsidRPr="003B44D7">
        <w:rPr>
          <w:sz w:val="24"/>
          <w:szCs w:val="24"/>
        </w:rPr>
        <w:t>For</w:t>
      </w:r>
      <w:r w:rsidR="00EC4B02" w:rsidRPr="003B44D7">
        <w:rPr>
          <w:sz w:val="24"/>
          <w:szCs w:val="24"/>
        </w:rPr>
        <w:t xml:space="preserve"> </w:t>
      </w:r>
      <w:r w:rsidR="009174B6" w:rsidRPr="003B44D7">
        <w:rPr>
          <w:sz w:val="24"/>
          <w:szCs w:val="24"/>
        </w:rPr>
        <w:t xml:space="preserve">actual </w:t>
      </w:r>
      <w:r w:rsidR="000324E2" w:rsidRPr="003B44D7">
        <w:rPr>
          <w:sz w:val="24"/>
          <w:szCs w:val="24"/>
        </w:rPr>
        <w:t xml:space="preserve">content </w:t>
      </w:r>
      <w:r w:rsidR="009174B6" w:rsidRPr="003B44D7">
        <w:rPr>
          <w:sz w:val="24"/>
          <w:szCs w:val="24"/>
        </w:rPr>
        <w:t>decision</w:t>
      </w:r>
      <w:r w:rsidR="000324E2" w:rsidRPr="003B44D7">
        <w:rPr>
          <w:sz w:val="24"/>
          <w:szCs w:val="24"/>
        </w:rPr>
        <w:t>s,</w:t>
      </w:r>
      <w:r w:rsidR="009174B6" w:rsidRPr="003B44D7">
        <w:rPr>
          <w:sz w:val="24"/>
          <w:szCs w:val="24"/>
        </w:rPr>
        <w:t xml:space="preserve"> platforms </w:t>
      </w:r>
      <w:r w:rsidR="001D3623" w:rsidRPr="003B44D7">
        <w:rPr>
          <w:sz w:val="24"/>
          <w:szCs w:val="24"/>
        </w:rPr>
        <w:t xml:space="preserve">may </w:t>
      </w:r>
      <w:r w:rsidR="009174B6" w:rsidRPr="003B44D7">
        <w:rPr>
          <w:sz w:val="24"/>
          <w:szCs w:val="24"/>
        </w:rPr>
        <w:t>give</w:t>
      </w:r>
      <w:r w:rsidR="005D5519" w:rsidRPr="003B44D7">
        <w:rPr>
          <w:sz w:val="24"/>
          <w:szCs w:val="24"/>
        </w:rPr>
        <w:t xml:space="preserve"> ‘the user an opportunity to respond</w:t>
      </w:r>
      <w:r w:rsidR="009174B6" w:rsidRPr="003B44D7">
        <w:rPr>
          <w:sz w:val="24"/>
          <w:szCs w:val="24"/>
        </w:rPr>
        <w:t xml:space="preserve"> [on factual matters]</w:t>
      </w:r>
      <w:r w:rsidR="005D5519" w:rsidRPr="003B44D7">
        <w:rPr>
          <w:sz w:val="24"/>
          <w:szCs w:val="24"/>
        </w:rPr>
        <w:t xml:space="preserve"> to the complaint before the decision is rendered’ and</w:t>
      </w:r>
      <w:r w:rsidR="006C24F2" w:rsidRPr="003B44D7">
        <w:rPr>
          <w:sz w:val="24"/>
          <w:szCs w:val="24"/>
        </w:rPr>
        <w:t xml:space="preserve"> can </w:t>
      </w:r>
      <w:r w:rsidR="001D3623" w:rsidRPr="003B44D7">
        <w:rPr>
          <w:sz w:val="24"/>
          <w:szCs w:val="24"/>
        </w:rPr>
        <w:t>delegate difficult decisions to</w:t>
      </w:r>
      <w:r w:rsidR="005D5519" w:rsidRPr="003B44D7">
        <w:rPr>
          <w:sz w:val="24"/>
          <w:szCs w:val="24"/>
        </w:rPr>
        <w:t xml:space="preserve"> ‘a recognised</w:t>
      </w:r>
      <w:r w:rsidR="009174B6" w:rsidRPr="003B44D7">
        <w:rPr>
          <w:sz w:val="24"/>
          <w:szCs w:val="24"/>
        </w:rPr>
        <w:t xml:space="preserve"> </w:t>
      </w:r>
      <w:r w:rsidR="005D5519" w:rsidRPr="003B44D7">
        <w:rPr>
          <w:sz w:val="24"/>
          <w:szCs w:val="24"/>
        </w:rPr>
        <w:t>self-regulat</w:t>
      </w:r>
      <w:r w:rsidR="00C215EC">
        <w:rPr>
          <w:sz w:val="24"/>
          <w:szCs w:val="24"/>
        </w:rPr>
        <w:t>ory</w:t>
      </w:r>
      <w:r w:rsidR="005D5519" w:rsidRPr="003B44D7">
        <w:rPr>
          <w:sz w:val="24"/>
          <w:szCs w:val="24"/>
        </w:rPr>
        <w:t xml:space="preserve"> institution</w:t>
      </w:r>
      <w:r w:rsidR="001D3623" w:rsidRPr="003B44D7">
        <w:rPr>
          <w:sz w:val="24"/>
          <w:szCs w:val="24"/>
        </w:rPr>
        <w:t>.’</w:t>
      </w:r>
      <w:r w:rsidR="009174B6" w:rsidRPr="003B44D7">
        <w:rPr>
          <w:rStyle w:val="FootnoteReference"/>
          <w:sz w:val="24"/>
          <w:szCs w:val="24"/>
        </w:rPr>
        <w:footnoteReference w:id="94"/>
      </w:r>
      <w:r w:rsidR="009174B6" w:rsidRPr="003B44D7">
        <w:rPr>
          <w:sz w:val="24"/>
          <w:szCs w:val="24"/>
        </w:rPr>
        <w:t xml:space="preserve"> </w:t>
      </w:r>
      <w:r w:rsidR="000324E2" w:rsidRPr="003B44D7">
        <w:rPr>
          <w:sz w:val="24"/>
          <w:szCs w:val="24"/>
        </w:rPr>
        <w:t xml:space="preserve">Once a decision </w:t>
      </w:r>
      <w:r w:rsidR="001D3623" w:rsidRPr="003B44D7">
        <w:rPr>
          <w:sz w:val="24"/>
          <w:szCs w:val="24"/>
        </w:rPr>
        <w:t xml:space="preserve">is </w:t>
      </w:r>
      <w:r w:rsidR="00BF68EC" w:rsidRPr="003B44D7">
        <w:rPr>
          <w:sz w:val="24"/>
          <w:szCs w:val="24"/>
        </w:rPr>
        <w:t>made,</w:t>
      </w:r>
      <w:r w:rsidR="000324E2" w:rsidRPr="003B44D7">
        <w:rPr>
          <w:sz w:val="24"/>
          <w:szCs w:val="24"/>
        </w:rPr>
        <w:t xml:space="preserve"> </w:t>
      </w:r>
      <w:r w:rsidR="001D3623" w:rsidRPr="003B44D7">
        <w:rPr>
          <w:sz w:val="24"/>
          <w:szCs w:val="24"/>
        </w:rPr>
        <w:t xml:space="preserve">the provider must </w:t>
      </w:r>
      <w:r w:rsidR="00CF2D41" w:rsidRPr="003B44D7">
        <w:rPr>
          <w:sz w:val="24"/>
          <w:szCs w:val="24"/>
        </w:rPr>
        <w:t>‘immediately notify the person submitting the complaint and the user about any decision, while also providing them with reasons for its decision</w:t>
      </w:r>
      <w:r w:rsidR="008C357F" w:rsidRPr="003B44D7">
        <w:rPr>
          <w:sz w:val="24"/>
          <w:szCs w:val="24"/>
        </w:rPr>
        <w:t>.</w:t>
      </w:r>
      <w:r w:rsidR="00CF2D41" w:rsidRPr="003B44D7">
        <w:rPr>
          <w:sz w:val="24"/>
          <w:szCs w:val="24"/>
        </w:rPr>
        <w:t>’</w:t>
      </w:r>
      <w:r w:rsidR="00CF2D41" w:rsidRPr="003B44D7">
        <w:rPr>
          <w:rStyle w:val="FootnoteReference"/>
          <w:sz w:val="24"/>
          <w:szCs w:val="24"/>
        </w:rPr>
        <w:footnoteReference w:id="95"/>
      </w:r>
      <w:r w:rsidR="00CF2D41" w:rsidRPr="003B44D7">
        <w:rPr>
          <w:rFonts w:cstheme="minorHAnsi"/>
          <w:sz w:val="24"/>
          <w:szCs w:val="24"/>
        </w:rPr>
        <w:t xml:space="preserve"> </w:t>
      </w:r>
      <w:r w:rsidR="001D3623" w:rsidRPr="003B44D7">
        <w:rPr>
          <w:rFonts w:cstheme="minorHAnsi"/>
          <w:sz w:val="24"/>
          <w:szCs w:val="24"/>
        </w:rPr>
        <w:t xml:space="preserve">In 2021 </w:t>
      </w:r>
      <w:r w:rsidR="00A33511" w:rsidRPr="003B44D7">
        <w:rPr>
          <w:rFonts w:cstheme="minorHAnsi"/>
          <w:sz w:val="24"/>
          <w:szCs w:val="24"/>
        </w:rPr>
        <w:t>NetzDG</w:t>
      </w:r>
      <w:r w:rsidR="001D3623" w:rsidRPr="003B44D7">
        <w:rPr>
          <w:rFonts w:cstheme="minorHAnsi"/>
          <w:sz w:val="24"/>
          <w:szCs w:val="24"/>
        </w:rPr>
        <w:t xml:space="preserve"> was</w:t>
      </w:r>
      <w:r w:rsidR="00A33511" w:rsidRPr="003B44D7">
        <w:rPr>
          <w:rFonts w:cstheme="minorHAnsi"/>
          <w:sz w:val="24"/>
          <w:szCs w:val="24"/>
        </w:rPr>
        <w:t xml:space="preserve"> </w:t>
      </w:r>
      <w:r w:rsidR="00CF2D41" w:rsidRPr="003B44D7">
        <w:rPr>
          <w:rFonts w:cstheme="minorHAnsi"/>
          <w:sz w:val="24"/>
          <w:szCs w:val="24"/>
        </w:rPr>
        <w:t>amend</w:t>
      </w:r>
      <w:r w:rsidR="00A33511" w:rsidRPr="003B44D7">
        <w:rPr>
          <w:rFonts w:cstheme="minorHAnsi"/>
          <w:sz w:val="24"/>
          <w:szCs w:val="24"/>
        </w:rPr>
        <w:t>ed</w:t>
      </w:r>
      <w:r w:rsidR="001D3623" w:rsidRPr="003B44D7">
        <w:rPr>
          <w:rFonts w:cstheme="minorHAnsi"/>
          <w:sz w:val="24"/>
          <w:szCs w:val="24"/>
        </w:rPr>
        <w:t xml:space="preserve"> </w:t>
      </w:r>
      <w:r w:rsidR="00A33511" w:rsidRPr="003B44D7">
        <w:rPr>
          <w:rFonts w:cstheme="minorHAnsi"/>
          <w:sz w:val="24"/>
          <w:szCs w:val="24"/>
        </w:rPr>
        <w:t>to</w:t>
      </w:r>
      <w:r w:rsidR="00CF2D41" w:rsidRPr="003B44D7">
        <w:rPr>
          <w:rFonts w:cstheme="minorHAnsi"/>
          <w:sz w:val="24"/>
          <w:szCs w:val="24"/>
        </w:rPr>
        <w:t xml:space="preserve"> </w:t>
      </w:r>
      <w:r w:rsidR="00BF68EC" w:rsidRPr="003B44D7">
        <w:rPr>
          <w:rFonts w:cstheme="minorHAnsi"/>
          <w:sz w:val="24"/>
          <w:szCs w:val="24"/>
        </w:rPr>
        <w:t>strengthened the ‘access to justice’ rights of complainant</w:t>
      </w:r>
      <w:r w:rsidR="009215B9" w:rsidRPr="003B44D7">
        <w:rPr>
          <w:rFonts w:cstheme="minorHAnsi"/>
          <w:sz w:val="24"/>
          <w:szCs w:val="24"/>
        </w:rPr>
        <w:t>s</w:t>
      </w:r>
      <w:r w:rsidR="00BF68EC" w:rsidRPr="003B44D7">
        <w:rPr>
          <w:rFonts w:cstheme="minorHAnsi"/>
          <w:sz w:val="24"/>
          <w:szCs w:val="24"/>
        </w:rPr>
        <w:t xml:space="preserve"> </w:t>
      </w:r>
      <w:r w:rsidR="009E11DA" w:rsidRPr="003B44D7">
        <w:rPr>
          <w:rFonts w:cstheme="minorHAnsi"/>
          <w:sz w:val="24"/>
          <w:szCs w:val="24"/>
        </w:rPr>
        <w:t>and, even more so, of</w:t>
      </w:r>
      <w:r w:rsidR="00A33511" w:rsidRPr="003B44D7">
        <w:rPr>
          <w:rFonts w:cstheme="minorHAnsi"/>
          <w:sz w:val="24"/>
          <w:szCs w:val="24"/>
        </w:rPr>
        <w:t xml:space="preserve"> the</w:t>
      </w:r>
      <w:r w:rsidR="009215B9" w:rsidRPr="003B44D7">
        <w:rPr>
          <w:rFonts w:cstheme="minorHAnsi"/>
          <w:sz w:val="24"/>
          <w:szCs w:val="24"/>
        </w:rPr>
        <w:t xml:space="preserve"> </w:t>
      </w:r>
      <w:r w:rsidR="00BF68EC" w:rsidRPr="003B44D7">
        <w:rPr>
          <w:rFonts w:cstheme="minorHAnsi"/>
          <w:sz w:val="24"/>
          <w:szCs w:val="24"/>
        </w:rPr>
        <w:t>user</w:t>
      </w:r>
      <w:r w:rsidR="009215B9" w:rsidRPr="003B44D7">
        <w:rPr>
          <w:rFonts w:cstheme="minorHAnsi"/>
          <w:sz w:val="24"/>
          <w:szCs w:val="24"/>
        </w:rPr>
        <w:t>s</w:t>
      </w:r>
      <w:r w:rsidR="001D3623" w:rsidRPr="003B44D7">
        <w:rPr>
          <w:rFonts w:cstheme="minorHAnsi"/>
          <w:sz w:val="24"/>
          <w:szCs w:val="24"/>
        </w:rPr>
        <w:t xml:space="preserve"> </w:t>
      </w:r>
      <w:r w:rsidR="009E11DA" w:rsidRPr="003B44D7">
        <w:rPr>
          <w:rFonts w:cstheme="minorHAnsi"/>
          <w:sz w:val="24"/>
          <w:szCs w:val="24"/>
        </w:rPr>
        <w:t>threatene</w:t>
      </w:r>
      <w:r w:rsidR="001D3623" w:rsidRPr="003B44D7">
        <w:rPr>
          <w:rFonts w:cstheme="minorHAnsi"/>
          <w:sz w:val="24"/>
          <w:szCs w:val="24"/>
        </w:rPr>
        <w:t>d</w:t>
      </w:r>
      <w:r w:rsidR="009E11DA" w:rsidRPr="003B44D7">
        <w:rPr>
          <w:rFonts w:cstheme="minorHAnsi"/>
          <w:sz w:val="24"/>
          <w:szCs w:val="24"/>
        </w:rPr>
        <w:t xml:space="preserve"> with removal</w:t>
      </w:r>
      <w:r w:rsidR="009215B9" w:rsidRPr="003B44D7">
        <w:rPr>
          <w:rFonts w:cstheme="minorHAnsi"/>
          <w:sz w:val="24"/>
          <w:szCs w:val="24"/>
        </w:rPr>
        <w:t xml:space="preserve"> of their content</w:t>
      </w:r>
      <w:r w:rsidR="005A2677" w:rsidRPr="003B44D7">
        <w:rPr>
          <w:rFonts w:cstheme="minorHAnsi"/>
          <w:sz w:val="24"/>
          <w:szCs w:val="24"/>
        </w:rPr>
        <w:t>.</w:t>
      </w:r>
      <w:r w:rsidR="00BF68EC" w:rsidRPr="003B44D7">
        <w:rPr>
          <w:rFonts w:cstheme="minorHAnsi"/>
          <w:sz w:val="24"/>
          <w:szCs w:val="24"/>
        </w:rPr>
        <w:t xml:space="preserve"> </w:t>
      </w:r>
      <w:r w:rsidR="005A2677" w:rsidRPr="003B44D7">
        <w:rPr>
          <w:rFonts w:cstheme="minorHAnsi"/>
          <w:sz w:val="24"/>
          <w:szCs w:val="24"/>
        </w:rPr>
        <w:t>No</w:t>
      </w:r>
      <w:r w:rsidR="001D3623" w:rsidRPr="003B44D7">
        <w:rPr>
          <w:rFonts w:cstheme="minorHAnsi"/>
          <w:sz w:val="24"/>
          <w:szCs w:val="24"/>
        </w:rPr>
        <w:t xml:space="preserve">w both </w:t>
      </w:r>
      <w:r w:rsidR="001D3623" w:rsidRPr="003B44D7">
        <w:rPr>
          <w:sz w:val="24"/>
          <w:szCs w:val="24"/>
        </w:rPr>
        <w:t>parties can</w:t>
      </w:r>
      <w:r w:rsidR="00137BDF" w:rsidRPr="003B44D7">
        <w:rPr>
          <w:sz w:val="24"/>
          <w:szCs w:val="24"/>
        </w:rPr>
        <w:t xml:space="preserve"> </w:t>
      </w:r>
      <w:r w:rsidR="000324E2" w:rsidRPr="003B44D7">
        <w:rPr>
          <w:sz w:val="24"/>
          <w:szCs w:val="24"/>
        </w:rPr>
        <w:t>initiate a review of the</w:t>
      </w:r>
      <w:r w:rsidR="00A33511" w:rsidRPr="003B44D7">
        <w:rPr>
          <w:sz w:val="24"/>
          <w:szCs w:val="24"/>
        </w:rPr>
        <w:t xml:space="preserve"> platform</w:t>
      </w:r>
      <w:r w:rsidR="000324E2" w:rsidRPr="003B44D7">
        <w:rPr>
          <w:sz w:val="24"/>
          <w:szCs w:val="24"/>
        </w:rPr>
        <w:t xml:space="preserve"> decision to remove or not </w:t>
      </w:r>
      <w:r w:rsidR="005A2677" w:rsidRPr="003B44D7">
        <w:rPr>
          <w:sz w:val="24"/>
          <w:szCs w:val="24"/>
        </w:rPr>
        <w:t xml:space="preserve">to </w:t>
      </w:r>
      <w:r w:rsidR="000324E2" w:rsidRPr="003B44D7">
        <w:rPr>
          <w:sz w:val="24"/>
          <w:szCs w:val="24"/>
        </w:rPr>
        <w:t>remove</w:t>
      </w:r>
      <w:r w:rsidR="001D3623" w:rsidRPr="003B44D7">
        <w:rPr>
          <w:sz w:val="24"/>
          <w:szCs w:val="24"/>
        </w:rPr>
        <w:t xml:space="preserve"> the material</w:t>
      </w:r>
      <w:r w:rsidR="001F74BF" w:rsidRPr="003B44D7">
        <w:rPr>
          <w:sz w:val="24"/>
          <w:szCs w:val="24"/>
        </w:rPr>
        <w:t>,</w:t>
      </w:r>
      <w:r w:rsidR="000324E2" w:rsidRPr="003B44D7">
        <w:rPr>
          <w:rStyle w:val="FootnoteReference"/>
          <w:sz w:val="24"/>
          <w:szCs w:val="24"/>
        </w:rPr>
        <w:footnoteReference w:id="96"/>
      </w:r>
      <w:r w:rsidR="005A2677" w:rsidRPr="003B44D7">
        <w:rPr>
          <w:sz w:val="24"/>
          <w:szCs w:val="24"/>
        </w:rPr>
        <w:t xml:space="preserve"> </w:t>
      </w:r>
      <w:r w:rsidR="00137BDF" w:rsidRPr="003B44D7">
        <w:rPr>
          <w:sz w:val="24"/>
          <w:szCs w:val="24"/>
        </w:rPr>
        <w:t xml:space="preserve">or </w:t>
      </w:r>
      <w:r w:rsidR="005A2677" w:rsidRPr="003B44D7">
        <w:rPr>
          <w:sz w:val="24"/>
          <w:szCs w:val="24"/>
        </w:rPr>
        <w:t>settle their dispute through</w:t>
      </w:r>
      <w:r w:rsidR="009215B9" w:rsidRPr="003B44D7">
        <w:rPr>
          <w:sz w:val="24"/>
          <w:szCs w:val="24"/>
        </w:rPr>
        <w:t xml:space="preserve"> </w:t>
      </w:r>
      <w:r w:rsidR="005A2677" w:rsidRPr="003B44D7">
        <w:rPr>
          <w:sz w:val="24"/>
          <w:szCs w:val="24"/>
        </w:rPr>
        <w:t>arbitration.</w:t>
      </w:r>
      <w:r w:rsidR="005A2677" w:rsidRPr="003B44D7">
        <w:rPr>
          <w:rStyle w:val="FootnoteReference"/>
          <w:sz w:val="24"/>
          <w:szCs w:val="24"/>
        </w:rPr>
        <w:footnoteReference w:id="97"/>
      </w:r>
      <w:r w:rsidR="005A2677" w:rsidRPr="003B44D7">
        <w:rPr>
          <w:sz w:val="24"/>
          <w:szCs w:val="24"/>
        </w:rPr>
        <w:t xml:space="preserve"> These</w:t>
      </w:r>
      <w:r w:rsidR="002664CA" w:rsidRPr="003B44D7">
        <w:rPr>
          <w:sz w:val="24"/>
          <w:szCs w:val="24"/>
        </w:rPr>
        <w:t xml:space="preserve"> procedural</w:t>
      </w:r>
      <w:r w:rsidR="005A2677" w:rsidRPr="003B44D7">
        <w:rPr>
          <w:sz w:val="24"/>
          <w:szCs w:val="24"/>
        </w:rPr>
        <w:t xml:space="preserve"> </w:t>
      </w:r>
      <w:r w:rsidR="00137BDF" w:rsidRPr="003B44D7">
        <w:rPr>
          <w:sz w:val="24"/>
          <w:szCs w:val="24"/>
        </w:rPr>
        <w:t>rights</w:t>
      </w:r>
      <w:r w:rsidR="005A2677" w:rsidRPr="003B44D7">
        <w:rPr>
          <w:sz w:val="24"/>
          <w:szCs w:val="24"/>
        </w:rPr>
        <w:t xml:space="preserve"> </w:t>
      </w:r>
      <w:r w:rsidR="003869E6" w:rsidRPr="003B44D7">
        <w:rPr>
          <w:sz w:val="24"/>
          <w:szCs w:val="24"/>
        </w:rPr>
        <w:t>are designed to</w:t>
      </w:r>
      <w:r w:rsidR="00A041C3" w:rsidRPr="003B44D7">
        <w:rPr>
          <w:sz w:val="24"/>
          <w:szCs w:val="24"/>
        </w:rPr>
        <w:t xml:space="preserve"> </w:t>
      </w:r>
      <w:r w:rsidR="001F74BF" w:rsidRPr="003B44D7">
        <w:rPr>
          <w:sz w:val="24"/>
          <w:szCs w:val="24"/>
        </w:rPr>
        <w:t>guarantee</w:t>
      </w:r>
      <w:r w:rsidR="00137BDF" w:rsidRPr="003B44D7">
        <w:rPr>
          <w:sz w:val="24"/>
          <w:szCs w:val="24"/>
        </w:rPr>
        <w:t xml:space="preserve"> a fair pro</w:t>
      </w:r>
      <w:r w:rsidR="002664CA" w:rsidRPr="003B44D7">
        <w:rPr>
          <w:sz w:val="24"/>
          <w:szCs w:val="24"/>
        </w:rPr>
        <w:t>cess</w:t>
      </w:r>
      <w:r w:rsidR="00137BDF" w:rsidRPr="003B44D7">
        <w:rPr>
          <w:sz w:val="24"/>
          <w:szCs w:val="24"/>
        </w:rPr>
        <w:t xml:space="preserve"> </w:t>
      </w:r>
      <w:r w:rsidR="002664CA" w:rsidRPr="003B44D7">
        <w:rPr>
          <w:sz w:val="24"/>
          <w:szCs w:val="24"/>
        </w:rPr>
        <w:t>for</w:t>
      </w:r>
      <w:r w:rsidR="00137BDF" w:rsidRPr="003B44D7">
        <w:rPr>
          <w:sz w:val="24"/>
          <w:szCs w:val="24"/>
        </w:rPr>
        <w:t xml:space="preserve"> adjudicating</w:t>
      </w:r>
      <w:r w:rsidR="00816939" w:rsidRPr="003B44D7">
        <w:rPr>
          <w:sz w:val="24"/>
          <w:szCs w:val="24"/>
        </w:rPr>
        <w:t xml:space="preserve"> between</w:t>
      </w:r>
      <w:r w:rsidR="00137BDF" w:rsidRPr="003B44D7">
        <w:rPr>
          <w:sz w:val="24"/>
          <w:szCs w:val="24"/>
        </w:rPr>
        <w:t xml:space="preserve"> </w:t>
      </w:r>
      <w:r w:rsidR="00A041C3" w:rsidRPr="003B44D7">
        <w:rPr>
          <w:sz w:val="24"/>
          <w:szCs w:val="24"/>
        </w:rPr>
        <w:t xml:space="preserve">the </w:t>
      </w:r>
      <w:r w:rsidR="005A2677" w:rsidRPr="003B44D7">
        <w:rPr>
          <w:sz w:val="24"/>
          <w:szCs w:val="24"/>
        </w:rPr>
        <w:t xml:space="preserve">private interests </w:t>
      </w:r>
      <w:r w:rsidR="00FD02F2" w:rsidRPr="003B44D7">
        <w:rPr>
          <w:sz w:val="24"/>
          <w:szCs w:val="24"/>
        </w:rPr>
        <w:t>in the relevant content</w:t>
      </w:r>
      <w:r w:rsidR="005A2677" w:rsidRPr="003B44D7">
        <w:rPr>
          <w:sz w:val="24"/>
          <w:szCs w:val="24"/>
        </w:rPr>
        <w:t xml:space="preserve"> </w:t>
      </w:r>
      <w:r w:rsidR="005414B0" w:rsidRPr="003B44D7">
        <w:rPr>
          <w:i/>
          <w:iCs/>
          <w:sz w:val="24"/>
          <w:szCs w:val="24"/>
        </w:rPr>
        <w:t>and</w:t>
      </w:r>
      <w:r w:rsidR="00A041C3" w:rsidRPr="003B44D7">
        <w:rPr>
          <w:sz w:val="24"/>
          <w:szCs w:val="24"/>
        </w:rPr>
        <w:t xml:space="preserve"> </w:t>
      </w:r>
      <w:r w:rsidR="002664CA" w:rsidRPr="003B44D7">
        <w:rPr>
          <w:sz w:val="24"/>
          <w:szCs w:val="24"/>
        </w:rPr>
        <w:t xml:space="preserve">between </w:t>
      </w:r>
      <w:r w:rsidR="00A041C3" w:rsidRPr="003B44D7">
        <w:rPr>
          <w:sz w:val="24"/>
          <w:szCs w:val="24"/>
        </w:rPr>
        <w:t>t</w:t>
      </w:r>
      <w:r w:rsidR="005A2677" w:rsidRPr="003B44D7">
        <w:rPr>
          <w:sz w:val="24"/>
          <w:szCs w:val="24"/>
        </w:rPr>
        <w:t>h</w:t>
      </w:r>
      <w:r w:rsidR="002664CA" w:rsidRPr="003B44D7">
        <w:rPr>
          <w:sz w:val="24"/>
          <w:szCs w:val="24"/>
        </w:rPr>
        <w:t>e</w:t>
      </w:r>
      <w:r w:rsidR="005A2677" w:rsidRPr="003B44D7">
        <w:rPr>
          <w:sz w:val="24"/>
          <w:szCs w:val="24"/>
        </w:rPr>
        <w:t xml:space="preserve"> public interest </w:t>
      </w:r>
      <w:r w:rsidR="00865715" w:rsidRPr="003B44D7">
        <w:rPr>
          <w:sz w:val="24"/>
          <w:szCs w:val="24"/>
        </w:rPr>
        <w:t>in freedom of expression</w:t>
      </w:r>
      <w:r w:rsidR="00522717" w:rsidRPr="003B44D7">
        <w:rPr>
          <w:sz w:val="24"/>
          <w:szCs w:val="24"/>
        </w:rPr>
        <w:t xml:space="preserve"> and competing rights</w:t>
      </w:r>
      <w:r w:rsidR="008C357F" w:rsidRPr="003B44D7">
        <w:rPr>
          <w:sz w:val="24"/>
          <w:szCs w:val="24"/>
        </w:rPr>
        <w:t>.</w:t>
      </w:r>
      <w:r w:rsidR="002664CA" w:rsidRPr="003B44D7">
        <w:rPr>
          <w:sz w:val="24"/>
          <w:szCs w:val="24"/>
        </w:rPr>
        <w:t xml:space="preserve"> They do so </w:t>
      </w:r>
      <w:r w:rsidR="00185D12" w:rsidRPr="003B44D7">
        <w:rPr>
          <w:sz w:val="24"/>
          <w:szCs w:val="24"/>
        </w:rPr>
        <w:t>by requiring an</w:t>
      </w:r>
      <w:r w:rsidR="006F138B" w:rsidRPr="003B44D7">
        <w:rPr>
          <w:sz w:val="24"/>
          <w:szCs w:val="24"/>
        </w:rPr>
        <w:t xml:space="preserve"> adversarial design of the decision-making process </w:t>
      </w:r>
      <w:r w:rsidR="005414B0" w:rsidRPr="003B44D7">
        <w:rPr>
          <w:sz w:val="24"/>
          <w:szCs w:val="24"/>
        </w:rPr>
        <w:t xml:space="preserve">and </w:t>
      </w:r>
      <w:r w:rsidR="009215B9" w:rsidRPr="003B44D7">
        <w:rPr>
          <w:sz w:val="24"/>
          <w:szCs w:val="24"/>
        </w:rPr>
        <w:t>through</w:t>
      </w:r>
      <w:r w:rsidR="00743FEC" w:rsidRPr="003B44D7">
        <w:rPr>
          <w:sz w:val="24"/>
          <w:szCs w:val="24"/>
        </w:rPr>
        <w:t xml:space="preserve"> the</w:t>
      </w:r>
      <w:r w:rsidR="00185D12" w:rsidRPr="003B44D7">
        <w:rPr>
          <w:sz w:val="24"/>
          <w:szCs w:val="24"/>
        </w:rPr>
        <w:t xml:space="preserve"> (relative)</w:t>
      </w:r>
      <w:r w:rsidR="00816939" w:rsidRPr="003B44D7">
        <w:rPr>
          <w:sz w:val="24"/>
          <w:szCs w:val="24"/>
        </w:rPr>
        <w:t xml:space="preserve"> </w:t>
      </w:r>
      <w:r w:rsidR="005414B0" w:rsidRPr="003B44D7">
        <w:rPr>
          <w:sz w:val="24"/>
          <w:szCs w:val="24"/>
        </w:rPr>
        <w:t>transparency</w:t>
      </w:r>
      <w:r w:rsidR="00743FEC" w:rsidRPr="003B44D7">
        <w:rPr>
          <w:sz w:val="24"/>
          <w:szCs w:val="24"/>
        </w:rPr>
        <w:t xml:space="preserve"> of </w:t>
      </w:r>
      <w:r w:rsidR="009215B9" w:rsidRPr="003B44D7">
        <w:rPr>
          <w:sz w:val="24"/>
          <w:szCs w:val="24"/>
        </w:rPr>
        <w:t>decision</w:t>
      </w:r>
      <w:r w:rsidR="00816939" w:rsidRPr="003B44D7">
        <w:rPr>
          <w:sz w:val="24"/>
          <w:szCs w:val="24"/>
        </w:rPr>
        <w:t>s and their bases</w:t>
      </w:r>
      <w:r w:rsidR="008C357F" w:rsidRPr="003B44D7">
        <w:rPr>
          <w:sz w:val="24"/>
          <w:szCs w:val="24"/>
        </w:rPr>
        <w:t>.</w:t>
      </w:r>
      <w:r w:rsidR="009215B9" w:rsidRPr="003B44D7">
        <w:rPr>
          <w:rStyle w:val="FootnoteReference"/>
          <w:sz w:val="24"/>
          <w:szCs w:val="24"/>
        </w:rPr>
        <w:footnoteReference w:id="98"/>
      </w:r>
      <w:r w:rsidR="00B426CD" w:rsidRPr="003B44D7">
        <w:rPr>
          <w:sz w:val="24"/>
          <w:szCs w:val="24"/>
        </w:rPr>
        <w:t xml:space="preserve"> </w:t>
      </w:r>
      <w:r w:rsidR="00816939" w:rsidRPr="003B44D7">
        <w:rPr>
          <w:sz w:val="24"/>
          <w:szCs w:val="24"/>
        </w:rPr>
        <w:t>Throughout this</w:t>
      </w:r>
      <w:r w:rsidR="003869E6" w:rsidRPr="003B44D7">
        <w:rPr>
          <w:sz w:val="24"/>
          <w:szCs w:val="24"/>
        </w:rPr>
        <w:t xml:space="preserve"> privat</w:t>
      </w:r>
      <w:r w:rsidR="00816939" w:rsidRPr="003B44D7">
        <w:rPr>
          <w:sz w:val="24"/>
          <w:szCs w:val="24"/>
        </w:rPr>
        <w:t>e</w:t>
      </w:r>
      <w:r w:rsidR="00B426CD" w:rsidRPr="003B44D7">
        <w:rPr>
          <w:sz w:val="24"/>
          <w:szCs w:val="24"/>
        </w:rPr>
        <w:t xml:space="preserve"> </w:t>
      </w:r>
      <w:r w:rsidR="00A041C3" w:rsidRPr="003B44D7">
        <w:rPr>
          <w:sz w:val="24"/>
          <w:szCs w:val="24"/>
        </w:rPr>
        <w:t>adjudication</w:t>
      </w:r>
      <w:r w:rsidR="001C6A38" w:rsidRPr="003B44D7">
        <w:rPr>
          <w:sz w:val="24"/>
          <w:szCs w:val="24"/>
        </w:rPr>
        <w:t xml:space="preserve"> and takedown process, </w:t>
      </w:r>
      <w:r w:rsidR="003869E6" w:rsidRPr="003B44D7">
        <w:rPr>
          <w:sz w:val="24"/>
          <w:szCs w:val="24"/>
        </w:rPr>
        <w:t>p</w:t>
      </w:r>
      <w:r w:rsidR="005414B0" w:rsidRPr="003B44D7">
        <w:rPr>
          <w:sz w:val="24"/>
          <w:szCs w:val="24"/>
        </w:rPr>
        <w:t xml:space="preserve">ublic authority remains a background presence </w:t>
      </w:r>
      <w:r w:rsidR="00816939" w:rsidRPr="003B44D7">
        <w:rPr>
          <w:sz w:val="24"/>
          <w:szCs w:val="24"/>
        </w:rPr>
        <w:t>by</w:t>
      </w:r>
      <w:r w:rsidR="005414B0" w:rsidRPr="003B44D7">
        <w:rPr>
          <w:sz w:val="24"/>
          <w:szCs w:val="24"/>
        </w:rPr>
        <w:t xml:space="preserve"> </w:t>
      </w:r>
      <w:r w:rsidR="003869E6" w:rsidRPr="003B44D7">
        <w:rPr>
          <w:sz w:val="24"/>
          <w:szCs w:val="24"/>
        </w:rPr>
        <w:t xml:space="preserve">having to </w:t>
      </w:r>
      <w:r w:rsidR="005414B0" w:rsidRPr="003B44D7">
        <w:rPr>
          <w:sz w:val="24"/>
          <w:szCs w:val="24"/>
        </w:rPr>
        <w:t>approve the self-regulatory institution</w:t>
      </w:r>
      <w:r w:rsidR="00B426CD" w:rsidRPr="003B44D7">
        <w:rPr>
          <w:sz w:val="24"/>
          <w:szCs w:val="24"/>
        </w:rPr>
        <w:t xml:space="preserve"> </w:t>
      </w:r>
      <w:r w:rsidR="005414B0" w:rsidRPr="003B44D7">
        <w:rPr>
          <w:sz w:val="24"/>
          <w:szCs w:val="24"/>
        </w:rPr>
        <w:t xml:space="preserve">to which a platform </w:t>
      </w:r>
      <w:r w:rsidR="005414B0" w:rsidRPr="000B4D78">
        <w:rPr>
          <w:i/>
          <w:iCs/>
          <w:sz w:val="24"/>
          <w:szCs w:val="24"/>
        </w:rPr>
        <w:t>may</w:t>
      </w:r>
      <w:r w:rsidR="005414B0" w:rsidRPr="003B44D7">
        <w:rPr>
          <w:sz w:val="24"/>
          <w:szCs w:val="24"/>
        </w:rPr>
        <w:t xml:space="preserve"> defer difficult cases,</w:t>
      </w:r>
      <w:r w:rsidR="005414B0" w:rsidRPr="003B44D7">
        <w:rPr>
          <w:rStyle w:val="FootnoteReference"/>
          <w:sz w:val="24"/>
          <w:szCs w:val="24"/>
        </w:rPr>
        <w:footnoteReference w:id="99"/>
      </w:r>
      <w:r w:rsidR="005414B0" w:rsidRPr="003B44D7">
        <w:rPr>
          <w:sz w:val="24"/>
          <w:szCs w:val="24"/>
        </w:rPr>
        <w:t xml:space="preserve"> the arbitration body to which dispute</w:t>
      </w:r>
      <w:r w:rsidR="00522717" w:rsidRPr="003B44D7">
        <w:rPr>
          <w:sz w:val="24"/>
          <w:szCs w:val="24"/>
        </w:rPr>
        <w:t>s</w:t>
      </w:r>
      <w:r w:rsidR="005414B0" w:rsidRPr="003B44D7">
        <w:rPr>
          <w:sz w:val="24"/>
          <w:szCs w:val="24"/>
        </w:rPr>
        <w:t xml:space="preserve"> may be submitted</w:t>
      </w:r>
      <w:r w:rsidR="003869E6" w:rsidRPr="003B44D7">
        <w:rPr>
          <w:sz w:val="24"/>
          <w:szCs w:val="24"/>
        </w:rPr>
        <w:t>,</w:t>
      </w:r>
      <w:r w:rsidR="005414B0" w:rsidRPr="003B44D7">
        <w:rPr>
          <w:rStyle w:val="FootnoteReference"/>
          <w:sz w:val="24"/>
          <w:szCs w:val="24"/>
        </w:rPr>
        <w:footnoteReference w:id="100"/>
      </w:r>
      <w:r w:rsidR="005414B0" w:rsidRPr="003B44D7">
        <w:rPr>
          <w:sz w:val="24"/>
          <w:szCs w:val="24"/>
        </w:rPr>
        <w:t xml:space="preserve"> </w:t>
      </w:r>
      <w:r w:rsidR="003869E6" w:rsidRPr="003B44D7">
        <w:rPr>
          <w:sz w:val="24"/>
          <w:szCs w:val="24"/>
        </w:rPr>
        <w:t>and</w:t>
      </w:r>
      <w:r w:rsidR="005414B0" w:rsidRPr="003B44D7">
        <w:rPr>
          <w:sz w:val="24"/>
          <w:szCs w:val="24"/>
        </w:rPr>
        <w:t xml:space="preserve"> </w:t>
      </w:r>
      <w:r w:rsidR="003869E6" w:rsidRPr="003B44D7">
        <w:rPr>
          <w:sz w:val="24"/>
          <w:szCs w:val="24"/>
        </w:rPr>
        <w:t xml:space="preserve">by </w:t>
      </w:r>
      <w:r w:rsidR="00B426CD" w:rsidRPr="003B44D7">
        <w:rPr>
          <w:sz w:val="24"/>
          <w:szCs w:val="24"/>
        </w:rPr>
        <w:t>supplying</w:t>
      </w:r>
      <w:r w:rsidR="005414B0" w:rsidRPr="003B44D7">
        <w:rPr>
          <w:sz w:val="24"/>
          <w:szCs w:val="24"/>
        </w:rPr>
        <w:t xml:space="preserve"> the </w:t>
      </w:r>
      <w:r w:rsidR="000B4D78">
        <w:rPr>
          <w:sz w:val="24"/>
          <w:szCs w:val="24"/>
        </w:rPr>
        <w:t>supervisory authority</w:t>
      </w:r>
      <w:r w:rsidR="005414B0" w:rsidRPr="003B44D7">
        <w:rPr>
          <w:sz w:val="24"/>
          <w:szCs w:val="24"/>
        </w:rPr>
        <w:t xml:space="preserve"> to which the local platform representative is answerable</w:t>
      </w:r>
      <w:r w:rsidR="003869E6" w:rsidRPr="003B44D7">
        <w:rPr>
          <w:sz w:val="24"/>
          <w:szCs w:val="24"/>
        </w:rPr>
        <w:t>.</w:t>
      </w:r>
      <w:r w:rsidR="00565A58">
        <w:rPr>
          <w:rStyle w:val="FootnoteReference"/>
          <w:sz w:val="24"/>
          <w:szCs w:val="24"/>
        </w:rPr>
        <w:footnoteReference w:id="101"/>
      </w:r>
      <w:r w:rsidR="00B426CD" w:rsidRPr="003B44D7">
        <w:rPr>
          <w:sz w:val="24"/>
          <w:szCs w:val="24"/>
        </w:rPr>
        <w:t xml:space="preserve"> In short, the State delivers a basic framework </w:t>
      </w:r>
      <w:r w:rsidR="003869E6" w:rsidRPr="003B44D7">
        <w:rPr>
          <w:sz w:val="24"/>
          <w:szCs w:val="24"/>
        </w:rPr>
        <w:t>to</w:t>
      </w:r>
      <w:r w:rsidR="00816939" w:rsidRPr="003B44D7">
        <w:rPr>
          <w:sz w:val="24"/>
          <w:szCs w:val="24"/>
        </w:rPr>
        <w:t xml:space="preserve"> </w:t>
      </w:r>
      <w:r w:rsidR="003869E6" w:rsidRPr="003B44D7">
        <w:rPr>
          <w:sz w:val="24"/>
          <w:szCs w:val="24"/>
        </w:rPr>
        <w:t>ensure</w:t>
      </w:r>
      <w:r w:rsidR="00185D12" w:rsidRPr="003B44D7">
        <w:rPr>
          <w:sz w:val="24"/>
          <w:szCs w:val="24"/>
        </w:rPr>
        <w:t>,</w:t>
      </w:r>
      <w:r w:rsidR="00B426CD" w:rsidRPr="003B44D7">
        <w:rPr>
          <w:sz w:val="24"/>
          <w:szCs w:val="24"/>
        </w:rPr>
        <w:t xml:space="preserve"> </w:t>
      </w:r>
      <w:r w:rsidR="001C6A38" w:rsidRPr="003B44D7">
        <w:rPr>
          <w:sz w:val="24"/>
          <w:szCs w:val="24"/>
        </w:rPr>
        <w:t>and be seen to ensure</w:t>
      </w:r>
      <w:r w:rsidR="00185D12" w:rsidRPr="003B44D7">
        <w:rPr>
          <w:sz w:val="24"/>
          <w:szCs w:val="24"/>
        </w:rPr>
        <w:t xml:space="preserve">, </w:t>
      </w:r>
      <w:r w:rsidR="003869E6" w:rsidRPr="003B44D7">
        <w:rPr>
          <w:sz w:val="24"/>
          <w:szCs w:val="24"/>
        </w:rPr>
        <w:t xml:space="preserve">the integrity of the </w:t>
      </w:r>
      <w:r w:rsidR="00B426CD" w:rsidRPr="003B44D7">
        <w:rPr>
          <w:sz w:val="24"/>
          <w:szCs w:val="24"/>
        </w:rPr>
        <w:t>privat</w:t>
      </w:r>
      <w:r w:rsidR="001F74BF" w:rsidRPr="003B44D7">
        <w:rPr>
          <w:sz w:val="24"/>
          <w:szCs w:val="24"/>
        </w:rPr>
        <w:t>e</w:t>
      </w:r>
      <w:r w:rsidR="00B426CD" w:rsidRPr="003B44D7">
        <w:rPr>
          <w:sz w:val="24"/>
          <w:szCs w:val="24"/>
        </w:rPr>
        <w:t xml:space="preserve"> </w:t>
      </w:r>
      <w:r w:rsidR="003869E6" w:rsidRPr="003B44D7">
        <w:rPr>
          <w:sz w:val="24"/>
          <w:szCs w:val="24"/>
        </w:rPr>
        <w:t>review processes</w:t>
      </w:r>
      <w:r w:rsidR="0058654B" w:rsidRPr="003B44D7">
        <w:rPr>
          <w:sz w:val="24"/>
          <w:szCs w:val="24"/>
        </w:rPr>
        <w:t>.</w:t>
      </w:r>
      <w:r w:rsidR="00B426CD" w:rsidRPr="003B44D7">
        <w:rPr>
          <w:rStyle w:val="FootnoteReference"/>
          <w:sz w:val="24"/>
          <w:szCs w:val="24"/>
        </w:rPr>
        <w:footnoteReference w:id="102"/>
      </w:r>
      <w:r w:rsidR="00BC4A04" w:rsidRPr="003B44D7">
        <w:rPr>
          <w:sz w:val="24"/>
          <w:szCs w:val="24"/>
        </w:rPr>
        <w:t xml:space="preserve"> </w:t>
      </w:r>
      <w:r w:rsidR="0058654B" w:rsidRPr="003B44D7">
        <w:rPr>
          <w:sz w:val="24"/>
          <w:szCs w:val="24"/>
        </w:rPr>
        <w:t>This expectation of</w:t>
      </w:r>
      <w:r w:rsidR="008C357F" w:rsidRPr="003B44D7">
        <w:rPr>
          <w:sz w:val="24"/>
          <w:szCs w:val="24"/>
        </w:rPr>
        <w:t xml:space="preserve"> due process rights</w:t>
      </w:r>
      <w:r w:rsidR="00565A58">
        <w:rPr>
          <w:sz w:val="24"/>
          <w:szCs w:val="24"/>
        </w:rPr>
        <w:t xml:space="preserve"> also, at least partially,</w:t>
      </w:r>
      <w:r w:rsidR="008C357F" w:rsidRPr="003B44D7">
        <w:rPr>
          <w:sz w:val="24"/>
          <w:szCs w:val="24"/>
        </w:rPr>
        <w:t xml:space="preserve"> extend</w:t>
      </w:r>
      <w:r w:rsidR="0070109A" w:rsidRPr="003B44D7">
        <w:rPr>
          <w:sz w:val="24"/>
          <w:szCs w:val="24"/>
        </w:rPr>
        <w:t>s</w:t>
      </w:r>
      <w:r w:rsidR="008C357F" w:rsidRPr="003B44D7">
        <w:rPr>
          <w:sz w:val="24"/>
          <w:szCs w:val="24"/>
        </w:rPr>
        <w:t xml:space="preserve"> to content moderation</w:t>
      </w:r>
      <w:r w:rsidR="00565A58">
        <w:rPr>
          <w:sz w:val="24"/>
          <w:szCs w:val="24"/>
        </w:rPr>
        <w:t xml:space="preserve"> under </w:t>
      </w:r>
      <w:r w:rsidR="00565A58">
        <w:rPr>
          <w:sz w:val="24"/>
          <w:szCs w:val="24"/>
        </w:rPr>
        <w:lastRenderedPageBreak/>
        <w:t xml:space="preserve">a platform’s </w:t>
      </w:r>
      <w:r w:rsidR="00565A58" w:rsidRPr="005179A6">
        <w:rPr>
          <w:i/>
          <w:iCs/>
          <w:sz w:val="24"/>
          <w:szCs w:val="24"/>
        </w:rPr>
        <w:t>own</w:t>
      </w:r>
      <w:r w:rsidR="00565A58">
        <w:rPr>
          <w:sz w:val="24"/>
          <w:szCs w:val="24"/>
        </w:rPr>
        <w:t xml:space="preserve"> Community Standards</w:t>
      </w:r>
      <w:r w:rsidR="0058654B" w:rsidRPr="003B44D7">
        <w:rPr>
          <w:sz w:val="24"/>
          <w:szCs w:val="24"/>
        </w:rPr>
        <w:t xml:space="preserve">, as </w:t>
      </w:r>
      <w:r w:rsidR="00565A58">
        <w:rPr>
          <w:sz w:val="24"/>
          <w:szCs w:val="24"/>
        </w:rPr>
        <w:t>confirmed</w:t>
      </w:r>
      <w:r w:rsidR="0058654B" w:rsidRPr="003B44D7">
        <w:rPr>
          <w:sz w:val="24"/>
          <w:szCs w:val="24"/>
        </w:rPr>
        <w:t xml:space="preserve"> by </w:t>
      </w:r>
      <w:r w:rsidR="008C357F" w:rsidRPr="003B44D7">
        <w:rPr>
          <w:sz w:val="24"/>
          <w:szCs w:val="24"/>
        </w:rPr>
        <w:t xml:space="preserve"> the German Federal Court</w:t>
      </w:r>
      <w:r w:rsidR="0058654B" w:rsidRPr="003B44D7">
        <w:rPr>
          <w:sz w:val="24"/>
          <w:szCs w:val="24"/>
        </w:rPr>
        <w:t xml:space="preserve"> of Justice</w:t>
      </w:r>
      <w:r w:rsidR="008C357F" w:rsidRPr="003B44D7">
        <w:rPr>
          <w:sz w:val="24"/>
          <w:szCs w:val="24"/>
        </w:rPr>
        <w:t xml:space="preserve"> </w:t>
      </w:r>
      <w:r w:rsidR="0058654B" w:rsidRPr="003B44D7">
        <w:rPr>
          <w:sz w:val="24"/>
          <w:szCs w:val="24"/>
        </w:rPr>
        <w:t xml:space="preserve">in 2021 when it </w:t>
      </w:r>
      <w:r w:rsidR="008C357F" w:rsidRPr="003B44D7">
        <w:rPr>
          <w:sz w:val="24"/>
          <w:szCs w:val="24"/>
        </w:rPr>
        <w:t xml:space="preserve">held that Facebook acted illegally when it took down racist posts </w:t>
      </w:r>
      <w:r w:rsidR="0058654B" w:rsidRPr="003B44D7">
        <w:rPr>
          <w:sz w:val="24"/>
          <w:szCs w:val="24"/>
        </w:rPr>
        <w:t>without informing the user retrospectively, and when it fail</w:t>
      </w:r>
      <w:r w:rsidR="00565A58">
        <w:rPr>
          <w:sz w:val="24"/>
          <w:szCs w:val="24"/>
        </w:rPr>
        <w:t>ed</w:t>
      </w:r>
      <w:r w:rsidR="0058654B" w:rsidRPr="003B44D7">
        <w:rPr>
          <w:sz w:val="24"/>
          <w:szCs w:val="24"/>
        </w:rPr>
        <w:t xml:space="preserve"> to inform the user of its intention to</w:t>
      </w:r>
      <w:r w:rsidR="008C357F" w:rsidRPr="003B44D7">
        <w:rPr>
          <w:sz w:val="24"/>
          <w:szCs w:val="24"/>
        </w:rPr>
        <w:t xml:space="preserve"> block </w:t>
      </w:r>
      <w:r w:rsidR="0058654B" w:rsidRPr="003B44D7">
        <w:rPr>
          <w:sz w:val="24"/>
          <w:szCs w:val="24"/>
        </w:rPr>
        <w:t xml:space="preserve">his or her </w:t>
      </w:r>
      <w:r w:rsidR="008C357F" w:rsidRPr="003B44D7">
        <w:rPr>
          <w:sz w:val="24"/>
          <w:szCs w:val="24"/>
        </w:rPr>
        <w:t xml:space="preserve">account </w:t>
      </w:r>
      <w:r w:rsidR="0058654B" w:rsidRPr="003B44D7">
        <w:rPr>
          <w:sz w:val="24"/>
          <w:szCs w:val="24"/>
        </w:rPr>
        <w:t>without giving reasons and</w:t>
      </w:r>
      <w:r w:rsidR="00565A58">
        <w:rPr>
          <w:sz w:val="24"/>
          <w:szCs w:val="24"/>
        </w:rPr>
        <w:t xml:space="preserve"> without giving the user</w:t>
      </w:r>
      <w:r w:rsidR="0058654B" w:rsidRPr="003B44D7">
        <w:rPr>
          <w:sz w:val="24"/>
          <w:szCs w:val="24"/>
        </w:rPr>
        <w:t xml:space="preserve"> an opportunity to respond</w:t>
      </w:r>
      <w:r w:rsidR="008C357F" w:rsidRPr="003B44D7">
        <w:rPr>
          <w:sz w:val="24"/>
          <w:szCs w:val="24"/>
        </w:rPr>
        <w:t xml:space="preserve"> </w:t>
      </w:r>
      <w:r w:rsidR="0058654B" w:rsidRPr="003B44D7">
        <w:rPr>
          <w:sz w:val="24"/>
          <w:szCs w:val="24"/>
        </w:rPr>
        <w:t xml:space="preserve">to </w:t>
      </w:r>
      <w:r w:rsidR="00565A58">
        <w:rPr>
          <w:sz w:val="24"/>
          <w:szCs w:val="24"/>
        </w:rPr>
        <w:t>those</w:t>
      </w:r>
      <w:r w:rsidR="0058654B" w:rsidRPr="003B44D7">
        <w:rPr>
          <w:sz w:val="24"/>
          <w:szCs w:val="24"/>
        </w:rPr>
        <w:t xml:space="preserve"> reason</w:t>
      </w:r>
      <w:r w:rsidR="00565A58">
        <w:rPr>
          <w:sz w:val="24"/>
          <w:szCs w:val="24"/>
        </w:rPr>
        <w:t>s</w:t>
      </w:r>
      <w:r w:rsidR="008C357F" w:rsidRPr="003B44D7">
        <w:rPr>
          <w:sz w:val="24"/>
          <w:szCs w:val="24"/>
        </w:rPr>
        <w:t>.</w:t>
      </w:r>
      <w:r w:rsidR="008C357F" w:rsidRPr="003B44D7">
        <w:rPr>
          <w:rStyle w:val="FootnoteReference"/>
          <w:sz w:val="24"/>
          <w:szCs w:val="24"/>
        </w:rPr>
        <w:footnoteReference w:id="103"/>
      </w:r>
      <w:r w:rsidR="008C357F" w:rsidRPr="003B44D7">
        <w:rPr>
          <w:sz w:val="24"/>
          <w:szCs w:val="24"/>
        </w:rPr>
        <w:t xml:space="preserve"> </w:t>
      </w:r>
      <w:r w:rsidR="00185D12" w:rsidRPr="003B44D7">
        <w:rPr>
          <w:sz w:val="24"/>
          <w:szCs w:val="24"/>
        </w:rPr>
        <w:t>Of course, i</w:t>
      </w:r>
      <w:r w:rsidR="00BC4A04" w:rsidRPr="003B44D7">
        <w:rPr>
          <w:sz w:val="24"/>
          <w:szCs w:val="24"/>
        </w:rPr>
        <w:t xml:space="preserve">n as much as the </w:t>
      </w:r>
      <w:r w:rsidR="009B7DF8" w:rsidRPr="003B44D7">
        <w:rPr>
          <w:sz w:val="24"/>
          <w:szCs w:val="24"/>
        </w:rPr>
        <w:t xml:space="preserve">State </w:t>
      </w:r>
      <w:r w:rsidR="008C357F" w:rsidRPr="003B44D7">
        <w:rPr>
          <w:sz w:val="24"/>
          <w:szCs w:val="24"/>
        </w:rPr>
        <w:t>becomes the guardian of the process</w:t>
      </w:r>
      <w:r w:rsidR="00BC4A04" w:rsidRPr="003B44D7">
        <w:rPr>
          <w:sz w:val="24"/>
          <w:szCs w:val="24"/>
        </w:rPr>
        <w:t xml:space="preserve">, it also removes itself from the actual substantive adjudication; it moves to the sidelines. </w:t>
      </w:r>
    </w:p>
    <w:p w14:paraId="06816CCB" w14:textId="77777777" w:rsidR="00C75506" w:rsidRPr="003B44D7" w:rsidRDefault="00C75506" w:rsidP="004E7EB4">
      <w:pPr>
        <w:spacing w:after="0" w:line="240" w:lineRule="auto"/>
        <w:jc w:val="both"/>
        <w:rPr>
          <w:sz w:val="24"/>
          <w:szCs w:val="24"/>
        </w:rPr>
      </w:pPr>
    </w:p>
    <w:p w14:paraId="6943D224" w14:textId="65DCF72C" w:rsidR="00584CC8" w:rsidRPr="003B44D7" w:rsidRDefault="00C75506" w:rsidP="004E7EB4">
      <w:pPr>
        <w:spacing w:after="0" w:line="240" w:lineRule="auto"/>
        <w:jc w:val="both"/>
        <w:rPr>
          <w:sz w:val="24"/>
          <w:szCs w:val="24"/>
        </w:rPr>
      </w:pPr>
      <w:proofErr w:type="gramStart"/>
      <w:r w:rsidRPr="003B44D7">
        <w:rPr>
          <w:sz w:val="24"/>
          <w:szCs w:val="24"/>
        </w:rPr>
        <w:t>In light of</w:t>
      </w:r>
      <w:proofErr w:type="gramEnd"/>
      <w:r w:rsidRPr="003B44D7">
        <w:rPr>
          <w:sz w:val="24"/>
          <w:szCs w:val="24"/>
        </w:rPr>
        <w:t xml:space="preserve"> the above, it</w:t>
      </w:r>
      <w:r w:rsidR="002F7DC5" w:rsidRPr="003B44D7">
        <w:rPr>
          <w:sz w:val="24"/>
          <w:szCs w:val="24"/>
        </w:rPr>
        <w:t xml:space="preserve"> may be argued that </w:t>
      </w:r>
      <w:r w:rsidR="00127B13" w:rsidRPr="003B44D7">
        <w:rPr>
          <w:sz w:val="24"/>
          <w:szCs w:val="24"/>
        </w:rPr>
        <w:t xml:space="preserve">far from privatising censorship, NetzDG injects significant public dimensions into what </w:t>
      </w:r>
      <w:r w:rsidR="000A49AB" w:rsidRPr="003B44D7">
        <w:rPr>
          <w:sz w:val="24"/>
          <w:szCs w:val="24"/>
        </w:rPr>
        <w:t>would</w:t>
      </w:r>
      <w:r w:rsidR="006326F2" w:rsidRPr="003B44D7">
        <w:rPr>
          <w:sz w:val="24"/>
          <w:szCs w:val="24"/>
        </w:rPr>
        <w:t xml:space="preserve"> otherwise</w:t>
      </w:r>
      <w:r w:rsidR="000A49AB" w:rsidRPr="003B44D7">
        <w:rPr>
          <w:sz w:val="24"/>
          <w:szCs w:val="24"/>
        </w:rPr>
        <w:t xml:space="preserve"> be</w:t>
      </w:r>
      <w:r w:rsidR="005323B0" w:rsidRPr="003B44D7">
        <w:rPr>
          <w:sz w:val="24"/>
          <w:szCs w:val="24"/>
        </w:rPr>
        <w:t xml:space="preserve"> entirely</w:t>
      </w:r>
      <w:r w:rsidR="006326F2" w:rsidRPr="003B44D7">
        <w:rPr>
          <w:sz w:val="24"/>
          <w:szCs w:val="24"/>
        </w:rPr>
        <w:t xml:space="preserve"> </w:t>
      </w:r>
      <w:r w:rsidR="00127B13" w:rsidRPr="003B44D7">
        <w:rPr>
          <w:sz w:val="24"/>
          <w:szCs w:val="24"/>
        </w:rPr>
        <w:t xml:space="preserve">unaccountable </w:t>
      </w:r>
      <w:r w:rsidR="006326F2" w:rsidRPr="003B44D7">
        <w:rPr>
          <w:sz w:val="24"/>
          <w:szCs w:val="24"/>
        </w:rPr>
        <w:t xml:space="preserve">private </w:t>
      </w:r>
      <w:r w:rsidR="00127B13" w:rsidRPr="003B44D7">
        <w:rPr>
          <w:sz w:val="24"/>
          <w:szCs w:val="24"/>
        </w:rPr>
        <w:t>content moderation</w:t>
      </w:r>
      <w:r w:rsidR="004E52C9" w:rsidRPr="003B44D7">
        <w:rPr>
          <w:sz w:val="24"/>
          <w:szCs w:val="24"/>
        </w:rPr>
        <w:t xml:space="preserve"> by platforms</w:t>
      </w:r>
      <w:r w:rsidR="00127B13" w:rsidRPr="003B44D7">
        <w:rPr>
          <w:sz w:val="24"/>
          <w:szCs w:val="24"/>
        </w:rPr>
        <w:t xml:space="preserve">: first, it spells out </w:t>
      </w:r>
      <w:r w:rsidRPr="003B44D7">
        <w:rPr>
          <w:sz w:val="24"/>
          <w:szCs w:val="24"/>
        </w:rPr>
        <w:t>the</w:t>
      </w:r>
      <w:r w:rsidR="00127B13" w:rsidRPr="003B44D7">
        <w:rPr>
          <w:sz w:val="24"/>
          <w:szCs w:val="24"/>
        </w:rPr>
        <w:t xml:space="preserve"> </w:t>
      </w:r>
      <w:r w:rsidR="009B7DF8" w:rsidRPr="003B44D7">
        <w:rPr>
          <w:sz w:val="24"/>
          <w:szCs w:val="24"/>
        </w:rPr>
        <w:t xml:space="preserve">public </w:t>
      </w:r>
      <w:r w:rsidR="00127B13" w:rsidRPr="003B44D7">
        <w:rPr>
          <w:sz w:val="24"/>
          <w:szCs w:val="24"/>
        </w:rPr>
        <w:t xml:space="preserve">content standards to be observed </w:t>
      </w:r>
      <w:r w:rsidR="00644E40" w:rsidRPr="003B44D7">
        <w:rPr>
          <w:sz w:val="24"/>
          <w:szCs w:val="24"/>
        </w:rPr>
        <w:t xml:space="preserve">by platforms </w:t>
      </w:r>
      <w:r w:rsidR="004E52C9" w:rsidRPr="003B44D7">
        <w:rPr>
          <w:sz w:val="24"/>
          <w:szCs w:val="24"/>
        </w:rPr>
        <w:t>(more on this below)</w:t>
      </w:r>
      <w:r w:rsidR="00127B13" w:rsidRPr="003B44D7">
        <w:rPr>
          <w:sz w:val="24"/>
          <w:szCs w:val="24"/>
        </w:rPr>
        <w:t>; and second, it</w:t>
      </w:r>
      <w:r w:rsidR="004E52C9" w:rsidRPr="003B44D7">
        <w:rPr>
          <w:sz w:val="24"/>
          <w:szCs w:val="24"/>
        </w:rPr>
        <w:t xml:space="preserve"> imposes</w:t>
      </w:r>
      <w:r w:rsidR="00612A83" w:rsidRPr="003B44D7">
        <w:rPr>
          <w:sz w:val="24"/>
          <w:szCs w:val="24"/>
        </w:rPr>
        <w:t xml:space="preserve"> minimum </w:t>
      </w:r>
      <w:r w:rsidR="009B7DF8" w:rsidRPr="003B44D7">
        <w:rPr>
          <w:sz w:val="24"/>
          <w:szCs w:val="24"/>
        </w:rPr>
        <w:t>due process and transparency</w:t>
      </w:r>
      <w:r w:rsidR="00127B13" w:rsidRPr="003B44D7">
        <w:rPr>
          <w:sz w:val="24"/>
          <w:szCs w:val="24"/>
        </w:rPr>
        <w:t xml:space="preserve"> </w:t>
      </w:r>
      <w:r w:rsidR="004E52C9" w:rsidRPr="003B44D7">
        <w:rPr>
          <w:sz w:val="24"/>
          <w:szCs w:val="24"/>
        </w:rPr>
        <w:t xml:space="preserve">requirements for the </w:t>
      </w:r>
      <w:r w:rsidR="009B7DF8" w:rsidRPr="003B44D7">
        <w:rPr>
          <w:sz w:val="24"/>
          <w:szCs w:val="24"/>
        </w:rPr>
        <w:t>adjudication of</w:t>
      </w:r>
      <w:r w:rsidR="004E52C9" w:rsidRPr="003B44D7">
        <w:rPr>
          <w:sz w:val="24"/>
          <w:szCs w:val="24"/>
        </w:rPr>
        <w:t xml:space="preserve"> complaints based on th</w:t>
      </w:r>
      <w:r w:rsidR="006326F2" w:rsidRPr="003B44D7">
        <w:rPr>
          <w:sz w:val="24"/>
          <w:szCs w:val="24"/>
        </w:rPr>
        <w:t>e</w:t>
      </w:r>
      <w:r w:rsidR="004E52C9" w:rsidRPr="003B44D7">
        <w:rPr>
          <w:sz w:val="24"/>
          <w:szCs w:val="24"/>
        </w:rPr>
        <w:t>se standards.</w:t>
      </w:r>
      <w:r w:rsidR="000A49AB" w:rsidRPr="003B44D7">
        <w:rPr>
          <w:sz w:val="24"/>
          <w:szCs w:val="24"/>
        </w:rPr>
        <w:t xml:space="preserve"> </w:t>
      </w:r>
      <w:r w:rsidR="00612A83" w:rsidRPr="003B44D7">
        <w:rPr>
          <w:sz w:val="24"/>
          <w:szCs w:val="24"/>
        </w:rPr>
        <w:t>Public authority does not</w:t>
      </w:r>
      <w:r w:rsidR="004E52C9" w:rsidRPr="003B44D7">
        <w:rPr>
          <w:sz w:val="24"/>
          <w:szCs w:val="24"/>
        </w:rPr>
        <w:t xml:space="preserve"> thereby abdicate its final formal authority, nor does it substantively surrender a function it previously discharged</w:t>
      </w:r>
      <w:r w:rsidR="002F7DC5" w:rsidRPr="003B44D7">
        <w:rPr>
          <w:sz w:val="24"/>
          <w:szCs w:val="24"/>
        </w:rPr>
        <w:t xml:space="preserve"> (</w:t>
      </w:r>
      <w:r w:rsidR="004E52C9" w:rsidRPr="003B44D7">
        <w:rPr>
          <w:sz w:val="24"/>
          <w:szCs w:val="24"/>
        </w:rPr>
        <w:t xml:space="preserve">the </w:t>
      </w:r>
      <w:r w:rsidR="009B7DF8" w:rsidRPr="003B44D7">
        <w:rPr>
          <w:sz w:val="24"/>
          <w:szCs w:val="24"/>
        </w:rPr>
        <w:t xml:space="preserve">amount of </w:t>
      </w:r>
      <w:r w:rsidR="004E52C9" w:rsidRPr="003B44D7">
        <w:rPr>
          <w:sz w:val="24"/>
          <w:szCs w:val="24"/>
        </w:rPr>
        <w:t xml:space="preserve">low-value speech in the public domain </w:t>
      </w:r>
      <w:r w:rsidR="007C0FA3" w:rsidRPr="003B44D7">
        <w:rPr>
          <w:sz w:val="24"/>
          <w:szCs w:val="24"/>
        </w:rPr>
        <w:t xml:space="preserve">now </w:t>
      </w:r>
      <w:r w:rsidR="004E52C9" w:rsidRPr="003B44D7">
        <w:rPr>
          <w:sz w:val="24"/>
          <w:szCs w:val="24"/>
        </w:rPr>
        <w:t xml:space="preserve">is </w:t>
      </w:r>
      <w:r w:rsidR="00644E40" w:rsidRPr="003B44D7">
        <w:rPr>
          <w:sz w:val="24"/>
          <w:szCs w:val="24"/>
        </w:rPr>
        <w:t>unprecedented</w:t>
      </w:r>
      <w:r w:rsidR="002F7DC5" w:rsidRPr="003B44D7">
        <w:rPr>
          <w:sz w:val="24"/>
          <w:szCs w:val="24"/>
        </w:rPr>
        <w:t>)</w:t>
      </w:r>
      <w:r w:rsidR="006326F2" w:rsidRPr="003B44D7">
        <w:rPr>
          <w:sz w:val="24"/>
          <w:szCs w:val="24"/>
        </w:rPr>
        <w:t>.</w:t>
      </w:r>
      <w:r w:rsidR="004E52C9" w:rsidRPr="003B44D7">
        <w:rPr>
          <w:rStyle w:val="FootnoteReference"/>
          <w:sz w:val="24"/>
          <w:szCs w:val="24"/>
        </w:rPr>
        <w:footnoteReference w:id="104"/>
      </w:r>
      <w:r w:rsidR="004E52C9" w:rsidRPr="003B44D7">
        <w:rPr>
          <w:sz w:val="24"/>
          <w:szCs w:val="24"/>
        </w:rPr>
        <w:t xml:space="preserve"> </w:t>
      </w:r>
      <w:r w:rsidR="009B7DF8" w:rsidRPr="003B44D7">
        <w:rPr>
          <w:sz w:val="24"/>
          <w:szCs w:val="24"/>
        </w:rPr>
        <w:t xml:space="preserve">Equally, whilst </w:t>
      </w:r>
      <w:r w:rsidR="0019422C" w:rsidRPr="003B44D7">
        <w:rPr>
          <w:sz w:val="24"/>
          <w:szCs w:val="24"/>
        </w:rPr>
        <w:t>the</w:t>
      </w:r>
      <w:r w:rsidR="00285F7E" w:rsidRPr="003B44D7">
        <w:rPr>
          <w:sz w:val="24"/>
          <w:szCs w:val="24"/>
        </w:rPr>
        <w:t xml:space="preserve"> </w:t>
      </w:r>
      <w:r w:rsidR="0019422C" w:rsidRPr="003B44D7">
        <w:rPr>
          <w:sz w:val="24"/>
          <w:szCs w:val="24"/>
        </w:rPr>
        <w:t xml:space="preserve">German Criminal Code supplies </w:t>
      </w:r>
      <w:r w:rsidR="00285F7E" w:rsidRPr="003B44D7">
        <w:rPr>
          <w:sz w:val="24"/>
          <w:szCs w:val="24"/>
        </w:rPr>
        <w:t>a</w:t>
      </w:r>
      <w:r w:rsidR="0019422C" w:rsidRPr="003B44D7">
        <w:rPr>
          <w:sz w:val="24"/>
          <w:szCs w:val="24"/>
        </w:rPr>
        <w:t xml:space="preserve"> legal bar by which content complaints</w:t>
      </w:r>
      <w:r w:rsidR="00285F7E" w:rsidRPr="003B44D7">
        <w:rPr>
          <w:sz w:val="24"/>
          <w:szCs w:val="24"/>
        </w:rPr>
        <w:t xml:space="preserve"> to platform</w:t>
      </w:r>
      <w:r w:rsidRPr="003B44D7">
        <w:rPr>
          <w:sz w:val="24"/>
          <w:szCs w:val="24"/>
        </w:rPr>
        <w:t>s</w:t>
      </w:r>
      <w:r w:rsidR="0019422C" w:rsidRPr="003B44D7">
        <w:rPr>
          <w:sz w:val="24"/>
          <w:szCs w:val="24"/>
        </w:rPr>
        <w:t xml:space="preserve"> </w:t>
      </w:r>
      <w:r w:rsidR="005323B0" w:rsidRPr="003B44D7">
        <w:rPr>
          <w:sz w:val="24"/>
          <w:szCs w:val="24"/>
        </w:rPr>
        <w:t>must now be</w:t>
      </w:r>
      <w:r w:rsidR="0019422C" w:rsidRPr="003B44D7">
        <w:rPr>
          <w:sz w:val="24"/>
          <w:szCs w:val="24"/>
        </w:rPr>
        <w:t xml:space="preserve"> assessed, the role performed by platforms</w:t>
      </w:r>
      <w:r w:rsidR="00285F7E" w:rsidRPr="003B44D7">
        <w:rPr>
          <w:sz w:val="24"/>
          <w:szCs w:val="24"/>
        </w:rPr>
        <w:t xml:space="preserve"> under NetzDG</w:t>
      </w:r>
      <w:r w:rsidR="0019422C" w:rsidRPr="003B44D7">
        <w:rPr>
          <w:sz w:val="24"/>
          <w:szCs w:val="24"/>
        </w:rPr>
        <w:t xml:space="preserve"> </w:t>
      </w:r>
      <w:r w:rsidR="00612A83" w:rsidRPr="003B44D7">
        <w:rPr>
          <w:sz w:val="24"/>
          <w:szCs w:val="24"/>
        </w:rPr>
        <w:t>neither</w:t>
      </w:r>
      <w:r w:rsidR="006326F2" w:rsidRPr="003B44D7">
        <w:rPr>
          <w:sz w:val="24"/>
          <w:szCs w:val="24"/>
        </w:rPr>
        <w:t xml:space="preserve"> displace</w:t>
      </w:r>
      <w:r w:rsidR="00285F7E" w:rsidRPr="003B44D7">
        <w:rPr>
          <w:sz w:val="24"/>
          <w:szCs w:val="24"/>
        </w:rPr>
        <w:t>s</w:t>
      </w:r>
      <w:r w:rsidR="006326F2" w:rsidRPr="003B44D7">
        <w:rPr>
          <w:sz w:val="24"/>
          <w:szCs w:val="24"/>
        </w:rPr>
        <w:t xml:space="preserve"> criminal prosecutions nor civil actions</w:t>
      </w:r>
      <w:r w:rsidR="00356339">
        <w:rPr>
          <w:sz w:val="24"/>
          <w:szCs w:val="24"/>
        </w:rPr>
        <w:t>;</w:t>
      </w:r>
      <w:r w:rsidR="006326F2" w:rsidRPr="003B44D7">
        <w:rPr>
          <w:rStyle w:val="FootnoteReference"/>
          <w:sz w:val="24"/>
          <w:szCs w:val="24"/>
        </w:rPr>
        <w:footnoteReference w:id="105"/>
      </w:r>
      <w:r w:rsidR="006326F2" w:rsidRPr="003B44D7">
        <w:rPr>
          <w:sz w:val="24"/>
          <w:szCs w:val="24"/>
        </w:rPr>
        <w:t xml:space="preserve"> </w:t>
      </w:r>
      <w:r w:rsidR="00612A83" w:rsidRPr="003B44D7">
        <w:rPr>
          <w:sz w:val="24"/>
          <w:szCs w:val="24"/>
        </w:rPr>
        <w:t>it</w:t>
      </w:r>
      <w:r w:rsidR="006326F2" w:rsidRPr="003B44D7">
        <w:rPr>
          <w:sz w:val="24"/>
          <w:szCs w:val="24"/>
        </w:rPr>
        <w:t xml:space="preserve"> </w:t>
      </w:r>
      <w:r w:rsidR="0019422C" w:rsidRPr="003B44D7">
        <w:rPr>
          <w:sz w:val="24"/>
          <w:szCs w:val="24"/>
        </w:rPr>
        <w:t>is</w:t>
      </w:r>
      <w:r w:rsidR="006326F2" w:rsidRPr="003B44D7">
        <w:rPr>
          <w:sz w:val="24"/>
          <w:szCs w:val="24"/>
        </w:rPr>
        <w:t xml:space="preserve"> simply</w:t>
      </w:r>
      <w:r w:rsidR="00356339">
        <w:rPr>
          <w:sz w:val="24"/>
          <w:szCs w:val="24"/>
        </w:rPr>
        <w:t xml:space="preserve"> </w:t>
      </w:r>
      <w:r w:rsidR="00612A83" w:rsidRPr="003B44D7">
        <w:rPr>
          <w:sz w:val="24"/>
          <w:szCs w:val="24"/>
        </w:rPr>
        <w:t>designed to effect the removal of</w:t>
      </w:r>
      <w:r w:rsidR="00356339">
        <w:rPr>
          <w:sz w:val="24"/>
          <w:szCs w:val="24"/>
        </w:rPr>
        <w:t xml:space="preserve"> hateful and other</w:t>
      </w:r>
      <w:r w:rsidR="00612A83" w:rsidRPr="003B44D7">
        <w:rPr>
          <w:sz w:val="24"/>
          <w:szCs w:val="24"/>
        </w:rPr>
        <w:t xml:space="preserve"> </w:t>
      </w:r>
      <w:r w:rsidR="0019422C" w:rsidRPr="003B44D7">
        <w:rPr>
          <w:sz w:val="24"/>
          <w:szCs w:val="24"/>
        </w:rPr>
        <w:t xml:space="preserve">illegal material from </w:t>
      </w:r>
      <w:r w:rsidR="00356339">
        <w:rPr>
          <w:sz w:val="24"/>
          <w:szCs w:val="24"/>
        </w:rPr>
        <w:t>the ‘</w:t>
      </w:r>
      <w:r w:rsidR="00356339" w:rsidRPr="003B44D7">
        <w:rPr>
          <w:rFonts w:cstheme="minorHAnsi"/>
          <w:sz w:val="24"/>
          <w:szCs w:val="24"/>
        </w:rPr>
        <w:t>permanent visible fabric of society</w:t>
      </w:r>
      <w:r w:rsidR="00356339">
        <w:rPr>
          <w:rFonts w:cstheme="minorHAnsi"/>
          <w:sz w:val="24"/>
          <w:szCs w:val="24"/>
        </w:rPr>
        <w:t>.’</w:t>
      </w:r>
      <w:r w:rsidR="00356339">
        <w:rPr>
          <w:rStyle w:val="FootnoteReference"/>
          <w:rFonts w:cstheme="minorHAnsi"/>
          <w:sz w:val="24"/>
          <w:szCs w:val="24"/>
        </w:rPr>
        <w:footnoteReference w:id="106"/>
      </w:r>
      <w:r w:rsidR="0019422C" w:rsidRPr="003B44D7">
        <w:rPr>
          <w:sz w:val="24"/>
          <w:szCs w:val="24"/>
        </w:rPr>
        <w:t xml:space="preserve"> </w:t>
      </w:r>
      <w:r w:rsidR="006326F2" w:rsidRPr="003B44D7">
        <w:rPr>
          <w:sz w:val="24"/>
          <w:szCs w:val="24"/>
        </w:rPr>
        <w:t>From a European hate speech perspective,</w:t>
      </w:r>
      <w:r w:rsidR="00D467AE" w:rsidRPr="003B44D7">
        <w:rPr>
          <w:sz w:val="24"/>
          <w:szCs w:val="24"/>
        </w:rPr>
        <w:t xml:space="preserve"> </w:t>
      </w:r>
      <w:r w:rsidR="00C40013" w:rsidRPr="003B44D7">
        <w:rPr>
          <w:sz w:val="24"/>
          <w:szCs w:val="24"/>
        </w:rPr>
        <w:t>such</w:t>
      </w:r>
      <w:r w:rsidR="008D7BD3" w:rsidRPr="003B44D7">
        <w:rPr>
          <w:sz w:val="24"/>
          <w:szCs w:val="24"/>
        </w:rPr>
        <w:t xml:space="preserve"> </w:t>
      </w:r>
      <w:r w:rsidR="006326F2" w:rsidRPr="003B44D7">
        <w:rPr>
          <w:sz w:val="24"/>
          <w:szCs w:val="24"/>
        </w:rPr>
        <w:t>removal</w:t>
      </w:r>
      <w:r w:rsidR="00C40013" w:rsidRPr="003B44D7">
        <w:rPr>
          <w:sz w:val="24"/>
          <w:szCs w:val="24"/>
        </w:rPr>
        <w:t xml:space="preserve"> </w:t>
      </w:r>
      <w:r w:rsidR="008D7BD3" w:rsidRPr="003B44D7">
        <w:rPr>
          <w:sz w:val="24"/>
          <w:szCs w:val="24"/>
        </w:rPr>
        <w:t xml:space="preserve">lies at the </w:t>
      </w:r>
      <w:r w:rsidR="00285F7E" w:rsidRPr="003B44D7">
        <w:rPr>
          <w:sz w:val="24"/>
          <w:szCs w:val="24"/>
        </w:rPr>
        <w:t xml:space="preserve">very </w:t>
      </w:r>
      <w:r w:rsidR="00185D12" w:rsidRPr="003B44D7">
        <w:rPr>
          <w:sz w:val="24"/>
          <w:szCs w:val="24"/>
        </w:rPr>
        <w:t>heart</w:t>
      </w:r>
      <w:r w:rsidR="008D7BD3" w:rsidRPr="003B44D7">
        <w:rPr>
          <w:sz w:val="24"/>
          <w:szCs w:val="24"/>
        </w:rPr>
        <w:t xml:space="preserve"> of protecting </w:t>
      </w:r>
      <w:r w:rsidR="006326F2" w:rsidRPr="003B44D7">
        <w:rPr>
          <w:sz w:val="24"/>
          <w:szCs w:val="24"/>
        </w:rPr>
        <w:t>the</w:t>
      </w:r>
      <w:r w:rsidR="00D467AE" w:rsidRPr="003B44D7">
        <w:rPr>
          <w:sz w:val="24"/>
          <w:szCs w:val="24"/>
        </w:rPr>
        <w:t xml:space="preserve"> inherent</w:t>
      </w:r>
      <w:r w:rsidR="006326F2" w:rsidRPr="003B44D7">
        <w:rPr>
          <w:sz w:val="24"/>
          <w:szCs w:val="24"/>
        </w:rPr>
        <w:t xml:space="preserve"> dignity of </w:t>
      </w:r>
      <w:r w:rsidR="005323B0" w:rsidRPr="003B44D7">
        <w:rPr>
          <w:sz w:val="24"/>
          <w:szCs w:val="24"/>
        </w:rPr>
        <w:t>individuals</w:t>
      </w:r>
      <w:r w:rsidR="00356339">
        <w:rPr>
          <w:sz w:val="24"/>
          <w:szCs w:val="24"/>
        </w:rPr>
        <w:t xml:space="preserve">, </w:t>
      </w:r>
      <w:r w:rsidR="005323B0" w:rsidRPr="003B44D7">
        <w:rPr>
          <w:sz w:val="24"/>
          <w:szCs w:val="24"/>
        </w:rPr>
        <w:t>particular</w:t>
      </w:r>
      <w:r w:rsidR="00356339">
        <w:rPr>
          <w:sz w:val="24"/>
          <w:szCs w:val="24"/>
        </w:rPr>
        <w:t>ly</w:t>
      </w:r>
      <w:r w:rsidR="005323B0" w:rsidRPr="003B44D7">
        <w:rPr>
          <w:sz w:val="24"/>
          <w:szCs w:val="24"/>
        </w:rPr>
        <w:t xml:space="preserve"> </w:t>
      </w:r>
      <w:r w:rsidR="00D467AE" w:rsidRPr="003B44D7">
        <w:rPr>
          <w:sz w:val="24"/>
          <w:szCs w:val="24"/>
        </w:rPr>
        <w:t xml:space="preserve">from </w:t>
      </w:r>
      <w:r w:rsidR="005323B0" w:rsidRPr="003B44D7">
        <w:rPr>
          <w:sz w:val="24"/>
          <w:szCs w:val="24"/>
        </w:rPr>
        <w:t>minorities</w:t>
      </w:r>
      <w:r w:rsidR="00356339">
        <w:rPr>
          <w:sz w:val="24"/>
          <w:szCs w:val="24"/>
        </w:rPr>
        <w:t xml:space="preserve">, and their equal standing in the community. </w:t>
      </w:r>
    </w:p>
    <w:p w14:paraId="3633D35B" w14:textId="77777777" w:rsidR="008D7BD3" w:rsidRPr="003B44D7" w:rsidRDefault="008D7BD3" w:rsidP="004E7EB4">
      <w:pPr>
        <w:spacing w:after="0" w:line="240" w:lineRule="auto"/>
        <w:jc w:val="both"/>
        <w:rPr>
          <w:rFonts w:cstheme="minorHAnsi"/>
          <w:sz w:val="24"/>
          <w:szCs w:val="24"/>
        </w:rPr>
      </w:pPr>
    </w:p>
    <w:p w14:paraId="69E18F95" w14:textId="2DD5A110" w:rsidR="00584CC8" w:rsidRPr="003B44D7" w:rsidRDefault="00584CC8" w:rsidP="004E7EB4">
      <w:pPr>
        <w:pStyle w:val="Heading2"/>
        <w:numPr>
          <w:ilvl w:val="1"/>
          <w:numId w:val="13"/>
        </w:numPr>
        <w:spacing w:before="0" w:line="240" w:lineRule="auto"/>
        <w:rPr>
          <w:rFonts w:asciiTheme="minorHAnsi" w:hAnsiTheme="minorHAnsi" w:cstheme="minorHAnsi"/>
          <w:sz w:val="24"/>
          <w:szCs w:val="24"/>
        </w:rPr>
      </w:pPr>
      <w:bookmarkStart w:id="5" w:name="_Toc95568722"/>
      <w:r w:rsidRPr="003B44D7">
        <w:rPr>
          <w:rFonts w:asciiTheme="minorHAnsi" w:hAnsiTheme="minorHAnsi" w:cstheme="minorHAnsi"/>
          <w:sz w:val="24"/>
          <w:szCs w:val="24"/>
        </w:rPr>
        <w:t>Undue Public Censorship</w:t>
      </w:r>
      <w:r w:rsidR="006C24F2" w:rsidRPr="003B44D7">
        <w:rPr>
          <w:rFonts w:asciiTheme="minorHAnsi" w:hAnsiTheme="minorHAnsi" w:cstheme="minorHAnsi"/>
          <w:sz w:val="24"/>
          <w:szCs w:val="24"/>
        </w:rPr>
        <w:t xml:space="preserve">: </w:t>
      </w:r>
      <w:r w:rsidR="0019484F" w:rsidRPr="003B44D7">
        <w:rPr>
          <w:rFonts w:asciiTheme="minorHAnsi" w:hAnsiTheme="minorHAnsi" w:cstheme="minorHAnsi"/>
          <w:sz w:val="24"/>
          <w:szCs w:val="24"/>
        </w:rPr>
        <w:t>‘</w:t>
      </w:r>
      <w:r w:rsidR="004379D3" w:rsidRPr="003B44D7">
        <w:rPr>
          <w:rFonts w:asciiTheme="minorHAnsi" w:hAnsiTheme="minorHAnsi" w:cstheme="minorHAnsi"/>
          <w:i/>
          <w:iCs/>
          <w:sz w:val="24"/>
          <w:szCs w:val="24"/>
        </w:rPr>
        <w:t>official</w:t>
      </w:r>
      <w:r w:rsidR="004379D3" w:rsidRPr="003B44D7">
        <w:rPr>
          <w:rFonts w:asciiTheme="minorHAnsi" w:hAnsiTheme="minorHAnsi" w:cstheme="minorHAnsi"/>
          <w:sz w:val="24"/>
          <w:szCs w:val="24"/>
        </w:rPr>
        <w:t xml:space="preserve"> </w:t>
      </w:r>
      <w:r w:rsidR="007003FD" w:rsidRPr="003B44D7">
        <w:rPr>
          <w:rFonts w:asciiTheme="minorHAnsi" w:hAnsiTheme="minorHAnsi" w:cstheme="minorHAnsi"/>
          <w:sz w:val="24"/>
          <w:szCs w:val="24"/>
        </w:rPr>
        <w:t>s</w:t>
      </w:r>
      <w:r w:rsidR="006C24F2" w:rsidRPr="003B44D7">
        <w:rPr>
          <w:rFonts w:asciiTheme="minorHAnsi" w:hAnsiTheme="minorHAnsi" w:cstheme="minorHAnsi"/>
          <w:sz w:val="24"/>
          <w:szCs w:val="24"/>
        </w:rPr>
        <w:t>peech standards</w:t>
      </w:r>
      <w:r w:rsidR="0019484F" w:rsidRPr="003B44D7">
        <w:rPr>
          <w:rFonts w:asciiTheme="minorHAnsi" w:hAnsiTheme="minorHAnsi" w:cstheme="minorHAnsi"/>
          <w:sz w:val="24"/>
          <w:szCs w:val="24"/>
        </w:rPr>
        <w:t>’</w:t>
      </w:r>
      <w:bookmarkEnd w:id="5"/>
    </w:p>
    <w:p w14:paraId="0D4E4589" w14:textId="77777777" w:rsidR="00584CC8" w:rsidRPr="003B44D7" w:rsidRDefault="00584CC8" w:rsidP="004E7EB4">
      <w:pPr>
        <w:pStyle w:val="ListParagraph"/>
        <w:spacing w:after="0" w:line="240" w:lineRule="auto"/>
        <w:jc w:val="both"/>
        <w:rPr>
          <w:rFonts w:cstheme="minorHAnsi"/>
          <w:sz w:val="24"/>
          <w:szCs w:val="24"/>
        </w:rPr>
      </w:pPr>
    </w:p>
    <w:p w14:paraId="76FA25AE" w14:textId="3D356EF4" w:rsidR="00695D6F" w:rsidRPr="003B44D7" w:rsidRDefault="008D7BD3" w:rsidP="004E7EB4">
      <w:pPr>
        <w:spacing w:after="0" w:line="240" w:lineRule="auto"/>
        <w:jc w:val="both"/>
        <w:rPr>
          <w:sz w:val="24"/>
          <w:szCs w:val="24"/>
        </w:rPr>
      </w:pPr>
      <w:r w:rsidRPr="003B44D7">
        <w:rPr>
          <w:rFonts w:cstheme="minorHAnsi"/>
          <w:sz w:val="24"/>
          <w:szCs w:val="24"/>
        </w:rPr>
        <w:t>NetzDG</w:t>
      </w:r>
      <w:r w:rsidR="00BC6EB5" w:rsidRPr="003B44D7">
        <w:rPr>
          <w:rFonts w:cstheme="minorHAnsi"/>
          <w:sz w:val="24"/>
          <w:szCs w:val="24"/>
        </w:rPr>
        <w:t xml:space="preserve"> </w:t>
      </w:r>
      <w:r w:rsidR="00B90E81" w:rsidRPr="003B44D7">
        <w:rPr>
          <w:rFonts w:cstheme="minorHAnsi"/>
          <w:sz w:val="24"/>
          <w:szCs w:val="24"/>
        </w:rPr>
        <w:t>would</w:t>
      </w:r>
      <w:r w:rsidR="00AD5F2D" w:rsidRPr="003B44D7">
        <w:rPr>
          <w:rFonts w:cstheme="minorHAnsi"/>
          <w:sz w:val="24"/>
          <w:szCs w:val="24"/>
        </w:rPr>
        <w:t xml:space="preserve"> </w:t>
      </w:r>
      <w:r w:rsidR="00544DEF" w:rsidRPr="003B44D7">
        <w:rPr>
          <w:rFonts w:cstheme="minorHAnsi"/>
          <w:sz w:val="24"/>
          <w:szCs w:val="24"/>
        </w:rPr>
        <w:t>have</w:t>
      </w:r>
      <w:r w:rsidR="006B13C8" w:rsidRPr="003B44D7">
        <w:rPr>
          <w:rFonts w:cstheme="minorHAnsi"/>
          <w:sz w:val="24"/>
          <w:szCs w:val="24"/>
        </w:rPr>
        <w:t xml:space="preserve"> be</w:t>
      </w:r>
      <w:r w:rsidR="00544DEF" w:rsidRPr="003B44D7">
        <w:rPr>
          <w:rFonts w:cstheme="minorHAnsi"/>
          <w:sz w:val="24"/>
          <w:szCs w:val="24"/>
        </w:rPr>
        <w:t>en</w:t>
      </w:r>
      <w:r w:rsidR="006B13C8" w:rsidRPr="003B44D7">
        <w:rPr>
          <w:rFonts w:cstheme="minorHAnsi"/>
          <w:sz w:val="24"/>
          <w:szCs w:val="24"/>
        </w:rPr>
        <w:t xml:space="preserve"> </w:t>
      </w:r>
      <w:r w:rsidR="00C246D3" w:rsidRPr="003B44D7">
        <w:rPr>
          <w:rFonts w:cstheme="minorHAnsi"/>
          <w:sz w:val="24"/>
          <w:szCs w:val="24"/>
        </w:rPr>
        <w:t>struck down</w:t>
      </w:r>
      <w:r w:rsidR="00544DEF" w:rsidRPr="003B44D7">
        <w:rPr>
          <w:rFonts w:cstheme="minorHAnsi"/>
          <w:sz w:val="24"/>
          <w:szCs w:val="24"/>
        </w:rPr>
        <w:t xml:space="preserve"> as </w:t>
      </w:r>
      <w:r w:rsidR="006B13C8" w:rsidRPr="003B44D7">
        <w:rPr>
          <w:rFonts w:cstheme="minorHAnsi"/>
          <w:sz w:val="24"/>
          <w:szCs w:val="24"/>
        </w:rPr>
        <w:t>unconstitutional</w:t>
      </w:r>
      <w:r w:rsidR="0075563B" w:rsidRPr="003B44D7">
        <w:rPr>
          <w:rFonts w:cstheme="minorHAnsi"/>
          <w:sz w:val="24"/>
          <w:szCs w:val="24"/>
        </w:rPr>
        <w:t xml:space="preserve"> under the First Amendment</w:t>
      </w:r>
      <w:r w:rsidR="00BC6EB5" w:rsidRPr="003B44D7">
        <w:rPr>
          <w:rFonts w:cstheme="minorHAnsi"/>
          <w:sz w:val="24"/>
          <w:szCs w:val="24"/>
        </w:rPr>
        <w:t xml:space="preserve"> if passed in the US.</w:t>
      </w:r>
      <w:r w:rsidR="00B90E81" w:rsidRPr="003B44D7">
        <w:rPr>
          <w:rStyle w:val="FootnoteReference"/>
          <w:rFonts w:cstheme="minorHAnsi"/>
          <w:sz w:val="24"/>
          <w:szCs w:val="24"/>
        </w:rPr>
        <w:footnoteReference w:id="107"/>
      </w:r>
      <w:r w:rsidR="00544DEF" w:rsidRPr="003B44D7">
        <w:rPr>
          <w:rFonts w:cstheme="minorHAnsi"/>
          <w:sz w:val="24"/>
          <w:szCs w:val="24"/>
        </w:rPr>
        <w:t xml:space="preserve"> </w:t>
      </w:r>
      <w:r w:rsidR="00AD5F2D" w:rsidRPr="003B44D7">
        <w:rPr>
          <w:rFonts w:cstheme="minorHAnsi"/>
          <w:sz w:val="24"/>
          <w:szCs w:val="24"/>
        </w:rPr>
        <w:t>T</w:t>
      </w:r>
      <w:r w:rsidR="00C246D3" w:rsidRPr="003B44D7">
        <w:rPr>
          <w:rFonts w:cstheme="minorHAnsi"/>
          <w:sz w:val="24"/>
          <w:szCs w:val="24"/>
        </w:rPr>
        <w:t>hrough an American constitutional lens</w:t>
      </w:r>
      <w:r w:rsidR="00AD5F2D" w:rsidRPr="003B44D7">
        <w:rPr>
          <w:rFonts w:cstheme="minorHAnsi"/>
          <w:sz w:val="24"/>
          <w:szCs w:val="24"/>
        </w:rPr>
        <w:t xml:space="preserve">, </w:t>
      </w:r>
      <w:r w:rsidR="00BC6EB5" w:rsidRPr="003B44D7">
        <w:rPr>
          <w:rFonts w:cstheme="minorHAnsi"/>
          <w:sz w:val="24"/>
          <w:szCs w:val="24"/>
        </w:rPr>
        <w:t>it</w:t>
      </w:r>
      <w:r w:rsidR="00AD5F2D" w:rsidRPr="003B44D7">
        <w:rPr>
          <w:rFonts w:cstheme="minorHAnsi"/>
          <w:sz w:val="24"/>
          <w:szCs w:val="24"/>
        </w:rPr>
        <w:t xml:space="preserve"> </w:t>
      </w:r>
      <w:r w:rsidR="00C40013" w:rsidRPr="003B44D7">
        <w:rPr>
          <w:rFonts w:cstheme="minorHAnsi"/>
          <w:sz w:val="24"/>
          <w:szCs w:val="24"/>
        </w:rPr>
        <w:t>is</w:t>
      </w:r>
      <w:r w:rsidR="00720B0A" w:rsidRPr="003B44D7">
        <w:rPr>
          <w:rFonts w:cstheme="minorHAnsi"/>
          <w:sz w:val="24"/>
          <w:szCs w:val="24"/>
        </w:rPr>
        <w:t xml:space="preserve"> </w:t>
      </w:r>
      <w:r w:rsidR="0064048A" w:rsidRPr="003B44D7">
        <w:rPr>
          <w:rFonts w:cstheme="minorHAnsi"/>
          <w:sz w:val="24"/>
          <w:szCs w:val="24"/>
        </w:rPr>
        <w:t xml:space="preserve">almost </w:t>
      </w:r>
      <w:r w:rsidR="00AD5F2D" w:rsidRPr="003B44D7">
        <w:rPr>
          <w:rFonts w:cstheme="minorHAnsi"/>
          <w:sz w:val="24"/>
          <w:szCs w:val="24"/>
        </w:rPr>
        <w:t>indistinguishable from</w:t>
      </w:r>
      <w:r w:rsidR="00BC6EB5" w:rsidRPr="003B44D7">
        <w:rPr>
          <w:rFonts w:cstheme="minorHAnsi"/>
          <w:sz w:val="24"/>
          <w:szCs w:val="24"/>
        </w:rPr>
        <w:t xml:space="preserve"> the law under scrutiny in</w:t>
      </w:r>
      <w:r w:rsidR="00695D6F" w:rsidRPr="003B44D7">
        <w:rPr>
          <w:rFonts w:cstheme="minorHAnsi"/>
          <w:sz w:val="24"/>
          <w:szCs w:val="24"/>
        </w:rPr>
        <w:t xml:space="preserve"> </w:t>
      </w:r>
      <w:r w:rsidR="00AD5F2D" w:rsidRPr="003B44D7">
        <w:rPr>
          <w:rFonts w:cstheme="minorHAnsi"/>
          <w:i/>
          <w:color w:val="000000"/>
          <w:sz w:val="24"/>
          <w:szCs w:val="24"/>
        </w:rPr>
        <w:t xml:space="preserve">RAV v City of St Paul </w:t>
      </w:r>
      <w:r w:rsidR="00AD5F2D" w:rsidRPr="003B44D7">
        <w:rPr>
          <w:rFonts w:cstheme="minorHAnsi"/>
          <w:color w:val="000000"/>
          <w:sz w:val="24"/>
          <w:szCs w:val="24"/>
        </w:rPr>
        <w:t>(1992)</w:t>
      </w:r>
      <w:r w:rsidR="00AD5F2D" w:rsidRPr="003B44D7">
        <w:rPr>
          <w:rStyle w:val="FootnoteReference"/>
          <w:rFonts w:cstheme="minorHAnsi"/>
          <w:color w:val="000000"/>
          <w:sz w:val="24"/>
          <w:szCs w:val="24"/>
        </w:rPr>
        <w:footnoteReference w:id="108"/>
      </w:r>
      <w:r w:rsidR="00695D6F" w:rsidRPr="003B44D7">
        <w:rPr>
          <w:rFonts w:cstheme="minorHAnsi"/>
          <w:color w:val="000000"/>
          <w:sz w:val="24"/>
          <w:szCs w:val="24"/>
        </w:rPr>
        <w:t xml:space="preserve"> </w:t>
      </w:r>
      <w:r w:rsidR="00C40013" w:rsidRPr="003B44D7">
        <w:rPr>
          <w:rFonts w:cstheme="minorHAnsi"/>
          <w:color w:val="000000"/>
          <w:sz w:val="24"/>
          <w:szCs w:val="24"/>
        </w:rPr>
        <w:t xml:space="preserve">which was </w:t>
      </w:r>
      <w:r w:rsidR="0075563B" w:rsidRPr="003B44D7">
        <w:rPr>
          <w:sz w:val="24"/>
          <w:szCs w:val="24"/>
        </w:rPr>
        <w:t>St Paul</w:t>
      </w:r>
      <w:r w:rsidR="0039241C" w:rsidRPr="003B44D7">
        <w:rPr>
          <w:sz w:val="24"/>
          <w:szCs w:val="24"/>
        </w:rPr>
        <w:t>’s</w:t>
      </w:r>
      <w:r w:rsidR="0075563B" w:rsidRPr="003B44D7">
        <w:rPr>
          <w:sz w:val="24"/>
          <w:szCs w:val="24"/>
        </w:rPr>
        <w:t xml:space="preserve"> Bias-Motivated Crime Ordinance</w:t>
      </w:r>
      <w:r w:rsidR="00BC6EB5" w:rsidRPr="003B44D7">
        <w:rPr>
          <w:sz w:val="24"/>
          <w:szCs w:val="24"/>
        </w:rPr>
        <w:t xml:space="preserve"> </w:t>
      </w:r>
      <w:r w:rsidR="0039241C" w:rsidRPr="003B44D7">
        <w:rPr>
          <w:sz w:val="24"/>
          <w:szCs w:val="24"/>
        </w:rPr>
        <w:t>that</w:t>
      </w:r>
      <w:r w:rsidR="0075563B" w:rsidRPr="003B44D7">
        <w:rPr>
          <w:rFonts w:cstheme="minorHAnsi"/>
          <w:sz w:val="24"/>
          <w:szCs w:val="24"/>
        </w:rPr>
        <w:t xml:space="preserve"> </w:t>
      </w:r>
      <w:r w:rsidR="0039241C" w:rsidRPr="003B44D7">
        <w:rPr>
          <w:rFonts w:cstheme="minorHAnsi"/>
          <w:color w:val="000000"/>
          <w:sz w:val="24"/>
          <w:szCs w:val="24"/>
        </w:rPr>
        <w:t>prohibited the display of</w:t>
      </w:r>
      <w:r w:rsidR="00695D6F" w:rsidRPr="003B44D7">
        <w:rPr>
          <w:sz w:val="24"/>
          <w:szCs w:val="24"/>
        </w:rPr>
        <w:t xml:space="preserve"> symbol</w:t>
      </w:r>
      <w:r w:rsidR="0039241C" w:rsidRPr="003B44D7">
        <w:rPr>
          <w:sz w:val="24"/>
          <w:szCs w:val="24"/>
        </w:rPr>
        <w:t>s or</w:t>
      </w:r>
      <w:r w:rsidR="00695D6F" w:rsidRPr="003B44D7">
        <w:rPr>
          <w:sz w:val="24"/>
          <w:szCs w:val="24"/>
        </w:rPr>
        <w:t xml:space="preserve"> object</w:t>
      </w:r>
      <w:r w:rsidR="0039241C" w:rsidRPr="003B44D7">
        <w:rPr>
          <w:sz w:val="24"/>
          <w:szCs w:val="24"/>
        </w:rPr>
        <w:t>s</w:t>
      </w:r>
      <w:r w:rsidR="00695D6F" w:rsidRPr="003B44D7">
        <w:rPr>
          <w:sz w:val="24"/>
          <w:szCs w:val="24"/>
        </w:rPr>
        <w:t xml:space="preserve"> </w:t>
      </w:r>
      <w:r w:rsidR="0039241C" w:rsidRPr="003B44D7">
        <w:rPr>
          <w:sz w:val="24"/>
          <w:szCs w:val="24"/>
        </w:rPr>
        <w:t>‘</w:t>
      </w:r>
      <w:r w:rsidR="00695D6F" w:rsidRPr="003B44D7">
        <w:rPr>
          <w:sz w:val="24"/>
          <w:szCs w:val="24"/>
        </w:rPr>
        <w:t xml:space="preserve">which one knows or has reasonable grounds to know arouses anger, alarm or resentment in others on the basis of race, </w:t>
      </w:r>
      <w:proofErr w:type="spellStart"/>
      <w:r w:rsidR="00695D6F" w:rsidRPr="003B44D7">
        <w:rPr>
          <w:sz w:val="24"/>
          <w:szCs w:val="24"/>
        </w:rPr>
        <w:t>color</w:t>
      </w:r>
      <w:proofErr w:type="spellEnd"/>
      <w:r w:rsidR="00695D6F" w:rsidRPr="003B44D7">
        <w:rPr>
          <w:sz w:val="24"/>
          <w:szCs w:val="24"/>
        </w:rPr>
        <w:t>, creed, religion or gender</w:t>
      </w:r>
      <w:r w:rsidR="00BC6EB5" w:rsidRPr="003B44D7">
        <w:rPr>
          <w:sz w:val="24"/>
          <w:szCs w:val="24"/>
        </w:rPr>
        <w:t>…’</w:t>
      </w:r>
      <w:r w:rsidR="00695D6F" w:rsidRPr="003B44D7">
        <w:rPr>
          <w:sz w:val="24"/>
          <w:szCs w:val="24"/>
        </w:rPr>
        <w:t xml:space="preserve"> </w:t>
      </w:r>
      <w:r w:rsidR="0075563B" w:rsidRPr="003B44D7">
        <w:rPr>
          <w:sz w:val="24"/>
          <w:szCs w:val="24"/>
        </w:rPr>
        <w:t>Even</w:t>
      </w:r>
      <w:r w:rsidR="00185D12" w:rsidRPr="003B44D7">
        <w:rPr>
          <w:sz w:val="24"/>
          <w:szCs w:val="24"/>
        </w:rPr>
        <w:t xml:space="preserve"> </w:t>
      </w:r>
      <w:r w:rsidR="0075563B" w:rsidRPr="003B44D7">
        <w:rPr>
          <w:sz w:val="24"/>
          <w:szCs w:val="24"/>
        </w:rPr>
        <w:t>assuming</w:t>
      </w:r>
      <w:r w:rsidR="00185D12" w:rsidRPr="003B44D7">
        <w:rPr>
          <w:sz w:val="24"/>
          <w:szCs w:val="24"/>
        </w:rPr>
        <w:t>, as the Supreme Court did,</w:t>
      </w:r>
      <w:r w:rsidR="0075563B" w:rsidRPr="003B44D7">
        <w:rPr>
          <w:sz w:val="24"/>
          <w:szCs w:val="24"/>
        </w:rPr>
        <w:t xml:space="preserve"> that th</w:t>
      </w:r>
      <w:r w:rsidR="00663A27" w:rsidRPr="003B44D7">
        <w:rPr>
          <w:sz w:val="24"/>
          <w:szCs w:val="24"/>
        </w:rPr>
        <w:t>e O</w:t>
      </w:r>
      <w:r w:rsidR="0075563B" w:rsidRPr="003B44D7">
        <w:rPr>
          <w:sz w:val="24"/>
          <w:szCs w:val="24"/>
        </w:rPr>
        <w:t xml:space="preserve">rdinance </w:t>
      </w:r>
      <w:r w:rsidR="00BC6EB5" w:rsidRPr="003B44D7">
        <w:rPr>
          <w:sz w:val="24"/>
          <w:szCs w:val="24"/>
        </w:rPr>
        <w:t>sh</w:t>
      </w:r>
      <w:r w:rsidR="0075563B" w:rsidRPr="003B44D7">
        <w:rPr>
          <w:sz w:val="24"/>
          <w:szCs w:val="24"/>
        </w:rPr>
        <w:t xml:space="preserve">ould </w:t>
      </w:r>
      <w:r w:rsidR="00BD69BC" w:rsidRPr="003B44D7">
        <w:rPr>
          <w:sz w:val="24"/>
          <w:szCs w:val="24"/>
        </w:rPr>
        <w:t xml:space="preserve">be </w:t>
      </w:r>
      <w:r w:rsidR="00663A27" w:rsidRPr="003B44D7">
        <w:rPr>
          <w:sz w:val="24"/>
          <w:szCs w:val="24"/>
        </w:rPr>
        <w:t>construe</w:t>
      </w:r>
      <w:r w:rsidR="00720B0A" w:rsidRPr="003B44D7">
        <w:rPr>
          <w:sz w:val="24"/>
          <w:szCs w:val="24"/>
        </w:rPr>
        <w:t>d</w:t>
      </w:r>
      <w:r w:rsidR="0075563B" w:rsidRPr="003B44D7">
        <w:rPr>
          <w:sz w:val="24"/>
          <w:szCs w:val="24"/>
        </w:rPr>
        <w:t xml:space="preserve"> to only reach ‘fighting words’ (</w:t>
      </w:r>
      <w:proofErr w:type="gramStart"/>
      <w:r w:rsidR="0075563B" w:rsidRPr="003B44D7">
        <w:rPr>
          <w:sz w:val="24"/>
          <w:szCs w:val="24"/>
        </w:rPr>
        <w:t>i.e.</w:t>
      </w:r>
      <w:proofErr w:type="gramEnd"/>
      <w:r w:rsidR="005323B0" w:rsidRPr="003B44D7">
        <w:rPr>
          <w:sz w:val="24"/>
          <w:szCs w:val="24"/>
        </w:rPr>
        <w:t xml:space="preserve"> </w:t>
      </w:r>
      <w:r w:rsidR="00BD69BC" w:rsidRPr="003B44D7">
        <w:rPr>
          <w:sz w:val="24"/>
          <w:szCs w:val="24"/>
        </w:rPr>
        <w:t>those that</w:t>
      </w:r>
      <w:r w:rsidR="0075563B" w:rsidRPr="003B44D7">
        <w:rPr>
          <w:sz w:val="24"/>
          <w:szCs w:val="24"/>
        </w:rPr>
        <w:t xml:space="preserve"> tend to incite </w:t>
      </w:r>
      <w:r w:rsidR="0075563B" w:rsidRPr="003B44D7">
        <w:rPr>
          <w:i/>
          <w:iCs/>
          <w:sz w:val="24"/>
          <w:szCs w:val="24"/>
        </w:rPr>
        <w:t>immediate</w:t>
      </w:r>
      <w:r w:rsidR="0075563B" w:rsidRPr="003B44D7">
        <w:rPr>
          <w:sz w:val="24"/>
          <w:szCs w:val="24"/>
        </w:rPr>
        <w:t xml:space="preserve"> breach</w:t>
      </w:r>
      <w:r w:rsidR="00185D12" w:rsidRPr="003B44D7">
        <w:rPr>
          <w:sz w:val="24"/>
          <w:szCs w:val="24"/>
        </w:rPr>
        <w:t>es</w:t>
      </w:r>
      <w:r w:rsidR="0075563B" w:rsidRPr="003B44D7">
        <w:rPr>
          <w:sz w:val="24"/>
          <w:szCs w:val="24"/>
        </w:rPr>
        <w:t xml:space="preserve"> of the peace</w:t>
      </w:r>
      <w:r w:rsidR="0075563B" w:rsidRPr="003B44D7">
        <w:rPr>
          <w:rStyle w:val="FootnoteReference"/>
          <w:sz w:val="24"/>
          <w:szCs w:val="24"/>
        </w:rPr>
        <w:footnoteReference w:id="109"/>
      </w:r>
      <w:r w:rsidR="0075563B" w:rsidRPr="003B44D7">
        <w:rPr>
          <w:sz w:val="24"/>
          <w:szCs w:val="24"/>
        </w:rPr>
        <w:t>)</w:t>
      </w:r>
      <w:r w:rsidR="006773D7" w:rsidRPr="003B44D7">
        <w:rPr>
          <w:sz w:val="24"/>
          <w:szCs w:val="24"/>
        </w:rPr>
        <w:t xml:space="preserve"> </w:t>
      </w:r>
      <w:r w:rsidR="00285F7E" w:rsidRPr="003B44D7">
        <w:rPr>
          <w:sz w:val="24"/>
          <w:szCs w:val="24"/>
        </w:rPr>
        <w:t>which</w:t>
      </w:r>
      <w:r w:rsidR="00C40013" w:rsidRPr="003B44D7">
        <w:rPr>
          <w:sz w:val="24"/>
          <w:szCs w:val="24"/>
        </w:rPr>
        <w:t xml:space="preserve"> fall</w:t>
      </w:r>
      <w:r w:rsidR="006773D7" w:rsidRPr="003B44D7">
        <w:rPr>
          <w:sz w:val="24"/>
          <w:szCs w:val="24"/>
        </w:rPr>
        <w:t xml:space="preserve"> outside First Amendment</w:t>
      </w:r>
      <w:r w:rsidR="00285F7E" w:rsidRPr="003B44D7">
        <w:rPr>
          <w:sz w:val="24"/>
          <w:szCs w:val="24"/>
        </w:rPr>
        <w:t xml:space="preserve"> protection</w:t>
      </w:r>
      <w:r w:rsidR="00BD69BC" w:rsidRPr="003B44D7">
        <w:rPr>
          <w:sz w:val="24"/>
          <w:szCs w:val="24"/>
        </w:rPr>
        <w:t>,</w:t>
      </w:r>
      <w:r w:rsidR="00BC6EB5" w:rsidRPr="003B44D7">
        <w:rPr>
          <w:sz w:val="24"/>
          <w:szCs w:val="24"/>
        </w:rPr>
        <w:t xml:space="preserve"> </w:t>
      </w:r>
      <w:r w:rsidR="00185D12" w:rsidRPr="003B44D7">
        <w:rPr>
          <w:sz w:val="24"/>
          <w:szCs w:val="24"/>
        </w:rPr>
        <w:t xml:space="preserve">the Ordinance </w:t>
      </w:r>
      <w:r w:rsidR="00BD69BC" w:rsidRPr="003B44D7">
        <w:rPr>
          <w:sz w:val="24"/>
          <w:szCs w:val="24"/>
        </w:rPr>
        <w:t xml:space="preserve">still fell </w:t>
      </w:r>
      <w:proofErr w:type="spellStart"/>
      <w:r w:rsidR="00BD69BC" w:rsidRPr="003B44D7">
        <w:rPr>
          <w:sz w:val="24"/>
          <w:szCs w:val="24"/>
        </w:rPr>
        <w:t>foul</w:t>
      </w:r>
      <w:proofErr w:type="spellEnd"/>
      <w:r w:rsidR="00BD69BC" w:rsidRPr="003B44D7">
        <w:rPr>
          <w:sz w:val="24"/>
          <w:szCs w:val="24"/>
        </w:rPr>
        <w:t xml:space="preserve"> of the First Amendment</w:t>
      </w:r>
      <w:r w:rsidR="00185D12" w:rsidRPr="003B44D7">
        <w:rPr>
          <w:sz w:val="24"/>
          <w:szCs w:val="24"/>
        </w:rPr>
        <w:t>. On</w:t>
      </w:r>
      <w:r w:rsidR="00BD69BC" w:rsidRPr="003B44D7">
        <w:rPr>
          <w:sz w:val="24"/>
          <w:szCs w:val="24"/>
        </w:rPr>
        <w:t xml:space="preserve"> its face </w:t>
      </w:r>
      <w:r w:rsidR="00BC6EB5" w:rsidRPr="003B44D7">
        <w:rPr>
          <w:sz w:val="24"/>
          <w:szCs w:val="24"/>
        </w:rPr>
        <w:t>it</w:t>
      </w:r>
      <w:r w:rsidR="00BD69BC" w:rsidRPr="003B44D7">
        <w:rPr>
          <w:sz w:val="24"/>
          <w:szCs w:val="24"/>
        </w:rPr>
        <w:t xml:space="preserve"> discriminated </w:t>
      </w:r>
      <w:proofErr w:type="gramStart"/>
      <w:r w:rsidR="00BD69BC" w:rsidRPr="003B44D7">
        <w:rPr>
          <w:sz w:val="24"/>
          <w:szCs w:val="24"/>
        </w:rPr>
        <w:t xml:space="preserve">on the basis </w:t>
      </w:r>
      <w:r w:rsidR="00BD69BC" w:rsidRPr="003B44D7">
        <w:rPr>
          <w:sz w:val="24"/>
          <w:szCs w:val="24"/>
        </w:rPr>
        <w:lastRenderedPageBreak/>
        <w:t>of</w:t>
      </w:r>
      <w:proofErr w:type="gramEnd"/>
      <w:r w:rsidR="00BD69BC" w:rsidRPr="003B44D7">
        <w:rPr>
          <w:sz w:val="24"/>
          <w:szCs w:val="24"/>
        </w:rPr>
        <w:t xml:space="preserve"> </w:t>
      </w:r>
      <w:r w:rsidR="00720B0A" w:rsidRPr="003B44D7">
        <w:rPr>
          <w:sz w:val="24"/>
          <w:szCs w:val="24"/>
        </w:rPr>
        <w:t xml:space="preserve">the </w:t>
      </w:r>
      <w:r w:rsidR="00BD69BC" w:rsidRPr="003B44D7">
        <w:rPr>
          <w:sz w:val="24"/>
          <w:szCs w:val="24"/>
        </w:rPr>
        <w:t>content</w:t>
      </w:r>
      <w:r w:rsidR="006773D7" w:rsidRPr="003B44D7">
        <w:rPr>
          <w:sz w:val="24"/>
          <w:szCs w:val="24"/>
        </w:rPr>
        <w:t xml:space="preserve"> </w:t>
      </w:r>
      <w:r w:rsidR="00720B0A" w:rsidRPr="003B44D7">
        <w:rPr>
          <w:sz w:val="24"/>
          <w:szCs w:val="24"/>
        </w:rPr>
        <w:t xml:space="preserve">of the fighting words </w:t>
      </w:r>
      <w:r w:rsidR="006773D7" w:rsidRPr="003B44D7">
        <w:rPr>
          <w:sz w:val="24"/>
          <w:szCs w:val="24"/>
        </w:rPr>
        <w:t xml:space="preserve">by </w:t>
      </w:r>
      <w:r w:rsidR="00BC6EB5" w:rsidRPr="003B44D7">
        <w:rPr>
          <w:sz w:val="24"/>
          <w:szCs w:val="24"/>
        </w:rPr>
        <w:t>only penalis</w:t>
      </w:r>
      <w:r w:rsidR="006773D7" w:rsidRPr="003B44D7">
        <w:rPr>
          <w:sz w:val="24"/>
          <w:szCs w:val="24"/>
        </w:rPr>
        <w:t xml:space="preserve">ing </w:t>
      </w:r>
      <w:r w:rsidR="00BC6EB5" w:rsidRPr="003B44D7">
        <w:rPr>
          <w:sz w:val="24"/>
          <w:szCs w:val="24"/>
        </w:rPr>
        <w:t xml:space="preserve">fighting words </w:t>
      </w:r>
      <w:r w:rsidR="00021D86" w:rsidRPr="003B44D7">
        <w:rPr>
          <w:sz w:val="24"/>
          <w:szCs w:val="24"/>
        </w:rPr>
        <w:t>based on</w:t>
      </w:r>
      <w:r w:rsidR="00BD69BC" w:rsidRPr="003B44D7">
        <w:rPr>
          <w:sz w:val="24"/>
          <w:szCs w:val="24"/>
        </w:rPr>
        <w:t xml:space="preserve"> race, colour etc</w:t>
      </w:r>
      <w:r w:rsidR="00BC6EB5" w:rsidRPr="003B44D7">
        <w:rPr>
          <w:sz w:val="24"/>
          <w:szCs w:val="24"/>
        </w:rPr>
        <w:t xml:space="preserve">. </w:t>
      </w:r>
      <w:r w:rsidR="00720B0A" w:rsidRPr="003B44D7">
        <w:rPr>
          <w:sz w:val="24"/>
          <w:szCs w:val="24"/>
        </w:rPr>
        <w:t>and not others. This</w:t>
      </w:r>
      <w:r w:rsidR="00285F7E" w:rsidRPr="003B44D7">
        <w:rPr>
          <w:sz w:val="24"/>
          <w:szCs w:val="24"/>
        </w:rPr>
        <w:t xml:space="preserve"> </w:t>
      </w:r>
      <w:r w:rsidR="00185D12" w:rsidRPr="003B44D7">
        <w:rPr>
          <w:sz w:val="24"/>
          <w:szCs w:val="24"/>
        </w:rPr>
        <w:t>furthermore</w:t>
      </w:r>
      <w:r w:rsidR="00021D86" w:rsidRPr="003B44D7">
        <w:rPr>
          <w:sz w:val="24"/>
          <w:szCs w:val="24"/>
        </w:rPr>
        <w:t xml:space="preserve"> </w:t>
      </w:r>
      <w:r w:rsidR="00BC6EB5" w:rsidRPr="003B44D7">
        <w:rPr>
          <w:sz w:val="24"/>
          <w:szCs w:val="24"/>
        </w:rPr>
        <w:t xml:space="preserve">amounted to viewpoint-based discrimination </w:t>
      </w:r>
      <w:r w:rsidR="00495DF7" w:rsidRPr="003B44D7">
        <w:rPr>
          <w:sz w:val="24"/>
          <w:szCs w:val="24"/>
        </w:rPr>
        <w:t>given that</w:t>
      </w:r>
      <w:r w:rsidR="00285F7E" w:rsidRPr="003B44D7">
        <w:rPr>
          <w:sz w:val="24"/>
          <w:szCs w:val="24"/>
        </w:rPr>
        <w:t xml:space="preserve"> </w:t>
      </w:r>
      <w:r w:rsidR="00185D12" w:rsidRPr="003B44D7">
        <w:rPr>
          <w:sz w:val="24"/>
          <w:szCs w:val="24"/>
        </w:rPr>
        <w:t>the prohibition</w:t>
      </w:r>
      <w:r w:rsidR="00285F7E" w:rsidRPr="003B44D7">
        <w:rPr>
          <w:sz w:val="24"/>
          <w:szCs w:val="24"/>
        </w:rPr>
        <w:t xml:space="preserve"> sought to </w:t>
      </w:r>
      <w:r w:rsidR="00BC6EB5" w:rsidRPr="003B44D7">
        <w:rPr>
          <w:sz w:val="24"/>
          <w:szCs w:val="24"/>
        </w:rPr>
        <w:t xml:space="preserve">supress </w:t>
      </w:r>
      <w:proofErr w:type="gramStart"/>
      <w:r w:rsidR="00BC6EB5" w:rsidRPr="003B44D7">
        <w:rPr>
          <w:sz w:val="24"/>
          <w:szCs w:val="24"/>
        </w:rPr>
        <w:t>particular</w:t>
      </w:r>
      <w:r w:rsidR="00021D86" w:rsidRPr="003B44D7">
        <w:rPr>
          <w:sz w:val="24"/>
          <w:szCs w:val="24"/>
        </w:rPr>
        <w:t xml:space="preserve"> selected</w:t>
      </w:r>
      <w:proofErr w:type="gramEnd"/>
      <w:r w:rsidR="00BC6EB5" w:rsidRPr="003B44D7">
        <w:rPr>
          <w:sz w:val="24"/>
          <w:szCs w:val="24"/>
        </w:rPr>
        <w:t xml:space="preserve"> ideas</w:t>
      </w:r>
      <w:r w:rsidR="00285F7E" w:rsidRPr="003B44D7">
        <w:rPr>
          <w:sz w:val="24"/>
          <w:szCs w:val="24"/>
        </w:rPr>
        <w:t>.</w:t>
      </w:r>
      <w:r w:rsidR="00720B0A" w:rsidRPr="003B44D7">
        <w:rPr>
          <w:sz w:val="24"/>
          <w:szCs w:val="24"/>
        </w:rPr>
        <w:t xml:space="preserve"> </w:t>
      </w:r>
      <w:proofErr w:type="gramStart"/>
      <w:r w:rsidR="00495DF7" w:rsidRPr="003B44D7">
        <w:rPr>
          <w:sz w:val="24"/>
          <w:szCs w:val="24"/>
        </w:rPr>
        <w:t>So</w:t>
      </w:r>
      <w:proofErr w:type="gramEnd"/>
      <w:r w:rsidR="00495DF7" w:rsidRPr="003B44D7">
        <w:rPr>
          <w:sz w:val="24"/>
          <w:szCs w:val="24"/>
        </w:rPr>
        <w:t xml:space="preserve"> t</w:t>
      </w:r>
      <w:r w:rsidR="00720B0A" w:rsidRPr="003B44D7">
        <w:rPr>
          <w:sz w:val="24"/>
          <w:szCs w:val="24"/>
        </w:rPr>
        <w:t xml:space="preserve">he </w:t>
      </w:r>
      <w:r w:rsidR="00285F7E" w:rsidRPr="003B44D7">
        <w:rPr>
          <w:sz w:val="24"/>
          <w:szCs w:val="24"/>
        </w:rPr>
        <w:t xml:space="preserve">distaste American constitutional law </w:t>
      </w:r>
      <w:r w:rsidR="0064048A" w:rsidRPr="003B44D7">
        <w:rPr>
          <w:sz w:val="24"/>
          <w:szCs w:val="24"/>
        </w:rPr>
        <w:t>displays</w:t>
      </w:r>
      <w:r w:rsidR="00285F7E" w:rsidRPr="003B44D7">
        <w:rPr>
          <w:sz w:val="24"/>
          <w:szCs w:val="24"/>
        </w:rPr>
        <w:t xml:space="preserve"> towards content-based and</w:t>
      </w:r>
      <w:r w:rsidR="00495DF7" w:rsidRPr="003B44D7">
        <w:rPr>
          <w:sz w:val="24"/>
          <w:szCs w:val="24"/>
        </w:rPr>
        <w:t>, even more so,</w:t>
      </w:r>
      <w:r w:rsidR="00720B0A" w:rsidRPr="003B44D7">
        <w:rPr>
          <w:sz w:val="24"/>
          <w:szCs w:val="24"/>
        </w:rPr>
        <w:t xml:space="preserve"> </w:t>
      </w:r>
      <w:r w:rsidR="00285F7E" w:rsidRPr="003B44D7">
        <w:rPr>
          <w:sz w:val="24"/>
          <w:szCs w:val="24"/>
        </w:rPr>
        <w:t>viewpoint-based</w:t>
      </w:r>
      <w:r w:rsidR="0039241C" w:rsidRPr="003B44D7">
        <w:rPr>
          <w:sz w:val="24"/>
          <w:szCs w:val="24"/>
        </w:rPr>
        <w:t xml:space="preserve"> </w:t>
      </w:r>
      <w:r w:rsidR="00285F7E" w:rsidRPr="003B44D7">
        <w:rPr>
          <w:sz w:val="24"/>
          <w:szCs w:val="24"/>
        </w:rPr>
        <w:t xml:space="preserve">discrimination by government is so </w:t>
      </w:r>
      <w:r w:rsidR="0039241C" w:rsidRPr="003B44D7">
        <w:rPr>
          <w:sz w:val="24"/>
          <w:szCs w:val="24"/>
        </w:rPr>
        <w:t xml:space="preserve">strong </w:t>
      </w:r>
      <w:r w:rsidR="00285F7E" w:rsidRPr="003B44D7">
        <w:rPr>
          <w:sz w:val="24"/>
          <w:szCs w:val="24"/>
        </w:rPr>
        <w:t>that it reaches statutes prohibit</w:t>
      </w:r>
      <w:r w:rsidR="0039241C" w:rsidRPr="003B44D7">
        <w:rPr>
          <w:sz w:val="24"/>
          <w:szCs w:val="24"/>
        </w:rPr>
        <w:t>ing</w:t>
      </w:r>
      <w:r w:rsidR="00285F7E" w:rsidRPr="003B44D7">
        <w:rPr>
          <w:sz w:val="24"/>
          <w:szCs w:val="24"/>
        </w:rPr>
        <w:t xml:space="preserve"> speech</w:t>
      </w:r>
      <w:r w:rsidR="00720B0A" w:rsidRPr="003B44D7">
        <w:rPr>
          <w:sz w:val="24"/>
          <w:szCs w:val="24"/>
        </w:rPr>
        <w:t xml:space="preserve"> which is not even</w:t>
      </w:r>
      <w:r w:rsidR="00021D86" w:rsidRPr="003B44D7">
        <w:rPr>
          <w:sz w:val="24"/>
          <w:szCs w:val="24"/>
        </w:rPr>
        <w:t xml:space="preserve"> </w:t>
      </w:r>
      <w:r w:rsidR="0039241C" w:rsidRPr="003B44D7">
        <w:rPr>
          <w:sz w:val="24"/>
          <w:szCs w:val="24"/>
        </w:rPr>
        <w:t>considered</w:t>
      </w:r>
      <w:r w:rsidR="00720B0A" w:rsidRPr="003B44D7">
        <w:rPr>
          <w:sz w:val="24"/>
          <w:szCs w:val="24"/>
        </w:rPr>
        <w:t xml:space="preserve"> </w:t>
      </w:r>
      <w:r w:rsidR="00285F7E" w:rsidRPr="003B44D7">
        <w:rPr>
          <w:sz w:val="24"/>
          <w:szCs w:val="24"/>
        </w:rPr>
        <w:t xml:space="preserve">worthy </w:t>
      </w:r>
      <w:r w:rsidR="0039241C" w:rsidRPr="003B44D7">
        <w:rPr>
          <w:sz w:val="24"/>
          <w:szCs w:val="24"/>
        </w:rPr>
        <w:t xml:space="preserve">of </w:t>
      </w:r>
      <w:r w:rsidR="005900A2" w:rsidRPr="003B44D7">
        <w:rPr>
          <w:sz w:val="24"/>
          <w:szCs w:val="24"/>
        </w:rPr>
        <w:t>protection.</w:t>
      </w:r>
      <w:r w:rsidR="00EA3F16" w:rsidRPr="003B44D7">
        <w:rPr>
          <w:sz w:val="24"/>
          <w:szCs w:val="24"/>
        </w:rPr>
        <w:t xml:space="preserve"> </w:t>
      </w:r>
      <w:r w:rsidR="00021D86" w:rsidRPr="003B44D7">
        <w:rPr>
          <w:sz w:val="24"/>
          <w:szCs w:val="24"/>
        </w:rPr>
        <w:t>To pass the constitutional hurdle, t</w:t>
      </w:r>
      <w:r w:rsidR="0039241C" w:rsidRPr="003B44D7">
        <w:rPr>
          <w:sz w:val="24"/>
          <w:szCs w:val="24"/>
        </w:rPr>
        <w:t xml:space="preserve">here must be ‘no realistic possibility that </w:t>
      </w:r>
      <w:r w:rsidR="0039241C" w:rsidRPr="003B44D7">
        <w:rPr>
          <w:i/>
          <w:iCs/>
          <w:sz w:val="24"/>
          <w:szCs w:val="24"/>
        </w:rPr>
        <w:t xml:space="preserve">official </w:t>
      </w:r>
      <w:r w:rsidR="0039241C" w:rsidRPr="003B44D7">
        <w:rPr>
          <w:sz w:val="24"/>
          <w:szCs w:val="24"/>
        </w:rPr>
        <w:t>suppression of ideas is afoot.’</w:t>
      </w:r>
      <w:r w:rsidR="0039241C" w:rsidRPr="003B44D7">
        <w:rPr>
          <w:rStyle w:val="FootnoteReference"/>
          <w:sz w:val="24"/>
          <w:szCs w:val="24"/>
        </w:rPr>
        <w:footnoteReference w:id="110"/>
      </w:r>
      <w:r w:rsidR="007B4B40" w:rsidRPr="003B44D7">
        <w:rPr>
          <w:sz w:val="24"/>
          <w:szCs w:val="24"/>
        </w:rPr>
        <w:t xml:space="preserve"> </w:t>
      </w:r>
      <w:r w:rsidR="00EA3F16" w:rsidRPr="003B44D7">
        <w:rPr>
          <w:sz w:val="24"/>
          <w:szCs w:val="24"/>
        </w:rPr>
        <w:t xml:space="preserve">In this respect </w:t>
      </w:r>
      <w:r w:rsidR="007B4B40" w:rsidRPr="003B44D7">
        <w:rPr>
          <w:sz w:val="24"/>
          <w:szCs w:val="24"/>
        </w:rPr>
        <w:t>First Amendment jurisprudence</w:t>
      </w:r>
      <w:r w:rsidR="00EA3F16" w:rsidRPr="003B44D7">
        <w:rPr>
          <w:sz w:val="24"/>
          <w:szCs w:val="24"/>
        </w:rPr>
        <w:t xml:space="preserve"> extends</w:t>
      </w:r>
      <w:r w:rsidR="007B4B40" w:rsidRPr="003B44D7">
        <w:rPr>
          <w:sz w:val="24"/>
          <w:szCs w:val="24"/>
        </w:rPr>
        <w:t xml:space="preserve"> the strict scrutiny analysis applicable to political speech </w:t>
      </w:r>
      <w:r w:rsidR="00EA3F16" w:rsidRPr="003B44D7">
        <w:rPr>
          <w:sz w:val="24"/>
          <w:szCs w:val="24"/>
        </w:rPr>
        <w:t xml:space="preserve">even </w:t>
      </w:r>
      <w:r w:rsidR="007B4B40" w:rsidRPr="003B44D7">
        <w:rPr>
          <w:sz w:val="24"/>
          <w:szCs w:val="24"/>
        </w:rPr>
        <w:t>to low-valued, unprotected categor</w:t>
      </w:r>
      <w:r w:rsidR="00495DF7" w:rsidRPr="003B44D7">
        <w:rPr>
          <w:sz w:val="24"/>
          <w:szCs w:val="24"/>
        </w:rPr>
        <w:t>ies</w:t>
      </w:r>
      <w:r w:rsidR="007B4B40" w:rsidRPr="003B44D7">
        <w:rPr>
          <w:sz w:val="24"/>
          <w:szCs w:val="24"/>
        </w:rPr>
        <w:t xml:space="preserve"> of speech</w:t>
      </w:r>
      <w:r w:rsidR="00EA3F16" w:rsidRPr="003B44D7">
        <w:rPr>
          <w:sz w:val="24"/>
          <w:szCs w:val="24"/>
        </w:rPr>
        <w:t xml:space="preserve">, such as </w:t>
      </w:r>
      <w:r w:rsidR="007B4B40" w:rsidRPr="003B44D7">
        <w:rPr>
          <w:sz w:val="24"/>
          <w:szCs w:val="24"/>
        </w:rPr>
        <w:t>fighting words</w:t>
      </w:r>
      <w:r w:rsidR="005323B0" w:rsidRPr="003B44D7">
        <w:rPr>
          <w:sz w:val="24"/>
          <w:szCs w:val="24"/>
        </w:rPr>
        <w:t>.</w:t>
      </w:r>
      <w:r w:rsidR="007B4B40" w:rsidRPr="003B44D7">
        <w:rPr>
          <w:rStyle w:val="FootnoteReference"/>
          <w:sz w:val="24"/>
          <w:szCs w:val="24"/>
        </w:rPr>
        <w:footnoteReference w:id="111"/>
      </w:r>
      <w:r w:rsidR="007B4B40" w:rsidRPr="003B44D7">
        <w:rPr>
          <w:sz w:val="24"/>
          <w:szCs w:val="24"/>
        </w:rPr>
        <w:t xml:space="preserve"> </w:t>
      </w:r>
      <w:r w:rsidR="0068507E" w:rsidRPr="003B44D7">
        <w:rPr>
          <w:sz w:val="24"/>
          <w:szCs w:val="24"/>
        </w:rPr>
        <w:t>Against this background s.</w:t>
      </w:r>
      <w:r w:rsidR="00BC6EB5" w:rsidRPr="003B44D7">
        <w:rPr>
          <w:sz w:val="24"/>
          <w:szCs w:val="24"/>
        </w:rPr>
        <w:t>130</w:t>
      </w:r>
      <w:r w:rsidR="006773D7" w:rsidRPr="003B44D7">
        <w:rPr>
          <w:sz w:val="24"/>
          <w:szCs w:val="24"/>
        </w:rPr>
        <w:t xml:space="preserve">(1) </w:t>
      </w:r>
      <w:r w:rsidR="00BC6EB5" w:rsidRPr="003B44D7">
        <w:rPr>
          <w:sz w:val="24"/>
          <w:szCs w:val="24"/>
        </w:rPr>
        <w:t>of the German Criminal Code</w:t>
      </w:r>
      <w:r w:rsidR="00021D86" w:rsidRPr="003B44D7">
        <w:rPr>
          <w:sz w:val="24"/>
          <w:szCs w:val="24"/>
        </w:rPr>
        <w:t xml:space="preserve"> on hate speech</w:t>
      </w:r>
      <w:r w:rsidR="007B4B40" w:rsidRPr="003B44D7">
        <w:rPr>
          <w:sz w:val="24"/>
          <w:szCs w:val="24"/>
        </w:rPr>
        <w:t xml:space="preserve"> </w:t>
      </w:r>
      <w:r w:rsidR="0068507E" w:rsidRPr="003B44D7">
        <w:rPr>
          <w:sz w:val="24"/>
          <w:szCs w:val="24"/>
        </w:rPr>
        <w:t xml:space="preserve">clearly and purposefully </w:t>
      </w:r>
      <w:r w:rsidR="00BC6EB5" w:rsidRPr="003B44D7">
        <w:rPr>
          <w:sz w:val="24"/>
          <w:szCs w:val="24"/>
        </w:rPr>
        <w:t xml:space="preserve">seeks to supress certain </w:t>
      </w:r>
      <w:r w:rsidR="006773D7" w:rsidRPr="003B44D7">
        <w:rPr>
          <w:sz w:val="24"/>
          <w:szCs w:val="24"/>
        </w:rPr>
        <w:t>disfavoured ideas</w:t>
      </w:r>
      <w:r w:rsidR="00185D12" w:rsidRPr="003B44D7">
        <w:rPr>
          <w:sz w:val="24"/>
          <w:szCs w:val="24"/>
        </w:rPr>
        <w:t>,</w:t>
      </w:r>
      <w:r w:rsidR="00021D86" w:rsidRPr="003B44D7">
        <w:rPr>
          <w:sz w:val="24"/>
          <w:szCs w:val="24"/>
        </w:rPr>
        <w:t xml:space="preserve"> much like St Paul’s Bias-Motivated Crime Ordinance:</w:t>
      </w:r>
    </w:p>
    <w:p w14:paraId="6D4F10C2" w14:textId="77777777" w:rsidR="005E3960" w:rsidRPr="003B44D7" w:rsidRDefault="005E3960" w:rsidP="004E7EB4">
      <w:pPr>
        <w:spacing w:after="0" w:line="240" w:lineRule="auto"/>
        <w:jc w:val="both"/>
        <w:rPr>
          <w:sz w:val="24"/>
          <w:szCs w:val="24"/>
        </w:rPr>
      </w:pPr>
    </w:p>
    <w:p w14:paraId="4074A2B2" w14:textId="3C8D31F8" w:rsidR="006773D7" w:rsidRPr="003B44D7" w:rsidRDefault="006773D7" w:rsidP="004E7EB4">
      <w:pPr>
        <w:pStyle w:val="NormalWeb"/>
        <w:spacing w:before="0" w:beforeAutospacing="0" w:after="0" w:afterAutospacing="0"/>
        <w:ind w:left="720"/>
        <w:jc w:val="both"/>
        <w:rPr>
          <w:rFonts w:asciiTheme="minorHAnsi" w:hAnsiTheme="minorHAnsi" w:cstheme="minorHAnsi"/>
        </w:rPr>
      </w:pPr>
      <w:r w:rsidRPr="003B44D7">
        <w:rPr>
          <w:rFonts w:asciiTheme="minorHAnsi" w:hAnsiTheme="minorHAnsi" w:cstheme="minorHAnsi"/>
        </w:rPr>
        <w:t>Whoever, in a manner which is suitable for causing a disturbance of the public peace,</w:t>
      </w:r>
      <w:bookmarkStart w:id="6" w:name="p1335"/>
      <w:bookmarkEnd w:id="6"/>
      <w:r w:rsidRPr="003B44D7">
        <w:rPr>
          <w:rFonts w:asciiTheme="minorHAnsi" w:hAnsiTheme="minorHAnsi" w:cstheme="minorHAnsi"/>
        </w:rPr>
        <w:t xml:space="preserve"> 1. incites hatred against a national, racial, religious group or a group defined by their ethnic origin, against sections of the population or individuals on account of their belonging to one of the aforementioned groups or sections of the </w:t>
      </w:r>
      <w:proofErr w:type="gramStart"/>
      <w:r w:rsidRPr="003B44D7">
        <w:rPr>
          <w:rFonts w:asciiTheme="minorHAnsi" w:hAnsiTheme="minorHAnsi" w:cstheme="minorHAnsi"/>
        </w:rPr>
        <w:t>population, or</w:t>
      </w:r>
      <w:proofErr w:type="gramEnd"/>
      <w:r w:rsidRPr="003B44D7">
        <w:rPr>
          <w:rFonts w:asciiTheme="minorHAnsi" w:hAnsiTheme="minorHAnsi" w:cstheme="minorHAnsi"/>
        </w:rPr>
        <w:t xml:space="preserve"> calls for violent or arbitrary measures against them</w:t>
      </w:r>
      <w:bookmarkStart w:id="7" w:name="p1336"/>
      <w:bookmarkStart w:id="8" w:name="p1337"/>
      <w:bookmarkEnd w:id="7"/>
      <w:bookmarkEnd w:id="8"/>
      <w:r w:rsidRPr="003B44D7">
        <w:rPr>
          <w:rFonts w:asciiTheme="minorHAnsi" w:hAnsiTheme="minorHAnsi" w:cstheme="minorHAnsi"/>
        </w:rPr>
        <w:t>… incurs a penalty of imprisonment for a term of between three months and five years.</w:t>
      </w:r>
    </w:p>
    <w:p w14:paraId="57361F08" w14:textId="77777777" w:rsidR="005E3960" w:rsidRPr="003B44D7" w:rsidRDefault="005E3960" w:rsidP="004E7EB4">
      <w:pPr>
        <w:pStyle w:val="NormalWeb"/>
        <w:spacing w:before="0" w:beforeAutospacing="0" w:after="0" w:afterAutospacing="0"/>
        <w:ind w:left="720"/>
        <w:jc w:val="both"/>
        <w:rPr>
          <w:rFonts w:asciiTheme="minorHAnsi" w:hAnsiTheme="minorHAnsi" w:cstheme="minorHAnsi"/>
        </w:rPr>
      </w:pPr>
    </w:p>
    <w:p w14:paraId="5B0010D8" w14:textId="5FA81ACF" w:rsidR="00F15E80" w:rsidRPr="003B44D7" w:rsidRDefault="00EA3F16" w:rsidP="004E7EB4">
      <w:pPr>
        <w:spacing w:after="0" w:line="240" w:lineRule="auto"/>
        <w:jc w:val="both"/>
        <w:rPr>
          <w:rFonts w:cstheme="minorHAnsi"/>
          <w:sz w:val="24"/>
          <w:szCs w:val="24"/>
        </w:rPr>
      </w:pPr>
      <w:r w:rsidRPr="003B44D7">
        <w:rPr>
          <w:rFonts w:cstheme="minorHAnsi"/>
          <w:sz w:val="24"/>
          <w:szCs w:val="24"/>
        </w:rPr>
        <w:t>Accepting</w:t>
      </w:r>
      <w:r w:rsidR="00F15E80" w:rsidRPr="003B44D7">
        <w:rPr>
          <w:rFonts w:cstheme="minorHAnsi"/>
          <w:sz w:val="24"/>
          <w:szCs w:val="24"/>
        </w:rPr>
        <w:t xml:space="preserve"> NetzDG’s </w:t>
      </w:r>
      <w:r w:rsidRPr="003B44D7">
        <w:rPr>
          <w:rFonts w:cstheme="minorHAnsi"/>
          <w:sz w:val="24"/>
          <w:szCs w:val="24"/>
        </w:rPr>
        <w:t>incompatibility</w:t>
      </w:r>
      <w:r w:rsidR="00F15E80" w:rsidRPr="003B44D7">
        <w:rPr>
          <w:rFonts w:cstheme="minorHAnsi"/>
          <w:sz w:val="24"/>
          <w:szCs w:val="24"/>
        </w:rPr>
        <w:t xml:space="preserve"> with the First Amendment,</w:t>
      </w:r>
      <w:r w:rsidR="00F15E80" w:rsidRPr="003B44D7">
        <w:rPr>
          <w:rStyle w:val="FootnoteReference"/>
          <w:rFonts w:cstheme="minorHAnsi"/>
          <w:sz w:val="24"/>
          <w:szCs w:val="24"/>
        </w:rPr>
        <w:footnoteReference w:id="112"/>
      </w:r>
      <w:r w:rsidR="00F15E80" w:rsidRPr="003B44D7">
        <w:rPr>
          <w:rFonts w:cstheme="minorHAnsi"/>
          <w:sz w:val="24"/>
          <w:szCs w:val="24"/>
        </w:rPr>
        <w:t xml:space="preserve"> </w:t>
      </w:r>
      <w:r w:rsidR="005323B0" w:rsidRPr="003B44D7">
        <w:rPr>
          <w:rFonts w:cstheme="minorHAnsi"/>
          <w:sz w:val="24"/>
          <w:szCs w:val="24"/>
        </w:rPr>
        <w:t xml:space="preserve">the argument here is that </w:t>
      </w:r>
      <w:r w:rsidR="002174C5" w:rsidRPr="003B44D7">
        <w:rPr>
          <w:rFonts w:cstheme="minorHAnsi"/>
          <w:sz w:val="24"/>
          <w:szCs w:val="24"/>
        </w:rPr>
        <w:t>its</w:t>
      </w:r>
      <w:r w:rsidR="005E3960" w:rsidRPr="003B44D7">
        <w:rPr>
          <w:rFonts w:cstheme="minorHAnsi"/>
          <w:sz w:val="24"/>
          <w:szCs w:val="24"/>
        </w:rPr>
        <w:t xml:space="preserve"> </w:t>
      </w:r>
      <w:r w:rsidR="005323B0" w:rsidRPr="003B44D7">
        <w:rPr>
          <w:rFonts w:cstheme="minorHAnsi"/>
          <w:sz w:val="24"/>
          <w:szCs w:val="24"/>
        </w:rPr>
        <w:t xml:space="preserve">enforcement </w:t>
      </w:r>
      <w:r w:rsidR="005E3960" w:rsidRPr="003B44D7">
        <w:rPr>
          <w:rFonts w:cstheme="minorHAnsi"/>
          <w:sz w:val="24"/>
          <w:szCs w:val="24"/>
        </w:rPr>
        <w:t>regime</w:t>
      </w:r>
      <w:r w:rsidR="007D2997" w:rsidRPr="003B44D7">
        <w:rPr>
          <w:rFonts w:cstheme="minorHAnsi"/>
          <w:sz w:val="24"/>
          <w:szCs w:val="24"/>
        </w:rPr>
        <w:t xml:space="preserve">, </w:t>
      </w:r>
      <w:r w:rsidR="00185D12" w:rsidRPr="003B44D7">
        <w:rPr>
          <w:rFonts w:cstheme="minorHAnsi"/>
          <w:sz w:val="24"/>
          <w:szCs w:val="24"/>
        </w:rPr>
        <w:t>whereby</w:t>
      </w:r>
      <w:r w:rsidR="005E3960" w:rsidRPr="003B44D7">
        <w:rPr>
          <w:rFonts w:cstheme="minorHAnsi"/>
          <w:sz w:val="24"/>
          <w:szCs w:val="24"/>
        </w:rPr>
        <w:t xml:space="preserve"> </w:t>
      </w:r>
      <w:r w:rsidRPr="003B44D7">
        <w:rPr>
          <w:rFonts w:cstheme="minorHAnsi"/>
          <w:i/>
          <w:iCs/>
          <w:sz w:val="24"/>
          <w:szCs w:val="24"/>
        </w:rPr>
        <w:t>official</w:t>
      </w:r>
      <w:r w:rsidR="005323B0" w:rsidRPr="003B44D7">
        <w:rPr>
          <w:rFonts w:cstheme="minorHAnsi"/>
          <w:sz w:val="24"/>
          <w:szCs w:val="24"/>
        </w:rPr>
        <w:t xml:space="preserve"> speech standards </w:t>
      </w:r>
      <w:r w:rsidR="00185D12" w:rsidRPr="003B44D7">
        <w:rPr>
          <w:rFonts w:cstheme="minorHAnsi"/>
          <w:sz w:val="24"/>
          <w:szCs w:val="24"/>
        </w:rPr>
        <w:t>are enforced by</w:t>
      </w:r>
      <w:r w:rsidR="005323B0" w:rsidRPr="003B44D7">
        <w:rPr>
          <w:rFonts w:cstheme="minorHAnsi"/>
          <w:sz w:val="24"/>
          <w:szCs w:val="24"/>
        </w:rPr>
        <w:t xml:space="preserve"> private</w:t>
      </w:r>
      <w:r w:rsidR="005E3960" w:rsidRPr="003B44D7">
        <w:rPr>
          <w:rFonts w:cstheme="minorHAnsi"/>
          <w:sz w:val="24"/>
          <w:szCs w:val="24"/>
        </w:rPr>
        <w:t xml:space="preserve"> platforms</w:t>
      </w:r>
      <w:r w:rsidR="00B70259" w:rsidRPr="003B44D7">
        <w:rPr>
          <w:rFonts w:cstheme="minorHAnsi"/>
          <w:sz w:val="24"/>
          <w:szCs w:val="24"/>
        </w:rPr>
        <w:t xml:space="preserve"> through </w:t>
      </w:r>
      <w:r w:rsidR="00F15E80" w:rsidRPr="003B44D7">
        <w:rPr>
          <w:rFonts w:cstheme="minorHAnsi"/>
          <w:sz w:val="24"/>
          <w:szCs w:val="24"/>
        </w:rPr>
        <w:t xml:space="preserve">their </w:t>
      </w:r>
      <w:r w:rsidR="00720B0A" w:rsidRPr="003B44D7">
        <w:rPr>
          <w:rFonts w:cstheme="minorHAnsi"/>
          <w:sz w:val="24"/>
          <w:szCs w:val="24"/>
        </w:rPr>
        <w:t xml:space="preserve">largely </w:t>
      </w:r>
      <w:r w:rsidR="00B70259" w:rsidRPr="003B44D7">
        <w:rPr>
          <w:rFonts w:cstheme="minorHAnsi"/>
          <w:sz w:val="24"/>
          <w:szCs w:val="24"/>
        </w:rPr>
        <w:t>autonomous private processes</w:t>
      </w:r>
      <w:r w:rsidR="007D2997" w:rsidRPr="003B44D7">
        <w:rPr>
          <w:rFonts w:cstheme="minorHAnsi"/>
          <w:sz w:val="24"/>
          <w:szCs w:val="24"/>
        </w:rPr>
        <w:t>,</w:t>
      </w:r>
      <w:r w:rsidRPr="003B44D7">
        <w:rPr>
          <w:rFonts w:cstheme="minorHAnsi"/>
          <w:sz w:val="24"/>
          <w:szCs w:val="24"/>
        </w:rPr>
        <w:t xml:space="preserve"> </w:t>
      </w:r>
      <w:r w:rsidR="005323B0" w:rsidRPr="003B44D7">
        <w:rPr>
          <w:rFonts w:cstheme="minorHAnsi"/>
          <w:sz w:val="24"/>
          <w:szCs w:val="24"/>
        </w:rPr>
        <w:t xml:space="preserve">has a significant </w:t>
      </w:r>
      <w:r w:rsidR="005E3960" w:rsidRPr="003B44D7">
        <w:rPr>
          <w:rFonts w:cstheme="minorHAnsi"/>
          <w:sz w:val="24"/>
          <w:szCs w:val="24"/>
        </w:rPr>
        <w:t>privatis</w:t>
      </w:r>
      <w:r w:rsidR="007D2997" w:rsidRPr="003B44D7">
        <w:rPr>
          <w:rFonts w:cstheme="minorHAnsi"/>
          <w:sz w:val="24"/>
          <w:szCs w:val="24"/>
        </w:rPr>
        <w:t>ing ‘laundering’</w:t>
      </w:r>
      <w:r w:rsidR="005E3960" w:rsidRPr="003B44D7">
        <w:rPr>
          <w:rFonts w:cstheme="minorHAnsi"/>
          <w:sz w:val="24"/>
          <w:szCs w:val="24"/>
        </w:rPr>
        <w:t xml:space="preserve"> </w:t>
      </w:r>
      <w:r w:rsidR="005323B0" w:rsidRPr="003B44D7">
        <w:rPr>
          <w:rFonts w:cstheme="minorHAnsi"/>
          <w:sz w:val="24"/>
          <w:szCs w:val="24"/>
        </w:rPr>
        <w:t>effect</w:t>
      </w:r>
      <w:r w:rsidRPr="003B44D7">
        <w:rPr>
          <w:rFonts w:cstheme="minorHAnsi"/>
          <w:sz w:val="24"/>
          <w:szCs w:val="24"/>
        </w:rPr>
        <w:t>.</w:t>
      </w:r>
      <w:r w:rsidR="00A900A8" w:rsidRPr="003B44D7">
        <w:rPr>
          <w:rFonts w:cstheme="minorHAnsi"/>
          <w:sz w:val="24"/>
          <w:szCs w:val="24"/>
        </w:rPr>
        <w:t xml:space="preserve"> Through th</w:t>
      </w:r>
      <w:r w:rsidR="0019098A" w:rsidRPr="003B44D7">
        <w:rPr>
          <w:rFonts w:cstheme="minorHAnsi"/>
          <w:sz w:val="24"/>
          <w:szCs w:val="24"/>
        </w:rPr>
        <w:t>is</w:t>
      </w:r>
      <w:r w:rsidR="00A900A8" w:rsidRPr="003B44D7">
        <w:rPr>
          <w:rFonts w:cstheme="minorHAnsi"/>
          <w:sz w:val="24"/>
          <w:szCs w:val="24"/>
        </w:rPr>
        <w:t xml:space="preserve"> private processing, the </w:t>
      </w:r>
      <w:r w:rsidR="005323B0" w:rsidRPr="003B44D7">
        <w:rPr>
          <w:rFonts w:cstheme="minorHAnsi"/>
          <w:sz w:val="24"/>
          <w:szCs w:val="24"/>
        </w:rPr>
        <w:t>public speech standards are</w:t>
      </w:r>
      <w:r w:rsidR="004E7EB4" w:rsidRPr="003B44D7">
        <w:rPr>
          <w:rFonts w:cstheme="minorHAnsi"/>
          <w:sz w:val="24"/>
          <w:szCs w:val="24"/>
        </w:rPr>
        <w:t xml:space="preserve"> absorbed,</w:t>
      </w:r>
      <w:r w:rsidR="005323B0" w:rsidRPr="003B44D7">
        <w:rPr>
          <w:rFonts w:cstheme="minorHAnsi"/>
          <w:sz w:val="24"/>
          <w:szCs w:val="24"/>
        </w:rPr>
        <w:t xml:space="preserve"> transformed</w:t>
      </w:r>
      <w:r w:rsidR="004E7EB4" w:rsidRPr="003B44D7">
        <w:rPr>
          <w:rFonts w:cstheme="minorHAnsi"/>
          <w:sz w:val="24"/>
          <w:szCs w:val="24"/>
        </w:rPr>
        <w:t xml:space="preserve">, </w:t>
      </w:r>
      <w:r w:rsidR="0064048A" w:rsidRPr="003B44D7">
        <w:rPr>
          <w:rFonts w:cstheme="minorHAnsi"/>
          <w:sz w:val="24"/>
          <w:szCs w:val="24"/>
        </w:rPr>
        <w:t xml:space="preserve">and </w:t>
      </w:r>
      <w:r w:rsidR="004E7EB4" w:rsidRPr="003B44D7">
        <w:rPr>
          <w:rFonts w:cstheme="minorHAnsi"/>
          <w:sz w:val="24"/>
          <w:szCs w:val="24"/>
        </w:rPr>
        <w:t xml:space="preserve">remodelled in line with the </w:t>
      </w:r>
      <w:r w:rsidR="00F15E80" w:rsidRPr="003B44D7">
        <w:rPr>
          <w:rFonts w:cstheme="minorHAnsi"/>
          <w:sz w:val="24"/>
          <w:szCs w:val="24"/>
        </w:rPr>
        <w:t>view</w:t>
      </w:r>
      <w:r w:rsidR="004E7EB4" w:rsidRPr="003B44D7">
        <w:rPr>
          <w:rFonts w:cstheme="minorHAnsi"/>
          <w:sz w:val="24"/>
          <w:szCs w:val="24"/>
        </w:rPr>
        <w:t xml:space="preserve"> of the platform and </w:t>
      </w:r>
      <w:r w:rsidR="005E3960" w:rsidRPr="003B44D7">
        <w:rPr>
          <w:rFonts w:cstheme="minorHAnsi"/>
          <w:sz w:val="24"/>
          <w:szCs w:val="24"/>
        </w:rPr>
        <w:t>thereby</w:t>
      </w:r>
      <w:r w:rsidR="007D2997" w:rsidRPr="003B44D7">
        <w:rPr>
          <w:rFonts w:cstheme="minorHAnsi"/>
          <w:sz w:val="24"/>
          <w:szCs w:val="24"/>
        </w:rPr>
        <w:t xml:space="preserve"> substantially </w:t>
      </w:r>
      <w:r w:rsidR="00F46EF7" w:rsidRPr="003B44D7">
        <w:rPr>
          <w:rFonts w:cstheme="minorHAnsi"/>
          <w:sz w:val="24"/>
          <w:szCs w:val="24"/>
        </w:rPr>
        <w:t>distanc</w:t>
      </w:r>
      <w:r w:rsidR="00A900A8" w:rsidRPr="003B44D7">
        <w:rPr>
          <w:rFonts w:cstheme="minorHAnsi"/>
          <w:sz w:val="24"/>
          <w:szCs w:val="24"/>
        </w:rPr>
        <w:t>ed</w:t>
      </w:r>
      <w:r w:rsidR="00F46EF7" w:rsidRPr="003B44D7">
        <w:rPr>
          <w:rFonts w:cstheme="minorHAnsi"/>
          <w:sz w:val="24"/>
          <w:szCs w:val="24"/>
        </w:rPr>
        <w:t xml:space="preserve"> from government</w:t>
      </w:r>
      <w:r w:rsidR="0019098A" w:rsidRPr="003B44D7">
        <w:rPr>
          <w:rFonts w:cstheme="minorHAnsi"/>
          <w:sz w:val="24"/>
          <w:szCs w:val="24"/>
        </w:rPr>
        <w:t>.</w:t>
      </w:r>
      <w:r w:rsidR="00F15E80" w:rsidRPr="003B44D7">
        <w:rPr>
          <w:rFonts w:cstheme="minorHAnsi"/>
          <w:sz w:val="24"/>
          <w:szCs w:val="24"/>
        </w:rPr>
        <w:t xml:space="preserve"> This privatisation </w:t>
      </w:r>
      <w:r w:rsidR="0019098A" w:rsidRPr="003B44D7">
        <w:rPr>
          <w:rFonts w:cstheme="minorHAnsi"/>
          <w:sz w:val="24"/>
          <w:szCs w:val="24"/>
        </w:rPr>
        <w:t xml:space="preserve">effect </w:t>
      </w:r>
      <w:r w:rsidR="00F15E80" w:rsidRPr="003B44D7">
        <w:rPr>
          <w:rFonts w:cstheme="minorHAnsi"/>
          <w:sz w:val="24"/>
          <w:szCs w:val="24"/>
        </w:rPr>
        <w:t>operates on</w:t>
      </w:r>
      <w:r w:rsidR="00394EC5" w:rsidRPr="003B44D7">
        <w:rPr>
          <w:rFonts w:cstheme="minorHAnsi"/>
          <w:sz w:val="24"/>
          <w:szCs w:val="24"/>
        </w:rPr>
        <w:t xml:space="preserve"> two</w:t>
      </w:r>
      <w:r w:rsidR="00F15E80" w:rsidRPr="003B44D7">
        <w:rPr>
          <w:rFonts w:cstheme="minorHAnsi"/>
          <w:sz w:val="24"/>
          <w:szCs w:val="24"/>
        </w:rPr>
        <w:t xml:space="preserve"> levels. </w:t>
      </w:r>
    </w:p>
    <w:p w14:paraId="05D4BD18" w14:textId="4D66F38C" w:rsidR="00F15E80" w:rsidRPr="003B44D7" w:rsidRDefault="00F15E80" w:rsidP="004E7EB4">
      <w:pPr>
        <w:spacing w:after="0" w:line="240" w:lineRule="auto"/>
        <w:jc w:val="both"/>
        <w:rPr>
          <w:rFonts w:cstheme="minorHAnsi"/>
          <w:sz w:val="24"/>
          <w:szCs w:val="24"/>
        </w:rPr>
      </w:pPr>
    </w:p>
    <w:p w14:paraId="317E5F7C" w14:textId="6427167A" w:rsidR="00720B0A" w:rsidRPr="003B44D7" w:rsidRDefault="00F15E80" w:rsidP="004E7EB4">
      <w:pPr>
        <w:spacing w:after="0" w:line="240" w:lineRule="auto"/>
        <w:jc w:val="both"/>
        <w:rPr>
          <w:rFonts w:cstheme="minorHAnsi"/>
          <w:sz w:val="24"/>
          <w:szCs w:val="24"/>
        </w:rPr>
      </w:pPr>
      <w:r w:rsidRPr="003B44D7">
        <w:rPr>
          <w:rFonts w:cstheme="minorHAnsi"/>
          <w:i/>
          <w:iCs/>
          <w:sz w:val="24"/>
          <w:szCs w:val="24"/>
        </w:rPr>
        <w:t>First,</w:t>
      </w:r>
      <w:r w:rsidRPr="003B44D7">
        <w:rPr>
          <w:rFonts w:cstheme="minorHAnsi"/>
          <w:sz w:val="24"/>
          <w:szCs w:val="24"/>
        </w:rPr>
        <w:t xml:space="preserve"> </w:t>
      </w:r>
      <w:r w:rsidR="00D467AE" w:rsidRPr="003B44D7">
        <w:rPr>
          <w:rFonts w:cstheme="minorHAnsi"/>
          <w:sz w:val="24"/>
          <w:szCs w:val="24"/>
        </w:rPr>
        <w:t xml:space="preserve">on an operational level, platforms subject to NetzDG </w:t>
      </w:r>
      <w:r w:rsidR="00896D08" w:rsidRPr="003B44D7">
        <w:rPr>
          <w:rFonts w:cstheme="minorHAnsi"/>
          <w:sz w:val="24"/>
          <w:szCs w:val="24"/>
        </w:rPr>
        <w:t xml:space="preserve">have </w:t>
      </w:r>
      <w:r w:rsidR="001B7A25" w:rsidRPr="003B44D7">
        <w:rPr>
          <w:rFonts w:cstheme="minorHAnsi"/>
          <w:sz w:val="24"/>
          <w:szCs w:val="24"/>
        </w:rPr>
        <w:t xml:space="preserve">structured their review processes </w:t>
      </w:r>
      <w:r w:rsidR="00896D08" w:rsidRPr="003B44D7">
        <w:rPr>
          <w:rFonts w:cstheme="minorHAnsi"/>
          <w:sz w:val="24"/>
          <w:szCs w:val="24"/>
        </w:rPr>
        <w:t>such that</w:t>
      </w:r>
      <w:r w:rsidR="00D467AE" w:rsidRPr="003B44D7">
        <w:rPr>
          <w:rFonts w:cstheme="minorHAnsi"/>
          <w:sz w:val="24"/>
          <w:szCs w:val="24"/>
        </w:rPr>
        <w:t xml:space="preserve"> </w:t>
      </w:r>
      <w:r w:rsidR="001B7A25" w:rsidRPr="003B44D7">
        <w:rPr>
          <w:rFonts w:cstheme="minorHAnsi"/>
          <w:sz w:val="24"/>
          <w:szCs w:val="24"/>
        </w:rPr>
        <w:t>complaints are assessed</w:t>
      </w:r>
      <w:r w:rsidR="00F650D1" w:rsidRPr="003B44D7">
        <w:rPr>
          <w:rFonts w:cstheme="minorHAnsi"/>
          <w:sz w:val="24"/>
          <w:szCs w:val="24"/>
        </w:rPr>
        <w:t>,</w:t>
      </w:r>
      <w:r w:rsidR="001B7A25" w:rsidRPr="003B44D7">
        <w:rPr>
          <w:rFonts w:cstheme="minorHAnsi"/>
          <w:sz w:val="24"/>
          <w:szCs w:val="24"/>
        </w:rPr>
        <w:t xml:space="preserve"> </w:t>
      </w:r>
      <w:r w:rsidR="00896D08" w:rsidRPr="003B44D7">
        <w:rPr>
          <w:rFonts w:cstheme="minorHAnsi"/>
          <w:sz w:val="24"/>
          <w:szCs w:val="24"/>
        </w:rPr>
        <w:t>first</w:t>
      </w:r>
      <w:r w:rsidR="00F650D1" w:rsidRPr="003B44D7">
        <w:rPr>
          <w:rFonts w:cstheme="minorHAnsi"/>
          <w:sz w:val="24"/>
          <w:szCs w:val="24"/>
        </w:rPr>
        <w:t>,</w:t>
      </w:r>
      <w:r w:rsidR="00896D08" w:rsidRPr="003B44D7">
        <w:rPr>
          <w:rFonts w:cstheme="minorHAnsi"/>
          <w:sz w:val="24"/>
          <w:szCs w:val="24"/>
        </w:rPr>
        <w:t xml:space="preserve"> </w:t>
      </w:r>
      <w:r w:rsidR="001B7A25" w:rsidRPr="003B44D7">
        <w:rPr>
          <w:rFonts w:cstheme="minorHAnsi"/>
          <w:sz w:val="24"/>
          <w:szCs w:val="24"/>
        </w:rPr>
        <w:t xml:space="preserve">under </w:t>
      </w:r>
      <w:r w:rsidR="00D467AE" w:rsidRPr="003B44D7">
        <w:rPr>
          <w:rFonts w:cstheme="minorHAnsi"/>
          <w:sz w:val="24"/>
          <w:szCs w:val="24"/>
        </w:rPr>
        <w:t>their</w:t>
      </w:r>
      <w:r w:rsidR="00886592" w:rsidRPr="003B44D7">
        <w:rPr>
          <w:rFonts w:cstheme="minorHAnsi"/>
          <w:sz w:val="24"/>
          <w:szCs w:val="24"/>
        </w:rPr>
        <w:t xml:space="preserve"> terms of service and</w:t>
      </w:r>
      <w:r w:rsidR="00D467AE" w:rsidRPr="003B44D7">
        <w:rPr>
          <w:rFonts w:cstheme="minorHAnsi"/>
          <w:sz w:val="24"/>
          <w:szCs w:val="24"/>
        </w:rPr>
        <w:t xml:space="preserve"> </w:t>
      </w:r>
      <w:r w:rsidR="001B7A25" w:rsidRPr="003B44D7">
        <w:rPr>
          <w:rFonts w:cstheme="minorHAnsi"/>
          <w:sz w:val="24"/>
          <w:szCs w:val="24"/>
        </w:rPr>
        <w:t>private</w:t>
      </w:r>
      <w:r w:rsidR="00886592" w:rsidRPr="003B44D7">
        <w:rPr>
          <w:rFonts w:cstheme="minorHAnsi"/>
          <w:sz w:val="24"/>
          <w:szCs w:val="24"/>
        </w:rPr>
        <w:t xml:space="preserve"> </w:t>
      </w:r>
      <w:r w:rsidR="00D467AE" w:rsidRPr="003B44D7">
        <w:rPr>
          <w:rFonts w:cstheme="minorHAnsi"/>
          <w:sz w:val="24"/>
          <w:szCs w:val="24"/>
        </w:rPr>
        <w:t>community standards</w:t>
      </w:r>
      <w:r w:rsidR="001B7A25" w:rsidRPr="003B44D7">
        <w:rPr>
          <w:rFonts w:cstheme="minorHAnsi"/>
          <w:sz w:val="24"/>
          <w:szCs w:val="24"/>
        </w:rPr>
        <w:t xml:space="preserve"> </w:t>
      </w:r>
      <w:r w:rsidR="00D467AE" w:rsidRPr="003B44D7">
        <w:rPr>
          <w:rFonts w:cstheme="minorHAnsi"/>
          <w:sz w:val="24"/>
          <w:szCs w:val="24"/>
        </w:rPr>
        <w:t>and only co</w:t>
      </w:r>
      <w:r w:rsidR="001B7A25" w:rsidRPr="003B44D7">
        <w:rPr>
          <w:rFonts w:cstheme="minorHAnsi"/>
          <w:sz w:val="24"/>
          <w:szCs w:val="24"/>
        </w:rPr>
        <w:t>ntent</w:t>
      </w:r>
      <w:r w:rsidR="00D467AE" w:rsidRPr="003B44D7">
        <w:rPr>
          <w:rFonts w:cstheme="minorHAnsi"/>
          <w:sz w:val="24"/>
          <w:szCs w:val="24"/>
        </w:rPr>
        <w:t xml:space="preserve"> </w:t>
      </w:r>
      <w:r w:rsidR="00D467AE" w:rsidRPr="003B44D7">
        <w:rPr>
          <w:rFonts w:cstheme="minorHAnsi"/>
          <w:i/>
          <w:iCs/>
          <w:sz w:val="24"/>
          <w:szCs w:val="24"/>
        </w:rPr>
        <w:t xml:space="preserve">not </w:t>
      </w:r>
      <w:r w:rsidR="001B7A25" w:rsidRPr="003B44D7">
        <w:rPr>
          <w:rFonts w:cstheme="minorHAnsi"/>
          <w:sz w:val="24"/>
          <w:szCs w:val="24"/>
        </w:rPr>
        <w:t>offending</w:t>
      </w:r>
      <w:r w:rsidR="00D467AE" w:rsidRPr="003B44D7">
        <w:rPr>
          <w:rFonts w:cstheme="minorHAnsi"/>
          <w:sz w:val="24"/>
          <w:szCs w:val="24"/>
        </w:rPr>
        <w:t xml:space="preserve"> those standards </w:t>
      </w:r>
      <w:r w:rsidR="001B7A25" w:rsidRPr="003B44D7">
        <w:rPr>
          <w:rFonts w:cstheme="minorHAnsi"/>
          <w:sz w:val="24"/>
          <w:szCs w:val="24"/>
        </w:rPr>
        <w:t>is t</w:t>
      </w:r>
      <w:r w:rsidR="00D467AE" w:rsidRPr="003B44D7">
        <w:rPr>
          <w:rFonts w:cstheme="minorHAnsi"/>
          <w:sz w:val="24"/>
          <w:szCs w:val="24"/>
        </w:rPr>
        <w:t xml:space="preserve">hen assessed against the requirements of </w:t>
      </w:r>
      <w:r w:rsidR="001B7A25" w:rsidRPr="003B44D7">
        <w:rPr>
          <w:rFonts w:cstheme="minorHAnsi"/>
          <w:sz w:val="24"/>
          <w:szCs w:val="24"/>
        </w:rPr>
        <w:t xml:space="preserve">NetzDG. Analysing the first two biannual reports </w:t>
      </w:r>
      <w:r w:rsidR="00C75506" w:rsidRPr="003B44D7">
        <w:rPr>
          <w:rFonts w:cstheme="minorHAnsi"/>
          <w:sz w:val="24"/>
          <w:szCs w:val="24"/>
        </w:rPr>
        <w:t>from</w:t>
      </w:r>
      <w:r w:rsidR="003928AD">
        <w:rPr>
          <w:rFonts w:cstheme="minorHAnsi"/>
          <w:sz w:val="24"/>
          <w:szCs w:val="24"/>
        </w:rPr>
        <w:t xml:space="preserve"> various</w:t>
      </w:r>
      <w:r w:rsidR="001B7A25" w:rsidRPr="003B44D7">
        <w:rPr>
          <w:rFonts w:cstheme="minorHAnsi"/>
          <w:sz w:val="24"/>
          <w:szCs w:val="24"/>
        </w:rPr>
        <w:t xml:space="preserve"> platforms, </w:t>
      </w:r>
      <w:proofErr w:type="spellStart"/>
      <w:r w:rsidR="001B7A25" w:rsidRPr="003B44D7">
        <w:rPr>
          <w:rFonts w:cstheme="minorHAnsi"/>
          <w:sz w:val="24"/>
          <w:szCs w:val="24"/>
        </w:rPr>
        <w:t>Tworek</w:t>
      </w:r>
      <w:proofErr w:type="spellEnd"/>
      <w:r w:rsidR="001B7A25" w:rsidRPr="003B44D7">
        <w:rPr>
          <w:rFonts w:cstheme="minorHAnsi"/>
          <w:sz w:val="24"/>
          <w:szCs w:val="24"/>
        </w:rPr>
        <w:t xml:space="preserve"> et al comment: </w:t>
      </w:r>
    </w:p>
    <w:p w14:paraId="7A98C37B" w14:textId="51904F2D" w:rsidR="001B7A25" w:rsidRPr="003B44D7" w:rsidRDefault="001B7A25" w:rsidP="004E7EB4">
      <w:pPr>
        <w:spacing w:after="0" w:line="240" w:lineRule="auto"/>
        <w:jc w:val="both"/>
        <w:rPr>
          <w:rFonts w:cstheme="minorHAnsi"/>
          <w:sz w:val="24"/>
          <w:szCs w:val="24"/>
        </w:rPr>
      </w:pPr>
    </w:p>
    <w:p w14:paraId="283A572D" w14:textId="5C95CF61" w:rsidR="001B7A25" w:rsidRPr="003B44D7" w:rsidRDefault="001B7A25" w:rsidP="001B7A25">
      <w:pPr>
        <w:spacing w:after="0" w:line="240" w:lineRule="auto"/>
        <w:ind w:left="720"/>
        <w:jc w:val="both"/>
        <w:rPr>
          <w:rFonts w:cstheme="minorHAnsi"/>
          <w:sz w:val="24"/>
          <w:szCs w:val="24"/>
        </w:rPr>
      </w:pPr>
      <w:r w:rsidRPr="003B44D7">
        <w:rPr>
          <w:rStyle w:val="markedcontent"/>
          <w:sz w:val="24"/>
          <w:szCs w:val="24"/>
        </w:rPr>
        <w:t xml:space="preserve">‘Google, Facebook, and Twitter all </w:t>
      </w:r>
      <w:r w:rsidRPr="003B44D7">
        <w:rPr>
          <w:rStyle w:val="highlight"/>
          <w:sz w:val="24"/>
          <w:szCs w:val="24"/>
        </w:rPr>
        <w:t>prioriti</w:t>
      </w:r>
      <w:r w:rsidRPr="003B44D7">
        <w:rPr>
          <w:rStyle w:val="markedcontent"/>
          <w:sz w:val="24"/>
          <w:szCs w:val="24"/>
        </w:rPr>
        <w:t>ze compliance checks with their community guidelines; with each complaint, they first consider whether it violates their community standards. Any content that fails this check is removed…</w:t>
      </w:r>
      <w:r w:rsidRPr="003B44D7">
        <w:rPr>
          <w:sz w:val="24"/>
          <w:szCs w:val="24"/>
        </w:rPr>
        <w:t xml:space="preserve"> </w:t>
      </w:r>
      <w:r w:rsidRPr="003B44D7">
        <w:rPr>
          <w:rStyle w:val="markedcontent"/>
          <w:sz w:val="24"/>
          <w:szCs w:val="24"/>
        </w:rPr>
        <w:t xml:space="preserve">Accordingly, as Google’s transparency report shows, </w:t>
      </w:r>
      <w:proofErr w:type="gramStart"/>
      <w:r w:rsidRPr="003B44D7">
        <w:rPr>
          <w:rStyle w:val="markedcontent"/>
          <w:sz w:val="24"/>
          <w:szCs w:val="24"/>
        </w:rPr>
        <w:t>a</w:t>
      </w:r>
      <w:r w:rsidRPr="003B44D7">
        <w:rPr>
          <w:sz w:val="24"/>
          <w:szCs w:val="24"/>
        </w:rPr>
        <w:t xml:space="preserve"> </w:t>
      </w:r>
      <w:r w:rsidRPr="003B44D7">
        <w:rPr>
          <w:rStyle w:val="markedcontent"/>
          <w:sz w:val="24"/>
          <w:szCs w:val="24"/>
        </w:rPr>
        <w:t>majority of</w:t>
      </w:r>
      <w:proofErr w:type="gramEnd"/>
      <w:r w:rsidRPr="003B44D7">
        <w:rPr>
          <w:rStyle w:val="markedcontent"/>
          <w:sz w:val="24"/>
          <w:szCs w:val="24"/>
        </w:rPr>
        <w:t xml:space="preserve"> removal decisions are based on the platform’s private standards, and not on German</w:t>
      </w:r>
      <w:r w:rsidRPr="003B44D7">
        <w:rPr>
          <w:sz w:val="24"/>
          <w:szCs w:val="24"/>
        </w:rPr>
        <w:t xml:space="preserve"> </w:t>
      </w:r>
      <w:r w:rsidRPr="003B44D7">
        <w:rPr>
          <w:rStyle w:val="markedcontent"/>
          <w:sz w:val="24"/>
          <w:szCs w:val="24"/>
        </w:rPr>
        <w:t>speech laws. Facebook and Twitter do not specify this data in their reports, but they do review complaints in the same order, prioritizing community guidelines.’</w:t>
      </w:r>
      <w:r w:rsidRPr="003B44D7">
        <w:rPr>
          <w:rStyle w:val="FootnoteReference"/>
          <w:sz w:val="24"/>
          <w:szCs w:val="24"/>
        </w:rPr>
        <w:footnoteReference w:id="113"/>
      </w:r>
    </w:p>
    <w:p w14:paraId="28384F6D" w14:textId="77777777" w:rsidR="00720B0A" w:rsidRPr="003B44D7" w:rsidRDefault="00720B0A" w:rsidP="004E7EB4">
      <w:pPr>
        <w:spacing w:after="0" w:line="240" w:lineRule="auto"/>
        <w:jc w:val="both"/>
        <w:rPr>
          <w:rFonts w:cstheme="minorHAnsi"/>
          <w:sz w:val="24"/>
          <w:szCs w:val="24"/>
        </w:rPr>
      </w:pPr>
    </w:p>
    <w:p w14:paraId="1A14C414" w14:textId="06A393E3" w:rsidR="00DA45CD" w:rsidRPr="003B44D7" w:rsidRDefault="001B7A25" w:rsidP="004E7EB4">
      <w:pPr>
        <w:spacing w:after="0" w:line="240" w:lineRule="auto"/>
        <w:jc w:val="both"/>
        <w:rPr>
          <w:rFonts w:cstheme="minorHAnsi"/>
          <w:sz w:val="24"/>
          <w:szCs w:val="24"/>
        </w:rPr>
      </w:pPr>
      <w:r w:rsidRPr="003B44D7">
        <w:rPr>
          <w:rFonts w:cstheme="minorHAnsi"/>
          <w:sz w:val="24"/>
          <w:szCs w:val="24"/>
        </w:rPr>
        <w:t xml:space="preserve">In other words, the platforms largely absorb the public </w:t>
      </w:r>
      <w:r w:rsidR="000037EF">
        <w:rPr>
          <w:rFonts w:cstheme="minorHAnsi"/>
          <w:sz w:val="24"/>
          <w:szCs w:val="24"/>
        </w:rPr>
        <w:t xml:space="preserve">content </w:t>
      </w:r>
      <w:r w:rsidRPr="003B44D7">
        <w:rPr>
          <w:rFonts w:cstheme="minorHAnsi"/>
          <w:sz w:val="24"/>
          <w:szCs w:val="24"/>
        </w:rPr>
        <w:t xml:space="preserve">standards within their generally more restrictive private </w:t>
      </w:r>
      <w:r w:rsidR="003928AD">
        <w:rPr>
          <w:rFonts w:cstheme="minorHAnsi"/>
          <w:sz w:val="24"/>
          <w:szCs w:val="24"/>
        </w:rPr>
        <w:t>house rules</w:t>
      </w:r>
      <w:r w:rsidR="00896D08" w:rsidRPr="003B44D7">
        <w:rPr>
          <w:rFonts w:cstheme="minorHAnsi"/>
          <w:sz w:val="24"/>
          <w:szCs w:val="24"/>
        </w:rPr>
        <w:t xml:space="preserve"> and </w:t>
      </w:r>
      <w:r w:rsidR="00485187" w:rsidRPr="003B44D7">
        <w:rPr>
          <w:rFonts w:cstheme="minorHAnsi"/>
          <w:sz w:val="24"/>
          <w:szCs w:val="24"/>
        </w:rPr>
        <w:t>so</w:t>
      </w:r>
      <w:r w:rsidR="00896D08" w:rsidRPr="003B44D7">
        <w:rPr>
          <w:rFonts w:cstheme="minorHAnsi"/>
          <w:sz w:val="24"/>
          <w:szCs w:val="24"/>
        </w:rPr>
        <w:t xml:space="preserve"> ‘privatise’ </w:t>
      </w:r>
      <w:r w:rsidR="004379D3" w:rsidRPr="003B44D7">
        <w:rPr>
          <w:rFonts w:cstheme="minorHAnsi"/>
          <w:sz w:val="24"/>
          <w:szCs w:val="24"/>
        </w:rPr>
        <w:t>significant</w:t>
      </w:r>
      <w:r w:rsidR="00896D08" w:rsidRPr="003B44D7">
        <w:rPr>
          <w:rFonts w:cstheme="minorHAnsi"/>
          <w:sz w:val="24"/>
          <w:szCs w:val="24"/>
        </w:rPr>
        <w:t xml:space="preserve"> chunks of the German speech laws</w:t>
      </w:r>
      <w:r w:rsidR="003928AD">
        <w:rPr>
          <w:rFonts w:cstheme="minorHAnsi"/>
          <w:sz w:val="24"/>
          <w:szCs w:val="24"/>
        </w:rPr>
        <w:t>, which likely also already occurred at earlier stage</w:t>
      </w:r>
      <w:r w:rsidR="00667B3D">
        <w:rPr>
          <w:rFonts w:cstheme="minorHAnsi"/>
          <w:sz w:val="24"/>
          <w:szCs w:val="24"/>
        </w:rPr>
        <w:t>s</w:t>
      </w:r>
      <w:r w:rsidR="003928AD">
        <w:rPr>
          <w:rFonts w:cstheme="minorHAnsi"/>
          <w:sz w:val="24"/>
          <w:szCs w:val="24"/>
        </w:rPr>
        <w:t xml:space="preserve"> when the house rules were formulated.</w:t>
      </w:r>
      <w:r w:rsidR="00F55B88">
        <w:rPr>
          <w:rStyle w:val="FootnoteReference"/>
          <w:rFonts w:cstheme="minorHAnsi"/>
          <w:sz w:val="24"/>
          <w:szCs w:val="24"/>
        </w:rPr>
        <w:footnoteReference w:id="114"/>
      </w:r>
    </w:p>
    <w:p w14:paraId="4EA9F6F1" w14:textId="77777777" w:rsidR="00DA45CD" w:rsidRPr="003B44D7" w:rsidRDefault="00DA45CD" w:rsidP="004E7EB4">
      <w:pPr>
        <w:spacing w:after="0" w:line="240" w:lineRule="auto"/>
        <w:jc w:val="both"/>
        <w:rPr>
          <w:rFonts w:cstheme="minorHAnsi"/>
          <w:sz w:val="24"/>
          <w:szCs w:val="24"/>
        </w:rPr>
      </w:pPr>
    </w:p>
    <w:p w14:paraId="700C0D74" w14:textId="2D0B5959" w:rsidR="00F15E80" w:rsidRPr="003B44D7" w:rsidRDefault="00DA45CD" w:rsidP="004E7EB4">
      <w:pPr>
        <w:spacing w:after="0" w:line="240" w:lineRule="auto"/>
        <w:jc w:val="both"/>
        <w:rPr>
          <w:rFonts w:cstheme="minorHAnsi"/>
          <w:sz w:val="24"/>
          <w:szCs w:val="24"/>
        </w:rPr>
      </w:pPr>
      <w:r w:rsidRPr="003B44D7">
        <w:rPr>
          <w:rFonts w:cstheme="minorHAnsi"/>
          <w:sz w:val="24"/>
          <w:szCs w:val="24"/>
        </w:rPr>
        <w:t>T</w:t>
      </w:r>
      <w:r w:rsidR="00896D08" w:rsidRPr="003B44D7">
        <w:rPr>
          <w:rFonts w:cstheme="minorHAnsi"/>
          <w:sz w:val="24"/>
          <w:szCs w:val="24"/>
        </w:rPr>
        <w:t>h</w:t>
      </w:r>
      <w:r w:rsidR="00C75506" w:rsidRPr="003B44D7">
        <w:rPr>
          <w:rFonts w:cstheme="minorHAnsi"/>
          <w:sz w:val="24"/>
          <w:szCs w:val="24"/>
        </w:rPr>
        <w:t>is</w:t>
      </w:r>
      <w:r w:rsidR="00896D08" w:rsidRPr="003B44D7">
        <w:rPr>
          <w:rFonts w:cstheme="minorHAnsi"/>
          <w:sz w:val="24"/>
          <w:szCs w:val="24"/>
        </w:rPr>
        <w:t xml:space="preserve"> review hierarchy is </w:t>
      </w:r>
      <w:r w:rsidR="007C0FA3" w:rsidRPr="003B44D7">
        <w:rPr>
          <w:rFonts w:cstheme="minorHAnsi"/>
          <w:sz w:val="24"/>
          <w:szCs w:val="24"/>
        </w:rPr>
        <w:t xml:space="preserve">not </w:t>
      </w:r>
      <w:r w:rsidR="004379D3" w:rsidRPr="003B44D7">
        <w:rPr>
          <w:rFonts w:cstheme="minorHAnsi"/>
          <w:sz w:val="24"/>
          <w:szCs w:val="24"/>
        </w:rPr>
        <w:t>accidental but</w:t>
      </w:r>
      <w:r w:rsidR="007C0FA3" w:rsidRPr="003B44D7">
        <w:rPr>
          <w:rFonts w:cstheme="minorHAnsi"/>
          <w:sz w:val="24"/>
          <w:szCs w:val="24"/>
        </w:rPr>
        <w:t xml:space="preserve"> </w:t>
      </w:r>
      <w:r w:rsidR="00896D08" w:rsidRPr="003B44D7">
        <w:rPr>
          <w:rFonts w:cstheme="minorHAnsi"/>
          <w:sz w:val="24"/>
          <w:szCs w:val="24"/>
        </w:rPr>
        <w:t>facilitated</w:t>
      </w:r>
      <w:r w:rsidR="000037EF">
        <w:rPr>
          <w:rFonts w:cstheme="minorHAnsi"/>
          <w:sz w:val="24"/>
          <w:szCs w:val="24"/>
        </w:rPr>
        <w:t xml:space="preserve"> and sanctioned</w:t>
      </w:r>
      <w:r w:rsidR="00747251" w:rsidRPr="003B44D7">
        <w:rPr>
          <w:rFonts w:cstheme="minorHAnsi"/>
          <w:sz w:val="24"/>
          <w:szCs w:val="24"/>
        </w:rPr>
        <w:t xml:space="preserve"> </w:t>
      </w:r>
      <w:r w:rsidR="00896D08" w:rsidRPr="003B44D7">
        <w:rPr>
          <w:rFonts w:cstheme="minorHAnsi"/>
          <w:sz w:val="24"/>
          <w:szCs w:val="24"/>
        </w:rPr>
        <w:t xml:space="preserve">by </w:t>
      </w:r>
      <w:r w:rsidR="00191C60" w:rsidRPr="003B44D7">
        <w:rPr>
          <w:rFonts w:cstheme="minorHAnsi"/>
          <w:sz w:val="24"/>
          <w:szCs w:val="24"/>
        </w:rPr>
        <w:t xml:space="preserve">the </w:t>
      </w:r>
      <w:r w:rsidR="00896D08" w:rsidRPr="003B44D7">
        <w:rPr>
          <w:rFonts w:cstheme="minorHAnsi"/>
          <w:sz w:val="24"/>
          <w:szCs w:val="24"/>
        </w:rPr>
        <w:t xml:space="preserve">status of platforms as </w:t>
      </w:r>
      <w:r w:rsidR="00896D08" w:rsidRPr="003B44D7">
        <w:rPr>
          <w:rFonts w:cstheme="minorHAnsi"/>
          <w:i/>
          <w:iCs/>
          <w:sz w:val="24"/>
          <w:szCs w:val="24"/>
        </w:rPr>
        <w:t>private</w:t>
      </w:r>
      <w:r w:rsidRPr="003B44D7">
        <w:rPr>
          <w:rFonts w:cstheme="minorHAnsi"/>
          <w:sz w:val="24"/>
          <w:szCs w:val="24"/>
        </w:rPr>
        <w:t xml:space="preserve"> actors</w:t>
      </w:r>
      <w:r w:rsidR="00896D08" w:rsidRPr="003B44D7">
        <w:rPr>
          <w:rFonts w:cstheme="minorHAnsi"/>
          <w:sz w:val="24"/>
          <w:szCs w:val="24"/>
        </w:rPr>
        <w:t xml:space="preserve"> </w:t>
      </w:r>
      <w:r w:rsidR="00F650D1" w:rsidRPr="003B44D7">
        <w:rPr>
          <w:rFonts w:cstheme="minorHAnsi"/>
          <w:sz w:val="24"/>
          <w:szCs w:val="24"/>
        </w:rPr>
        <w:t>who are</w:t>
      </w:r>
      <w:r w:rsidR="007C0FA3" w:rsidRPr="003B44D7">
        <w:rPr>
          <w:rFonts w:cstheme="minorHAnsi"/>
          <w:sz w:val="24"/>
          <w:szCs w:val="24"/>
        </w:rPr>
        <w:t xml:space="preserve"> at liberty to </w:t>
      </w:r>
      <w:r w:rsidR="00896D08" w:rsidRPr="003B44D7">
        <w:rPr>
          <w:rFonts w:cstheme="minorHAnsi"/>
          <w:sz w:val="24"/>
          <w:szCs w:val="24"/>
        </w:rPr>
        <w:t xml:space="preserve">decide on their own </w:t>
      </w:r>
      <w:r w:rsidR="007C0FA3" w:rsidRPr="003B44D7">
        <w:rPr>
          <w:rFonts w:cstheme="minorHAnsi"/>
          <w:sz w:val="24"/>
          <w:szCs w:val="24"/>
        </w:rPr>
        <w:t>content standards</w:t>
      </w:r>
      <w:r w:rsidR="00747251" w:rsidRPr="003B44D7">
        <w:rPr>
          <w:rFonts w:cstheme="minorHAnsi"/>
          <w:sz w:val="24"/>
          <w:szCs w:val="24"/>
        </w:rPr>
        <w:t>.</w:t>
      </w:r>
      <w:r w:rsidR="00F650D1" w:rsidRPr="003B44D7">
        <w:rPr>
          <w:rFonts w:cstheme="minorHAnsi"/>
          <w:sz w:val="24"/>
          <w:szCs w:val="24"/>
        </w:rPr>
        <w:t xml:space="preserve"> </w:t>
      </w:r>
      <w:r w:rsidR="00747251" w:rsidRPr="003B44D7">
        <w:rPr>
          <w:rFonts w:cstheme="minorHAnsi"/>
          <w:sz w:val="24"/>
          <w:szCs w:val="24"/>
        </w:rPr>
        <w:t>U</w:t>
      </w:r>
      <w:r w:rsidR="00F650D1" w:rsidRPr="003B44D7">
        <w:rPr>
          <w:rFonts w:cstheme="minorHAnsi"/>
          <w:sz w:val="24"/>
          <w:szCs w:val="24"/>
        </w:rPr>
        <w:t>nder NetzDG illegal content must be taken down, but content legal under German law</w:t>
      </w:r>
      <w:r w:rsidR="004379D3" w:rsidRPr="003B44D7">
        <w:rPr>
          <w:rFonts w:cstheme="minorHAnsi"/>
          <w:sz w:val="24"/>
          <w:szCs w:val="24"/>
        </w:rPr>
        <w:t xml:space="preserve"> </w:t>
      </w:r>
      <w:r w:rsidR="004E2ED8" w:rsidRPr="003B44D7">
        <w:rPr>
          <w:rFonts w:cstheme="minorHAnsi"/>
          <w:sz w:val="24"/>
          <w:szCs w:val="24"/>
        </w:rPr>
        <w:t>need not be kept up</w:t>
      </w:r>
      <w:r w:rsidR="0058654B" w:rsidRPr="003B44D7">
        <w:rPr>
          <w:rFonts w:cstheme="minorHAnsi"/>
          <w:sz w:val="24"/>
          <w:szCs w:val="24"/>
        </w:rPr>
        <w:t xml:space="preserve">. </w:t>
      </w:r>
      <w:r w:rsidR="00415C90" w:rsidRPr="003B44D7">
        <w:rPr>
          <w:rFonts w:cstheme="minorHAnsi"/>
          <w:sz w:val="24"/>
          <w:szCs w:val="24"/>
        </w:rPr>
        <w:t>Th</w:t>
      </w:r>
      <w:r w:rsidR="004E2ED8" w:rsidRPr="003B44D7">
        <w:rPr>
          <w:rFonts w:cstheme="minorHAnsi"/>
          <w:sz w:val="24"/>
          <w:szCs w:val="24"/>
        </w:rPr>
        <w:t xml:space="preserve">is </w:t>
      </w:r>
      <w:r w:rsidR="00415C90" w:rsidRPr="003B44D7">
        <w:rPr>
          <w:rFonts w:cstheme="minorHAnsi"/>
          <w:sz w:val="24"/>
          <w:szCs w:val="24"/>
        </w:rPr>
        <w:t>issue</w:t>
      </w:r>
      <w:r w:rsidR="00F16A96" w:rsidRPr="003B44D7">
        <w:rPr>
          <w:rFonts w:cstheme="minorHAnsi"/>
          <w:sz w:val="24"/>
          <w:szCs w:val="24"/>
        </w:rPr>
        <w:t xml:space="preserve"> of whether platforms should be </w:t>
      </w:r>
      <w:r w:rsidR="00BB43E3">
        <w:rPr>
          <w:rFonts w:cstheme="minorHAnsi"/>
          <w:sz w:val="24"/>
          <w:szCs w:val="24"/>
        </w:rPr>
        <w:t xml:space="preserve">permitted </w:t>
      </w:r>
      <w:r w:rsidR="00F16A96" w:rsidRPr="003B44D7">
        <w:rPr>
          <w:rFonts w:cstheme="minorHAnsi"/>
          <w:sz w:val="24"/>
          <w:szCs w:val="24"/>
        </w:rPr>
        <w:t xml:space="preserve">to </w:t>
      </w:r>
      <w:r w:rsidR="0064048A" w:rsidRPr="003B44D7">
        <w:rPr>
          <w:rFonts w:cstheme="minorHAnsi"/>
          <w:sz w:val="24"/>
          <w:szCs w:val="24"/>
        </w:rPr>
        <w:t>take down</w:t>
      </w:r>
      <w:r w:rsidR="00F16A96" w:rsidRPr="003B44D7">
        <w:rPr>
          <w:rFonts w:cstheme="minorHAnsi"/>
          <w:sz w:val="24"/>
          <w:szCs w:val="24"/>
        </w:rPr>
        <w:t xml:space="preserve"> legal content was </w:t>
      </w:r>
      <w:r w:rsidRPr="003B44D7">
        <w:rPr>
          <w:rFonts w:cstheme="minorHAnsi"/>
          <w:sz w:val="24"/>
          <w:szCs w:val="24"/>
        </w:rPr>
        <w:t xml:space="preserve">highly </w:t>
      </w:r>
      <w:r w:rsidR="00C75506" w:rsidRPr="003B44D7">
        <w:rPr>
          <w:rFonts w:cstheme="minorHAnsi"/>
          <w:sz w:val="24"/>
          <w:szCs w:val="24"/>
        </w:rPr>
        <w:t xml:space="preserve">contested </w:t>
      </w:r>
      <w:r w:rsidR="007C0FA3" w:rsidRPr="003B44D7">
        <w:rPr>
          <w:rFonts w:cstheme="minorHAnsi"/>
          <w:sz w:val="24"/>
          <w:szCs w:val="24"/>
        </w:rPr>
        <w:t>in the lead-up to NetzDG with</w:t>
      </w:r>
      <w:r w:rsidR="00C75506" w:rsidRPr="003B44D7">
        <w:rPr>
          <w:rFonts w:cstheme="minorHAnsi"/>
          <w:sz w:val="24"/>
          <w:szCs w:val="24"/>
        </w:rPr>
        <w:t xml:space="preserve"> some</w:t>
      </w:r>
      <w:r w:rsidR="00485187" w:rsidRPr="003B44D7">
        <w:rPr>
          <w:rFonts w:cstheme="minorHAnsi"/>
          <w:sz w:val="24"/>
          <w:szCs w:val="24"/>
        </w:rPr>
        <w:t xml:space="preserve"> commentators</w:t>
      </w:r>
      <w:r w:rsidR="00C75506" w:rsidRPr="003B44D7">
        <w:rPr>
          <w:rFonts w:cstheme="minorHAnsi"/>
          <w:sz w:val="24"/>
          <w:szCs w:val="24"/>
        </w:rPr>
        <w:t xml:space="preserve"> advocating </w:t>
      </w:r>
      <w:r w:rsidR="00191C60" w:rsidRPr="003B44D7">
        <w:rPr>
          <w:rFonts w:cstheme="minorHAnsi"/>
          <w:sz w:val="24"/>
          <w:szCs w:val="24"/>
        </w:rPr>
        <w:t>that</w:t>
      </w:r>
      <w:r w:rsidR="00DF74AD" w:rsidRPr="003B44D7">
        <w:rPr>
          <w:rFonts w:cstheme="minorHAnsi"/>
          <w:sz w:val="24"/>
          <w:szCs w:val="24"/>
        </w:rPr>
        <w:t xml:space="preserve"> dominant</w:t>
      </w:r>
      <w:r w:rsidR="00C75506" w:rsidRPr="003B44D7">
        <w:rPr>
          <w:rFonts w:cstheme="minorHAnsi"/>
          <w:sz w:val="24"/>
          <w:szCs w:val="24"/>
        </w:rPr>
        <w:t xml:space="preserve"> platforms </w:t>
      </w:r>
      <w:r w:rsidR="00191C60" w:rsidRPr="003B44D7">
        <w:rPr>
          <w:rFonts w:cstheme="minorHAnsi"/>
          <w:sz w:val="24"/>
          <w:szCs w:val="24"/>
        </w:rPr>
        <w:t>should not</w:t>
      </w:r>
      <w:r w:rsidR="00C75506" w:rsidRPr="003B44D7">
        <w:rPr>
          <w:rFonts w:cstheme="minorHAnsi"/>
          <w:sz w:val="24"/>
          <w:szCs w:val="24"/>
        </w:rPr>
        <w:t xml:space="preserve"> </w:t>
      </w:r>
      <w:r w:rsidR="00415C90" w:rsidRPr="003B44D7">
        <w:rPr>
          <w:rFonts w:cstheme="minorHAnsi"/>
          <w:sz w:val="24"/>
          <w:szCs w:val="24"/>
        </w:rPr>
        <w:t>ju</w:t>
      </w:r>
      <w:r w:rsidR="00191C60" w:rsidRPr="003B44D7">
        <w:rPr>
          <w:rFonts w:cstheme="minorHAnsi"/>
          <w:sz w:val="24"/>
          <w:szCs w:val="24"/>
        </w:rPr>
        <w:t>st be under</w:t>
      </w:r>
      <w:r w:rsidRPr="003B44D7">
        <w:rPr>
          <w:rFonts w:cstheme="minorHAnsi"/>
          <w:sz w:val="24"/>
          <w:szCs w:val="24"/>
        </w:rPr>
        <w:t xml:space="preserve"> </w:t>
      </w:r>
      <w:r w:rsidR="00415C90" w:rsidRPr="003B44D7">
        <w:rPr>
          <w:rFonts w:cstheme="minorHAnsi"/>
          <w:sz w:val="24"/>
          <w:szCs w:val="24"/>
        </w:rPr>
        <w:t>a positive duty to take down illegal content, but</w:t>
      </w:r>
      <w:r w:rsidR="004E2ED8" w:rsidRPr="003B44D7">
        <w:rPr>
          <w:rFonts w:cstheme="minorHAnsi"/>
          <w:i/>
          <w:iCs/>
          <w:sz w:val="24"/>
          <w:szCs w:val="24"/>
        </w:rPr>
        <w:t xml:space="preserve"> </w:t>
      </w:r>
      <w:r w:rsidR="004E2ED8" w:rsidRPr="003B44D7">
        <w:rPr>
          <w:rFonts w:cstheme="minorHAnsi"/>
          <w:sz w:val="24"/>
          <w:szCs w:val="24"/>
        </w:rPr>
        <w:t>– much like state actors - under</w:t>
      </w:r>
      <w:r w:rsidR="00485187" w:rsidRPr="003B44D7">
        <w:rPr>
          <w:rFonts w:cstheme="minorHAnsi"/>
          <w:sz w:val="24"/>
          <w:szCs w:val="24"/>
        </w:rPr>
        <w:t xml:space="preserve"> a</w:t>
      </w:r>
      <w:r w:rsidR="00415C90" w:rsidRPr="003B44D7">
        <w:rPr>
          <w:rFonts w:cstheme="minorHAnsi"/>
          <w:sz w:val="24"/>
          <w:szCs w:val="24"/>
        </w:rPr>
        <w:t xml:space="preserve"> negative one</w:t>
      </w:r>
      <w:r w:rsidR="004E2ED8" w:rsidRPr="003B44D7">
        <w:rPr>
          <w:rFonts w:cstheme="minorHAnsi"/>
          <w:sz w:val="24"/>
          <w:szCs w:val="24"/>
        </w:rPr>
        <w:t xml:space="preserve"> </w:t>
      </w:r>
      <w:r w:rsidR="00415C90" w:rsidRPr="003B44D7">
        <w:rPr>
          <w:rFonts w:cstheme="minorHAnsi"/>
          <w:i/>
          <w:iCs/>
          <w:sz w:val="24"/>
          <w:szCs w:val="24"/>
        </w:rPr>
        <w:t xml:space="preserve">not </w:t>
      </w:r>
      <w:r w:rsidR="00415C90" w:rsidRPr="003B44D7">
        <w:rPr>
          <w:rFonts w:cstheme="minorHAnsi"/>
          <w:sz w:val="24"/>
          <w:szCs w:val="24"/>
        </w:rPr>
        <w:t xml:space="preserve">to </w:t>
      </w:r>
      <w:r w:rsidR="00747251" w:rsidRPr="003B44D7">
        <w:rPr>
          <w:rFonts w:cstheme="minorHAnsi"/>
          <w:sz w:val="24"/>
          <w:szCs w:val="24"/>
        </w:rPr>
        <w:t>censor</w:t>
      </w:r>
      <w:r w:rsidR="004E2ED8" w:rsidRPr="003B44D7">
        <w:rPr>
          <w:rFonts w:cstheme="minorHAnsi"/>
          <w:sz w:val="24"/>
          <w:szCs w:val="24"/>
        </w:rPr>
        <w:t xml:space="preserve"> </w:t>
      </w:r>
      <w:r w:rsidR="00415C90" w:rsidRPr="003B44D7">
        <w:rPr>
          <w:rFonts w:cstheme="minorHAnsi"/>
          <w:i/>
          <w:iCs/>
          <w:sz w:val="24"/>
          <w:szCs w:val="24"/>
        </w:rPr>
        <w:t>leg</w:t>
      </w:r>
      <w:r w:rsidR="0065488B" w:rsidRPr="003B44D7">
        <w:rPr>
          <w:rFonts w:cstheme="minorHAnsi"/>
          <w:i/>
          <w:iCs/>
          <w:sz w:val="24"/>
          <w:szCs w:val="24"/>
        </w:rPr>
        <w:t>al</w:t>
      </w:r>
      <w:r w:rsidR="00415C90" w:rsidRPr="003B44D7">
        <w:rPr>
          <w:rFonts w:cstheme="minorHAnsi"/>
          <w:sz w:val="24"/>
          <w:szCs w:val="24"/>
        </w:rPr>
        <w:t xml:space="preserve"> content</w:t>
      </w:r>
      <w:r w:rsidR="00DF74AD" w:rsidRPr="003B44D7">
        <w:rPr>
          <w:rFonts w:cstheme="minorHAnsi"/>
          <w:sz w:val="24"/>
          <w:szCs w:val="24"/>
        </w:rPr>
        <w:t xml:space="preserve">, which </w:t>
      </w:r>
      <w:r w:rsidR="00485187" w:rsidRPr="003B44D7">
        <w:rPr>
          <w:rFonts w:cstheme="minorHAnsi"/>
          <w:sz w:val="24"/>
          <w:szCs w:val="24"/>
        </w:rPr>
        <w:t xml:space="preserve">in turn would </w:t>
      </w:r>
      <w:r w:rsidR="00747251" w:rsidRPr="003B44D7">
        <w:rPr>
          <w:rFonts w:cstheme="minorHAnsi"/>
          <w:sz w:val="24"/>
          <w:szCs w:val="24"/>
        </w:rPr>
        <w:t xml:space="preserve">have </w:t>
      </w:r>
      <w:r w:rsidR="00DF74AD" w:rsidRPr="003B44D7">
        <w:rPr>
          <w:rFonts w:cstheme="minorHAnsi"/>
          <w:sz w:val="24"/>
          <w:szCs w:val="24"/>
        </w:rPr>
        <w:t>remove</w:t>
      </w:r>
      <w:r w:rsidR="00747251" w:rsidRPr="003B44D7">
        <w:rPr>
          <w:rFonts w:cstheme="minorHAnsi"/>
          <w:sz w:val="24"/>
          <w:szCs w:val="24"/>
        </w:rPr>
        <w:t>d</w:t>
      </w:r>
      <w:r w:rsidR="00DF74AD" w:rsidRPr="003B44D7">
        <w:rPr>
          <w:rFonts w:cstheme="minorHAnsi"/>
          <w:sz w:val="24"/>
          <w:szCs w:val="24"/>
        </w:rPr>
        <w:t xml:space="preserve"> the possibility of private community standards.</w:t>
      </w:r>
      <w:r w:rsidR="00DF74AD" w:rsidRPr="003B44D7">
        <w:rPr>
          <w:rStyle w:val="FootnoteReference"/>
          <w:rFonts w:cstheme="minorHAnsi"/>
          <w:sz w:val="24"/>
          <w:szCs w:val="24"/>
        </w:rPr>
        <w:footnoteReference w:id="115"/>
      </w:r>
      <w:r w:rsidRPr="003B44D7">
        <w:rPr>
          <w:rFonts w:cstheme="minorHAnsi"/>
          <w:sz w:val="24"/>
          <w:szCs w:val="24"/>
        </w:rPr>
        <w:t xml:space="preserve"> </w:t>
      </w:r>
      <w:r w:rsidR="00191C60" w:rsidRPr="003B44D7">
        <w:rPr>
          <w:rFonts w:cstheme="minorHAnsi"/>
          <w:sz w:val="24"/>
          <w:szCs w:val="24"/>
        </w:rPr>
        <w:t>Yet, m</w:t>
      </w:r>
      <w:r w:rsidR="00DE46E8" w:rsidRPr="003B44D7">
        <w:rPr>
          <w:rFonts w:cstheme="minorHAnsi"/>
          <w:sz w:val="24"/>
          <w:szCs w:val="24"/>
        </w:rPr>
        <w:t xml:space="preserve">aking platforms </w:t>
      </w:r>
      <w:r w:rsidR="00DE46E8" w:rsidRPr="003B44D7">
        <w:rPr>
          <w:rFonts w:cstheme="minorHAnsi"/>
          <w:i/>
          <w:iCs/>
          <w:sz w:val="24"/>
          <w:szCs w:val="24"/>
        </w:rPr>
        <w:t xml:space="preserve">directly </w:t>
      </w:r>
      <w:r w:rsidR="00DE46E8" w:rsidRPr="003B44D7">
        <w:rPr>
          <w:rFonts w:cstheme="minorHAnsi"/>
          <w:sz w:val="24"/>
          <w:szCs w:val="24"/>
        </w:rPr>
        <w:t>bound</w:t>
      </w:r>
      <w:r w:rsidR="00DE46E8" w:rsidRPr="003B44D7">
        <w:rPr>
          <w:rFonts w:cstheme="minorHAnsi"/>
          <w:i/>
          <w:iCs/>
          <w:sz w:val="24"/>
          <w:szCs w:val="24"/>
        </w:rPr>
        <w:t xml:space="preserve"> </w:t>
      </w:r>
      <w:r w:rsidR="00DE46E8" w:rsidRPr="003B44D7">
        <w:rPr>
          <w:rFonts w:cstheme="minorHAnsi"/>
          <w:sz w:val="24"/>
          <w:szCs w:val="24"/>
        </w:rPr>
        <w:t>by fundamental rights comparable to</w:t>
      </w:r>
      <w:r w:rsidR="004E2ED8" w:rsidRPr="003B44D7">
        <w:rPr>
          <w:rFonts w:cstheme="minorHAnsi"/>
          <w:sz w:val="24"/>
          <w:szCs w:val="24"/>
        </w:rPr>
        <w:t xml:space="preserve"> state</w:t>
      </w:r>
      <w:r w:rsidR="00DE46E8" w:rsidRPr="003B44D7">
        <w:rPr>
          <w:rFonts w:cstheme="minorHAnsi"/>
          <w:sz w:val="24"/>
          <w:szCs w:val="24"/>
        </w:rPr>
        <w:t xml:space="preserve"> actors</w:t>
      </w:r>
      <w:r w:rsidR="000C05A3" w:rsidRPr="003B44D7">
        <w:rPr>
          <w:rFonts w:cstheme="minorHAnsi"/>
          <w:sz w:val="24"/>
          <w:szCs w:val="24"/>
        </w:rPr>
        <w:t xml:space="preserve">, </w:t>
      </w:r>
      <w:r w:rsidR="00747251" w:rsidRPr="003B44D7">
        <w:rPr>
          <w:rFonts w:cstheme="minorHAnsi"/>
          <w:sz w:val="24"/>
          <w:szCs w:val="24"/>
        </w:rPr>
        <w:t>based on</w:t>
      </w:r>
      <w:r w:rsidR="00DE46E8" w:rsidRPr="003B44D7">
        <w:rPr>
          <w:rFonts w:cstheme="minorHAnsi"/>
          <w:sz w:val="24"/>
          <w:szCs w:val="24"/>
        </w:rPr>
        <w:t xml:space="preserve"> their dominant </w:t>
      </w:r>
      <w:r w:rsidR="00B05CE7" w:rsidRPr="003B44D7">
        <w:rPr>
          <w:rFonts w:cstheme="minorHAnsi"/>
          <w:sz w:val="24"/>
          <w:szCs w:val="24"/>
        </w:rPr>
        <w:t xml:space="preserve">role </w:t>
      </w:r>
      <w:r w:rsidR="00DE46E8" w:rsidRPr="003B44D7">
        <w:rPr>
          <w:rFonts w:cstheme="minorHAnsi"/>
          <w:sz w:val="24"/>
          <w:szCs w:val="24"/>
        </w:rPr>
        <w:t>in the communication sphere</w:t>
      </w:r>
      <w:r w:rsidR="00191C60" w:rsidRPr="003B44D7">
        <w:rPr>
          <w:rFonts w:cstheme="minorHAnsi"/>
          <w:sz w:val="24"/>
          <w:szCs w:val="24"/>
        </w:rPr>
        <w:t xml:space="preserve">, </w:t>
      </w:r>
      <w:r w:rsidR="00DE46E8" w:rsidRPr="003B44D7">
        <w:rPr>
          <w:rFonts w:cstheme="minorHAnsi"/>
          <w:sz w:val="24"/>
          <w:szCs w:val="24"/>
        </w:rPr>
        <w:t>was rejected as ‘it had no firm ground in German constitutional law.’</w:t>
      </w:r>
      <w:r w:rsidR="00DE46E8" w:rsidRPr="003B44D7">
        <w:rPr>
          <w:rStyle w:val="FootnoteReference"/>
          <w:rFonts w:cstheme="minorHAnsi"/>
          <w:sz w:val="24"/>
          <w:szCs w:val="24"/>
        </w:rPr>
        <w:footnoteReference w:id="116"/>
      </w:r>
      <w:r w:rsidR="00DE46E8" w:rsidRPr="003B44D7">
        <w:rPr>
          <w:rFonts w:cstheme="minorHAnsi"/>
          <w:sz w:val="24"/>
          <w:szCs w:val="24"/>
        </w:rPr>
        <w:t xml:space="preserve">  </w:t>
      </w:r>
      <w:r w:rsidR="00191C60" w:rsidRPr="003B44D7">
        <w:rPr>
          <w:rFonts w:cstheme="minorHAnsi"/>
          <w:sz w:val="24"/>
          <w:szCs w:val="24"/>
        </w:rPr>
        <w:t>However,</w:t>
      </w:r>
      <w:r w:rsidR="00B05CE7" w:rsidRPr="003B44D7">
        <w:rPr>
          <w:rFonts w:cstheme="minorHAnsi"/>
          <w:sz w:val="24"/>
          <w:szCs w:val="24"/>
        </w:rPr>
        <w:t xml:space="preserve"> </w:t>
      </w:r>
      <w:r w:rsidR="00E9454C" w:rsidRPr="003B44D7">
        <w:rPr>
          <w:rFonts w:cstheme="minorHAnsi"/>
          <w:sz w:val="24"/>
          <w:szCs w:val="24"/>
        </w:rPr>
        <w:t xml:space="preserve">that </w:t>
      </w:r>
      <w:r w:rsidR="00321763" w:rsidRPr="003B44D7">
        <w:rPr>
          <w:rFonts w:cstheme="minorHAnsi"/>
          <w:sz w:val="24"/>
          <w:szCs w:val="24"/>
        </w:rPr>
        <w:t xml:space="preserve">private parties </w:t>
      </w:r>
      <w:r w:rsidR="00E9454C" w:rsidRPr="003B44D7">
        <w:rPr>
          <w:rFonts w:cstheme="minorHAnsi"/>
          <w:sz w:val="24"/>
          <w:szCs w:val="24"/>
        </w:rPr>
        <w:t>can be</w:t>
      </w:r>
      <w:r w:rsidR="00B05CE7" w:rsidRPr="003B44D7">
        <w:rPr>
          <w:rFonts w:cstheme="minorHAnsi"/>
          <w:sz w:val="24"/>
          <w:szCs w:val="24"/>
        </w:rPr>
        <w:t xml:space="preserve"> </w:t>
      </w:r>
      <w:r w:rsidR="00B05CE7" w:rsidRPr="003B44D7">
        <w:rPr>
          <w:rFonts w:cstheme="minorHAnsi"/>
          <w:i/>
          <w:iCs/>
          <w:sz w:val="24"/>
          <w:szCs w:val="24"/>
        </w:rPr>
        <w:t xml:space="preserve">indirect </w:t>
      </w:r>
      <w:r w:rsidR="006412F7" w:rsidRPr="003B44D7">
        <w:rPr>
          <w:rFonts w:cstheme="minorHAnsi"/>
          <w:sz w:val="24"/>
          <w:szCs w:val="24"/>
        </w:rPr>
        <w:t xml:space="preserve">human rights </w:t>
      </w:r>
      <w:r w:rsidR="00B05CE7" w:rsidRPr="003B44D7">
        <w:rPr>
          <w:rFonts w:cstheme="minorHAnsi"/>
          <w:sz w:val="24"/>
          <w:szCs w:val="24"/>
        </w:rPr>
        <w:t>bearer</w:t>
      </w:r>
      <w:r w:rsidR="00321763" w:rsidRPr="003B44D7">
        <w:rPr>
          <w:rFonts w:cstheme="minorHAnsi"/>
          <w:sz w:val="24"/>
          <w:szCs w:val="24"/>
        </w:rPr>
        <w:t>s</w:t>
      </w:r>
      <w:r w:rsidR="00B05CE7" w:rsidRPr="003B44D7">
        <w:rPr>
          <w:rFonts w:cstheme="minorHAnsi"/>
          <w:sz w:val="24"/>
          <w:szCs w:val="24"/>
        </w:rPr>
        <w:t xml:space="preserve"> </w:t>
      </w:r>
      <w:r w:rsidR="006412F7" w:rsidRPr="003B44D7">
        <w:rPr>
          <w:rFonts w:cstheme="minorHAnsi"/>
          <w:sz w:val="24"/>
          <w:szCs w:val="24"/>
        </w:rPr>
        <w:t xml:space="preserve">– through, for example, interpreting </w:t>
      </w:r>
      <w:r w:rsidR="00191C60" w:rsidRPr="003B44D7">
        <w:rPr>
          <w:rFonts w:cstheme="minorHAnsi"/>
          <w:sz w:val="24"/>
          <w:szCs w:val="24"/>
        </w:rPr>
        <w:t>a platform’s</w:t>
      </w:r>
      <w:r w:rsidR="006412F7" w:rsidRPr="003B44D7">
        <w:rPr>
          <w:rFonts w:cstheme="minorHAnsi"/>
          <w:sz w:val="24"/>
          <w:szCs w:val="24"/>
        </w:rPr>
        <w:t xml:space="preserve"> Terms and Conditions </w:t>
      </w:r>
      <w:r w:rsidR="00191C60" w:rsidRPr="003B44D7">
        <w:rPr>
          <w:rFonts w:cstheme="minorHAnsi"/>
          <w:sz w:val="24"/>
          <w:szCs w:val="24"/>
        </w:rPr>
        <w:t>in line</w:t>
      </w:r>
      <w:r w:rsidR="006412F7" w:rsidRPr="003B44D7">
        <w:rPr>
          <w:rFonts w:cstheme="minorHAnsi"/>
          <w:sz w:val="24"/>
          <w:szCs w:val="24"/>
        </w:rPr>
        <w:t xml:space="preserve"> with fundamental rights – is</w:t>
      </w:r>
      <w:r w:rsidR="005208A0">
        <w:rPr>
          <w:rFonts w:cstheme="minorHAnsi"/>
          <w:sz w:val="24"/>
          <w:szCs w:val="24"/>
        </w:rPr>
        <w:t xml:space="preserve"> </w:t>
      </w:r>
      <w:r w:rsidR="00321763" w:rsidRPr="003B44D7">
        <w:rPr>
          <w:rFonts w:cstheme="minorHAnsi"/>
          <w:sz w:val="24"/>
          <w:szCs w:val="24"/>
        </w:rPr>
        <w:t>well established in German law</w:t>
      </w:r>
      <w:r w:rsidR="006412F7" w:rsidRPr="003B44D7">
        <w:rPr>
          <w:rFonts w:cstheme="minorHAnsi"/>
          <w:sz w:val="24"/>
          <w:szCs w:val="24"/>
        </w:rPr>
        <w:t>.</w:t>
      </w:r>
      <w:r w:rsidR="00FE118B">
        <w:rPr>
          <w:rStyle w:val="FootnoteReference"/>
          <w:rFonts w:cstheme="minorHAnsi"/>
          <w:sz w:val="24"/>
          <w:szCs w:val="24"/>
        </w:rPr>
        <w:footnoteReference w:id="117"/>
      </w:r>
      <w:r w:rsidR="00321763" w:rsidRPr="003B44D7">
        <w:rPr>
          <w:rFonts w:cstheme="minorHAnsi"/>
          <w:sz w:val="24"/>
          <w:szCs w:val="24"/>
        </w:rPr>
        <w:t xml:space="preserve"> </w:t>
      </w:r>
      <w:r w:rsidR="000C05A3" w:rsidRPr="003B44D7">
        <w:rPr>
          <w:rFonts w:cstheme="minorHAnsi"/>
          <w:sz w:val="24"/>
          <w:szCs w:val="24"/>
        </w:rPr>
        <w:t>Furthermore, t</w:t>
      </w:r>
      <w:r w:rsidR="006412F7" w:rsidRPr="003B44D7">
        <w:rPr>
          <w:rFonts w:cstheme="minorHAnsi"/>
          <w:sz w:val="24"/>
          <w:szCs w:val="24"/>
        </w:rPr>
        <w:t>his indirect</w:t>
      </w:r>
      <w:r w:rsidR="00E9454C" w:rsidRPr="003B44D7">
        <w:rPr>
          <w:rFonts w:cstheme="minorHAnsi"/>
          <w:sz w:val="24"/>
          <w:szCs w:val="24"/>
        </w:rPr>
        <w:t xml:space="preserve"> horizontal</w:t>
      </w:r>
      <w:r w:rsidR="006412F7" w:rsidRPr="003B44D7">
        <w:rPr>
          <w:rFonts w:cstheme="minorHAnsi"/>
          <w:sz w:val="24"/>
          <w:szCs w:val="24"/>
        </w:rPr>
        <w:t xml:space="preserve"> effect of </w:t>
      </w:r>
      <w:r w:rsidR="00191C60" w:rsidRPr="003B44D7">
        <w:rPr>
          <w:rFonts w:cstheme="minorHAnsi"/>
          <w:sz w:val="24"/>
          <w:szCs w:val="24"/>
        </w:rPr>
        <w:t>fundamental</w:t>
      </w:r>
      <w:r w:rsidR="006412F7" w:rsidRPr="003B44D7">
        <w:rPr>
          <w:rFonts w:cstheme="minorHAnsi"/>
          <w:sz w:val="24"/>
          <w:szCs w:val="24"/>
        </w:rPr>
        <w:t xml:space="preserve"> rights</w:t>
      </w:r>
      <w:r w:rsidR="00321763" w:rsidRPr="003B44D7">
        <w:rPr>
          <w:rFonts w:cstheme="minorHAnsi"/>
          <w:sz w:val="24"/>
          <w:szCs w:val="24"/>
        </w:rPr>
        <w:t xml:space="preserve"> may </w:t>
      </w:r>
      <w:r w:rsidR="00E9454C" w:rsidRPr="003B44D7">
        <w:rPr>
          <w:rFonts w:cstheme="minorHAnsi"/>
          <w:sz w:val="24"/>
          <w:szCs w:val="24"/>
        </w:rPr>
        <w:t>at time</w:t>
      </w:r>
      <w:r w:rsidR="00D74559" w:rsidRPr="003B44D7">
        <w:rPr>
          <w:rFonts w:cstheme="minorHAnsi"/>
          <w:sz w:val="24"/>
          <w:szCs w:val="24"/>
        </w:rPr>
        <w:t>s</w:t>
      </w:r>
      <w:r w:rsidR="00E9454C" w:rsidRPr="003B44D7">
        <w:rPr>
          <w:rFonts w:cstheme="minorHAnsi"/>
          <w:sz w:val="24"/>
          <w:szCs w:val="24"/>
        </w:rPr>
        <w:t xml:space="preserve"> </w:t>
      </w:r>
      <w:r w:rsidR="00321763" w:rsidRPr="003B44D7">
        <w:rPr>
          <w:rFonts w:cstheme="minorHAnsi"/>
          <w:sz w:val="24"/>
          <w:szCs w:val="24"/>
        </w:rPr>
        <w:t>not be</w:t>
      </w:r>
      <w:r w:rsidR="00D74559" w:rsidRPr="003B44D7">
        <w:rPr>
          <w:rFonts w:cstheme="minorHAnsi"/>
          <w:sz w:val="24"/>
          <w:szCs w:val="24"/>
        </w:rPr>
        <w:t xml:space="preserve"> </w:t>
      </w:r>
      <w:r w:rsidR="00E9454C" w:rsidRPr="003B44D7">
        <w:rPr>
          <w:rFonts w:cstheme="minorHAnsi"/>
          <w:sz w:val="24"/>
          <w:szCs w:val="24"/>
        </w:rPr>
        <w:t xml:space="preserve">very </w:t>
      </w:r>
      <w:r w:rsidR="00321763" w:rsidRPr="003B44D7">
        <w:rPr>
          <w:rFonts w:cstheme="minorHAnsi"/>
          <w:sz w:val="24"/>
          <w:szCs w:val="24"/>
        </w:rPr>
        <w:t xml:space="preserve">different from the direct responsibility </w:t>
      </w:r>
      <w:r w:rsidR="004A0467" w:rsidRPr="003B44D7">
        <w:rPr>
          <w:rFonts w:cstheme="minorHAnsi"/>
          <w:sz w:val="24"/>
          <w:szCs w:val="24"/>
        </w:rPr>
        <w:t xml:space="preserve">of </w:t>
      </w:r>
      <w:r w:rsidR="004E2ED8" w:rsidRPr="003B44D7">
        <w:rPr>
          <w:rFonts w:cstheme="minorHAnsi"/>
          <w:sz w:val="24"/>
          <w:szCs w:val="24"/>
        </w:rPr>
        <w:t xml:space="preserve">state </w:t>
      </w:r>
      <w:r w:rsidR="00321763" w:rsidRPr="003B44D7">
        <w:rPr>
          <w:rFonts w:cstheme="minorHAnsi"/>
          <w:sz w:val="24"/>
          <w:szCs w:val="24"/>
        </w:rPr>
        <w:t>actors, particularly</w:t>
      </w:r>
      <w:r w:rsidR="006412F7" w:rsidRPr="003B44D7">
        <w:rPr>
          <w:rFonts w:cstheme="minorHAnsi"/>
          <w:sz w:val="24"/>
          <w:szCs w:val="24"/>
        </w:rPr>
        <w:t xml:space="preserve"> when </w:t>
      </w:r>
      <w:r w:rsidR="000C05A3" w:rsidRPr="003B44D7">
        <w:rPr>
          <w:rFonts w:cstheme="minorHAnsi"/>
          <w:sz w:val="24"/>
          <w:szCs w:val="24"/>
        </w:rPr>
        <w:t>-</w:t>
      </w:r>
      <w:r w:rsidR="004E2ED8" w:rsidRPr="003B44D7">
        <w:rPr>
          <w:rFonts w:cstheme="minorHAnsi"/>
          <w:sz w:val="24"/>
          <w:szCs w:val="24"/>
        </w:rPr>
        <w:t xml:space="preserve"> </w:t>
      </w:r>
      <w:r w:rsidR="00321763" w:rsidRPr="003B44D7">
        <w:rPr>
          <w:rFonts w:cstheme="minorHAnsi"/>
          <w:sz w:val="24"/>
          <w:szCs w:val="24"/>
        </w:rPr>
        <w:t xml:space="preserve">as </w:t>
      </w:r>
      <w:r w:rsidR="006412F7" w:rsidRPr="003B44D7">
        <w:rPr>
          <w:rFonts w:cstheme="minorHAnsi"/>
          <w:sz w:val="24"/>
          <w:szCs w:val="24"/>
        </w:rPr>
        <w:t xml:space="preserve">in the words of </w:t>
      </w:r>
      <w:r w:rsidR="00321763" w:rsidRPr="003B44D7">
        <w:rPr>
          <w:rFonts w:cstheme="minorHAnsi"/>
          <w:sz w:val="24"/>
          <w:szCs w:val="24"/>
        </w:rPr>
        <w:t xml:space="preserve">the German Constitutional Court in </w:t>
      </w:r>
      <w:r w:rsidR="00321763" w:rsidRPr="003B44D7">
        <w:rPr>
          <w:rFonts w:cstheme="minorHAnsi"/>
          <w:i/>
          <w:iCs/>
          <w:sz w:val="24"/>
          <w:szCs w:val="24"/>
        </w:rPr>
        <w:t>Beer</w:t>
      </w:r>
      <w:r w:rsidR="00747251" w:rsidRPr="003B44D7">
        <w:rPr>
          <w:rFonts w:cstheme="minorHAnsi"/>
          <w:i/>
          <w:iCs/>
          <w:sz w:val="24"/>
          <w:szCs w:val="24"/>
        </w:rPr>
        <w:t>-</w:t>
      </w:r>
      <w:r w:rsidR="006412F7" w:rsidRPr="003B44D7">
        <w:rPr>
          <w:rFonts w:cstheme="minorHAnsi"/>
          <w:i/>
          <w:iCs/>
          <w:sz w:val="24"/>
          <w:szCs w:val="24"/>
        </w:rPr>
        <w:t>C</w:t>
      </w:r>
      <w:r w:rsidR="00321763" w:rsidRPr="003B44D7">
        <w:rPr>
          <w:rFonts w:cstheme="minorHAnsi"/>
          <w:i/>
          <w:iCs/>
          <w:sz w:val="24"/>
          <w:szCs w:val="24"/>
        </w:rPr>
        <w:t>ans-</w:t>
      </w:r>
      <w:proofErr w:type="spellStart"/>
      <w:r w:rsidR="00321763" w:rsidRPr="003B44D7">
        <w:rPr>
          <w:rFonts w:cstheme="minorHAnsi"/>
          <w:i/>
          <w:iCs/>
          <w:sz w:val="24"/>
          <w:szCs w:val="24"/>
        </w:rPr>
        <w:t>Flashmob</w:t>
      </w:r>
      <w:proofErr w:type="spellEnd"/>
      <w:r w:rsidR="00321763" w:rsidRPr="003B44D7">
        <w:rPr>
          <w:rFonts w:cstheme="minorHAnsi"/>
          <w:i/>
          <w:iCs/>
          <w:sz w:val="24"/>
          <w:szCs w:val="24"/>
        </w:rPr>
        <w:t xml:space="preserve"> for Freedom</w:t>
      </w:r>
      <w:r w:rsidR="00321763" w:rsidRPr="003B44D7">
        <w:rPr>
          <w:rFonts w:cstheme="minorHAnsi"/>
          <w:sz w:val="24"/>
          <w:szCs w:val="24"/>
        </w:rPr>
        <w:t xml:space="preserve"> (2015)</w:t>
      </w:r>
      <w:r w:rsidR="006412F7" w:rsidRPr="003B44D7">
        <w:rPr>
          <w:rStyle w:val="FootnoteReference"/>
          <w:rFonts w:cstheme="minorHAnsi"/>
          <w:sz w:val="24"/>
          <w:szCs w:val="24"/>
        </w:rPr>
        <w:footnoteReference w:id="118"/>
      </w:r>
      <w:r w:rsidR="00BB14FB" w:rsidRPr="003B44D7">
        <w:rPr>
          <w:rFonts w:cstheme="minorHAnsi"/>
          <w:sz w:val="24"/>
          <w:szCs w:val="24"/>
        </w:rPr>
        <w:t xml:space="preserve"> </w:t>
      </w:r>
      <w:r w:rsidR="00321763" w:rsidRPr="003B44D7">
        <w:rPr>
          <w:rFonts w:cstheme="minorHAnsi"/>
          <w:sz w:val="24"/>
          <w:szCs w:val="24"/>
        </w:rPr>
        <w:t xml:space="preserve">- ‘private enterprise provides the infrastructure for public communications and </w:t>
      </w:r>
      <w:r w:rsidR="00D74559" w:rsidRPr="003B44D7">
        <w:rPr>
          <w:rFonts w:cstheme="minorHAnsi"/>
          <w:sz w:val="24"/>
          <w:szCs w:val="24"/>
        </w:rPr>
        <w:t>so</w:t>
      </w:r>
      <w:r w:rsidR="00321763" w:rsidRPr="003B44D7">
        <w:rPr>
          <w:rFonts w:cstheme="minorHAnsi"/>
          <w:sz w:val="24"/>
          <w:szCs w:val="24"/>
        </w:rPr>
        <w:t xml:space="preserve"> discharges a function that previously</w:t>
      </w:r>
      <w:r w:rsidR="00A32563" w:rsidRPr="003B44D7">
        <w:rPr>
          <w:rFonts w:cstheme="minorHAnsi"/>
          <w:sz w:val="24"/>
          <w:szCs w:val="24"/>
        </w:rPr>
        <w:t xml:space="preserve"> belonged</w:t>
      </w:r>
      <w:r w:rsidR="005A506B" w:rsidRPr="003B44D7">
        <w:rPr>
          <w:rFonts w:cstheme="minorHAnsi"/>
          <w:sz w:val="24"/>
          <w:szCs w:val="24"/>
        </w:rPr>
        <w:t xml:space="preserve"> </w:t>
      </w:r>
      <w:r w:rsidR="005A506B" w:rsidRPr="003B44D7">
        <w:rPr>
          <w:rFonts w:cstheme="minorHAnsi"/>
          <w:i/>
          <w:iCs/>
          <w:sz w:val="24"/>
          <w:szCs w:val="24"/>
        </w:rPr>
        <w:t>solely</w:t>
      </w:r>
      <w:r w:rsidR="00A32563" w:rsidRPr="003B44D7">
        <w:rPr>
          <w:rFonts w:cstheme="minorHAnsi"/>
          <w:sz w:val="24"/>
          <w:szCs w:val="24"/>
        </w:rPr>
        <w:t xml:space="preserve"> to</w:t>
      </w:r>
      <w:r w:rsidR="00321763" w:rsidRPr="003B44D7">
        <w:rPr>
          <w:rFonts w:cstheme="minorHAnsi"/>
          <w:sz w:val="24"/>
          <w:szCs w:val="24"/>
        </w:rPr>
        <w:t xml:space="preserve"> the State.’</w:t>
      </w:r>
      <w:r w:rsidR="00321763" w:rsidRPr="003B44D7">
        <w:rPr>
          <w:rStyle w:val="FootnoteReference"/>
          <w:rFonts w:cstheme="minorHAnsi"/>
          <w:sz w:val="24"/>
          <w:szCs w:val="24"/>
        </w:rPr>
        <w:footnoteReference w:id="119"/>
      </w:r>
      <w:r w:rsidR="002D7708" w:rsidRPr="003B44D7">
        <w:rPr>
          <w:rFonts w:cstheme="minorHAnsi"/>
          <w:sz w:val="24"/>
          <w:szCs w:val="24"/>
        </w:rPr>
        <w:t xml:space="preserve"> </w:t>
      </w:r>
      <w:r w:rsidR="0065488B" w:rsidRPr="003B44D7">
        <w:rPr>
          <w:rFonts w:cstheme="minorHAnsi"/>
          <w:sz w:val="24"/>
          <w:szCs w:val="24"/>
        </w:rPr>
        <w:t>Thus in</w:t>
      </w:r>
      <w:r w:rsidR="00E30D61" w:rsidRPr="003B44D7">
        <w:rPr>
          <w:rFonts w:cstheme="minorHAnsi"/>
          <w:sz w:val="24"/>
          <w:szCs w:val="24"/>
        </w:rPr>
        <w:t xml:space="preserve"> </w:t>
      </w:r>
      <w:r w:rsidR="002D7708" w:rsidRPr="003B44D7">
        <w:rPr>
          <w:rFonts w:cstheme="minorHAnsi"/>
          <w:sz w:val="24"/>
          <w:szCs w:val="24"/>
        </w:rPr>
        <w:t>that case the private owner of a town square</w:t>
      </w:r>
      <w:r w:rsidR="004B3E5E" w:rsidRPr="003B44D7">
        <w:rPr>
          <w:rFonts w:cstheme="minorHAnsi"/>
          <w:sz w:val="24"/>
          <w:szCs w:val="24"/>
        </w:rPr>
        <w:t xml:space="preserve">, otherwise freely used by the public, </w:t>
      </w:r>
      <w:r w:rsidR="004A65D8" w:rsidRPr="003B44D7">
        <w:rPr>
          <w:rFonts w:cstheme="minorHAnsi"/>
          <w:sz w:val="24"/>
          <w:szCs w:val="24"/>
        </w:rPr>
        <w:t>had to allow</w:t>
      </w:r>
      <w:r w:rsidR="002D7708" w:rsidRPr="003B44D7">
        <w:rPr>
          <w:rFonts w:cstheme="minorHAnsi"/>
          <w:sz w:val="24"/>
          <w:szCs w:val="24"/>
        </w:rPr>
        <w:t xml:space="preserve"> a public assembly</w:t>
      </w:r>
      <w:r w:rsidR="00E30D61" w:rsidRPr="003B44D7">
        <w:rPr>
          <w:rFonts w:cstheme="minorHAnsi"/>
          <w:sz w:val="24"/>
          <w:szCs w:val="24"/>
        </w:rPr>
        <w:t xml:space="preserve"> </w:t>
      </w:r>
      <w:r w:rsidR="002D7708" w:rsidRPr="003B44D7">
        <w:rPr>
          <w:rFonts w:cstheme="minorHAnsi"/>
          <w:sz w:val="24"/>
          <w:szCs w:val="24"/>
        </w:rPr>
        <w:t>on the square</w:t>
      </w:r>
      <w:r w:rsidR="004A65D8" w:rsidRPr="003B44D7">
        <w:rPr>
          <w:rFonts w:cstheme="minorHAnsi"/>
          <w:sz w:val="24"/>
          <w:szCs w:val="24"/>
        </w:rPr>
        <w:t xml:space="preserve"> as freedom of speech and assembly trumped his </w:t>
      </w:r>
      <w:r w:rsidR="00BB14FB" w:rsidRPr="003B44D7">
        <w:rPr>
          <w:rFonts w:cstheme="minorHAnsi"/>
          <w:sz w:val="24"/>
          <w:szCs w:val="24"/>
        </w:rPr>
        <w:t xml:space="preserve">proprietary </w:t>
      </w:r>
      <w:r w:rsidR="008044F2" w:rsidRPr="003B44D7">
        <w:rPr>
          <w:rFonts w:cstheme="minorHAnsi"/>
          <w:sz w:val="24"/>
          <w:szCs w:val="24"/>
        </w:rPr>
        <w:t>rights.</w:t>
      </w:r>
      <w:r w:rsidR="004A65D8" w:rsidRPr="003B44D7">
        <w:rPr>
          <w:rFonts w:cstheme="minorHAnsi"/>
          <w:sz w:val="24"/>
          <w:szCs w:val="24"/>
        </w:rPr>
        <w:t xml:space="preserve"> By implication,</w:t>
      </w:r>
      <w:r w:rsidR="00747251" w:rsidRPr="003B44D7">
        <w:rPr>
          <w:rFonts w:cstheme="minorHAnsi"/>
          <w:sz w:val="24"/>
          <w:szCs w:val="24"/>
        </w:rPr>
        <w:t xml:space="preserve"> there </w:t>
      </w:r>
      <w:r w:rsidR="008044F2" w:rsidRPr="003B44D7">
        <w:rPr>
          <w:rFonts w:cstheme="minorHAnsi"/>
          <w:sz w:val="24"/>
          <w:szCs w:val="24"/>
        </w:rPr>
        <w:t xml:space="preserve">is </w:t>
      </w:r>
      <w:r w:rsidR="00E30D61" w:rsidRPr="003B44D7">
        <w:rPr>
          <w:rFonts w:cstheme="minorHAnsi"/>
          <w:sz w:val="24"/>
          <w:szCs w:val="24"/>
        </w:rPr>
        <w:t>a</w:t>
      </w:r>
      <w:r w:rsidR="002D7708" w:rsidRPr="003B44D7">
        <w:rPr>
          <w:rFonts w:cstheme="minorHAnsi"/>
          <w:sz w:val="24"/>
          <w:szCs w:val="24"/>
        </w:rPr>
        <w:t xml:space="preserve"> legal</w:t>
      </w:r>
      <w:r w:rsidR="00747251" w:rsidRPr="003B44D7">
        <w:rPr>
          <w:rFonts w:cstheme="minorHAnsi"/>
          <w:sz w:val="24"/>
          <w:szCs w:val="24"/>
        </w:rPr>
        <w:t xml:space="preserve"> avenue for the imposition of negative</w:t>
      </w:r>
      <w:r w:rsidR="00EF1504" w:rsidRPr="003B44D7">
        <w:rPr>
          <w:rFonts w:cstheme="minorHAnsi"/>
          <w:sz w:val="24"/>
          <w:szCs w:val="24"/>
        </w:rPr>
        <w:t xml:space="preserve"> ‘keep-up’</w:t>
      </w:r>
      <w:r w:rsidR="00747251" w:rsidRPr="003B44D7">
        <w:rPr>
          <w:rFonts w:cstheme="minorHAnsi"/>
          <w:sz w:val="24"/>
          <w:szCs w:val="24"/>
        </w:rPr>
        <w:t xml:space="preserve"> duties </w:t>
      </w:r>
      <w:r w:rsidR="005A506B" w:rsidRPr="003B44D7">
        <w:rPr>
          <w:rFonts w:cstheme="minorHAnsi"/>
          <w:sz w:val="24"/>
          <w:szCs w:val="24"/>
        </w:rPr>
        <w:t>of legal content o</w:t>
      </w:r>
      <w:r w:rsidR="008044F2" w:rsidRPr="003B44D7">
        <w:rPr>
          <w:rFonts w:cstheme="minorHAnsi"/>
          <w:sz w:val="24"/>
          <w:szCs w:val="24"/>
        </w:rPr>
        <w:t>n</w:t>
      </w:r>
      <w:r w:rsidR="005A506B" w:rsidRPr="003B44D7">
        <w:rPr>
          <w:rFonts w:cstheme="minorHAnsi"/>
          <w:sz w:val="24"/>
          <w:szCs w:val="24"/>
        </w:rPr>
        <w:t xml:space="preserve"> private</w:t>
      </w:r>
      <w:r w:rsidR="00747251" w:rsidRPr="003B44D7">
        <w:rPr>
          <w:rFonts w:cstheme="minorHAnsi"/>
          <w:sz w:val="24"/>
          <w:szCs w:val="24"/>
        </w:rPr>
        <w:t xml:space="preserve"> platforms</w:t>
      </w:r>
      <w:r w:rsidR="00E30D61" w:rsidRPr="003B44D7">
        <w:rPr>
          <w:rFonts w:cstheme="minorHAnsi"/>
          <w:sz w:val="24"/>
          <w:szCs w:val="24"/>
        </w:rPr>
        <w:t xml:space="preserve"> under German law</w:t>
      </w:r>
      <w:r w:rsidR="004A65D8" w:rsidRPr="003B44D7">
        <w:rPr>
          <w:rFonts w:cstheme="minorHAnsi"/>
          <w:sz w:val="24"/>
          <w:szCs w:val="24"/>
        </w:rPr>
        <w:t>. However,</w:t>
      </w:r>
      <w:r w:rsidR="005A506B" w:rsidRPr="003B44D7">
        <w:rPr>
          <w:rFonts w:cstheme="minorHAnsi"/>
          <w:sz w:val="24"/>
          <w:szCs w:val="24"/>
        </w:rPr>
        <w:t xml:space="preserve"> </w:t>
      </w:r>
      <w:r w:rsidR="00D74559" w:rsidRPr="003B44D7">
        <w:rPr>
          <w:rFonts w:cstheme="minorHAnsi"/>
          <w:sz w:val="24"/>
          <w:szCs w:val="24"/>
        </w:rPr>
        <w:t xml:space="preserve">NetzDG </w:t>
      </w:r>
      <w:r w:rsidR="005A506B" w:rsidRPr="003B44D7">
        <w:rPr>
          <w:rFonts w:cstheme="minorHAnsi"/>
          <w:sz w:val="24"/>
          <w:szCs w:val="24"/>
        </w:rPr>
        <w:t>has not gone</w:t>
      </w:r>
      <w:r w:rsidR="00EF1504" w:rsidRPr="003B44D7">
        <w:rPr>
          <w:rFonts w:cstheme="minorHAnsi"/>
          <w:sz w:val="24"/>
          <w:szCs w:val="24"/>
        </w:rPr>
        <w:t xml:space="preserve"> down that </w:t>
      </w:r>
      <w:r w:rsidR="005208A0">
        <w:rPr>
          <w:rFonts w:cstheme="minorHAnsi"/>
          <w:sz w:val="24"/>
          <w:szCs w:val="24"/>
        </w:rPr>
        <w:t>the route of creating keep-up duties</w:t>
      </w:r>
      <w:r w:rsidR="00D74559" w:rsidRPr="003B44D7">
        <w:rPr>
          <w:rFonts w:cstheme="minorHAnsi"/>
          <w:sz w:val="24"/>
          <w:szCs w:val="24"/>
        </w:rPr>
        <w:t>, and</w:t>
      </w:r>
      <w:r w:rsidR="00BB14FB" w:rsidRPr="003B44D7">
        <w:rPr>
          <w:rFonts w:cstheme="minorHAnsi"/>
          <w:sz w:val="24"/>
          <w:szCs w:val="24"/>
        </w:rPr>
        <w:t xml:space="preserve"> the decision by</w:t>
      </w:r>
      <w:r w:rsidR="00D74559" w:rsidRPr="003B44D7">
        <w:rPr>
          <w:rFonts w:cstheme="minorHAnsi"/>
          <w:sz w:val="24"/>
          <w:szCs w:val="24"/>
        </w:rPr>
        <w:t xml:space="preserve"> </w:t>
      </w:r>
      <w:r w:rsidR="00DF74AD" w:rsidRPr="003B44D7">
        <w:rPr>
          <w:rFonts w:cstheme="minorHAnsi"/>
          <w:sz w:val="24"/>
          <w:szCs w:val="24"/>
        </w:rPr>
        <w:t xml:space="preserve">the </w:t>
      </w:r>
      <w:r w:rsidR="00EF1504" w:rsidRPr="003B44D7">
        <w:rPr>
          <w:rFonts w:cstheme="minorHAnsi"/>
          <w:sz w:val="24"/>
          <w:szCs w:val="24"/>
        </w:rPr>
        <w:t xml:space="preserve">German </w:t>
      </w:r>
      <w:r w:rsidR="00DF74AD" w:rsidRPr="003B44D7">
        <w:rPr>
          <w:rFonts w:cstheme="minorHAnsi"/>
          <w:sz w:val="24"/>
          <w:szCs w:val="24"/>
        </w:rPr>
        <w:t>Federal Court of Justice</w:t>
      </w:r>
      <w:r w:rsidR="004A0467" w:rsidRPr="003B44D7">
        <w:rPr>
          <w:rFonts w:cstheme="minorHAnsi"/>
          <w:sz w:val="24"/>
          <w:szCs w:val="24"/>
        </w:rPr>
        <w:t xml:space="preserve"> in </w:t>
      </w:r>
      <w:r w:rsidR="004A0467" w:rsidRPr="003B44D7">
        <w:rPr>
          <w:rFonts w:cstheme="minorHAnsi"/>
          <w:i/>
          <w:iCs/>
          <w:sz w:val="24"/>
          <w:szCs w:val="24"/>
        </w:rPr>
        <w:t xml:space="preserve">Hate Speech Posts Deletion and Account Closure </w:t>
      </w:r>
      <w:r w:rsidR="004A0467" w:rsidRPr="003B44D7">
        <w:rPr>
          <w:rFonts w:cstheme="minorHAnsi"/>
          <w:sz w:val="24"/>
          <w:szCs w:val="24"/>
        </w:rPr>
        <w:t>(2021)</w:t>
      </w:r>
      <w:r w:rsidR="00DF74AD" w:rsidRPr="003B44D7">
        <w:rPr>
          <w:rFonts w:cstheme="minorHAnsi"/>
          <w:sz w:val="24"/>
          <w:szCs w:val="24"/>
        </w:rPr>
        <w:t xml:space="preserve"> </w:t>
      </w:r>
      <w:r w:rsidR="00BB14FB" w:rsidRPr="003B44D7">
        <w:rPr>
          <w:rFonts w:cstheme="minorHAnsi"/>
          <w:sz w:val="24"/>
          <w:szCs w:val="24"/>
        </w:rPr>
        <w:t xml:space="preserve">requiring respect for users’ due process rights </w:t>
      </w:r>
      <w:r w:rsidR="004E2ED8" w:rsidRPr="003B44D7">
        <w:rPr>
          <w:rFonts w:cstheme="minorHAnsi"/>
          <w:sz w:val="24"/>
          <w:szCs w:val="24"/>
        </w:rPr>
        <w:t>was premised on</w:t>
      </w:r>
      <w:r w:rsidR="00DF74AD" w:rsidRPr="003B44D7">
        <w:rPr>
          <w:rFonts w:cstheme="minorHAnsi"/>
          <w:sz w:val="24"/>
          <w:szCs w:val="24"/>
        </w:rPr>
        <w:t xml:space="preserve"> </w:t>
      </w:r>
      <w:r w:rsidR="000C05A3" w:rsidRPr="003B44D7">
        <w:rPr>
          <w:rFonts w:cstheme="minorHAnsi"/>
          <w:sz w:val="24"/>
          <w:szCs w:val="24"/>
        </w:rPr>
        <w:t xml:space="preserve">the </w:t>
      </w:r>
      <w:r w:rsidR="005208A0" w:rsidRPr="005208A0">
        <w:rPr>
          <w:rFonts w:cstheme="minorHAnsi"/>
          <w:i/>
          <w:iCs/>
          <w:sz w:val="24"/>
          <w:szCs w:val="24"/>
        </w:rPr>
        <w:t>prima facie</w:t>
      </w:r>
      <w:r w:rsidR="005208A0">
        <w:rPr>
          <w:rFonts w:cstheme="minorHAnsi"/>
          <w:sz w:val="24"/>
          <w:szCs w:val="24"/>
        </w:rPr>
        <w:t xml:space="preserve"> </w:t>
      </w:r>
      <w:r w:rsidR="008044F2" w:rsidRPr="003B44D7">
        <w:rPr>
          <w:rFonts w:cstheme="minorHAnsi"/>
          <w:sz w:val="24"/>
          <w:szCs w:val="24"/>
        </w:rPr>
        <w:t>right</w:t>
      </w:r>
      <w:r w:rsidR="000C05A3" w:rsidRPr="003B44D7">
        <w:rPr>
          <w:rFonts w:cstheme="minorHAnsi"/>
          <w:sz w:val="24"/>
          <w:szCs w:val="24"/>
        </w:rPr>
        <w:t xml:space="preserve"> of</w:t>
      </w:r>
      <w:r w:rsidR="00DF74AD" w:rsidRPr="003B44D7">
        <w:rPr>
          <w:rFonts w:cstheme="minorHAnsi"/>
          <w:sz w:val="24"/>
          <w:szCs w:val="24"/>
        </w:rPr>
        <w:t xml:space="preserve"> platforms </w:t>
      </w:r>
      <w:r w:rsidR="000C05A3" w:rsidRPr="003B44D7">
        <w:rPr>
          <w:rFonts w:cstheme="minorHAnsi"/>
          <w:sz w:val="24"/>
          <w:szCs w:val="24"/>
        </w:rPr>
        <w:t>to</w:t>
      </w:r>
      <w:r w:rsidR="00DF74AD" w:rsidRPr="003B44D7">
        <w:rPr>
          <w:rFonts w:cstheme="minorHAnsi"/>
          <w:sz w:val="24"/>
          <w:szCs w:val="24"/>
        </w:rPr>
        <w:t xml:space="preserve"> impose </w:t>
      </w:r>
      <w:r w:rsidR="00485187" w:rsidRPr="003B44D7">
        <w:rPr>
          <w:rFonts w:cstheme="minorHAnsi"/>
          <w:sz w:val="24"/>
          <w:szCs w:val="24"/>
        </w:rPr>
        <w:t xml:space="preserve">their own </w:t>
      </w:r>
      <w:r w:rsidR="00DF74AD" w:rsidRPr="003B44D7">
        <w:rPr>
          <w:rFonts w:cstheme="minorHAnsi"/>
          <w:sz w:val="24"/>
          <w:szCs w:val="24"/>
        </w:rPr>
        <w:t xml:space="preserve">communication standards on users and </w:t>
      </w:r>
      <w:r w:rsidR="00DF74AD" w:rsidRPr="003B44D7">
        <w:rPr>
          <w:rFonts w:cstheme="minorHAnsi"/>
          <w:sz w:val="24"/>
          <w:szCs w:val="24"/>
        </w:rPr>
        <w:lastRenderedPageBreak/>
        <w:t>sanction breach</w:t>
      </w:r>
      <w:r w:rsidR="0065488B" w:rsidRPr="003B44D7">
        <w:rPr>
          <w:rFonts w:cstheme="minorHAnsi"/>
          <w:sz w:val="24"/>
          <w:szCs w:val="24"/>
        </w:rPr>
        <w:t>es</w:t>
      </w:r>
      <w:r w:rsidR="00DF74AD" w:rsidRPr="003B44D7">
        <w:rPr>
          <w:rFonts w:cstheme="minorHAnsi"/>
          <w:sz w:val="24"/>
          <w:szCs w:val="24"/>
        </w:rPr>
        <w:t xml:space="preserve"> through the takedown of posts and the closure of accounts</w:t>
      </w:r>
      <w:r w:rsidR="00BB14FB" w:rsidRPr="003B44D7">
        <w:rPr>
          <w:rFonts w:cstheme="minorHAnsi"/>
          <w:sz w:val="24"/>
          <w:szCs w:val="24"/>
        </w:rPr>
        <w:t xml:space="preserve">, </w:t>
      </w:r>
      <w:r w:rsidR="00BB14FB" w:rsidRPr="005208A0">
        <w:rPr>
          <w:rFonts w:cstheme="minorHAnsi"/>
          <w:i/>
          <w:iCs/>
          <w:sz w:val="24"/>
          <w:szCs w:val="24"/>
        </w:rPr>
        <w:t>even if</w:t>
      </w:r>
      <w:r w:rsidR="00BB14FB" w:rsidRPr="003B44D7">
        <w:rPr>
          <w:rFonts w:cstheme="minorHAnsi"/>
          <w:sz w:val="24"/>
          <w:szCs w:val="24"/>
        </w:rPr>
        <w:t xml:space="preserve"> the posts were legal</w:t>
      </w:r>
      <w:r w:rsidR="00485187" w:rsidRPr="003B44D7">
        <w:rPr>
          <w:rFonts w:cstheme="minorHAnsi"/>
          <w:sz w:val="24"/>
          <w:szCs w:val="24"/>
        </w:rPr>
        <w:t>.</w:t>
      </w:r>
      <w:r w:rsidR="004A0467" w:rsidRPr="003B44D7">
        <w:rPr>
          <w:rStyle w:val="FootnoteReference"/>
          <w:rFonts w:cstheme="minorHAnsi"/>
          <w:sz w:val="24"/>
          <w:szCs w:val="24"/>
        </w:rPr>
        <w:footnoteReference w:id="120"/>
      </w:r>
      <w:r w:rsidR="004A0467" w:rsidRPr="003B44D7">
        <w:rPr>
          <w:rFonts w:cstheme="minorHAnsi"/>
          <w:sz w:val="24"/>
          <w:szCs w:val="24"/>
        </w:rPr>
        <w:t xml:space="preserve"> </w:t>
      </w:r>
      <w:r w:rsidR="00485187" w:rsidRPr="003B44D7">
        <w:rPr>
          <w:rFonts w:cstheme="minorHAnsi"/>
          <w:sz w:val="24"/>
          <w:szCs w:val="24"/>
        </w:rPr>
        <w:t xml:space="preserve"> </w:t>
      </w:r>
    </w:p>
    <w:p w14:paraId="7660803F" w14:textId="6F24DD9B" w:rsidR="00191C60" w:rsidRPr="003B44D7" w:rsidRDefault="00191C60" w:rsidP="004E7EB4">
      <w:pPr>
        <w:spacing w:after="0" w:line="240" w:lineRule="auto"/>
        <w:jc w:val="both"/>
        <w:rPr>
          <w:rFonts w:cstheme="minorHAnsi"/>
          <w:sz w:val="24"/>
          <w:szCs w:val="24"/>
        </w:rPr>
      </w:pPr>
    </w:p>
    <w:p w14:paraId="7925E660" w14:textId="04C51873" w:rsidR="005A506B" w:rsidRPr="003B44D7" w:rsidRDefault="00607BB3" w:rsidP="00E64640">
      <w:pPr>
        <w:spacing w:after="0" w:line="240" w:lineRule="auto"/>
        <w:jc w:val="both"/>
        <w:rPr>
          <w:rFonts w:cstheme="minorHAnsi"/>
          <w:sz w:val="24"/>
          <w:szCs w:val="24"/>
        </w:rPr>
      </w:pPr>
      <w:r w:rsidRPr="003B44D7">
        <w:rPr>
          <w:rFonts w:cstheme="minorHAnsi"/>
          <w:sz w:val="24"/>
          <w:szCs w:val="24"/>
        </w:rPr>
        <w:t xml:space="preserve">A similar debate has ensued in the </w:t>
      </w:r>
      <w:r w:rsidR="008B508D" w:rsidRPr="003B44D7">
        <w:rPr>
          <w:rFonts w:cstheme="minorHAnsi"/>
          <w:sz w:val="24"/>
          <w:szCs w:val="24"/>
        </w:rPr>
        <w:t>US</w:t>
      </w:r>
      <w:r w:rsidRPr="003B44D7">
        <w:rPr>
          <w:rFonts w:cstheme="minorHAnsi"/>
          <w:sz w:val="24"/>
          <w:szCs w:val="24"/>
        </w:rPr>
        <w:t xml:space="preserve"> - one </w:t>
      </w:r>
      <w:r w:rsidR="008B508D" w:rsidRPr="003B44D7">
        <w:rPr>
          <w:rFonts w:cstheme="minorHAnsi"/>
          <w:sz w:val="24"/>
          <w:szCs w:val="24"/>
        </w:rPr>
        <w:t xml:space="preserve">that </w:t>
      </w:r>
      <w:r w:rsidR="003673C5" w:rsidRPr="003B44D7">
        <w:rPr>
          <w:rFonts w:cstheme="minorHAnsi"/>
          <w:sz w:val="24"/>
          <w:szCs w:val="24"/>
        </w:rPr>
        <w:t>has</w:t>
      </w:r>
      <w:r w:rsidR="0065488B" w:rsidRPr="003B44D7">
        <w:rPr>
          <w:rFonts w:cstheme="minorHAnsi"/>
          <w:sz w:val="24"/>
          <w:szCs w:val="24"/>
        </w:rPr>
        <w:t xml:space="preserve"> rel</w:t>
      </w:r>
      <w:r w:rsidR="003673C5" w:rsidRPr="003B44D7">
        <w:rPr>
          <w:rFonts w:cstheme="minorHAnsi"/>
          <w:sz w:val="24"/>
          <w:szCs w:val="24"/>
        </w:rPr>
        <w:t>ied</w:t>
      </w:r>
      <w:r w:rsidR="00E30D61" w:rsidRPr="003B44D7">
        <w:rPr>
          <w:rFonts w:cstheme="minorHAnsi"/>
          <w:sz w:val="24"/>
          <w:szCs w:val="24"/>
        </w:rPr>
        <w:t xml:space="preserve"> on</w:t>
      </w:r>
      <w:r w:rsidR="00DB03AC" w:rsidRPr="003B44D7">
        <w:rPr>
          <w:rFonts w:cstheme="minorHAnsi"/>
          <w:sz w:val="24"/>
          <w:szCs w:val="24"/>
        </w:rPr>
        <w:t xml:space="preserve"> the</w:t>
      </w:r>
      <w:r w:rsidR="00E64640" w:rsidRPr="003B44D7">
        <w:rPr>
          <w:rFonts w:cstheme="minorHAnsi"/>
          <w:sz w:val="24"/>
          <w:szCs w:val="24"/>
        </w:rPr>
        <w:t xml:space="preserve"> Supreme Court</w:t>
      </w:r>
      <w:r w:rsidR="00DB03AC" w:rsidRPr="003B44D7">
        <w:rPr>
          <w:rFonts w:cstheme="minorHAnsi"/>
          <w:sz w:val="24"/>
          <w:szCs w:val="24"/>
        </w:rPr>
        <w:t xml:space="preserve">’s decision </w:t>
      </w:r>
      <w:r w:rsidR="00E64640" w:rsidRPr="003B44D7">
        <w:rPr>
          <w:rFonts w:cstheme="minorHAnsi"/>
          <w:sz w:val="24"/>
          <w:szCs w:val="24"/>
        </w:rPr>
        <w:t xml:space="preserve">in </w:t>
      </w:r>
      <w:r w:rsidR="00E64640" w:rsidRPr="003B44D7">
        <w:rPr>
          <w:rFonts w:cstheme="minorHAnsi"/>
          <w:i/>
          <w:sz w:val="24"/>
          <w:szCs w:val="24"/>
        </w:rPr>
        <w:t>Marsh v Alabama</w:t>
      </w:r>
      <w:r w:rsidR="00E64640" w:rsidRPr="003B44D7">
        <w:rPr>
          <w:rFonts w:cstheme="minorHAnsi"/>
          <w:sz w:val="24"/>
          <w:szCs w:val="24"/>
        </w:rPr>
        <w:t xml:space="preserve"> (1946)</w:t>
      </w:r>
      <w:r w:rsidR="00E64640" w:rsidRPr="003B44D7">
        <w:rPr>
          <w:rStyle w:val="FootnoteReference"/>
          <w:rFonts w:cstheme="minorHAnsi"/>
          <w:sz w:val="24"/>
          <w:szCs w:val="24"/>
        </w:rPr>
        <w:footnoteReference w:id="121"/>
      </w:r>
      <w:r w:rsidR="00E64640" w:rsidRPr="003B44D7">
        <w:rPr>
          <w:rFonts w:cstheme="minorHAnsi"/>
          <w:sz w:val="24"/>
          <w:szCs w:val="24"/>
        </w:rPr>
        <w:t xml:space="preserve"> </w:t>
      </w:r>
      <w:r w:rsidR="0065488B" w:rsidRPr="003B44D7">
        <w:rPr>
          <w:rFonts w:cstheme="minorHAnsi"/>
          <w:sz w:val="24"/>
          <w:szCs w:val="24"/>
        </w:rPr>
        <w:t>according to which</w:t>
      </w:r>
      <w:r w:rsidR="00DB03AC" w:rsidRPr="003B44D7">
        <w:rPr>
          <w:rFonts w:cstheme="minorHAnsi"/>
          <w:sz w:val="24"/>
          <w:szCs w:val="24"/>
        </w:rPr>
        <w:t xml:space="preserve"> a private entity that owned and operated a town </w:t>
      </w:r>
      <w:r w:rsidR="00E30D61" w:rsidRPr="003B44D7">
        <w:rPr>
          <w:rFonts w:cstheme="minorHAnsi"/>
          <w:sz w:val="24"/>
          <w:szCs w:val="24"/>
        </w:rPr>
        <w:t>perform</w:t>
      </w:r>
      <w:r w:rsidR="00765F07">
        <w:rPr>
          <w:rFonts w:cstheme="minorHAnsi"/>
          <w:sz w:val="24"/>
          <w:szCs w:val="24"/>
        </w:rPr>
        <w:t>ed</w:t>
      </w:r>
      <w:r w:rsidR="00E30D61" w:rsidRPr="003B44D7">
        <w:rPr>
          <w:rFonts w:cstheme="minorHAnsi"/>
          <w:sz w:val="24"/>
          <w:szCs w:val="24"/>
        </w:rPr>
        <w:t xml:space="preserve"> municipal functions</w:t>
      </w:r>
      <w:r w:rsidR="00490DBC" w:rsidRPr="003B44D7">
        <w:rPr>
          <w:rFonts w:cstheme="minorHAnsi"/>
          <w:sz w:val="24"/>
          <w:szCs w:val="24"/>
        </w:rPr>
        <w:t xml:space="preserve"> </w:t>
      </w:r>
      <w:r w:rsidR="00765F07" w:rsidRPr="003B44D7">
        <w:rPr>
          <w:rFonts w:cstheme="minorHAnsi"/>
          <w:sz w:val="24"/>
          <w:szCs w:val="24"/>
        </w:rPr>
        <w:t>and thus must abide by the First Amendment</w:t>
      </w:r>
      <w:r w:rsidR="00765F07">
        <w:rPr>
          <w:rFonts w:cstheme="minorHAnsi"/>
          <w:sz w:val="24"/>
          <w:szCs w:val="24"/>
        </w:rPr>
        <w:t xml:space="preserve">. This was </w:t>
      </w:r>
      <w:r w:rsidR="00490DBC" w:rsidRPr="003B44D7">
        <w:rPr>
          <w:rFonts w:cstheme="minorHAnsi"/>
          <w:sz w:val="24"/>
          <w:szCs w:val="24"/>
        </w:rPr>
        <w:t xml:space="preserve">later </w:t>
      </w:r>
      <w:r w:rsidR="00F44A68" w:rsidRPr="003B44D7">
        <w:rPr>
          <w:rFonts w:cstheme="minorHAnsi"/>
          <w:sz w:val="24"/>
          <w:szCs w:val="24"/>
        </w:rPr>
        <w:t xml:space="preserve">restricted to </w:t>
      </w:r>
      <w:r w:rsidR="003673C5" w:rsidRPr="003B44D7">
        <w:rPr>
          <w:rFonts w:cstheme="minorHAnsi"/>
          <w:sz w:val="24"/>
          <w:szCs w:val="24"/>
        </w:rPr>
        <w:t xml:space="preserve">private </w:t>
      </w:r>
      <w:r w:rsidR="00F44A68" w:rsidRPr="003B44D7">
        <w:rPr>
          <w:rFonts w:cstheme="minorHAnsi"/>
          <w:sz w:val="24"/>
          <w:szCs w:val="24"/>
        </w:rPr>
        <w:t xml:space="preserve">companies </w:t>
      </w:r>
      <w:r w:rsidR="00BB43E3">
        <w:rPr>
          <w:rFonts w:cstheme="minorHAnsi"/>
          <w:sz w:val="24"/>
          <w:szCs w:val="24"/>
        </w:rPr>
        <w:t>which</w:t>
      </w:r>
      <w:r w:rsidR="00F44A68" w:rsidRPr="003B44D7">
        <w:rPr>
          <w:rFonts w:cstheme="minorHAnsi"/>
          <w:sz w:val="24"/>
          <w:szCs w:val="24"/>
        </w:rPr>
        <w:t xml:space="preserve"> ‘perform</w:t>
      </w:r>
      <w:r w:rsidR="00490DBC" w:rsidRPr="003B44D7">
        <w:rPr>
          <w:rFonts w:cstheme="minorHAnsi"/>
          <w:sz w:val="24"/>
          <w:szCs w:val="24"/>
        </w:rPr>
        <w:t xml:space="preserve"> the full spectrum of municipal</w:t>
      </w:r>
      <w:r w:rsidR="00F44A68" w:rsidRPr="003B44D7">
        <w:rPr>
          <w:rFonts w:cstheme="minorHAnsi"/>
          <w:sz w:val="24"/>
          <w:szCs w:val="24"/>
        </w:rPr>
        <w:t xml:space="preserve"> powers</w:t>
      </w:r>
      <w:r w:rsidR="002B1DDE" w:rsidRPr="003B44D7">
        <w:rPr>
          <w:rFonts w:cstheme="minorHAnsi"/>
          <w:sz w:val="24"/>
          <w:szCs w:val="24"/>
        </w:rPr>
        <w:t>’</w:t>
      </w:r>
      <w:r w:rsidR="00490DBC" w:rsidRPr="003B44D7">
        <w:rPr>
          <w:rStyle w:val="FootnoteReference"/>
          <w:rFonts w:cstheme="minorHAnsi"/>
          <w:sz w:val="24"/>
          <w:szCs w:val="24"/>
        </w:rPr>
        <w:footnoteReference w:id="122"/>
      </w:r>
      <w:r w:rsidR="00765F07">
        <w:rPr>
          <w:rFonts w:cstheme="minorHAnsi"/>
          <w:sz w:val="24"/>
          <w:szCs w:val="24"/>
        </w:rPr>
        <w:t xml:space="preserve"> and put on a more generalised basis as part of the ‘state action’ doctrine</w:t>
      </w:r>
      <w:r w:rsidR="00DB03AC" w:rsidRPr="003B44D7">
        <w:rPr>
          <w:rFonts w:cstheme="minorHAnsi"/>
          <w:sz w:val="24"/>
          <w:szCs w:val="24"/>
        </w:rPr>
        <w:t xml:space="preserve">. </w:t>
      </w:r>
      <w:r w:rsidR="00E27241">
        <w:rPr>
          <w:rFonts w:cstheme="minorHAnsi"/>
          <w:sz w:val="24"/>
          <w:szCs w:val="24"/>
        </w:rPr>
        <w:t>Yet, i</w:t>
      </w:r>
      <w:r w:rsidR="00765F07">
        <w:rPr>
          <w:rFonts w:cstheme="minorHAnsi"/>
          <w:sz w:val="24"/>
          <w:szCs w:val="24"/>
        </w:rPr>
        <w:t>n</w:t>
      </w:r>
      <w:r w:rsidR="00DB03AC" w:rsidRPr="003B44D7">
        <w:rPr>
          <w:rFonts w:cstheme="minorHAnsi"/>
          <w:sz w:val="24"/>
          <w:szCs w:val="24"/>
        </w:rPr>
        <w:t xml:space="preserve"> </w:t>
      </w:r>
      <w:r w:rsidR="00DB03AC" w:rsidRPr="003B44D7">
        <w:rPr>
          <w:rFonts w:cstheme="minorHAnsi"/>
          <w:i/>
          <w:iCs/>
          <w:sz w:val="24"/>
          <w:szCs w:val="24"/>
        </w:rPr>
        <w:t>Prager University v Google LLC</w:t>
      </w:r>
      <w:r w:rsidR="00DB03AC" w:rsidRPr="003B44D7">
        <w:rPr>
          <w:rFonts w:cstheme="minorHAnsi"/>
          <w:sz w:val="24"/>
          <w:szCs w:val="24"/>
        </w:rPr>
        <w:t xml:space="preserve"> (2020)</w:t>
      </w:r>
      <w:r w:rsidR="0030577E" w:rsidRPr="003B44D7">
        <w:rPr>
          <w:rStyle w:val="FootnoteReference"/>
          <w:rFonts w:cstheme="minorHAnsi"/>
          <w:sz w:val="24"/>
          <w:szCs w:val="24"/>
        </w:rPr>
        <w:footnoteReference w:id="123"/>
      </w:r>
      <w:r w:rsidR="00A32563" w:rsidRPr="003B44D7">
        <w:rPr>
          <w:rFonts w:cstheme="minorHAnsi"/>
          <w:sz w:val="24"/>
          <w:szCs w:val="24"/>
        </w:rPr>
        <w:t xml:space="preserve"> t</w:t>
      </w:r>
      <w:r w:rsidR="00DB03AC" w:rsidRPr="003B44D7">
        <w:rPr>
          <w:rFonts w:cstheme="minorHAnsi"/>
          <w:sz w:val="24"/>
          <w:szCs w:val="24"/>
        </w:rPr>
        <w:t>he Court</w:t>
      </w:r>
      <w:r w:rsidR="004E2ED8" w:rsidRPr="003B44D7">
        <w:rPr>
          <w:rFonts w:cstheme="minorHAnsi"/>
          <w:sz w:val="24"/>
          <w:szCs w:val="24"/>
        </w:rPr>
        <w:t xml:space="preserve"> of Appeal</w:t>
      </w:r>
      <w:r w:rsidR="00BB14FB" w:rsidRPr="003B44D7">
        <w:rPr>
          <w:rFonts w:cstheme="minorHAnsi"/>
          <w:sz w:val="24"/>
          <w:szCs w:val="24"/>
        </w:rPr>
        <w:t>s</w:t>
      </w:r>
      <w:r w:rsidR="00DB03AC" w:rsidRPr="003B44D7">
        <w:rPr>
          <w:rFonts w:cstheme="minorHAnsi"/>
          <w:sz w:val="24"/>
          <w:szCs w:val="24"/>
        </w:rPr>
        <w:t xml:space="preserve"> </w:t>
      </w:r>
      <w:r w:rsidR="00BB14FB" w:rsidRPr="003B44D7">
        <w:rPr>
          <w:rFonts w:cstheme="minorHAnsi"/>
          <w:sz w:val="24"/>
          <w:szCs w:val="24"/>
        </w:rPr>
        <w:t xml:space="preserve">for the Ninth Circuit </w:t>
      </w:r>
      <w:r w:rsidR="00DB03AC" w:rsidRPr="003B44D7">
        <w:rPr>
          <w:rFonts w:cstheme="minorHAnsi"/>
          <w:sz w:val="24"/>
          <w:szCs w:val="24"/>
        </w:rPr>
        <w:t xml:space="preserve">rejected </w:t>
      </w:r>
      <w:r w:rsidR="0026749A" w:rsidRPr="003B44D7">
        <w:rPr>
          <w:rFonts w:cstheme="minorHAnsi"/>
          <w:sz w:val="24"/>
          <w:szCs w:val="24"/>
        </w:rPr>
        <w:t>th</w:t>
      </w:r>
      <w:r w:rsidR="0065488B" w:rsidRPr="003B44D7">
        <w:rPr>
          <w:rFonts w:cstheme="minorHAnsi"/>
          <w:sz w:val="24"/>
          <w:szCs w:val="24"/>
        </w:rPr>
        <w:t>e</w:t>
      </w:r>
      <w:r w:rsidR="0026749A" w:rsidRPr="003B44D7">
        <w:rPr>
          <w:rFonts w:cstheme="minorHAnsi"/>
          <w:sz w:val="24"/>
          <w:szCs w:val="24"/>
        </w:rPr>
        <w:t xml:space="preserve"> </w:t>
      </w:r>
      <w:r w:rsidR="00601B9C" w:rsidRPr="003B44D7">
        <w:rPr>
          <w:rFonts w:cstheme="minorHAnsi"/>
          <w:sz w:val="24"/>
          <w:szCs w:val="24"/>
        </w:rPr>
        <w:t xml:space="preserve">argument that </w:t>
      </w:r>
      <w:r w:rsidR="0026749A" w:rsidRPr="003B44D7">
        <w:rPr>
          <w:rFonts w:cstheme="minorHAnsi"/>
          <w:sz w:val="24"/>
          <w:szCs w:val="24"/>
        </w:rPr>
        <w:t xml:space="preserve">the state action doctrine </w:t>
      </w:r>
      <w:r w:rsidR="00601B9C" w:rsidRPr="003B44D7">
        <w:rPr>
          <w:rFonts w:cstheme="minorHAnsi"/>
          <w:sz w:val="24"/>
          <w:szCs w:val="24"/>
        </w:rPr>
        <w:t xml:space="preserve">should </w:t>
      </w:r>
      <w:r w:rsidR="008044F2" w:rsidRPr="003B44D7">
        <w:rPr>
          <w:rFonts w:cstheme="minorHAnsi"/>
          <w:sz w:val="24"/>
          <w:szCs w:val="24"/>
        </w:rPr>
        <w:t>extend</w:t>
      </w:r>
      <w:r w:rsidR="0026749A" w:rsidRPr="003B44D7">
        <w:rPr>
          <w:rFonts w:cstheme="minorHAnsi"/>
          <w:sz w:val="24"/>
          <w:szCs w:val="24"/>
        </w:rPr>
        <w:t xml:space="preserve"> to YouTube as</w:t>
      </w:r>
      <w:r w:rsidR="00601B9C" w:rsidRPr="003B44D7">
        <w:rPr>
          <w:rFonts w:cstheme="minorHAnsi"/>
          <w:sz w:val="24"/>
          <w:szCs w:val="24"/>
        </w:rPr>
        <w:t>, according to the Court,</w:t>
      </w:r>
      <w:r w:rsidR="0026749A" w:rsidRPr="003B44D7">
        <w:rPr>
          <w:rFonts w:cstheme="minorHAnsi"/>
          <w:sz w:val="24"/>
          <w:szCs w:val="24"/>
        </w:rPr>
        <w:t xml:space="preserve"> despite its ubiquity and its public-facing </w:t>
      </w:r>
      <w:r w:rsidR="007971BD" w:rsidRPr="003B44D7">
        <w:rPr>
          <w:rFonts w:cstheme="minorHAnsi"/>
          <w:sz w:val="24"/>
          <w:szCs w:val="24"/>
        </w:rPr>
        <w:t>nature</w:t>
      </w:r>
      <w:r w:rsidR="0026749A" w:rsidRPr="003B44D7">
        <w:rPr>
          <w:rFonts w:cstheme="minorHAnsi"/>
          <w:sz w:val="24"/>
          <w:szCs w:val="24"/>
        </w:rPr>
        <w:t>, it remained a private forum: ‘merely hosting speech by others is not a traditional, exclusive public function and does not alone transform private entities into state actors subject to First Amendment constraints.</w:t>
      </w:r>
      <w:r w:rsidR="007971BD" w:rsidRPr="003B44D7">
        <w:rPr>
          <w:rFonts w:cstheme="minorHAnsi"/>
          <w:sz w:val="24"/>
          <w:szCs w:val="24"/>
        </w:rPr>
        <w:t>’</w:t>
      </w:r>
      <w:r w:rsidR="007971BD" w:rsidRPr="003B44D7">
        <w:rPr>
          <w:rStyle w:val="FootnoteReference"/>
          <w:rFonts w:cstheme="minorHAnsi"/>
          <w:sz w:val="24"/>
          <w:szCs w:val="24"/>
        </w:rPr>
        <w:footnoteReference w:id="124"/>
      </w:r>
      <w:r w:rsidR="007971BD" w:rsidRPr="003B44D7">
        <w:rPr>
          <w:rFonts w:cstheme="minorHAnsi"/>
          <w:sz w:val="24"/>
          <w:szCs w:val="24"/>
        </w:rPr>
        <w:t xml:space="preserve"> </w:t>
      </w:r>
      <w:r w:rsidR="00490DBC" w:rsidRPr="003B44D7">
        <w:rPr>
          <w:rFonts w:cstheme="minorHAnsi"/>
          <w:sz w:val="24"/>
          <w:szCs w:val="24"/>
        </w:rPr>
        <w:t>As a result,</w:t>
      </w:r>
      <w:r w:rsidR="007971BD" w:rsidRPr="003B44D7">
        <w:rPr>
          <w:rFonts w:cstheme="minorHAnsi"/>
          <w:sz w:val="24"/>
          <w:szCs w:val="24"/>
        </w:rPr>
        <w:t xml:space="preserve"> </w:t>
      </w:r>
      <w:r w:rsidR="0026749A" w:rsidRPr="003B44D7">
        <w:rPr>
          <w:rFonts w:cstheme="minorHAnsi"/>
          <w:sz w:val="24"/>
          <w:szCs w:val="24"/>
        </w:rPr>
        <w:t xml:space="preserve">YouTube’s content moderation </w:t>
      </w:r>
      <w:r w:rsidR="00601B9C" w:rsidRPr="003B44D7">
        <w:rPr>
          <w:rFonts w:cstheme="minorHAnsi"/>
          <w:sz w:val="24"/>
          <w:szCs w:val="24"/>
        </w:rPr>
        <w:t>in line with</w:t>
      </w:r>
      <w:r w:rsidR="0026749A" w:rsidRPr="003B44D7">
        <w:rPr>
          <w:rFonts w:cstheme="minorHAnsi"/>
          <w:sz w:val="24"/>
          <w:szCs w:val="24"/>
        </w:rPr>
        <w:t xml:space="preserve"> its Terms of Service and Community Guidelines</w:t>
      </w:r>
      <w:r w:rsidR="007971BD" w:rsidRPr="003B44D7">
        <w:rPr>
          <w:rFonts w:cstheme="minorHAnsi"/>
          <w:sz w:val="24"/>
          <w:szCs w:val="24"/>
        </w:rPr>
        <w:t xml:space="preserve"> </w:t>
      </w:r>
      <w:r w:rsidR="003673C5" w:rsidRPr="003B44D7">
        <w:rPr>
          <w:rFonts w:cstheme="minorHAnsi"/>
          <w:sz w:val="24"/>
          <w:szCs w:val="24"/>
        </w:rPr>
        <w:t>would not be</w:t>
      </w:r>
      <w:r w:rsidR="007971BD" w:rsidRPr="003B44D7">
        <w:rPr>
          <w:rFonts w:cstheme="minorHAnsi"/>
          <w:sz w:val="24"/>
          <w:szCs w:val="24"/>
        </w:rPr>
        <w:t xml:space="preserve"> subject to</w:t>
      </w:r>
      <w:r w:rsidR="004E2ED8" w:rsidRPr="003B44D7">
        <w:rPr>
          <w:rFonts w:cstheme="minorHAnsi"/>
          <w:sz w:val="24"/>
          <w:szCs w:val="24"/>
        </w:rPr>
        <w:t xml:space="preserve"> </w:t>
      </w:r>
      <w:r w:rsidR="0026749A" w:rsidRPr="003B44D7">
        <w:rPr>
          <w:rFonts w:cstheme="minorHAnsi"/>
          <w:sz w:val="24"/>
          <w:szCs w:val="24"/>
        </w:rPr>
        <w:t xml:space="preserve">constitutional scrutiny. </w:t>
      </w:r>
    </w:p>
    <w:p w14:paraId="34A9A79A" w14:textId="77777777" w:rsidR="005A506B" w:rsidRPr="003B44D7" w:rsidRDefault="005A506B" w:rsidP="00E64640">
      <w:pPr>
        <w:spacing w:after="0" w:line="240" w:lineRule="auto"/>
        <w:jc w:val="both"/>
        <w:rPr>
          <w:rFonts w:cstheme="minorHAnsi"/>
          <w:sz w:val="24"/>
          <w:szCs w:val="24"/>
        </w:rPr>
      </w:pPr>
    </w:p>
    <w:p w14:paraId="750A663D" w14:textId="1FEEA380" w:rsidR="00601B9C" w:rsidRPr="003B44D7" w:rsidRDefault="004E2ED8" w:rsidP="00E64640">
      <w:pPr>
        <w:spacing w:after="0" w:line="240" w:lineRule="auto"/>
        <w:jc w:val="both"/>
        <w:rPr>
          <w:rFonts w:cstheme="minorHAnsi"/>
          <w:sz w:val="24"/>
          <w:szCs w:val="24"/>
        </w:rPr>
      </w:pPr>
      <w:r w:rsidRPr="003B44D7">
        <w:rPr>
          <w:rFonts w:cstheme="minorHAnsi"/>
          <w:sz w:val="24"/>
          <w:szCs w:val="24"/>
        </w:rPr>
        <w:t>So</w:t>
      </w:r>
      <w:r w:rsidR="004B3E5E" w:rsidRPr="003B44D7">
        <w:rPr>
          <w:rFonts w:cstheme="minorHAnsi"/>
          <w:sz w:val="24"/>
          <w:szCs w:val="24"/>
        </w:rPr>
        <w:t xml:space="preserve"> although</w:t>
      </w:r>
      <w:r w:rsidR="00490DBC" w:rsidRPr="003B44D7">
        <w:rPr>
          <w:rFonts w:cstheme="minorHAnsi"/>
          <w:sz w:val="24"/>
          <w:szCs w:val="24"/>
        </w:rPr>
        <w:t xml:space="preserve"> under</w:t>
      </w:r>
      <w:r w:rsidR="005A506B" w:rsidRPr="003B44D7">
        <w:rPr>
          <w:rFonts w:cstheme="minorHAnsi"/>
          <w:sz w:val="24"/>
          <w:szCs w:val="24"/>
        </w:rPr>
        <w:t xml:space="preserve"> both German and</w:t>
      </w:r>
      <w:r w:rsidR="004B3E5E" w:rsidRPr="003B44D7">
        <w:rPr>
          <w:rFonts w:cstheme="minorHAnsi"/>
          <w:sz w:val="24"/>
          <w:szCs w:val="24"/>
        </w:rPr>
        <w:t xml:space="preserve"> </w:t>
      </w:r>
      <w:r w:rsidR="00490DBC" w:rsidRPr="003B44D7">
        <w:rPr>
          <w:rFonts w:cstheme="minorHAnsi"/>
          <w:sz w:val="24"/>
          <w:szCs w:val="24"/>
        </w:rPr>
        <w:t>US law</w:t>
      </w:r>
      <w:r w:rsidR="005A506B" w:rsidRPr="003B44D7">
        <w:rPr>
          <w:rFonts w:cstheme="minorHAnsi"/>
          <w:sz w:val="24"/>
          <w:szCs w:val="24"/>
        </w:rPr>
        <w:t xml:space="preserve"> </w:t>
      </w:r>
      <w:r w:rsidR="00E30D61" w:rsidRPr="003B44D7">
        <w:rPr>
          <w:rFonts w:cstheme="minorHAnsi"/>
          <w:sz w:val="24"/>
          <w:szCs w:val="24"/>
        </w:rPr>
        <w:t>private</w:t>
      </w:r>
      <w:r w:rsidR="004B3E5E" w:rsidRPr="003B44D7">
        <w:rPr>
          <w:rFonts w:cstheme="minorHAnsi"/>
          <w:sz w:val="24"/>
          <w:szCs w:val="24"/>
        </w:rPr>
        <w:t>ly</w:t>
      </w:r>
      <w:r w:rsidR="002D7708" w:rsidRPr="003B44D7">
        <w:rPr>
          <w:rFonts w:cstheme="minorHAnsi"/>
          <w:sz w:val="24"/>
          <w:szCs w:val="24"/>
        </w:rPr>
        <w:t xml:space="preserve"> owned </w:t>
      </w:r>
      <w:r w:rsidR="002D7708" w:rsidRPr="003B44D7">
        <w:rPr>
          <w:rFonts w:cstheme="minorHAnsi"/>
          <w:i/>
          <w:iCs/>
          <w:sz w:val="24"/>
          <w:szCs w:val="24"/>
        </w:rPr>
        <w:t xml:space="preserve">physical </w:t>
      </w:r>
      <w:r w:rsidR="002D7708" w:rsidRPr="003B44D7">
        <w:rPr>
          <w:rFonts w:cstheme="minorHAnsi"/>
          <w:sz w:val="24"/>
          <w:szCs w:val="24"/>
        </w:rPr>
        <w:t>spaces</w:t>
      </w:r>
      <w:r w:rsidR="005A506B" w:rsidRPr="003B44D7">
        <w:rPr>
          <w:rFonts w:cstheme="minorHAnsi"/>
          <w:sz w:val="24"/>
          <w:szCs w:val="24"/>
        </w:rPr>
        <w:t xml:space="preserve"> </w:t>
      </w:r>
      <w:r w:rsidR="004B3E5E" w:rsidRPr="003B44D7">
        <w:rPr>
          <w:rFonts w:cstheme="minorHAnsi"/>
          <w:sz w:val="24"/>
          <w:szCs w:val="24"/>
        </w:rPr>
        <w:t xml:space="preserve">freely </w:t>
      </w:r>
      <w:r w:rsidR="008B508D" w:rsidRPr="003B44D7">
        <w:rPr>
          <w:rFonts w:cstheme="minorHAnsi"/>
          <w:sz w:val="24"/>
          <w:szCs w:val="24"/>
        </w:rPr>
        <w:t>accessible to</w:t>
      </w:r>
      <w:r w:rsidR="005A506B" w:rsidRPr="003B44D7">
        <w:rPr>
          <w:rFonts w:cstheme="minorHAnsi"/>
          <w:sz w:val="24"/>
          <w:szCs w:val="24"/>
        </w:rPr>
        <w:t xml:space="preserve"> </w:t>
      </w:r>
      <w:r w:rsidR="004B3E5E" w:rsidRPr="003B44D7">
        <w:rPr>
          <w:rFonts w:cstheme="minorHAnsi"/>
          <w:sz w:val="24"/>
          <w:szCs w:val="24"/>
        </w:rPr>
        <w:t>the public</w:t>
      </w:r>
      <w:r w:rsidR="008B508D" w:rsidRPr="003B44D7">
        <w:rPr>
          <w:rFonts w:cstheme="minorHAnsi"/>
          <w:sz w:val="24"/>
          <w:szCs w:val="24"/>
        </w:rPr>
        <w:t xml:space="preserve"> </w:t>
      </w:r>
      <w:r w:rsidR="004B3E5E" w:rsidRPr="003B44D7">
        <w:rPr>
          <w:rFonts w:cstheme="minorHAnsi"/>
          <w:sz w:val="24"/>
          <w:szCs w:val="24"/>
        </w:rPr>
        <w:t xml:space="preserve">have attracted </w:t>
      </w:r>
      <w:r w:rsidR="00F44A68" w:rsidRPr="003B44D7">
        <w:rPr>
          <w:rFonts w:cstheme="minorHAnsi"/>
          <w:sz w:val="24"/>
          <w:szCs w:val="24"/>
        </w:rPr>
        <w:t xml:space="preserve">constitutional protection of </w:t>
      </w:r>
      <w:r w:rsidR="005A506B" w:rsidRPr="003B44D7">
        <w:rPr>
          <w:rFonts w:cstheme="minorHAnsi"/>
          <w:sz w:val="24"/>
          <w:szCs w:val="24"/>
        </w:rPr>
        <w:t>speech, religion and assembly</w:t>
      </w:r>
      <w:r w:rsidR="008C4876" w:rsidRPr="003B44D7">
        <w:rPr>
          <w:rFonts w:cstheme="minorHAnsi"/>
          <w:sz w:val="24"/>
          <w:szCs w:val="24"/>
        </w:rPr>
        <w:t>,</w:t>
      </w:r>
      <w:r w:rsidR="004B3E5E" w:rsidRPr="003B44D7">
        <w:rPr>
          <w:rStyle w:val="FootnoteReference"/>
          <w:rFonts w:cstheme="minorHAnsi"/>
          <w:sz w:val="24"/>
          <w:szCs w:val="24"/>
        </w:rPr>
        <w:footnoteReference w:id="125"/>
      </w:r>
      <w:r w:rsidR="008C4876" w:rsidRPr="003B44D7">
        <w:rPr>
          <w:rFonts w:cstheme="minorHAnsi"/>
          <w:sz w:val="24"/>
          <w:szCs w:val="24"/>
        </w:rPr>
        <w:t xml:space="preserve"> </w:t>
      </w:r>
      <w:r w:rsidR="004B3E5E" w:rsidRPr="003B44D7">
        <w:rPr>
          <w:rFonts w:cstheme="minorHAnsi"/>
          <w:sz w:val="24"/>
          <w:szCs w:val="24"/>
        </w:rPr>
        <w:t xml:space="preserve">these privileges </w:t>
      </w:r>
      <w:r w:rsidR="001664BF" w:rsidRPr="003B44D7">
        <w:rPr>
          <w:rFonts w:cstheme="minorHAnsi"/>
          <w:sz w:val="24"/>
          <w:szCs w:val="24"/>
        </w:rPr>
        <w:t xml:space="preserve">(and attendant burden on </w:t>
      </w:r>
      <w:r w:rsidR="00BB43E3">
        <w:rPr>
          <w:rFonts w:cstheme="minorHAnsi"/>
          <w:sz w:val="24"/>
          <w:szCs w:val="24"/>
        </w:rPr>
        <w:t>the proprietors</w:t>
      </w:r>
      <w:r w:rsidR="001664BF" w:rsidRPr="003B44D7">
        <w:rPr>
          <w:rFonts w:cstheme="minorHAnsi"/>
          <w:sz w:val="24"/>
          <w:szCs w:val="24"/>
        </w:rPr>
        <w:t xml:space="preserve">) </w:t>
      </w:r>
      <w:r w:rsidR="004B3E5E" w:rsidRPr="003B44D7">
        <w:rPr>
          <w:rFonts w:cstheme="minorHAnsi"/>
          <w:sz w:val="24"/>
          <w:szCs w:val="24"/>
        </w:rPr>
        <w:t>have not been extended to</w:t>
      </w:r>
      <w:r w:rsidRPr="003B44D7">
        <w:rPr>
          <w:rFonts w:cstheme="minorHAnsi"/>
          <w:sz w:val="24"/>
          <w:szCs w:val="24"/>
        </w:rPr>
        <w:t xml:space="preserve"> comparable</w:t>
      </w:r>
      <w:r w:rsidR="004B3E5E" w:rsidRPr="003B44D7">
        <w:rPr>
          <w:rFonts w:cstheme="minorHAnsi"/>
          <w:sz w:val="24"/>
          <w:szCs w:val="24"/>
        </w:rPr>
        <w:t xml:space="preserve"> online space</w:t>
      </w:r>
      <w:r w:rsidR="00CD5671">
        <w:rPr>
          <w:rFonts w:cstheme="minorHAnsi"/>
          <w:sz w:val="24"/>
          <w:szCs w:val="24"/>
        </w:rPr>
        <w:t xml:space="preserve"> </w:t>
      </w:r>
      <w:r w:rsidR="009F44E4">
        <w:rPr>
          <w:rFonts w:cstheme="minorHAnsi"/>
          <w:sz w:val="24"/>
          <w:szCs w:val="24"/>
        </w:rPr>
        <w:t xml:space="preserve">– </w:t>
      </w:r>
      <w:r w:rsidR="00CD5671">
        <w:rPr>
          <w:rFonts w:cstheme="minorHAnsi"/>
          <w:sz w:val="24"/>
          <w:szCs w:val="24"/>
        </w:rPr>
        <w:t>although</w:t>
      </w:r>
      <w:r w:rsidR="009F44E4">
        <w:rPr>
          <w:rFonts w:cstheme="minorHAnsi"/>
          <w:sz w:val="24"/>
          <w:szCs w:val="24"/>
        </w:rPr>
        <w:t xml:space="preserve">, as noted above, under German law there is room for </w:t>
      </w:r>
      <w:r w:rsidR="00CD5671">
        <w:rPr>
          <w:rFonts w:cstheme="minorHAnsi"/>
          <w:sz w:val="24"/>
          <w:szCs w:val="24"/>
        </w:rPr>
        <w:t xml:space="preserve"> </w:t>
      </w:r>
      <w:r w:rsidR="009F44E4">
        <w:rPr>
          <w:rFonts w:cstheme="minorHAnsi"/>
          <w:sz w:val="24"/>
          <w:szCs w:val="24"/>
        </w:rPr>
        <w:t>negative ‘keep-up obligations in particular cases.</w:t>
      </w:r>
      <w:r w:rsidR="00CD5671">
        <w:rPr>
          <w:rStyle w:val="FootnoteReference"/>
          <w:rFonts w:cstheme="minorHAnsi"/>
          <w:sz w:val="24"/>
          <w:szCs w:val="24"/>
        </w:rPr>
        <w:footnoteReference w:id="126"/>
      </w:r>
      <w:r w:rsidR="009F44E4">
        <w:rPr>
          <w:rFonts w:cstheme="minorHAnsi"/>
          <w:sz w:val="24"/>
          <w:szCs w:val="24"/>
        </w:rPr>
        <w:t xml:space="preserve"> </w:t>
      </w:r>
      <w:r w:rsidR="002B1DDE" w:rsidRPr="003B44D7">
        <w:rPr>
          <w:rFonts w:cstheme="minorHAnsi"/>
          <w:sz w:val="24"/>
          <w:szCs w:val="24"/>
        </w:rPr>
        <w:t>D</w:t>
      </w:r>
      <w:r w:rsidR="00607BB3" w:rsidRPr="003B44D7">
        <w:rPr>
          <w:rFonts w:cstheme="minorHAnsi"/>
          <w:sz w:val="24"/>
          <w:szCs w:val="24"/>
        </w:rPr>
        <w:t xml:space="preserve">octrinally this </w:t>
      </w:r>
      <w:r w:rsidR="00A24A89" w:rsidRPr="003B44D7">
        <w:rPr>
          <w:rFonts w:cstheme="minorHAnsi"/>
          <w:sz w:val="24"/>
          <w:szCs w:val="24"/>
        </w:rPr>
        <w:t>has been</w:t>
      </w:r>
      <w:r w:rsidR="00BB43E3">
        <w:rPr>
          <w:rFonts w:cstheme="minorHAnsi"/>
          <w:sz w:val="24"/>
          <w:szCs w:val="24"/>
        </w:rPr>
        <w:t xml:space="preserve"> justified</w:t>
      </w:r>
      <w:r w:rsidR="00B54FE2">
        <w:rPr>
          <w:rFonts w:cstheme="minorHAnsi"/>
          <w:sz w:val="24"/>
          <w:szCs w:val="24"/>
        </w:rPr>
        <w:t xml:space="preserve"> (</w:t>
      </w:r>
      <w:r w:rsidR="00CD5671">
        <w:rPr>
          <w:rFonts w:cstheme="minorHAnsi"/>
          <w:sz w:val="24"/>
          <w:szCs w:val="24"/>
        </w:rPr>
        <w:t>in the US</w:t>
      </w:r>
      <w:r w:rsidR="00B54FE2">
        <w:rPr>
          <w:rFonts w:cstheme="minorHAnsi"/>
          <w:sz w:val="24"/>
          <w:szCs w:val="24"/>
        </w:rPr>
        <w:t>)</w:t>
      </w:r>
      <w:r w:rsidR="00CD5671">
        <w:rPr>
          <w:rFonts w:cstheme="minorHAnsi"/>
          <w:sz w:val="24"/>
          <w:szCs w:val="24"/>
        </w:rPr>
        <w:t>,</w:t>
      </w:r>
      <w:r w:rsidR="00A24A89" w:rsidRPr="003B44D7">
        <w:rPr>
          <w:rFonts w:cstheme="minorHAnsi"/>
          <w:sz w:val="24"/>
          <w:szCs w:val="24"/>
        </w:rPr>
        <w:t xml:space="preserve"> </w:t>
      </w:r>
      <w:r w:rsidR="00607BB3" w:rsidRPr="003B44D7">
        <w:rPr>
          <w:rFonts w:cstheme="minorHAnsi"/>
          <w:sz w:val="24"/>
          <w:szCs w:val="24"/>
        </w:rPr>
        <w:t xml:space="preserve">on the basis that </w:t>
      </w:r>
      <w:r w:rsidR="008B508D" w:rsidRPr="003B44D7">
        <w:rPr>
          <w:rFonts w:cstheme="minorHAnsi"/>
          <w:sz w:val="24"/>
          <w:szCs w:val="24"/>
        </w:rPr>
        <w:t xml:space="preserve">platforms </w:t>
      </w:r>
      <w:r w:rsidR="00607BB3" w:rsidRPr="003B44D7">
        <w:rPr>
          <w:rFonts w:cstheme="minorHAnsi"/>
          <w:sz w:val="24"/>
          <w:szCs w:val="24"/>
        </w:rPr>
        <w:t>do not perform</w:t>
      </w:r>
      <w:r w:rsidR="008B508D" w:rsidRPr="003B44D7">
        <w:rPr>
          <w:rFonts w:cstheme="minorHAnsi"/>
          <w:sz w:val="24"/>
          <w:szCs w:val="24"/>
        </w:rPr>
        <w:t xml:space="preserve"> a function </w:t>
      </w:r>
      <w:r w:rsidR="00607BB3" w:rsidRPr="003B44D7">
        <w:rPr>
          <w:rFonts w:cstheme="minorHAnsi"/>
          <w:sz w:val="24"/>
          <w:szCs w:val="24"/>
        </w:rPr>
        <w:t>that was ‘</w:t>
      </w:r>
      <w:r w:rsidR="008B508D" w:rsidRPr="003B44D7">
        <w:rPr>
          <w:rFonts w:cstheme="minorHAnsi"/>
          <w:sz w:val="24"/>
          <w:szCs w:val="24"/>
        </w:rPr>
        <w:t>traditionally</w:t>
      </w:r>
      <w:r w:rsidR="00607BB3" w:rsidRPr="003B44D7">
        <w:rPr>
          <w:rFonts w:cstheme="minorHAnsi"/>
          <w:sz w:val="24"/>
          <w:szCs w:val="24"/>
        </w:rPr>
        <w:t xml:space="preserve"> the </w:t>
      </w:r>
      <w:r w:rsidR="00607BB3" w:rsidRPr="003B44D7">
        <w:rPr>
          <w:rFonts w:cstheme="minorHAnsi"/>
          <w:i/>
          <w:iCs/>
          <w:sz w:val="24"/>
          <w:szCs w:val="24"/>
        </w:rPr>
        <w:t xml:space="preserve">exclusive </w:t>
      </w:r>
      <w:r w:rsidR="00607BB3" w:rsidRPr="003B44D7">
        <w:rPr>
          <w:rFonts w:cstheme="minorHAnsi"/>
          <w:sz w:val="24"/>
          <w:szCs w:val="24"/>
        </w:rPr>
        <w:t>prerogative of the State</w:t>
      </w:r>
      <w:r w:rsidR="00054AEA" w:rsidRPr="003B44D7">
        <w:rPr>
          <w:rFonts w:cstheme="minorHAnsi"/>
          <w:sz w:val="24"/>
          <w:szCs w:val="24"/>
        </w:rPr>
        <w:t>.</w:t>
      </w:r>
      <w:r w:rsidR="00607BB3" w:rsidRPr="003B44D7">
        <w:rPr>
          <w:rFonts w:cstheme="minorHAnsi"/>
          <w:sz w:val="24"/>
          <w:szCs w:val="24"/>
        </w:rPr>
        <w:t>’</w:t>
      </w:r>
      <w:r w:rsidR="002B1DDE" w:rsidRPr="003B44D7">
        <w:rPr>
          <w:rStyle w:val="FootnoteReference"/>
          <w:rFonts w:cstheme="minorHAnsi"/>
          <w:sz w:val="24"/>
          <w:szCs w:val="24"/>
        </w:rPr>
        <w:footnoteReference w:id="127"/>
      </w:r>
      <w:r w:rsidR="005A506B" w:rsidRPr="003B44D7">
        <w:rPr>
          <w:rFonts w:cstheme="minorHAnsi"/>
          <w:sz w:val="24"/>
          <w:szCs w:val="24"/>
        </w:rPr>
        <w:t xml:space="preserve"> </w:t>
      </w:r>
      <w:r w:rsidR="00054AEA" w:rsidRPr="003B44D7">
        <w:rPr>
          <w:rFonts w:cstheme="minorHAnsi"/>
          <w:sz w:val="24"/>
          <w:szCs w:val="24"/>
        </w:rPr>
        <w:t>Regardless of</w:t>
      </w:r>
      <w:r w:rsidR="00A24A89" w:rsidRPr="003B44D7">
        <w:rPr>
          <w:rFonts w:cstheme="minorHAnsi"/>
          <w:sz w:val="24"/>
          <w:szCs w:val="24"/>
        </w:rPr>
        <w:t xml:space="preserve"> </w:t>
      </w:r>
      <w:r w:rsidR="00BB43E3">
        <w:rPr>
          <w:rFonts w:cstheme="minorHAnsi"/>
          <w:sz w:val="24"/>
          <w:szCs w:val="24"/>
        </w:rPr>
        <w:t xml:space="preserve">the </w:t>
      </w:r>
      <w:r w:rsidR="00A24A89" w:rsidRPr="003B44D7">
        <w:rPr>
          <w:rFonts w:cstheme="minorHAnsi"/>
          <w:sz w:val="24"/>
          <w:szCs w:val="24"/>
        </w:rPr>
        <w:t>merits of that reasoning</w:t>
      </w:r>
      <w:r w:rsidR="00054AEA" w:rsidRPr="003B44D7">
        <w:rPr>
          <w:rFonts w:cstheme="minorHAnsi"/>
          <w:sz w:val="24"/>
          <w:szCs w:val="24"/>
        </w:rPr>
        <w:t>,</w:t>
      </w:r>
      <w:r w:rsidR="00EF1DF2" w:rsidRPr="003B44D7">
        <w:rPr>
          <w:rStyle w:val="FootnoteReference"/>
          <w:rFonts w:cstheme="minorHAnsi"/>
          <w:sz w:val="24"/>
          <w:szCs w:val="24"/>
        </w:rPr>
        <w:footnoteReference w:id="128"/>
      </w:r>
      <w:r w:rsidR="00A24A89" w:rsidRPr="003B44D7">
        <w:rPr>
          <w:rFonts w:cstheme="minorHAnsi"/>
          <w:sz w:val="24"/>
          <w:szCs w:val="24"/>
        </w:rPr>
        <w:t xml:space="preserve"> </w:t>
      </w:r>
      <w:r w:rsidR="00054AEA" w:rsidRPr="003B44D7">
        <w:rPr>
          <w:rFonts w:cstheme="minorHAnsi"/>
          <w:sz w:val="24"/>
          <w:szCs w:val="24"/>
        </w:rPr>
        <w:t>t</w:t>
      </w:r>
      <w:r w:rsidR="00EF1DF2" w:rsidRPr="003B44D7">
        <w:rPr>
          <w:rFonts w:cstheme="minorHAnsi"/>
          <w:sz w:val="24"/>
          <w:szCs w:val="24"/>
        </w:rPr>
        <w:t>he</w:t>
      </w:r>
      <w:r w:rsidR="003673C5" w:rsidRPr="003B44D7">
        <w:rPr>
          <w:rFonts w:cstheme="minorHAnsi"/>
          <w:sz w:val="24"/>
          <w:szCs w:val="24"/>
        </w:rPr>
        <w:t xml:space="preserve"> </w:t>
      </w:r>
      <w:r w:rsidR="002B1DDE" w:rsidRPr="003B44D7">
        <w:rPr>
          <w:rFonts w:cstheme="minorHAnsi"/>
          <w:sz w:val="24"/>
          <w:szCs w:val="24"/>
        </w:rPr>
        <w:t>effect</w:t>
      </w:r>
      <w:r w:rsidR="003673C5" w:rsidRPr="003B44D7">
        <w:rPr>
          <w:rFonts w:cstheme="minorHAnsi"/>
          <w:sz w:val="24"/>
          <w:szCs w:val="24"/>
        </w:rPr>
        <w:t xml:space="preserve"> is that the</w:t>
      </w:r>
      <w:r w:rsidR="002B1DDE" w:rsidRPr="003B44D7">
        <w:rPr>
          <w:rFonts w:cstheme="minorHAnsi"/>
          <w:sz w:val="24"/>
          <w:szCs w:val="24"/>
        </w:rPr>
        <w:t xml:space="preserve"> online domain </w:t>
      </w:r>
      <w:r w:rsidR="004A65D8" w:rsidRPr="003B44D7">
        <w:rPr>
          <w:rFonts w:cstheme="minorHAnsi"/>
          <w:sz w:val="24"/>
          <w:szCs w:val="24"/>
        </w:rPr>
        <w:t>is constructed as</w:t>
      </w:r>
      <w:r w:rsidR="003673C5" w:rsidRPr="003B44D7">
        <w:rPr>
          <w:rFonts w:cstheme="minorHAnsi"/>
          <w:sz w:val="24"/>
          <w:szCs w:val="24"/>
        </w:rPr>
        <w:t xml:space="preserve"> a</w:t>
      </w:r>
      <w:r w:rsidR="002B1DDE" w:rsidRPr="003B44D7">
        <w:rPr>
          <w:rFonts w:cstheme="minorHAnsi"/>
          <w:sz w:val="24"/>
          <w:szCs w:val="24"/>
        </w:rPr>
        <w:t xml:space="preserve"> </w:t>
      </w:r>
      <w:r w:rsidR="00886592" w:rsidRPr="003B44D7">
        <w:rPr>
          <w:rFonts w:cstheme="minorHAnsi"/>
          <w:sz w:val="24"/>
          <w:szCs w:val="24"/>
        </w:rPr>
        <w:t xml:space="preserve">quintessentially </w:t>
      </w:r>
      <w:r w:rsidR="002B1DDE" w:rsidRPr="003B44D7">
        <w:rPr>
          <w:rFonts w:cstheme="minorHAnsi"/>
          <w:sz w:val="24"/>
          <w:szCs w:val="24"/>
        </w:rPr>
        <w:t>private</w:t>
      </w:r>
      <w:r w:rsidR="003673C5" w:rsidRPr="003B44D7">
        <w:rPr>
          <w:rFonts w:cstheme="minorHAnsi"/>
          <w:sz w:val="24"/>
          <w:szCs w:val="24"/>
        </w:rPr>
        <w:t xml:space="preserve"> one in which </w:t>
      </w:r>
      <w:r w:rsidR="002B1DDE" w:rsidRPr="003B44D7">
        <w:rPr>
          <w:rFonts w:cstheme="minorHAnsi"/>
          <w:sz w:val="24"/>
          <w:szCs w:val="24"/>
        </w:rPr>
        <w:t>proprietary and contractual rights</w:t>
      </w:r>
      <w:r w:rsidR="00765F07">
        <w:rPr>
          <w:rFonts w:cstheme="minorHAnsi"/>
          <w:sz w:val="24"/>
          <w:szCs w:val="24"/>
        </w:rPr>
        <w:t xml:space="preserve"> </w:t>
      </w:r>
      <w:r w:rsidR="003673C5" w:rsidRPr="003B44D7">
        <w:rPr>
          <w:rFonts w:cstheme="minorHAnsi"/>
          <w:sz w:val="24"/>
          <w:szCs w:val="24"/>
        </w:rPr>
        <w:t xml:space="preserve">create the </w:t>
      </w:r>
      <w:r w:rsidR="0064048A" w:rsidRPr="003B44D7">
        <w:rPr>
          <w:rFonts w:cstheme="minorHAnsi"/>
          <w:sz w:val="24"/>
          <w:szCs w:val="24"/>
        </w:rPr>
        <w:t>overarching</w:t>
      </w:r>
      <w:r w:rsidR="00BB14FB" w:rsidRPr="003B44D7">
        <w:rPr>
          <w:rFonts w:cstheme="minorHAnsi"/>
          <w:sz w:val="24"/>
          <w:szCs w:val="24"/>
        </w:rPr>
        <w:t xml:space="preserve"> </w:t>
      </w:r>
      <w:r w:rsidR="00EB21D0" w:rsidRPr="003B44D7">
        <w:rPr>
          <w:rFonts w:cstheme="minorHAnsi"/>
          <w:sz w:val="24"/>
          <w:szCs w:val="24"/>
        </w:rPr>
        <w:t xml:space="preserve">legal </w:t>
      </w:r>
      <w:r w:rsidR="00886592" w:rsidRPr="003B44D7">
        <w:rPr>
          <w:rFonts w:cstheme="minorHAnsi"/>
          <w:sz w:val="24"/>
          <w:szCs w:val="24"/>
        </w:rPr>
        <w:t>framework</w:t>
      </w:r>
      <w:r w:rsidR="003673C5" w:rsidRPr="003B44D7">
        <w:rPr>
          <w:rFonts w:cstheme="minorHAnsi"/>
          <w:sz w:val="24"/>
          <w:szCs w:val="24"/>
        </w:rPr>
        <w:t xml:space="preserve"> for activities</w:t>
      </w:r>
      <w:r w:rsidR="00886592" w:rsidRPr="003B44D7">
        <w:rPr>
          <w:rFonts w:cstheme="minorHAnsi"/>
          <w:sz w:val="24"/>
          <w:szCs w:val="24"/>
        </w:rPr>
        <w:t>.</w:t>
      </w:r>
      <w:r w:rsidR="002B1DDE" w:rsidRPr="003B44D7">
        <w:rPr>
          <w:rFonts w:cstheme="minorHAnsi"/>
          <w:sz w:val="24"/>
          <w:szCs w:val="24"/>
        </w:rPr>
        <w:t xml:space="preserve"> </w:t>
      </w:r>
      <w:r w:rsidR="00A24A89" w:rsidRPr="003B44D7">
        <w:rPr>
          <w:rFonts w:cstheme="minorHAnsi"/>
          <w:sz w:val="24"/>
          <w:szCs w:val="24"/>
        </w:rPr>
        <w:t xml:space="preserve">Practically it means that platforms enjoy editorial discretion and </w:t>
      </w:r>
      <w:r w:rsidR="00EF1DF2" w:rsidRPr="003B44D7">
        <w:rPr>
          <w:rFonts w:cstheme="minorHAnsi"/>
          <w:sz w:val="24"/>
          <w:szCs w:val="24"/>
        </w:rPr>
        <w:t xml:space="preserve">can </w:t>
      </w:r>
      <w:r w:rsidR="00A24A89" w:rsidRPr="003B44D7">
        <w:rPr>
          <w:rFonts w:cstheme="minorHAnsi"/>
          <w:sz w:val="24"/>
          <w:szCs w:val="24"/>
        </w:rPr>
        <w:t>moderate content</w:t>
      </w:r>
      <w:r w:rsidR="00EF1DF2" w:rsidRPr="003B44D7">
        <w:rPr>
          <w:rFonts w:cstheme="minorHAnsi"/>
          <w:sz w:val="24"/>
          <w:szCs w:val="24"/>
        </w:rPr>
        <w:t xml:space="preserve"> </w:t>
      </w:r>
      <w:r w:rsidR="009F44E4">
        <w:rPr>
          <w:rFonts w:cstheme="minorHAnsi"/>
          <w:sz w:val="24"/>
          <w:szCs w:val="24"/>
        </w:rPr>
        <w:t xml:space="preserve">(largely in the German context) </w:t>
      </w:r>
      <w:r w:rsidR="00EF1DF2" w:rsidRPr="003B44D7">
        <w:rPr>
          <w:rFonts w:cstheme="minorHAnsi"/>
          <w:sz w:val="24"/>
          <w:szCs w:val="24"/>
        </w:rPr>
        <w:t>as they please</w:t>
      </w:r>
      <w:r w:rsidR="009F44E4">
        <w:rPr>
          <w:rFonts w:cstheme="minorHAnsi"/>
          <w:sz w:val="24"/>
          <w:szCs w:val="24"/>
        </w:rPr>
        <w:t xml:space="preserve">, </w:t>
      </w:r>
      <w:r w:rsidR="00A24A89" w:rsidRPr="003B44D7">
        <w:rPr>
          <w:rFonts w:cstheme="minorHAnsi"/>
          <w:sz w:val="24"/>
          <w:szCs w:val="24"/>
        </w:rPr>
        <w:t xml:space="preserve">which they could not </w:t>
      </w:r>
      <w:r w:rsidR="00EF1DF2" w:rsidRPr="003B44D7">
        <w:rPr>
          <w:rFonts w:cstheme="minorHAnsi"/>
          <w:sz w:val="24"/>
          <w:szCs w:val="24"/>
        </w:rPr>
        <w:t xml:space="preserve">if </w:t>
      </w:r>
      <w:r w:rsidR="00A24A89" w:rsidRPr="003B44D7">
        <w:rPr>
          <w:rFonts w:cstheme="minorHAnsi"/>
          <w:sz w:val="24"/>
          <w:szCs w:val="24"/>
        </w:rPr>
        <w:t xml:space="preserve">they were </w:t>
      </w:r>
      <w:r w:rsidR="00EF1DF2" w:rsidRPr="003B44D7">
        <w:rPr>
          <w:rFonts w:cstheme="minorHAnsi"/>
          <w:sz w:val="24"/>
          <w:szCs w:val="24"/>
        </w:rPr>
        <w:t>‘</w:t>
      </w:r>
      <w:r w:rsidR="00A24A89" w:rsidRPr="003B44D7">
        <w:rPr>
          <w:rFonts w:cstheme="minorHAnsi"/>
          <w:sz w:val="24"/>
          <w:szCs w:val="24"/>
        </w:rPr>
        <w:t>state actors</w:t>
      </w:r>
      <w:r w:rsidR="00EF1DF2" w:rsidRPr="003B44D7">
        <w:rPr>
          <w:rFonts w:cstheme="minorHAnsi"/>
          <w:sz w:val="24"/>
          <w:szCs w:val="24"/>
        </w:rPr>
        <w:t xml:space="preserve">’ </w:t>
      </w:r>
      <w:r w:rsidR="00A24A89" w:rsidRPr="003B44D7">
        <w:rPr>
          <w:rFonts w:cstheme="minorHAnsi"/>
          <w:sz w:val="24"/>
          <w:szCs w:val="24"/>
        </w:rPr>
        <w:t xml:space="preserve">under US law or </w:t>
      </w:r>
      <w:r w:rsidR="00EF1DF2" w:rsidRPr="003B44D7">
        <w:rPr>
          <w:rFonts w:cstheme="minorHAnsi"/>
          <w:sz w:val="24"/>
          <w:szCs w:val="24"/>
        </w:rPr>
        <w:t xml:space="preserve">indirectly </w:t>
      </w:r>
      <w:r w:rsidR="00EF1DF2" w:rsidRPr="009F44E4">
        <w:rPr>
          <w:rFonts w:cstheme="minorHAnsi"/>
          <w:i/>
          <w:iCs/>
          <w:sz w:val="24"/>
          <w:szCs w:val="24"/>
        </w:rPr>
        <w:t>fully</w:t>
      </w:r>
      <w:r w:rsidR="00EF1DF2" w:rsidRPr="003B44D7">
        <w:rPr>
          <w:rFonts w:cstheme="minorHAnsi"/>
          <w:sz w:val="24"/>
          <w:szCs w:val="24"/>
        </w:rPr>
        <w:t xml:space="preserve"> bound by free speech obligations under German law</w:t>
      </w:r>
      <w:r w:rsidR="009F44E4">
        <w:rPr>
          <w:rFonts w:cstheme="minorHAnsi"/>
          <w:sz w:val="24"/>
          <w:szCs w:val="24"/>
        </w:rPr>
        <w:t>.</w:t>
      </w:r>
      <w:r w:rsidR="00EF1DF2" w:rsidRPr="003B44D7">
        <w:rPr>
          <w:rFonts w:cstheme="minorHAnsi"/>
          <w:sz w:val="24"/>
          <w:szCs w:val="24"/>
        </w:rPr>
        <w:t xml:space="preserve"> Taking it one step further, through the construction of platforms</w:t>
      </w:r>
      <w:r w:rsidR="00BB43E3">
        <w:rPr>
          <w:rFonts w:cstheme="minorHAnsi"/>
          <w:sz w:val="24"/>
          <w:szCs w:val="24"/>
        </w:rPr>
        <w:t xml:space="preserve"> </w:t>
      </w:r>
      <w:r w:rsidR="00FC125C">
        <w:rPr>
          <w:rFonts w:cstheme="minorHAnsi"/>
          <w:sz w:val="24"/>
          <w:szCs w:val="24"/>
        </w:rPr>
        <w:t xml:space="preserve">as </w:t>
      </w:r>
      <w:r w:rsidR="00765F07">
        <w:rPr>
          <w:rFonts w:cstheme="minorHAnsi"/>
          <w:sz w:val="24"/>
          <w:szCs w:val="24"/>
        </w:rPr>
        <w:t xml:space="preserve">solely </w:t>
      </w:r>
      <w:r w:rsidR="00EF1DF2" w:rsidRPr="003B44D7">
        <w:rPr>
          <w:rFonts w:cstheme="minorHAnsi"/>
          <w:sz w:val="24"/>
          <w:szCs w:val="24"/>
        </w:rPr>
        <w:t xml:space="preserve">private actors, the State </w:t>
      </w:r>
      <w:r w:rsidR="00EF1DF2" w:rsidRPr="00BB43E3">
        <w:rPr>
          <w:rFonts w:cstheme="minorHAnsi"/>
          <w:i/>
          <w:iCs/>
          <w:sz w:val="24"/>
          <w:szCs w:val="24"/>
        </w:rPr>
        <w:t>de facto</w:t>
      </w:r>
      <w:r w:rsidR="00EF1DF2" w:rsidRPr="003B44D7">
        <w:rPr>
          <w:rFonts w:cstheme="minorHAnsi"/>
          <w:sz w:val="24"/>
          <w:szCs w:val="24"/>
        </w:rPr>
        <w:t xml:space="preserve"> delegates content moderation to platforms </w:t>
      </w:r>
      <w:r w:rsidR="00BB43E3">
        <w:rPr>
          <w:rFonts w:cstheme="minorHAnsi"/>
          <w:sz w:val="24"/>
          <w:szCs w:val="24"/>
        </w:rPr>
        <w:t xml:space="preserve">- </w:t>
      </w:r>
      <w:r w:rsidR="00EF1DF2" w:rsidRPr="003B44D7">
        <w:rPr>
          <w:rFonts w:cstheme="minorHAnsi"/>
          <w:sz w:val="24"/>
          <w:szCs w:val="24"/>
        </w:rPr>
        <w:t xml:space="preserve">as something that it could not do itself (US) or would </w:t>
      </w:r>
      <w:r w:rsidR="00BB43E3">
        <w:rPr>
          <w:rFonts w:cstheme="minorHAnsi"/>
          <w:sz w:val="24"/>
          <w:szCs w:val="24"/>
        </w:rPr>
        <w:t xml:space="preserve">not </w:t>
      </w:r>
      <w:r w:rsidR="00EF1DF2" w:rsidRPr="003B44D7">
        <w:rPr>
          <w:rFonts w:cstheme="minorHAnsi"/>
          <w:sz w:val="24"/>
          <w:szCs w:val="24"/>
        </w:rPr>
        <w:t>be willing to do itself (Germany)</w:t>
      </w:r>
      <w:r w:rsidR="003B44D7" w:rsidRPr="003B44D7">
        <w:rPr>
          <w:rFonts w:cstheme="minorHAnsi"/>
          <w:sz w:val="24"/>
          <w:szCs w:val="24"/>
        </w:rPr>
        <w:t xml:space="preserve">. This </w:t>
      </w:r>
      <w:r w:rsidR="001049BC">
        <w:rPr>
          <w:rFonts w:cstheme="minorHAnsi"/>
          <w:sz w:val="24"/>
          <w:szCs w:val="24"/>
        </w:rPr>
        <w:t>‘</w:t>
      </w:r>
      <w:r w:rsidR="003B44D7" w:rsidRPr="003B44D7">
        <w:rPr>
          <w:rFonts w:cstheme="minorHAnsi"/>
          <w:sz w:val="24"/>
          <w:szCs w:val="24"/>
        </w:rPr>
        <w:t>delegation</w:t>
      </w:r>
      <w:r w:rsidR="001049BC">
        <w:rPr>
          <w:rFonts w:cstheme="minorHAnsi"/>
          <w:sz w:val="24"/>
          <w:szCs w:val="24"/>
        </w:rPr>
        <w:t>’</w:t>
      </w:r>
      <w:r w:rsidR="003B44D7" w:rsidRPr="003B44D7">
        <w:rPr>
          <w:rFonts w:cstheme="minorHAnsi"/>
          <w:sz w:val="24"/>
          <w:szCs w:val="24"/>
        </w:rPr>
        <w:t xml:space="preserve"> operates on a wholesale level, </w:t>
      </w:r>
      <w:r w:rsidR="00282E43">
        <w:rPr>
          <w:rFonts w:cstheme="minorHAnsi"/>
          <w:sz w:val="24"/>
          <w:szCs w:val="24"/>
        </w:rPr>
        <w:t xml:space="preserve">as opposed to </w:t>
      </w:r>
      <w:r w:rsidR="00CB7952">
        <w:rPr>
          <w:rFonts w:cstheme="minorHAnsi"/>
          <w:sz w:val="24"/>
          <w:szCs w:val="24"/>
        </w:rPr>
        <w:t xml:space="preserve">the </w:t>
      </w:r>
      <w:r w:rsidR="00282E43">
        <w:rPr>
          <w:rFonts w:cstheme="minorHAnsi"/>
          <w:sz w:val="24"/>
          <w:szCs w:val="24"/>
        </w:rPr>
        <w:t xml:space="preserve">moderation based </w:t>
      </w:r>
      <w:r w:rsidR="003B44D7" w:rsidRPr="003B44D7">
        <w:rPr>
          <w:rFonts w:cstheme="minorHAnsi"/>
          <w:sz w:val="24"/>
          <w:szCs w:val="24"/>
        </w:rPr>
        <w:t xml:space="preserve">on specified offences, discussed above. </w:t>
      </w:r>
      <w:r w:rsidR="00886592" w:rsidRPr="003B44D7">
        <w:rPr>
          <w:rFonts w:cstheme="minorHAnsi"/>
          <w:sz w:val="24"/>
          <w:szCs w:val="24"/>
        </w:rPr>
        <w:t xml:space="preserve">Whilst NetzDG </w:t>
      </w:r>
      <w:r w:rsidR="00054AEA" w:rsidRPr="003B44D7">
        <w:rPr>
          <w:rFonts w:cstheme="minorHAnsi"/>
          <w:sz w:val="24"/>
          <w:szCs w:val="24"/>
        </w:rPr>
        <w:t xml:space="preserve">- </w:t>
      </w:r>
      <w:r w:rsidR="00A24A89" w:rsidRPr="003B44D7">
        <w:rPr>
          <w:rFonts w:cstheme="minorHAnsi"/>
          <w:sz w:val="24"/>
          <w:szCs w:val="24"/>
        </w:rPr>
        <w:t>in conjunction with German criminal law</w:t>
      </w:r>
      <w:r w:rsidR="00054AEA" w:rsidRPr="003B44D7">
        <w:rPr>
          <w:rFonts w:cstheme="minorHAnsi"/>
          <w:sz w:val="24"/>
          <w:szCs w:val="24"/>
        </w:rPr>
        <w:t xml:space="preserve"> -</w:t>
      </w:r>
      <w:r w:rsidR="00A24A89" w:rsidRPr="003B44D7">
        <w:rPr>
          <w:rFonts w:cstheme="minorHAnsi"/>
          <w:sz w:val="24"/>
          <w:szCs w:val="24"/>
        </w:rPr>
        <w:t xml:space="preserve"> </w:t>
      </w:r>
      <w:r w:rsidR="003673C5" w:rsidRPr="003B44D7">
        <w:rPr>
          <w:rFonts w:cstheme="minorHAnsi"/>
          <w:sz w:val="24"/>
          <w:szCs w:val="24"/>
        </w:rPr>
        <w:t>makes</w:t>
      </w:r>
      <w:r w:rsidR="00886592" w:rsidRPr="003B44D7">
        <w:rPr>
          <w:rFonts w:cstheme="minorHAnsi"/>
          <w:sz w:val="24"/>
          <w:szCs w:val="24"/>
        </w:rPr>
        <w:t xml:space="preserve"> </w:t>
      </w:r>
      <w:r w:rsidR="00054AEA" w:rsidRPr="003B44D7">
        <w:rPr>
          <w:rFonts w:cstheme="minorHAnsi"/>
          <w:sz w:val="24"/>
          <w:szCs w:val="24"/>
        </w:rPr>
        <w:t xml:space="preserve">some </w:t>
      </w:r>
      <w:r w:rsidR="00886592" w:rsidRPr="003B44D7">
        <w:rPr>
          <w:rFonts w:cstheme="minorHAnsi"/>
          <w:sz w:val="24"/>
          <w:szCs w:val="24"/>
        </w:rPr>
        <w:t>public inroads into th</w:t>
      </w:r>
      <w:r w:rsidR="00EF1DF2" w:rsidRPr="003B44D7">
        <w:rPr>
          <w:rFonts w:cstheme="minorHAnsi"/>
          <w:sz w:val="24"/>
          <w:szCs w:val="24"/>
        </w:rPr>
        <w:t>e</w:t>
      </w:r>
      <w:r w:rsidR="00886592" w:rsidRPr="003B44D7">
        <w:rPr>
          <w:rFonts w:cstheme="minorHAnsi"/>
          <w:sz w:val="24"/>
          <w:szCs w:val="24"/>
        </w:rPr>
        <w:t xml:space="preserve"> privately owned and governed </w:t>
      </w:r>
      <w:r w:rsidR="001A7FAB" w:rsidRPr="003B44D7">
        <w:rPr>
          <w:rFonts w:cstheme="minorHAnsi"/>
          <w:sz w:val="24"/>
          <w:szCs w:val="24"/>
        </w:rPr>
        <w:t xml:space="preserve">online </w:t>
      </w:r>
      <w:r w:rsidR="00886592" w:rsidRPr="003B44D7">
        <w:rPr>
          <w:rFonts w:cstheme="minorHAnsi"/>
          <w:sz w:val="24"/>
          <w:szCs w:val="24"/>
        </w:rPr>
        <w:t xml:space="preserve">space, </w:t>
      </w:r>
      <w:r w:rsidR="003673C5" w:rsidRPr="003B44D7">
        <w:rPr>
          <w:rFonts w:cstheme="minorHAnsi"/>
          <w:sz w:val="24"/>
          <w:szCs w:val="24"/>
        </w:rPr>
        <w:t xml:space="preserve">it </w:t>
      </w:r>
      <w:r w:rsidR="00886592" w:rsidRPr="003B44D7">
        <w:rPr>
          <w:rFonts w:cstheme="minorHAnsi"/>
          <w:sz w:val="24"/>
          <w:szCs w:val="24"/>
        </w:rPr>
        <w:t>does not</w:t>
      </w:r>
      <w:r w:rsidR="003673C5" w:rsidRPr="003B44D7">
        <w:rPr>
          <w:rFonts w:cstheme="minorHAnsi"/>
          <w:sz w:val="24"/>
          <w:szCs w:val="24"/>
        </w:rPr>
        <w:t xml:space="preserve"> shake </w:t>
      </w:r>
      <w:r w:rsidR="008044F2" w:rsidRPr="003B44D7">
        <w:rPr>
          <w:rFonts w:cstheme="minorHAnsi"/>
          <w:sz w:val="24"/>
          <w:szCs w:val="24"/>
        </w:rPr>
        <w:t>its</w:t>
      </w:r>
      <w:r w:rsidR="003673C5" w:rsidRPr="003B44D7">
        <w:rPr>
          <w:rFonts w:cstheme="minorHAnsi"/>
          <w:sz w:val="24"/>
          <w:szCs w:val="24"/>
        </w:rPr>
        <w:t xml:space="preserve"> essentially private </w:t>
      </w:r>
      <w:r w:rsidR="008044F2" w:rsidRPr="003B44D7">
        <w:rPr>
          <w:rFonts w:cstheme="minorHAnsi"/>
          <w:sz w:val="24"/>
          <w:szCs w:val="24"/>
        </w:rPr>
        <w:t>governance</w:t>
      </w:r>
      <w:r w:rsidRPr="003B44D7">
        <w:rPr>
          <w:rFonts w:cstheme="minorHAnsi"/>
          <w:sz w:val="24"/>
          <w:szCs w:val="24"/>
        </w:rPr>
        <w:t xml:space="preserve"> </w:t>
      </w:r>
      <w:r w:rsidR="00BB14FB" w:rsidRPr="003B44D7">
        <w:rPr>
          <w:rFonts w:cstheme="minorHAnsi"/>
          <w:sz w:val="24"/>
          <w:szCs w:val="24"/>
        </w:rPr>
        <w:t>framework</w:t>
      </w:r>
      <w:r w:rsidR="003673C5" w:rsidRPr="003B44D7">
        <w:rPr>
          <w:rFonts w:cstheme="minorHAnsi"/>
          <w:sz w:val="24"/>
          <w:szCs w:val="24"/>
        </w:rPr>
        <w:t xml:space="preserve"> </w:t>
      </w:r>
      <w:r w:rsidR="003673C5" w:rsidRPr="003B44D7">
        <w:rPr>
          <w:rFonts w:cstheme="minorHAnsi"/>
          <w:sz w:val="24"/>
          <w:szCs w:val="24"/>
        </w:rPr>
        <w:lastRenderedPageBreak/>
        <w:t xml:space="preserve">and </w:t>
      </w:r>
      <w:r w:rsidR="008044F2" w:rsidRPr="003B44D7">
        <w:rPr>
          <w:rFonts w:cstheme="minorHAnsi"/>
          <w:sz w:val="24"/>
          <w:szCs w:val="24"/>
        </w:rPr>
        <w:t xml:space="preserve">the </w:t>
      </w:r>
      <w:r w:rsidR="003673C5" w:rsidRPr="003B44D7">
        <w:rPr>
          <w:rFonts w:cstheme="minorHAnsi"/>
          <w:sz w:val="24"/>
          <w:szCs w:val="24"/>
        </w:rPr>
        <w:t xml:space="preserve">default supremacy of </w:t>
      </w:r>
      <w:r w:rsidR="00D0273D" w:rsidRPr="003B44D7">
        <w:rPr>
          <w:rFonts w:cstheme="minorHAnsi"/>
          <w:sz w:val="24"/>
          <w:szCs w:val="24"/>
        </w:rPr>
        <w:t>‘</w:t>
      </w:r>
      <w:r w:rsidR="001A7FAB" w:rsidRPr="003B44D7">
        <w:rPr>
          <w:rFonts w:cstheme="minorHAnsi"/>
          <w:sz w:val="24"/>
          <w:szCs w:val="24"/>
        </w:rPr>
        <w:t>T</w:t>
      </w:r>
      <w:r w:rsidR="003673C5" w:rsidRPr="003B44D7">
        <w:rPr>
          <w:rFonts w:cstheme="minorHAnsi"/>
          <w:sz w:val="24"/>
          <w:szCs w:val="24"/>
        </w:rPr>
        <w:t xml:space="preserve">erms </w:t>
      </w:r>
      <w:r w:rsidR="00D0273D" w:rsidRPr="003B44D7">
        <w:rPr>
          <w:rFonts w:cstheme="minorHAnsi"/>
          <w:sz w:val="24"/>
          <w:szCs w:val="24"/>
        </w:rPr>
        <w:t>and Conditions’</w:t>
      </w:r>
      <w:r w:rsidR="003673C5" w:rsidRPr="003B44D7">
        <w:rPr>
          <w:rFonts w:cstheme="minorHAnsi"/>
          <w:sz w:val="24"/>
          <w:szCs w:val="24"/>
        </w:rPr>
        <w:t xml:space="preserve"> and </w:t>
      </w:r>
      <w:r w:rsidR="00D0273D" w:rsidRPr="003B44D7">
        <w:rPr>
          <w:rFonts w:cstheme="minorHAnsi"/>
          <w:sz w:val="24"/>
          <w:szCs w:val="24"/>
        </w:rPr>
        <w:t>‘</w:t>
      </w:r>
      <w:r w:rsidR="001A7FAB" w:rsidRPr="003B44D7">
        <w:rPr>
          <w:rFonts w:cstheme="minorHAnsi"/>
          <w:sz w:val="24"/>
          <w:szCs w:val="24"/>
        </w:rPr>
        <w:t>C</w:t>
      </w:r>
      <w:r w:rsidR="00EB21D0" w:rsidRPr="003B44D7">
        <w:rPr>
          <w:rFonts w:cstheme="minorHAnsi"/>
          <w:sz w:val="24"/>
          <w:szCs w:val="24"/>
        </w:rPr>
        <w:t xml:space="preserve">ommunity </w:t>
      </w:r>
      <w:r w:rsidR="00D0273D" w:rsidRPr="003B44D7">
        <w:rPr>
          <w:rFonts w:cstheme="minorHAnsi"/>
          <w:sz w:val="24"/>
          <w:szCs w:val="24"/>
        </w:rPr>
        <w:t>Guidelines’.</w:t>
      </w:r>
      <w:r w:rsidR="00FC125C">
        <w:rPr>
          <w:rStyle w:val="FootnoteReference"/>
          <w:rFonts w:cstheme="minorHAnsi"/>
          <w:sz w:val="24"/>
          <w:szCs w:val="24"/>
        </w:rPr>
        <w:footnoteReference w:id="129"/>
      </w:r>
      <w:r w:rsidR="00EB21D0" w:rsidRPr="003B44D7">
        <w:rPr>
          <w:rFonts w:cstheme="minorHAnsi"/>
          <w:sz w:val="24"/>
          <w:szCs w:val="24"/>
        </w:rPr>
        <w:t xml:space="preserve"> Th</w:t>
      </w:r>
      <w:r w:rsidR="00CB7952">
        <w:rPr>
          <w:rFonts w:cstheme="minorHAnsi"/>
          <w:sz w:val="24"/>
          <w:szCs w:val="24"/>
        </w:rPr>
        <w:t xml:space="preserve">e private super-structure </w:t>
      </w:r>
      <w:r w:rsidR="00EB21D0" w:rsidRPr="003B44D7">
        <w:rPr>
          <w:rFonts w:cstheme="minorHAnsi"/>
          <w:sz w:val="24"/>
          <w:szCs w:val="24"/>
        </w:rPr>
        <w:t>explains</w:t>
      </w:r>
      <w:r w:rsidR="00886592" w:rsidRPr="003B44D7">
        <w:rPr>
          <w:rFonts w:cstheme="minorHAnsi"/>
          <w:sz w:val="24"/>
          <w:szCs w:val="24"/>
        </w:rPr>
        <w:t xml:space="preserve"> </w:t>
      </w:r>
      <w:r w:rsidR="008044F2" w:rsidRPr="003B44D7">
        <w:rPr>
          <w:rFonts w:cstheme="minorHAnsi"/>
          <w:sz w:val="24"/>
          <w:szCs w:val="24"/>
        </w:rPr>
        <w:t>w</w:t>
      </w:r>
      <w:r w:rsidR="008C27A8" w:rsidRPr="003B44D7">
        <w:rPr>
          <w:rFonts w:cstheme="minorHAnsi"/>
          <w:sz w:val="24"/>
          <w:szCs w:val="24"/>
        </w:rPr>
        <w:t>hy</w:t>
      </w:r>
      <w:r w:rsidR="001A7FAB" w:rsidRPr="003B44D7">
        <w:rPr>
          <w:rFonts w:cstheme="minorHAnsi"/>
          <w:sz w:val="24"/>
          <w:szCs w:val="24"/>
        </w:rPr>
        <w:t xml:space="preserve"> user complaints, no matter their </w:t>
      </w:r>
      <w:r w:rsidRPr="003B44D7">
        <w:rPr>
          <w:rFonts w:cstheme="minorHAnsi"/>
          <w:sz w:val="24"/>
          <w:szCs w:val="24"/>
        </w:rPr>
        <w:t>basis</w:t>
      </w:r>
      <w:r w:rsidR="001A7FAB" w:rsidRPr="003B44D7">
        <w:rPr>
          <w:rFonts w:cstheme="minorHAnsi"/>
          <w:sz w:val="24"/>
          <w:szCs w:val="24"/>
        </w:rPr>
        <w:t xml:space="preserve">, are first and foremost tested against house rules, and only residually subjected to the </w:t>
      </w:r>
      <w:r w:rsidR="00765F07">
        <w:rPr>
          <w:rFonts w:cstheme="minorHAnsi"/>
          <w:sz w:val="24"/>
          <w:szCs w:val="24"/>
        </w:rPr>
        <w:t>‘</w:t>
      </w:r>
      <w:r w:rsidR="001A7FAB" w:rsidRPr="003B44D7">
        <w:rPr>
          <w:rFonts w:cstheme="minorHAnsi"/>
          <w:sz w:val="24"/>
          <w:szCs w:val="24"/>
        </w:rPr>
        <w:t>official</w:t>
      </w:r>
      <w:r w:rsidR="00765F07">
        <w:rPr>
          <w:rFonts w:cstheme="minorHAnsi"/>
          <w:sz w:val="24"/>
          <w:szCs w:val="24"/>
        </w:rPr>
        <w:t xml:space="preserve">’ </w:t>
      </w:r>
      <w:r w:rsidR="001A7FAB" w:rsidRPr="003B44D7">
        <w:rPr>
          <w:rFonts w:cstheme="minorHAnsi"/>
          <w:sz w:val="24"/>
          <w:szCs w:val="24"/>
        </w:rPr>
        <w:t>demands made</w:t>
      </w:r>
      <w:r w:rsidRPr="003B44D7">
        <w:rPr>
          <w:rFonts w:cstheme="minorHAnsi"/>
          <w:sz w:val="24"/>
          <w:szCs w:val="24"/>
        </w:rPr>
        <w:t xml:space="preserve"> under</w:t>
      </w:r>
      <w:r w:rsidR="001A7FAB" w:rsidRPr="003B44D7">
        <w:rPr>
          <w:rFonts w:cstheme="minorHAnsi"/>
          <w:sz w:val="24"/>
          <w:szCs w:val="24"/>
        </w:rPr>
        <w:t xml:space="preserve"> NetzDG. </w:t>
      </w:r>
      <w:r w:rsidR="00BB43E3">
        <w:rPr>
          <w:rFonts w:cstheme="minorHAnsi"/>
          <w:sz w:val="24"/>
          <w:szCs w:val="24"/>
        </w:rPr>
        <w:t>T</w:t>
      </w:r>
      <w:r w:rsidR="00394EC5" w:rsidRPr="003B44D7">
        <w:rPr>
          <w:rFonts w:cstheme="minorHAnsi"/>
          <w:sz w:val="24"/>
          <w:szCs w:val="24"/>
        </w:rPr>
        <w:t xml:space="preserve">his </w:t>
      </w:r>
      <w:r w:rsidR="001A7FAB" w:rsidRPr="003B44D7">
        <w:rPr>
          <w:rFonts w:cstheme="minorHAnsi"/>
          <w:sz w:val="24"/>
          <w:szCs w:val="24"/>
        </w:rPr>
        <w:t xml:space="preserve">has been criticised </w:t>
      </w:r>
      <w:r w:rsidR="00D0273D" w:rsidRPr="003B44D7">
        <w:rPr>
          <w:rFonts w:cstheme="minorHAnsi"/>
          <w:sz w:val="24"/>
          <w:szCs w:val="24"/>
        </w:rPr>
        <w:t>for</w:t>
      </w:r>
      <w:r w:rsidR="001A7FAB" w:rsidRPr="003B44D7">
        <w:rPr>
          <w:rFonts w:cstheme="minorHAnsi"/>
          <w:sz w:val="24"/>
          <w:szCs w:val="24"/>
        </w:rPr>
        <w:t xml:space="preserve"> sidestepping</w:t>
      </w:r>
      <w:r w:rsidR="00394EC5" w:rsidRPr="003B44D7">
        <w:rPr>
          <w:rFonts w:cstheme="minorHAnsi"/>
          <w:sz w:val="24"/>
          <w:szCs w:val="24"/>
        </w:rPr>
        <w:t xml:space="preserve"> NetzDG</w:t>
      </w:r>
      <w:r w:rsidR="00394EC5" w:rsidRPr="003B44D7">
        <w:rPr>
          <w:rStyle w:val="FootnoteReference"/>
          <w:rFonts w:cstheme="minorHAnsi"/>
          <w:sz w:val="24"/>
          <w:szCs w:val="24"/>
        </w:rPr>
        <w:footnoteReference w:id="130"/>
      </w:r>
      <w:r w:rsidR="00394EC5" w:rsidRPr="003B44D7">
        <w:rPr>
          <w:rFonts w:cstheme="minorHAnsi"/>
          <w:sz w:val="24"/>
          <w:szCs w:val="24"/>
        </w:rPr>
        <w:t xml:space="preserve"> and reducing its effect</w:t>
      </w:r>
      <w:r w:rsidR="00396B32" w:rsidRPr="003B44D7">
        <w:rPr>
          <w:rFonts w:cstheme="minorHAnsi"/>
          <w:sz w:val="24"/>
          <w:szCs w:val="24"/>
        </w:rPr>
        <w:t xml:space="preserve"> </w:t>
      </w:r>
      <w:r w:rsidR="00394EC5" w:rsidRPr="003B44D7">
        <w:rPr>
          <w:rFonts w:cstheme="minorHAnsi"/>
          <w:sz w:val="24"/>
          <w:szCs w:val="24"/>
        </w:rPr>
        <w:t>to ‘swifter and more consistent removal within Germany under the companies’ community guidelines’</w:t>
      </w:r>
      <w:r w:rsidR="00394EC5" w:rsidRPr="003B44D7">
        <w:rPr>
          <w:rStyle w:val="FootnoteReference"/>
          <w:rFonts w:cstheme="minorHAnsi"/>
          <w:sz w:val="24"/>
          <w:szCs w:val="24"/>
        </w:rPr>
        <w:footnoteReference w:id="131"/>
      </w:r>
      <w:r w:rsidR="00BB43E3">
        <w:rPr>
          <w:rFonts w:cstheme="minorHAnsi"/>
          <w:sz w:val="24"/>
          <w:szCs w:val="24"/>
        </w:rPr>
        <w:t xml:space="preserve"> </w:t>
      </w:r>
      <w:r w:rsidR="00CB7952">
        <w:rPr>
          <w:rFonts w:cstheme="minorHAnsi"/>
          <w:sz w:val="24"/>
          <w:szCs w:val="24"/>
        </w:rPr>
        <w:t>- a</w:t>
      </w:r>
      <w:r w:rsidR="0043576B">
        <w:rPr>
          <w:rFonts w:cstheme="minorHAnsi"/>
          <w:sz w:val="24"/>
          <w:szCs w:val="24"/>
        </w:rPr>
        <w:t xml:space="preserve"> criticism </w:t>
      </w:r>
      <w:r w:rsidR="00CB7952">
        <w:rPr>
          <w:rFonts w:cstheme="minorHAnsi"/>
          <w:sz w:val="24"/>
          <w:szCs w:val="24"/>
        </w:rPr>
        <w:t xml:space="preserve">that has validity </w:t>
      </w:r>
      <w:r w:rsidR="00D11548">
        <w:rPr>
          <w:rFonts w:cstheme="minorHAnsi"/>
          <w:sz w:val="24"/>
          <w:szCs w:val="24"/>
        </w:rPr>
        <w:t xml:space="preserve">especially if platform </w:t>
      </w:r>
      <w:r w:rsidR="00C215EC">
        <w:rPr>
          <w:rFonts w:cstheme="minorHAnsi"/>
          <w:sz w:val="24"/>
          <w:szCs w:val="24"/>
        </w:rPr>
        <w:t>thereby</w:t>
      </w:r>
      <w:r w:rsidR="00CB7952">
        <w:rPr>
          <w:rFonts w:cstheme="minorHAnsi"/>
          <w:sz w:val="24"/>
          <w:szCs w:val="24"/>
        </w:rPr>
        <w:t xml:space="preserve"> also</w:t>
      </w:r>
      <w:r w:rsidR="00D11548">
        <w:rPr>
          <w:rFonts w:cstheme="minorHAnsi"/>
          <w:sz w:val="24"/>
          <w:szCs w:val="24"/>
        </w:rPr>
        <w:t xml:space="preserve"> </w:t>
      </w:r>
      <w:r w:rsidR="0043576B">
        <w:rPr>
          <w:rFonts w:cstheme="minorHAnsi"/>
          <w:sz w:val="24"/>
          <w:szCs w:val="24"/>
        </w:rPr>
        <w:t>bypass</w:t>
      </w:r>
      <w:r w:rsidR="00D11548">
        <w:rPr>
          <w:rFonts w:cstheme="minorHAnsi"/>
          <w:sz w:val="24"/>
          <w:szCs w:val="24"/>
        </w:rPr>
        <w:t xml:space="preserve"> </w:t>
      </w:r>
      <w:r w:rsidR="0043576B">
        <w:rPr>
          <w:rFonts w:cstheme="minorHAnsi"/>
          <w:sz w:val="24"/>
          <w:szCs w:val="24"/>
        </w:rPr>
        <w:t>the due process</w:t>
      </w:r>
      <w:r w:rsidR="00CB7952">
        <w:rPr>
          <w:rFonts w:cstheme="minorHAnsi"/>
          <w:sz w:val="24"/>
          <w:szCs w:val="24"/>
        </w:rPr>
        <w:t xml:space="preserve"> obligations</w:t>
      </w:r>
      <w:r w:rsidR="00C215EC">
        <w:rPr>
          <w:rFonts w:cstheme="minorHAnsi"/>
          <w:sz w:val="24"/>
          <w:szCs w:val="24"/>
        </w:rPr>
        <w:t>.</w:t>
      </w:r>
      <w:r w:rsidR="0043576B">
        <w:rPr>
          <w:rStyle w:val="FootnoteReference"/>
          <w:rFonts w:cstheme="minorHAnsi"/>
          <w:sz w:val="24"/>
          <w:szCs w:val="24"/>
        </w:rPr>
        <w:footnoteReference w:id="132"/>
      </w:r>
      <w:r w:rsidR="0043576B">
        <w:rPr>
          <w:rFonts w:cstheme="minorHAnsi"/>
          <w:sz w:val="24"/>
          <w:szCs w:val="24"/>
        </w:rPr>
        <w:t xml:space="preserve"> Still, the review hierarchy</w:t>
      </w:r>
      <w:r w:rsidR="00394EC5" w:rsidRPr="003B44D7">
        <w:rPr>
          <w:rFonts w:cstheme="minorHAnsi"/>
          <w:sz w:val="24"/>
          <w:szCs w:val="24"/>
        </w:rPr>
        <w:t xml:space="preserve"> is consistent with the legal</w:t>
      </w:r>
      <w:r w:rsidR="00C43450" w:rsidRPr="003B44D7">
        <w:rPr>
          <w:rFonts w:cstheme="minorHAnsi"/>
          <w:sz w:val="24"/>
          <w:szCs w:val="24"/>
        </w:rPr>
        <w:t>ly</w:t>
      </w:r>
      <w:r w:rsidR="00394EC5" w:rsidRPr="003B44D7">
        <w:rPr>
          <w:rFonts w:cstheme="minorHAnsi"/>
          <w:sz w:val="24"/>
          <w:szCs w:val="24"/>
        </w:rPr>
        <w:t xml:space="preserve"> sancti</w:t>
      </w:r>
      <w:r w:rsidR="001664BF" w:rsidRPr="003B44D7">
        <w:rPr>
          <w:rFonts w:cstheme="minorHAnsi"/>
          <w:sz w:val="24"/>
          <w:szCs w:val="24"/>
        </w:rPr>
        <w:t xml:space="preserve">oned </w:t>
      </w:r>
      <w:r w:rsidR="00394EC5" w:rsidRPr="003B44D7">
        <w:rPr>
          <w:rFonts w:cstheme="minorHAnsi"/>
          <w:sz w:val="24"/>
          <w:szCs w:val="24"/>
        </w:rPr>
        <w:t xml:space="preserve">private </w:t>
      </w:r>
      <w:r w:rsidR="00054AEA" w:rsidRPr="003B44D7">
        <w:rPr>
          <w:rFonts w:cstheme="minorHAnsi"/>
          <w:sz w:val="24"/>
          <w:szCs w:val="24"/>
        </w:rPr>
        <w:t xml:space="preserve">governance </w:t>
      </w:r>
      <w:r w:rsidR="00394EC5" w:rsidRPr="003B44D7">
        <w:rPr>
          <w:rFonts w:cstheme="minorHAnsi"/>
          <w:sz w:val="24"/>
          <w:szCs w:val="24"/>
        </w:rPr>
        <w:t>framework</w:t>
      </w:r>
      <w:r w:rsidR="00C43450" w:rsidRPr="003B44D7">
        <w:rPr>
          <w:rFonts w:cstheme="minorHAnsi"/>
          <w:sz w:val="24"/>
          <w:szCs w:val="24"/>
        </w:rPr>
        <w:t xml:space="preserve"> of cyberspace.</w:t>
      </w:r>
    </w:p>
    <w:p w14:paraId="3388FE21" w14:textId="77777777" w:rsidR="00DF74AD" w:rsidRPr="003B44D7" w:rsidRDefault="00DF74AD" w:rsidP="00F15E80">
      <w:pPr>
        <w:spacing w:after="0" w:line="240" w:lineRule="auto"/>
        <w:jc w:val="both"/>
        <w:rPr>
          <w:rFonts w:cstheme="minorHAnsi"/>
          <w:i/>
          <w:iCs/>
          <w:sz w:val="24"/>
          <w:szCs w:val="24"/>
        </w:rPr>
      </w:pPr>
    </w:p>
    <w:p w14:paraId="6ECCC697" w14:textId="171385A3" w:rsidR="00DD7B4C" w:rsidRDefault="00F15E80" w:rsidP="00DD7B4C">
      <w:pPr>
        <w:spacing w:after="0" w:line="240" w:lineRule="auto"/>
        <w:jc w:val="both"/>
        <w:rPr>
          <w:sz w:val="24"/>
          <w:szCs w:val="24"/>
        </w:rPr>
      </w:pPr>
      <w:r w:rsidRPr="003B44D7">
        <w:rPr>
          <w:rFonts w:cstheme="minorHAnsi"/>
          <w:i/>
          <w:iCs/>
          <w:sz w:val="24"/>
          <w:szCs w:val="24"/>
        </w:rPr>
        <w:t>Second,</w:t>
      </w:r>
      <w:r w:rsidRPr="003B44D7">
        <w:rPr>
          <w:rFonts w:cstheme="minorHAnsi"/>
          <w:sz w:val="24"/>
          <w:szCs w:val="24"/>
        </w:rPr>
        <w:t xml:space="preserve"> </w:t>
      </w:r>
      <w:r w:rsidR="008103B4" w:rsidRPr="003B44D7">
        <w:rPr>
          <w:rFonts w:cstheme="minorHAnsi"/>
          <w:sz w:val="24"/>
          <w:szCs w:val="24"/>
        </w:rPr>
        <w:t xml:space="preserve">even for the minority of </w:t>
      </w:r>
      <w:r w:rsidR="00D0273D" w:rsidRPr="003B44D7">
        <w:rPr>
          <w:rFonts w:cstheme="minorHAnsi"/>
          <w:sz w:val="24"/>
          <w:szCs w:val="24"/>
        </w:rPr>
        <w:t xml:space="preserve">user </w:t>
      </w:r>
      <w:r w:rsidR="008103B4" w:rsidRPr="003B44D7">
        <w:rPr>
          <w:rFonts w:cstheme="minorHAnsi"/>
          <w:sz w:val="24"/>
          <w:szCs w:val="24"/>
        </w:rPr>
        <w:t xml:space="preserve">complaints not captured by </w:t>
      </w:r>
      <w:r w:rsidR="006D7DF2" w:rsidRPr="003B44D7">
        <w:rPr>
          <w:rFonts w:cstheme="minorHAnsi"/>
          <w:sz w:val="24"/>
          <w:szCs w:val="24"/>
        </w:rPr>
        <w:t xml:space="preserve">a platform’s </w:t>
      </w:r>
      <w:r w:rsidR="00CC4C47" w:rsidRPr="003B44D7">
        <w:rPr>
          <w:rFonts w:cstheme="minorHAnsi"/>
          <w:sz w:val="24"/>
          <w:szCs w:val="24"/>
        </w:rPr>
        <w:t>c</w:t>
      </w:r>
      <w:r w:rsidR="008103B4" w:rsidRPr="003B44D7">
        <w:rPr>
          <w:rFonts w:cstheme="minorHAnsi"/>
          <w:sz w:val="24"/>
          <w:szCs w:val="24"/>
        </w:rPr>
        <w:t xml:space="preserve">ommunity </w:t>
      </w:r>
      <w:r w:rsidR="00CC4C47" w:rsidRPr="003B44D7">
        <w:rPr>
          <w:rFonts w:cstheme="minorHAnsi"/>
          <w:sz w:val="24"/>
          <w:szCs w:val="24"/>
        </w:rPr>
        <w:t xml:space="preserve">guidelines </w:t>
      </w:r>
      <w:r w:rsidR="006D7DF2" w:rsidRPr="003B44D7">
        <w:rPr>
          <w:rFonts w:cstheme="minorHAnsi"/>
          <w:sz w:val="24"/>
          <w:szCs w:val="24"/>
        </w:rPr>
        <w:t xml:space="preserve">and </w:t>
      </w:r>
      <w:r w:rsidR="008103B4" w:rsidRPr="003B44D7">
        <w:rPr>
          <w:rFonts w:cstheme="minorHAnsi"/>
          <w:sz w:val="24"/>
          <w:szCs w:val="24"/>
        </w:rPr>
        <w:t>which</w:t>
      </w:r>
      <w:r w:rsidR="00054AEA" w:rsidRPr="003B44D7">
        <w:rPr>
          <w:rFonts w:cstheme="minorHAnsi"/>
          <w:sz w:val="24"/>
          <w:szCs w:val="24"/>
        </w:rPr>
        <w:t xml:space="preserve"> have </w:t>
      </w:r>
      <w:r w:rsidR="00BB43E3">
        <w:rPr>
          <w:rFonts w:cstheme="minorHAnsi"/>
          <w:sz w:val="24"/>
          <w:szCs w:val="24"/>
        </w:rPr>
        <w:t xml:space="preserve">thus </w:t>
      </w:r>
      <w:r w:rsidR="00054AEA" w:rsidRPr="003B44D7">
        <w:rPr>
          <w:rFonts w:cstheme="minorHAnsi"/>
          <w:sz w:val="24"/>
          <w:szCs w:val="24"/>
        </w:rPr>
        <w:t>to be evaluated</w:t>
      </w:r>
      <w:r w:rsidR="008103B4" w:rsidRPr="003B44D7">
        <w:rPr>
          <w:rFonts w:cstheme="minorHAnsi"/>
          <w:sz w:val="24"/>
          <w:szCs w:val="24"/>
        </w:rPr>
        <w:t xml:space="preserve"> </w:t>
      </w:r>
      <w:r w:rsidR="00A0696F">
        <w:rPr>
          <w:rFonts w:cstheme="minorHAnsi"/>
          <w:sz w:val="24"/>
          <w:szCs w:val="24"/>
        </w:rPr>
        <w:t>against</w:t>
      </w:r>
      <w:r w:rsidR="008103B4" w:rsidRPr="003B44D7">
        <w:rPr>
          <w:rFonts w:cstheme="minorHAnsi"/>
          <w:sz w:val="24"/>
          <w:szCs w:val="24"/>
        </w:rPr>
        <w:t xml:space="preserve"> the standards of German criminal law, the privat</w:t>
      </w:r>
      <w:r w:rsidR="006D7DF2" w:rsidRPr="003B44D7">
        <w:rPr>
          <w:rFonts w:cstheme="minorHAnsi"/>
          <w:sz w:val="24"/>
          <w:szCs w:val="24"/>
        </w:rPr>
        <w:t>ising</w:t>
      </w:r>
      <w:r w:rsidR="008103B4" w:rsidRPr="003B44D7">
        <w:rPr>
          <w:rFonts w:cstheme="minorHAnsi"/>
          <w:sz w:val="24"/>
          <w:szCs w:val="24"/>
        </w:rPr>
        <w:t xml:space="preserve"> effect of those </w:t>
      </w:r>
      <w:r w:rsidR="006D7DF2" w:rsidRPr="003B44D7">
        <w:rPr>
          <w:rFonts w:cstheme="minorHAnsi"/>
          <w:sz w:val="24"/>
          <w:szCs w:val="24"/>
        </w:rPr>
        <w:t xml:space="preserve">official </w:t>
      </w:r>
      <w:r w:rsidR="008103B4" w:rsidRPr="003B44D7">
        <w:rPr>
          <w:rFonts w:cstheme="minorHAnsi"/>
          <w:sz w:val="24"/>
          <w:szCs w:val="24"/>
        </w:rPr>
        <w:t xml:space="preserve">standards </w:t>
      </w:r>
      <w:r w:rsidR="00054AEA" w:rsidRPr="003B44D7">
        <w:rPr>
          <w:rFonts w:cstheme="minorHAnsi"/>
          <w:sz w:val="24"/>
          <w:szCs w:val="24"/>
        </w:rPr>
        <w:t>occurs</w:t>
      </w:r>
      <w:r w:rsidR="008103B4" w:rsidRPr="003B44D7">
        <w:rPr>
          <w:rFonts w:cstheme="minorHAnsi"/>
          <w:sz w:val="24"/>
          <w:szCs w:val="24"/>
        </w:rPr>
        <w:t xml:space="preserve"> through </w:t>
      </w:r>
      <w:r w:rsidR="0034589B" w:rsidRPr="003B44D7">
        <w:rPr>
          <w:rFonts w:cstheme="minorHAnsi"/>
          <w:sz w:val="24"/>
          <w:szCs w:val="24"/>
        </w:rPr>
        <w:t>the</w:t>
      </w:r>
      <w:r w:rsidR="008103B4" w:rsidRPr="003B44D7">
        <w:rPr>
          <w:rFonts w:cstheme="minorHAnsi"/>
          <w:sz w:val="24"/>
          <w:szCs w:val="24"/>
        </w:rPr>
        <w:t xml:space="preserve"> combination of</w:t>
      </w:r>
      <w:r w:rsidR="00BB43E3">
        <w:rPr>
          <w:rFonts w:cstheme="minorHAnsi"/>
          <w:sz w:val="24"/>
          <w:szCs w:val="24"/>
        </w:rPr>
        <w:t xml:space="preserve"> </w:t>
      </w:r>
      <w:r w:rsidR="008103B4" w:rsidRPr="003B44D7">
        <w:rPr>
          <w:rFonts w:cstheme="minorHAnsi"/>
          <w:sz w:val="24"/>
          <w:szCs w:val="24"/>
        </w:rPr>
        <w:t xml:space="preserve">broad legal concepts and a lack of transparency of individual decisions. </w:t>
      </w:r>
      <w:r w:rsidR="00D0273D" w:rsidRPr="003B44D7">
        <w:rPr>
          <w:rFonts w:cstheme="minorHAnsi"/>
          <w:sz w:val="24"/>
          <w:szCs w:val="24"/>
        </w:rPr>
        <w:t>In</w:t>
      </w:r>
      <w:r w:rsidR="00C96BBF">
        <w:rPr>
          <w:rFonts w:cstheme="minorHAnsi"/>
          <w:sz w:val="24"/>
          <w:szCs w:val="24"/>
        </w:rPr>
        <w:t xml:space="preserve"> fact</w:t>
      </w:r>
      <w:r w:rsidR="00D0273D" w:rsidRPr="003B44D7">
        <w:rPr>
          <w:rFonts w:cstheme="minorHAnsi"/>
          <w:sz w:val="24"/>
          <w:szCs w:val="24"/>
        </w:rPr>
        <w:t xml:space="preserve">, the broadness of the concepts that platforms </w:t>
      </w:r>
      <w:proofErr w:type="gramStart"/>
      <w:r w:rsidR="00D0273D" w:rsidRPr="003B44D7">
        <w:rPr>
          <w:rFonts w:cstheme="minorHAnsi"/>
          <w:sz w:val="24"/>
          <w:szCs w:val="24"/>
        </w:rPr>
        <w:t>have</w:t>
      </w:r>
      <w:r w:rsidR="009027D8">
        <w:rPr>
          <w:rFonts w:cstheme="minorHAnsi"/>
          <w:sz w:val="24"/>
          <w:szCs w:val="24"/>
        </w:rPr>
        <w:t xml:space="preserve"> </w:t>
      </w:r>
      <w:r w:rsidR="00D0273D" w:rsidRPr="003B44D7">
        <w:rPr>
          <w:rFonts w:cstheme="minorHAnsi"/>
          <w:sz w:val="24"/>
          <w:szCs w:val="24"/>
        </w:rPr>
        <w:t>to</w:t>
      </w:r>
      <w:proofErr w:type="gramEnd"/>
      <w:r w:rsidR="00D0273D" w:rsidRPr="003B44D7">
        <w:rPr>
          <w:rFonts w:cstheme="minorHAnsi"/>
          <w:sz w:val="24"/>
          <w:szCs w:val="24"/>
        </w:rPr>
        <w:t xml:space="preserve"> apply has been</w:t>
      </w:r>
      <w:r w:rsidR="006D7DF2" w:rsidRPr="003B44D7">
        <w:rPr>
          <w:rFonts w:cstheme="minorHAnsi"/>
          <w:sz w:val="24"/>
          <w:szCs w:val="24"/>
        </w:rPr>
        <w:t xml:space="preserve"> a target for the detractors of NetzDG.</w:t>
      </w:r>
      <w:r w:rsidR="00D0273D" w:rsidRPr="003B44D7">
        <w:rPr>
          <w:rFonts w:cstheme="minorHAnsi"/>
          <w:sz w:val="24"/>
          <w:szCs w:val="24"/>
        </w:rPr>
        <w:t xml:space="preserve"> </w:t>
      </w:r>
      <w:r w:rsidR="00D0273D" w:rsidRPr="003B44D7">
        <w:rPr>
          <w:sz w:val="24"/>
          <w:szCs w:val="24"/>
        </w:rPr>
        <w:t xml:space="preserve">David Kaye, UN Special Rapporteur on Freedom of Expression, </w:t>
      </w:r>
      <w:r w:rsidR="001117A7" w:rsidRPr="003B44D7">
        <w:rPr>
          <w:sz w:val="24"/>
          <w:szCs w:val="24"/>
        </w:rPr>
        <w:t xml:space="preserve">criticised </w:t>
      </w:r>
      <w:r w:rsidR="00D0273D" w:rsidRPr="003B44D7">
        <w:rPr>
          <w:sz w:val="24"/>
          <w:szCs w:val="24"/>
        </w:rPr>
        <w:t xml:space="preserve">NetzDG’s </w:t>
      </w:r>
      <w:r w:rsidR="006D7DF2" w:rsidRPr="003B44D7">
        <w:rPr>
          <w:sz w:val="24"/>
          <w:szCs w:val="24"/>
        </w:rPr>
        <w:t>reliance on</w:t>
      </w:r>
      <w:r w:rsidR="001117A7" w:rsidRPr="003B44D7">
        <w:rPr>
          <w:sz w:val="24"/>
          <w:szCs w:val="24"/>
        </w:rPr>
        <w:t xml:space="preserve"> </w:t>
      </w:r>
      <w:r w:rsidR="00D0273D" w:rsidRPr="003B44D7">
        <w:rPr>
          <w:sz w:val="24"/>
          <w:szCs w:val="24"/>
        </w:rPr>
        <w:t>‘</w:t>
      </w:r>
      <w:r w:rsidR="001117A7" w:rsidRPr="003B44D7">
        <w:rPr>
          <w:sz w:val="24"/>
          <w:szCs w:val="24"/>
        </w:rPr>
        <w:t xml:space="preserve">prohibitions… based on </w:t>
      </w:r>
      <w:r w:rsidR="00D0273D" w:rsidRPr="003B44D7">
        <w:rPr>
          <w:sz w:val="24"/>
          <w:szCs w:val="24"/>
        </w:rPr>
        <w:t>vague and ambiguous criteria</w:t>
      </w:r>
      <w:r w:rsidR="001117A7" w:rsidRPr="003B44D7">
        <w:rPr>
          <w:sz w:val="24"/>
          <w:szCs w:val="24"/>
        </w:rPr>
        <w:t>… [and] highly dependent on context, context which platforms are in no position to assess’</w:t>
      </w:r>
      <w:r w:rsidR="001117A7" w:rsidRPr="003B44D7">
        <w:rPr>
          <w:rStyle w:val="FootnoteReference"/>
          <w:sz w:val="24"/>
          <w:szCs w:val="24"/>
        </w:rPr>
        <w:footnoteReference w:id="133"/>
      </w:r>
      <w:r w:rsidR="001117A7" w:rsidRPr="003B44D7">
        <w:rPr>
          <w:sz w:val="24"/>
          <w:szCs w:val="24"/>
        </w:rPr>
        <w:t xml:space="preserve"> a sentiment echoed by the OSCE and Reporters Without Borders,</w:t>
      </w:r>
      <w:r w:rsidR="001117A7" w:rsidRPr="003B44D7">
        <w:rPr>
          <w:rStyle w:val="FootnoteReference"/>
          <w:sz w:val="24"/>
          <w:szCs w:val="24"/>
        </w:rPr>
        <w:footnoteReference w:id="134"/>
      </w:r>
      <w:r w:rsidR="001117A7" w:rsidRPr="003B44D7">
        <w:rPr>
          <w:sz w:val="24"/>
          <w:szCs w:val="24"/>
        </w:rPr>
        <w:t xml:space="preserve"> and </w:t>
      </w:r>
      <w:r w:rsidR="00D02DE3" w:rsidRPr="003B44D7">
        <w:rPr>
          <w:sz w:val="24"/>
          <w:szCs w:val="24"/>
        </w:rPr>
        <w:t>invariably</w:t>
      </w:r>
      <w:r w:rsidR="001117A7" w:rsidRPr="003B44D7">
        <w:rPr>
          <w:sz w:val="24"/>
          <w:szCs w:val="24"/>
        </w:rPr>
        <w:t xml:space="preserve"> premised on the concern that legal content may be</w:t>
      </w:r>
      <w:r w:rsidR="000946CA" w:rsidRPr="003B44D7">
        <w:rPr>
          <w:sz w:val="24"/>
          <w:szCs w:val="24"/>
        </w:rPr>
        <w:t xml:space="preserve"> taken down</w:t>
      </w:r>
      <w:r w:rsidR="00282E43">
        <w:rPr>
          <w:sz w:val="24"/>
          <w:szCs w:val="24"/>
        </w:rPr>
        <w:t>. A</w:t>
      </w:r>
      <w:r w:rsidR="006D7DF2" w:rsidRPr="003B44D7">
        <w:rPr>
          <w:sz w:val="24"/>
          <w:szCs w:val="24"/>
        </w:rPr>
        <w:t xml:space="preserve">s argued above, </w:t>
      </w:r>
      <w:r w:rsidR="00BB43E3">
        <w:rPr>
          <w:sz w:val="24"/>
          <w:szCs w:val="24"/>
        </w:rPr>
        <w:t>this is</w:t>
      </w:r>
      <w:r w:rsidR="00BB43E3" w:rsidRPr="003B44D7">
        <w:rPr>
          <w:sz w:val="24"/>
          <w:szCs w:val="24"/>
        </w:rPr>
        <w:t xml:space="preserve"> </w:t>
      </w:r>
      <w:r w:rsidR="00A0696F">
        <w:rPr>
          <w:sz w:val="24"/>
          <w:szCs w:val="24"/>
        </w:rPr>
        <w:t xml:space="preserve">in any event a </w:t>
      </w:r>
      <w:r w:rsidR="00BB43E3" w:rsidRPr="003B44D7">
        <w:rPr>
          <w:sz w:val="24"/>
          <w:szCs w:val="24"/>
        </w:rPr>
        <w:t xml:space="preserve">liberty which </w:t>
      </w:r>
      <w:r w:rsidR="007D2997" w:rsidRPr="003B44D7">
        <w:rPr>
          <w:sz w:val="24"/>
          <w:szCs w:val="24"/>
        </w:rPr>
        <w:t>platforms enjoy as a necessary incident of</w:t>
      </w:r>
      <w:r w:rsidR="006D7DF2" w:rsidRPr="003B44D7">
        <w:rPr>
          <w:sz w:val="24"/>
          <w:szCs w:val="24"/>
        </w:rPr>
        <w:t xml:space="preserve"> their legal construction as</w:t>
      </w:r>
      <w:r w:rsidR="00CB7952">
        <w:rPr>
          <w:sz w:val="24"/>
          <w:szCs w:val="24"/>
        </w:rPr>
        <w:t xml:space="preserve"> </w:t>
      </w:r>
      <w:r w:rsidR="006D7DF2" w:rsidRPr="003B44D7">
        <w:rPr>
          <w:sz w:val="24"/>
          <w:szCs w:val="24"/>
        </w:rPr>
        <w:t>private actors.</w:t>
      </w:r>
      <w:r w:rsidR="00DD7B4C" w:rsidRPr="003B44D7">
        <w:rPr>
          <w:sz w:val="24"/>
          <w:szCs w:val="24"/>
        </w:rPr>
        <w:t xml:space="preserve"> </w:t>
      </w:r>
      <w:r w:rsidR="00A0696F">
        <w:rPr>
          <w:sz w:val="24"/>
          <w:szCs w:val="24"/>
        </w:rPr>
        <w:t>P</w:t>
      </w:r>
      <w:r w:rsidR="00DD7B4C" w:rsidRPr="003B44D7">
        <w:rPr>
          <w:sz w:val="24"/>
          <w:szCs w:val="24"/>
        </w:rPr>
        <w:t xml:space="preserve">latforms </w:t>
      </w:r>
      <w:r w:rsidR="00A0696F">
        <w:rPr>
          <w:sz w:val="24"/>
          <w:szCs w:val="24"/>
        </w:rPr>
        <w:t xml:space="preserve">also </w:t>
      </w:r>
      <w:r w:rsidR="00DD7B4C" w:rsidRPr="003B44D7">
        <w:rPr>
          <w:sz w:val="24"/>
          <w:szCs w:val="24"/>
        </w:rPr>
        <w:t xml:space="preserve">already apply many of these ‘vague’ and ‘ambiguous’ criteria as part of their </w:t>
      </w:r>
      <w:r w:rsidR="003838F3" w:rsidRPr="003B44D7">
        <w:rPr>
          <w:sz w:val="24"/>
          <w:szCs w:val="24"/>
        </w:rPr>
        <w:t xml:space="preserve">own </w:t>
      </w:r>
      <w:r w:rsidR="00DD7B4C" w:rsidRPr="003B44D7">
        <w:rPr>
          <w:sz w:val="24"/>
          <w:szCs w:val="24"/>
        </w:rPr>
        <w:t xml:space="preserve">community standards </w:t>
      </w:r>
      <w:r w:rsidR="00471F13" w:rsidRPr="003B44D7">
        <w:rPr>
          <w:sz w:val="24"/>
          <w:szCs w:val="24"/>
        </w:rPr>
        <w:t>when</w:t>
      </w:r>
      <w:r w:rsidR="007D2997" w:rsidRPr="003B44D7">
        <w:rPr>
          <w:sz w:val="24"/>
          <w:szCs w:val="24"/>
        </w:rPr>
        <w:t xml:space="preserve">ever </w:t>
      </w:r>
      <w:proofErr w:type="gramStart"/>
      <w:r w:rsidR="007D2997" w:rsidRPr="003B44D7">
        <w:rPr>
          <w:sz w:val="24"/>
          <w:szCs w:val="24"/>
        </w:rPr>
        <w:t>these</w:t>
      </w:r>
      <w:r w:rsidR="00293DBB">
        <w:rPr>
          <w:sz w:val="24"/>
          <w:szCs w:val="24"/>
        </w:rPr>
        <w:t xml:space="preserve"> </w:t>
      </w:r>
      <w:r w:rsidR="00DD7B4C" w:rsidRPr="003B44D7">
        <w:rPr>
          <w:sz w:val="24"/>
          <w:szCs w:val="24"/>
        </w:rPr>
        <w:t>mirror</w:t>
      </w:r>
      <w:proofErr w:type="gramEnd"/>
      <w:r w:rsidR="00DD7B4C" w:rsidRPr="003B44D7">
        <w:rPr>
          <w:sz w:val="24"/>
          <w:szCs w:val="24"/>
        </w:rPr>
        <w:t xml:space="preserve"> the </w:t>
      </w:r>
      <w:r w:rsidR="00BB43E3">
        <w:rPr>
          <w:sz w:val="24"/>
          <w:szCs w:val="24"/>
        </w:rPr>
        <w:t xml:space="preserve">public </w:t>
      </w:r>
      <w:r w:rsidR="00F63535">
        <w:rPr>
          <w:sz w:val="24"/>
          <w:szCs w:val="24"/>
        </w:rPr>
        <w:t>ones</w:t>
      </w:r>
      <w:r w:rsidR="00DD7B4C" w:rsidRPr="003B44D7">
        <w:rPr>
          <w:sz w:val="24"/>
          <w:szCs w:val="24"/>
        </w:rPr>
        <w:t>. For example, Facebook’s own prohibition of hate speech is</w:t>
      </w:r>
      <w:r w:rsidR="00F63535">
        <w:rPr>
          <w:sz w:val="24"/>
          <w:szCs w:val="24"/>
        </w:rPr>
        <w:t xml:space="preserve"> very</w:t>
      </w:r>
      <w:r w:rsidR="003838F3" w:rsidRPr="003B44D7">
        <w:rPr>
          <w:sz w:val="24"/>
          <w:szCs w:val="24"/>
        </w:rPr>
        <w:t xml:space="preserve"> similar</w:t>
      </w:r>
      <w:r w:rsidR="00DD7B4C" w:rsidRPr="003B44D7">
        <w:rPr>
          <w:sz w:val="24"/>
          <w:szCs w:val="24"/>
        </w:rPr>
        <w:t xml:space="preserve"> to s.130 of the German Criminal Code, </w:t>
      </w:r>
      <w:r w:rsidR="007D2997" w:rsidRPr="003B44D7">
        <w:rPr>
          <w:sz w:val="24"/>
          <w:szCs w:val="24"/>
        </w:rPr>
        <w:t>a</w:t>
      </w:r>
      <w:r w:rsidR="0064048A" w:rsidRPr="003B44D7">
        <w:rPr>
          <w:sz w:val="24"/>
          <w:szCs w:val="24"/>
        </w:rPr>
        <w:t>lbeit</w:t>
      </w:r>
      <w:r w:rsidR="00DD7B4C" w:rsidRPr="003B44D7">
        <w:rPr>
          <w:sz w:val="24"/>
          <w:szCs w:val="24"/>
        </w:rPr>
        <w:t xml:space="preserve"> more restrictive</w:t>
      </w:r>
      <w:r w:rsidR="003838F3" w:rsidRPr="003B44D7">
        <w:rPr>
          <w:sz w:val="24"/>
          <w:szCs w:val="24"/>
        </w:rPr>
        <w:t>:</w:t>
      </w:r>
      <w:r w:rsidR="00DD7B4C" w:rsidRPr="003B44D7">
        <w:rPr>
          <w:sz w:val="24"/>
          <w:szCs w:val="24"/>
        </w:rPr>
        <w:t xml:space="preserve"> </w:t>
      </w:r>
    </w:p>
    <w:p w14:paraId="5561D85D" w14:textId="77777777" w:rsidR="00C215EC" w:rsidRPr="003B44D7" w:rsidRDefault="00C215EC" w:rsidP="00DD7B4C">
      <w:pPr>
        <w:spacing w:after="0" w:line="240" w:lineRule="auto"/>
        <w:jc w:val="both"/>
        <w:rPr>
          <w:sz w:val="24"/>
          <w:szCs w:val="24"/>
        </w:rPr>
      </w:pPr>
    </w:p>
    <w:p w14:paraId="1993A4EF" w14:textId="4C71D1EB" w:rsidR="00DD7B4C" w:rsidRPr="003B44D7" w:rsidRDefault="00DD7B4C" w:rsidP="00DD7B4C">
      <w:pPr>
        <w:spacing w:after="0" w:line="240" w:lineRule="auto"/>
        <w:ind w:left="720"/>
        <w:jc w:val="both"/>
        <w:rPr>
          <w:rFonts w:eastAsia="Times New Roman" w:cstheme="minorHAnsi"/>
          <w:sz w:val="24"/>
          <w:szCs w:val="24"/>
          <w:lang w:eastAsia="en-GB"/>
        </w:rPr>
      </w:pPr>
      <w:r w:rsidRPr="003B44D7">
        <w:rPr>
          <w:rFonts w:eastAsia="Times New Roman" w:cstheme="minorHAnsi"/>
          <w:sz w:val="24"/>
          <w:szCs w:val="24"/>
          <w:lang w:eastAsia="en-GB"/>
        </w:rPr>
        <w:t xml:space="preserve">‘It [hate speech] creates an environment of intimidation and exclusion, and in some cases may promote offline violence. We define hate speech as a direct attack against people – rather than concepts or institutions – </w:t>
      </w:r>
      <w:proofErr w:type="gramStart"/>
      <w:r w:rsidRPr="003B44D7">
        <w:rPr>
          <w:rFonts w:eastAsia="Times New Roman" w:cstheme="minorHAnsi"/>
          <w:sz w:val="24"/>
          <w:szCs w:val="24"/>
          <w:lang w:eastAsia="en-GB"/>
        </w:rPr>
        <w:t>on the basis of</w:t>
      </w:r>
      <w:proofErr w:type="gramEnd"/>
      <w:r w:rsidRPr="003B44D7">
        <w:rPr>
          <w:rFonts w:eastAsia="Times New Roman" w:cstheme="minorHAnsi"/>
          <w:sz w:val="24"/>
          <w:szCs w:val="24"/>
          <w:lang w:eastAsia="en-GB"/>
        </w:rPr>
        <w:t xml:space="preserve"> what we call protected characteristics: race, ethnicity, national origin, disability, religious affiliation, caste, sexual orientation, sex, gender identity and serious disease.’</w:t>
      </w:r>
      <w:r w:rsidRPr="003B44D7">
        <w:rPr>
          <w:rStyle w:val="FootnoteReference"/>
          <w:rFonts w:eastAsia="Times New Roman" w:cstheme="minorHAnsi"/>
          <w:sz w:val="24"/>
          <w:szCs w:val="24"/>
          <w:lang w:eastAsia="en-GB"/>
        </w:rPr>
        <w:footnoteReference w:id="135"/>
      </w:r>
    </w:p>
    <w:p w14:paraId="42C214E9" w14:textId="77777777" w:rsidR="00DD7B4C" w:rsidRPr="003B44D7" w:rsidRDefault="00DD7B4C" w:rsidP="00F15E80">
      <w:pPr>
        <w:spacing w:after="0" w:line="240" w:lineRule="auto"/>
        <w:jc w:val="both"/>
        <w:rPr>
          <w:sz w:val="24"/>
          <w:szCs w:val="24"/>
        </w:rPr>
      </w:pPr>
    </w:p>
    <w:p w14:paraId="29CE2F6A" w14:textId="2FB701D0" w:rsidR="008103B4" w:rsidRPr="009F44E4" w:rsidRDefault="003838F3" w:rsidP="00F15E80">
      <w:pPr>
        <w:spacing w:after="0" w:line="240" w:lineRule="auto"/>
        <w:jc w:val="both"/>
        <w:rPr>
          <w:rFonts w:cstheme="minorHAnsi"/>
        </w:rPr>
      </w:pPr>
      <w:r w:rsidRPr="003B44D7">
        <w:rPr>
          <w:rFonts w:cstheme="minorHAnsi"/>
          <w:sz w:val="24"/>
          <w:szCs w:val="24"/>
        </w:rPr>
        <w:t xml:space="preserve">Whilst the broad </w:t>
      </w:r>
      <w:r w:rsidR="00A0696F">
        <w:rPr>
          <w:rFonts w:cstheme="minorHAnsi"/>
          <w:sz w:val="24"/>
          <w:szCs w:val="24"/>
        </w:rPr>
        <w:t xml:space="preserve">criminal law </w:t>
      </w:r>
      <w:r w:rsidRPr="003B44D7">
        <w:rPr>
          <w:rFonts w:cstheme="minorHAnsi"/>
          <w:sz w:val="24"/>
          <w:szCs w:val="24"/>
        </w:rPr>
        <w:t>concepts</w:t>
      </w:r>
      <w:r w:rsidR="00471F13" w:rsidRPr="003B44D7">
        <w:rPr>
          <w:rFonts w:cstheme="minorHAnsi"/>
          <w:sz w:val="24"/>
          <w:szCs w:val="24"/>
        </w:rPr>
        <w:t xml:space="preserve"> </w:t>
      </w:r>
      <w:r w:rsidR="00F63535">
        <w:rPr>
          <w:rFonts w:cstheme="minorHAnsi"/>
          <w:sz w:val="24"/>
          <w:szCs w:val="24"/>
        </w:rPr>
        <w:t>are invariably</w:t>
      </w:r>
      <w:r w:rsidR="00471F13" w:rsidRPr="003B44D7">
        <w:rPr>
          <w:rFonts w:cstheme="minorHAnsi"/>
          <w:sz w:val="24"/>
          <w:szCs w:val="24"/>
        </w:rPr>
        <w:t xml:space="preserve"> supplemented by </w:t>
      </w:r>
      <w:r w:rsidRPr="003B44D7">
        <w:rPr>
          <w:rFonts w:cstheme="minorHAnsi"/>
          <w:sz w:val="24"/>
          <w:szCs w:val="24"/>
        </w:rPr>
        <w:t xml:space="preserve">sophisticated legal </w:t>
      </w:r>
      <w:r w:rsidR="007D2997" w:rsidRPr="003B44D7">
        <w:rPr>
          <w:rFonts w:cstheme="minorHAnsi"/>
          <w:sz w:val="24"/>
          <w:szCs w:val="24"/>
        </w:rPr>
        <w:t>edifices</w:t>
      </w:r>
      <w:r w:rsidR="00471F13" w:rsidRPr="003B44D7">
        <w:rPr>
          <w:rFonts w:cstheme="minorHAnsi"/>
          <w:sz w:val="24"/>
          <w:szCs w:val="24"/>
        </w:rPr>
        <w:t xml:space="preserve"> </w:t>
      </w:r>
      <w:r w:rsidR="00054AEA" w:rsidRPr="003B44D7">
        <w:rPr>
          <w:rFonts w:cstheme="minorHAnsi"/>
          <w:sz w:val="24"/>
          <w:szCs w:val="24"/>
        </w:rPr>
        <w:t xml:space="preserve">that </w:t>
      </w:r>
      <w:r w:rsidR="00471F13" w:rsidRPr="003B44D7">
        <w:rPr>
          <w:rFonts w:cstheme="minorHAnsi"/>
          <w:sz w:val="24"/>
          <w:szCs w:val="24"/>
        </w:rPr>
        <w:t xml:space="preserve">draw on </w:t>
      </w:r>
      <w:r w:rsidRPr="003B44D7">
        <w:rPr>
          <w:rFonts w:cstheme="minorHAnsi"/>
          <w:sz w:val="24"/>
          <w:szCs w:val="24"/>
        </w:rPr>
        <w:t>subtle</w:t>
      </w:r>
      <w:r w:rsidR="00C43450" w:rsidRPr="003B44D7">
        <w:rPr>
          <w:rFonts w:cstheme="minorHAnsi"/>
          <w:sz w:val="24"/>
          <w:szCs w:val="24"/>
        </w:rPr>
        <w:t xml:space="preserve"> </w:t>
      </w:r>
      <w:r w:rsidRPr="003B44D7">
        <w:rPr>
          <w:rFonts w:cstheme="minorHAnsi"/>
          <w:sz w:val="24"/>
          <w:szCs w:val="24"/>
        </w:rPr>
        <w:t xml:space="preserve">distinctions </w:t>
      </w:r>
      <w:r w:rsidR="00471F13" w:rsidRPr="003B44D7">
        <w:rPr>
          <w:rFonts w:cstheme="minorHAnsi"/>
          <w:sz w:val="24"/>
          <w:szCs w:val="24"/>
        </w:rPr>
        <w:t xml:space="preserve">as, for example, </w:t>
      </w:r>
      <w:r w:rsidRPr="003B44D7">
        <w:rPr>
          <w:rFonts w:cstheme="minorHAnsi"/>
          <w:sz w:val="24"/>
          <w:szCs w:val="24"/>
        </w:rPr>
        <w:t xml:space="preserve">between strongly expressed political </w:t>
      </w:r>
      <w:r w:rsidRPr="00FC125C">
        <w:rPr>
          <w:rFonts w:cstheme="minorHAnsi"/>
          <w:sz w:val="24"/>
          <w:szCs w:val="24"/>
        </w:rPr>
        <w:lastRenderedPageBreak/>
        <w:t>views and denigrating personal attacks</w:t>
      </w:r>
      <w:r w:rsidR="0064048A" w:rsidRPr="00FC125C">
        <w:rPr>
          <w:rFonts w:cstheme="minorHAnsi"/>
          <w:sz w:val="24"/>
          <w:szCs w:val="24"/>
        </w:rPr>
        <w:t xml:space="preserve"> on a politician</w:t>
      </w:r>
      <w:r w:rsidRPr="00FC125C">
        <w:rPr>
          <w:rFonts w:cstheme="minorHAnsi"/>
          <w:sz w:val="24"/>
          <w:szCs w:val="24"/>
        </w:rPr>
        <w:t>,</w:t>
      </w:r>
      <w:r w:rsidRPr="00FC125C">
        <w:rPr>
          <w:rStyle w:val="FootnoteReference"/>
          <w:rFonts w:cstheme="minorHAnsi"/>
          <w:sz w:val="24"/>
          <w:szCs w:val="24"/>
        </w:rPr>
        <w:footnoteReference w:id="136"/>
      </w:r>
      <w:r w:rsidRPr="00FC125C">
        <w:rPr>
          <w:rFonts w:cstheme="minorHAnsi"/>
          <w:sz w:val="24"/>
          <w:szCs w:val="24"/>
        </w:rPr>
        <w:t xml:space="preserve"> the broadness of the concepts creates </w:t>
      </w:r>
      <w:r w:rsidR="00471F13" w:rsidRPr="00FC125C">
        <w:rPr>
          <w:rFonts w:cstheme="minorHAnsi"/>
          <w:sz w:val="24"/>
          <w:szCs w:val="24"/>
        </w:rPr>
        <w:t>a</w:t>
      </w:r>
      <w:r w:rsidR="00CB7952" w:rsidRPr="00FC125C">
        <w:rPr>
          <w:rFonts w:cstheme="minorHAnsi"/>
          <w:sz w:val="24"/>
          <w:szCs w:val="24"/>
        </w:rPr>
        <w:t xml:space="preserve"> wide</w:t>
      </w:r>
      <w:r w:rsidR="00471F13" w:rsidRPr="00FC125C">
        <w:rPr>
          <w:rFonts w:cstheme="minorHAnsi"/>
          <w:sz w:val="24"/>
          <w:szCs w:val="24"/>
        </w:rPr>
        <w:t xml:space="preserve"> spectrum </w:t>
      </w:r>
      <w:r w:rsidRPr="00FC125C">
        <w:rPr>
          <w:rFonts w:cstheme="minorHAnsi"/>
          <w:sz w:val="24"/>
          <w:szCs w:val="24"/>
        </w:rPr>
        <w:t>for</w:t>
      </w:r>
      <w:r w:rsidR="00CB7952" w:rsidRPr="00FC125C">
        <w:rPr>
          <w:rFonts w:cstheme="minorHAnsi"/>
          <w:sz w:val="24"/>
          <w:szCs w:val="24"/>
        </w:rPr>
        <w:t xml:space="preserve"> legitimate</w:t>
      </w:r>
      <w:r w:rsidRPr="00FC125C">
        <w:rPr>
          <w:rFonts w:cstheme="minorHAnsi"/>
          <w:sz w:val="24"/>
          <w:szCs w:val="24"/>
        </w:rPr>
        <w:t xml:space="preserve"> variations in the final </w:t>
      </w:r>
      <w:r w:rsidR="00471F13" w:rsidRPr="00FC125C">
        <w:rPr>
          <w:rFonts w:cstheme="minorHAnsi"/>
          <w:sz w:val="24"/>
          <w:szCs w:val="24"/>
        </w:rPr>
        <w:t>assessments</w:t>
      </w:r>
      <w:r w:rsidR="0019484F" w:rsidRPr="00FC125C">
        <w:rPr>
          <w:rFonts w:cstheme="minorHAnsi"/>
          <w:sz w:val="24"/>
          <w:szCs w:val="24"/>
        </w:rPr>
        <w:t>.</w:t>
      </w:r>
      <w:r w:rsidR="008A5DC9" w:rsidRPr="00FC125C">
        <w:rPr>
          <w:rFonts w:cstheme="minorHAnsi"/>
          <w:sz w:val="24"/>
          <w:szCs w:val="24"/>
        </w:rPr>
        <w:t xml:space="preserve"> </w:t>
      </w:r>
      <w:r w:rsidR="001862D8" w:rsidRPr="00FC125C">
        <w:rPr>
          <w:rFonts w:cstheme="minorHAnsi"/>
          <w:sz w:val="24"/>
          <w:szCs w:val="24"/>
        </w:rPr>
        <w:t>In</w:t>
      </w:r>
      <w:r w:rsidR="00B54FE2">
        <w:rPr>
          <w:rFonts w:cstheme="minorHAnsi"/>
          <w:sz w:val="24"/>
          <w:szCs w:val="24"/>
        </w:rPr>
        <w:t>deed, in</w:t>
      </w:r>
      <w:r w:rsidR="001862D8" w:rsidRPr="00FC125C">
        <w:rPr>
          <w:rFonts w:cstheme="minorHAnsi"/>
          <w:sz w:val="24"/>
          <w:szCs w:val="24"/>
        </w:rPr>
        <w:t xml:space="preserve"> relation to the State,</w:t>
      </w:r>
      <w:r w:rsidR="00B54FE2">
        <w:rPr>
          <w:rFonts w:cstheme="minorHAnsi"/>
          <w:sz w:val="24"/>
          <w:szCs w:val="24"/>
        </w:rPr>
        <w:t xml:space="preserve"> the ECtHR </w:t>
      </w:r>
      <w:r w:rsidR="00617F02" w:rsidRPr="00FC125C">
        <w:rPr>
          <w:rFonts w:cstheme="minorHAnsi"/>
          <w:sz w:val="24"/>
          <w:szCs w:val="24"/>
        </w:rPr>
        <w:t>cautioned</w:t>
      </w:r>
      <w:r w:rsidR="001862D8" w:rsidRPr="00FC125C">
        <w:rPr>
          <w:rFonts w:cstheme="minorHAnsi"/>
          <w:sz w:val="24"/>
          <w:szCs w:val="24"/>
        </w:rPr>
        <w:t xml:space="preserve"> that</w:t>
      </w:r>
      <w:r w:rsidR="008A5DC9" w:rsidRPr="00FC125C">
        <w:rPr>
          <w:rFonts w:cstheme="minorHAnsi"/>
          <w:sz w:val="24"/>
          <w:szCs w:val="24"/>
        </w:rPr>
        <w:t xml:space="preserve"> ‘</w:t>
      </w:r>
      <w:r w:rsidR="008A5DC9" w:rsidRPr="00FC125C">
        <w:rPr>
          <w:rStyle w:val="sb8d990e2"/>
          <w:rFonts w:cstheme="minorHAnsi"/>
          <w:color w:val="000000"/>
          <w:sz w:val="24"/>
          <w:szCs w:val="24"/>
          <w:shd w:val="clear" w:color="auto" w:fill="FFFFFF"/>
        </w:rPr>
        <w:t xml:space="preserve">where the State’s discretion to prosecute for such offences becomes too broad </w:t>
      </w:r>
      <w:r w:rsidR="001862D8" w:rsidRPr="00FC125C">
        <w:rPr>
          <w:rStyle w:val="sb8d990e2"/>
          <w:rFonts w:cstheme="minorHAnsi"/>
          <w:color w:val="000000"/>
          <w:sz w:val="24"/>
          <w:szCs w:val="24"/>
          <w:shd w:val="clear" w:color="auto" w:fill="FFFFFF"/>
        </w:rPr>
        <w:t xml:space="preserve">… [it is] </w:t>
      </w:r>
      <w:r w:rsidR="008A5DC9" w:rsidRPr="00FC125C">
        <w:rPr>
          <w:rStyle w:val="sb8d990e2"/>
          <w:rFonts w:cstheme="minorHAnsi"/>
          <w:color w:val="000000"/>
          <w:sz w:val="24"/>
          <w:szCs w:val="24"/>
          <w:shd w:val="clear" w:color="auto" w:fill="FFFFFF"/>
        </w:rPr>
        <w:t>potentially subject to abuse through selective enforcement’</w:t>
      </w:r>
      <w:r w:rsidR="008A5DC9" w:rsidRPr="00FC125C">
        <w:rPr>
          <w:rStyle w:val="FootnoteReference"/>
          <w:rFonts w:cstheme="minorHAnsi"/>
          <w:color w:val="000000"/>
          <w:sz w:val="24"/>
          <w:szCs w:val="24"/>
          <w:shd w:val="clear" w:color="auto" w:fill="FFFFFF"/>
        </w:rPr>
        <w:footnoteReference w:id="137"/>
      </w:r>
      <w:r w:rsidR="001862D8" w:rsidRPr="00FC125C">
        <w:rPr>
          <w:rStyle w:val="sb8d990e2"/>
          <w:rFonts w:cstheme="minorHAnsi"/>
          <w:color w:val="000000"/>
          <w:sz w:val="24"/>
          <w:szCs w:val="24"/>
          <w:shd w:val="clear" w:color="auto" w:fill="FFFFFF"/>
        </w:rPr>
        <w:t xml:space="preserve"> </w:t>
      </w:r>
      <w:r w:rsidR="009F44E4">
        <w:rPr>
          <w:rStyle w:val="sb8d990e2"/>
          <w:rFonts w:cstheme="minorHAnsi"/>
          <w:color w:val="000000"/>
          <w:sz w:val="24"/>
          <w:szCs w:val="24"/>
          <w:shd w:val="clear" w:color="auto" w:fill="FFFFFF"/>
        </w:rPr>
        <w:t xml:space="preserve">– a concern fully aligned with </w:t>
      </w:r>
      <w:r w:rsidR="009A38BE">
        <w:rPr>
          <w:rStyle w:val="sb8d990e2"/>
          <w:rFonts w:cstheme="minorHAnsi"/>
          <w:color w:val="000000"/>
          <w:sz w:val="24"/>
          <w:szCs w:val="24"/>
          <w:shd w:val="clear" w:color="auto" w:fill="FFFFFF"/>
        </w:rPr>
        <w:t>American fear of</w:t>
      </w:r>
      <w:r w:rsidR="00B54FE2">
        <w:rPr>
          <w:rStyle w:val="sb8d990e2"/>
          <w:rFonts w:cstheme="minorHAnsi"/>
          <w:color w:val="000000"/>
          <w:sz w:val="24"/>
          <w:szCs w:val="24"/>
          <w:shd w:val="clear" w:color="auto" w:fill="FFFFFF"/>
        </w:rPr>
        <w:t xml:space="preserve"> </w:t>
      </w:r>
      <w:r w:rsidR="009A38BE" w:rsidRPr="00FC125C">
        <w:rPr>
          <w:rStyle w:val="sb8d990e2"/>
          <w:rFonts w:cstheme="minorHAnsi"/>
          <w:color w:val="000000"/>
          <w:sz w:val="24"/>
          <w:szCs w:val="24"/>
          <w:shd w:val="clear" w:color="auto" w:fill="FFFFFF"/>
        </w:rPr>
        <w:t>public abuse of power</w:t>
      </w:r>
      <w:r w:rsidR="00B54FE2">
        <w:rPr>
          <w:rStyle w:val="sb8d990e2"/>
          <w:rFonts w:cstheme="minorHAnsi"/>
          <w:color w:val="000000"/>
          <w:sz w:val="24"/>
          <w:szCs w:val="24"/>
          <w:shd w:val="clear" w:color="auto" w:fill="FFFFFF"/>
        </w:rPr>
        <w:t>.</w:t>
      </w:r>
      <w:r w:rsidR="008A5DC9" w:rsidRPr="00FC125C">
        <w:rPr>
          <w:rStyle w:val="sb8d990e2"/>
          <w:rFonts w:cstheme="minorHAnsi"/>
          <w:color w:val="000000"/>
          <w:sz w:val="24"/>
          <w:szCs w:val="24"/>
          <w:shd w:val="clear" w:color="auto" w:fill="FFFFFF"/>
        </w:rPr>
        <w:t xml:space="preserve"> </w:t>
      </w:r>
      <w:r w:rsidR="0093039C" w:rsidRPr="00FC125C">
        <w:rPr>
          <w:rStyle w:val="sb8d990e2"/>
          <w:rFonts w:cstheme="minorHAnsi"/>
          <w:color w:val="000000"/>
          <w:sz w:val="24"/>
          <w:szCs w:val="24"/>
          <w:shd w:val="clear" w:color="auto" w:fill="FFFFFF"/>
        </w:rPr>
        <w:t>U</w:t>
      </w:r>
      <w:r w:rsidR="008A5DC9" w:rsidRPr="00FC125C">
        <w:rPr>
          <w:rStyle w:val="sb8d990e2"/>
          <w:rFonts w:cstheme="minorHAnsi"/>
          <w:color w:val="000000"/>
          <w:sz w:val="24"/>
          <w:szCs w:val="24"/>
          <w:shd w:val="clear" w:color="auto" w:fill="FFFFFF"/>
        </w:rPr>
        <w:t>nder NetzDG</w:t>
      </w:r>
      <w:r w:rsidR="0093039C" w:rsidRPr="00FC125C">
        <w:rPr>
          <w:rStyle w:val="sb8d990e2"/>
          <w:rFonts w:cstheme="minorHAnsi"/>
          <w:color w:val="000000"/>
          <w:sz w:val="24"/>
          <w:szCs w:val="24"/>
          <w:shd w:val="clear" w:color="auto" w:fill="FFFFFF"/>
        </w:rPr>
        <w:t>, however,</w:t>
      </w:r>
      <w:r w:rsidR="008A5DC9" w:rsidRPr="00FC125C">
        <w:rPr>
          <w:rStyle w:val="sb8d990e2"/>
          <w:rFonts w:cstheme="minorHAnsi"/>
          <w:color w:val="000000"/>
          <w:sz w:val="24"/>
          <w:szCs w:val="24"/>
          <w:shd w:val="clear" w:color="auto" w:fill="FFFFFF"/>
        </w:rPr>
        <w:t xml:space="preserve"> it is private platforms that move i</w:t>
      </w:r>
      <w:r w:rsidRPr="00FC125C">
        <w:rPr>
          <w:rFonts w:cstheme="minorHAnsi"/>
          <w:sz w:val="24"/>
          <w:szCs w:val="24"/>
        </w:rPr>
        <w:t>nto th</w:t>
      </w:r>
      <w:r w:rsidR="008A5DC9" w:rsidRPr="00FC125C">
        <w:rPr>
          <w:rFonts w:cstheme="minorHAnsi"/>
          <w:sz w:val="24"/>
          <w:szCs w:val="24"/>
        </w:rPr>
        <w:t>e</w:t>
      </w:r>
      <w:r w:rsidRPr="00FC125C">
        <w:rPr>
          <w:rFonts w:cstheme="minorHAnsi"/>
          <w:sz w:val="24"/>
          <w:szCs w:val="24"/>
        </w:rPr>
        <w:t xml:space="preserve"> discretionary space </w:t>
      </w:r>
      <w:r w:rsidR="008A5DC9" w:rsidRPr="00FC125C">
        <w:rPr>
          <w:rFonts w:cstheme="minorHAnsi"/>
          <w:sz w:val="24"/>
          <w:szCs w:val="24"/>
        </w:rPr>
        <w:t>and</w:t>
      </w:r>
      <w:r w:rsidRPr="00FC125C">
        <w:rPr>
          <w:rFonts w:cstheme="minorHAnsi"/>
          <w:sz w:val="24"/>
          <w:szCs w:val="24"/>
        </w:rPr>
        <w:t xml:space="preserve"> import their perspectives and ideologies</w:t>
      </w:r>
      <w:r w:rsidR="0065313A" w:rsidRPr="00FC125C">
        <w:rPr>
          <w:rFonts w:cstheme="minorHAnsi"/>
          <w:sz w:val="24"/>
          <w:szCs w:val="24"/>
        </w:rPr>
        <w:t xml:space="preserve"> into the interpretation of ‘hate’</w:t>
      </w:r>
      <w:r w:rsidR="001862D8" w:rsidRPr="00FC125C">
        <w:rPr>
          <w:rFonts w:cstheme="minorHAnsi"/>
          <w:sz w:val="24"/>
          <w:szCs w:val="24"/>
        </w:rPr>
        <w:t xml:space="preserve"> and like concepts</w:t>
      </w:r>
      <w:r w:rsidR="008A5DC9">
        <w:rPr>
          <w:rFonts w:cstheme="minorHAnsi"/>
          <w:sz w:val="24"/>
          <w:szCs w:val="24"/>
        </w:rPr>
        <w:t>. This importation</w:t>
      </w:r>
      <w:r w:rsidR="0093039C">
        <w:rPr>
          <w:rFonts w:cstheme="minorHAnsi"/>
          <w:sz w:val="24"/>
          <w:szCs w:val="24"/>
        </w:rPr>
        <w:t xml:space="preserve"> of private value</w:t>
      </w:r>
      <w:r w:rsidR="00283A8B">
        <w:rPr>
          <w:rFonts w:cstheme="minorHAnsi"/>
          <w:sz w:val="24"/>
          <w:szCs w:val="24"/>
        </w:rPr>
        <w:t>s</w:t>
      </w:r>
      <w:r w:rsidR="007C51CF" w:rsidRPr="003B44D7">
        <w:rPr>
          <w:rFonts w:cstheme="minorHAnsi"/>
          <w:sz w:val="24"/>
          <w:szCs w:val="24"/>
        </w:rPr>
        <w:t xml:space="preserve"> </w:t>
      </w:r>
      <w:r w:rsidR="001862D8">
        <w:rPr>
          <w:rFonts w:cstheme="minorHAnsi"/>
          <w:sz w:val="24"/>
          <w:szCs w:val="24"/>
        </w:rPr>
        <w:t>is</w:t>
      </w:r>
      <w:r w:rsidR="007C51CF" w:rsidRPr="003B44D7">
        <w:rPr>
          <w:rFonts w:cstheme="minorHAnsi"/>
          <w:sz w:val="24"/>
          <w:szCs w:val="24"/>
        </w:rPr>
        <w:t xml:space="preserve"> part</w:t>
      </w:r>
      <w:r w:rsidR="00930C63">
        <w:rPr>
          <w:rFonts w:cstheme="minorHAnsi"/>
          <w:sz w:val="24"/>
          <w:szCs w:val="24"/>
        </w:rPr>
        <w:t>ially</w:t>
      </w:r>
      <w:r w:rsidR="0064048A" w:rsidRPr="003B44D7">
        <w:rPr>
          <w:rFonts w:cstheme="minorHAnsi"/>
          <w:sz w:val="24"/>
          <w:szCs w:val="24"/>
        </w:rPr>
        <w:t xml:space="preserve"> </w:t>
      </w:r>
      <w:r w:rsidR="007C51CF" w:rsidRPr="003B44D7">
        <w:rPr>
          <w:rFonts w:cstheme="minorHAnsi"/>
          <w:sz w:val="24"/>
          <w:szCs w:val="24"/>
        </w:rPr>
        <w:t>counteracted by</w:t>
      </w:r>
      <w:r w:rsidR="0019484F" w:rsidRPr="003B44D7">
        <w:rPr>
          <w:rFonts w:cstheme="minorHAnsi"/>
          <w:sz w:val="24"/>
          <w:szCs w:val="24"/>
        </w:rPr>
        <w:t xml:space="preserve"> NetzDG</w:t>
      </w:r>
      <w:r w:rsidR="007C51CF" w:rsidRPr="003B44D7">
        <w:rPr>
          <w:rFonts w:cstheme="minorHAnsi"/>
          <w:sz w:val="24"/>
          <w:szCs w:val="24"/>
        </w:rPr>
        <w:t>’s</w:t>
      </w:r>
      <w:r w:rsidR="0019484F" w:rsidRPr="003B44D7">
        <w:rPr>
          <w:rFonts w:cstheme="minorHAnsi"/>
          <w:sz w:val="24"/>
          <w:szCs w:val="24"/>
        </w:rPr>
        <w:t xml:space="preserve"> </w:t>
      </w:r>
      <w:r w:rsidR="00930C63">
        <w:rPr>
          <w:rFonts w:cstheme="minorHAnsi"/>
          <w:sz w:val="24"/>
          <w:szCs w:val="24"/>
        </w:rPr>
        <w:t xml:space="preserve">requirement </w:t>
      </w:r>
      <w:r w:rsidR="0093039C">
        <w:rPr>
          <w:rFonts w:cstheme="minorHAnsi"/>
          <w:sz w:val="24"/>
          <w:szCs w:val="24"/>
        </w:rPr>
        <w:t>of training the content assessor regularly</w:t>
      </w:r>
      <w:r w:rsidR="009F44E4">
        <w:rPr>
          <w:rFonts w:cstheme="minorHAnsi"/>
          <w:sz w:val="24"/>
          <w:szCs w:val="24"/>
        </w:rPr>
        <w:t>.</w:t>
      </w:r>
      <w:r w:rsidR="0019484F" w:rsidRPr="003B44D7">
        <w:rPr>
          <w:rStyle w:val="FootnoteReference"/>
          <w:rFonts w:cstheme="minorHAnsi"/>
          <w:sz w:val="24"/>
          <w:szCs w:val="24"/>
        </w:rPr>
        <w:footnoteReference w:id="138"/>
      </w:r>
      <w:r w:rsidR="0019484F" w:rsidRPr="003B44D7">
        <w:rPr>
          <w:rFonts w:cstheme="minorHAnsi"/>
          <w:sz w:val="24"/>
          <w:szCs w:val="24"/>
        </w:rPr>
        <w:t xml:space="preserve"> </w:t>
      </w:r>
      <w:r w:rsidR="009F44E4">
        <w:rPr>
          <w:rFonts w:cstheme="minorHAnsi"/>
          <w:sz w:val="24"/>
          <w:szCs w:val="24"/>
        </w:rPr>
        <w:t>Still,</w:t>
      </w:r>
      <w:r w:rsidR="0093039C">
        <w:rPr>
          <w:rFonts w:cstheme="minorHAnsi"/>
          <w:sz w:val="24"/>
          <w:szCs w:val="24"/>
        </w:rPr>
        <w:t xml:space="preserve"> the evaluations themselves are</w:t>
      </w:r>
      <w:r w:rsidR="00283A8B">
        <w:rPr>
          <w:rFonts w:cstheme="minorHAnsi"/>
          <w:sz w:val="24"/>
          <w:szCs w:val="24"/>
        </w:rPr>
        <w:t xml:space="preserve"> </w:t>
      </w:r>
      <w:r w:rsidR="0093039C">
        <w:rPr>
          <w:rFonts w:cstheme="minorHAnsi"/>
          <w:sz w:val="24"/>
          <w:szCs w:val="24"/>
        </w:rPr>
        <w:t xml:space="preserve">distanced from government. </w:t>
      </w:r>
      <w:r w:rsidR="009F44E4">
        <w:rPr>
          <w:rFonts w:cstheme="minorHAnsi"/>
        </w:rPr>
        <w:t xml:space="preserve"> </w:t>
      </w:r>
      <w:r w:rsidR="0064048A" w:rsidRPr="003B44D7">
        <w:rPr>
          <w:rFonts w:cstheme="minorHAnsi"/>
          <w:sz w:val="24"/>
          <w:szCs w:val="24"/>
        </w:rPr>
        <w:t>Furthermore</w:t>
      </w:r>
      <w:r w:rsidR="00B65A47">
        <w:rPr>
          <w:rFonts w:cstheme="minorHAnsi"/>
          <w:sz w:val="24"/>
          <w:szCs w:val="24"/>
        </w:rPr>
        <w:t xml:space="preserve">, </w:t>
      </w:r>
      <w:r w:rsidR="0064048A" w:rsidRPr="003B44D7">
        <w:rPr>
          <w:rFonts w:cstheme="minorHAnsi"/>
          <w:sz w:val="24"/>
          <w:szCs w:val="24"/>
        </w:rPr>
        <w:t>g</w:t>
      </w:r>
      <w:r w:rsidR="00F63EE1" w:rsidRPr="003B44D7">
        <w:rPr>
          <w:rFonts w:cstheme="minorHAnsi"/>
          <w:sz w:val="24"/>
          <w:szCs w:val="24"/>
        </w:rPr>
        <w:t xml:space="preserve">iven that individual decisions are not made publicly available, as </w:t>
      </w:r>
      <w:r w:rsidR="00C96BBF">
        <w:rPr>
          <w:rFonts w:cstheme="minorHAnsi"/>
          <w:sz w:val="24"/>
          <w:szCs w:val="24"/>
        </w:rPr>
        <w:t xml:space="preserve">rightly </w:t>
      </w:r>
      <w:r w:rsidR="00F63EE1" w:rsidRPr="003B44D7">
        <w:rPr>
          <w:rFonts w:cstheme="minorHAnsi"/>
          <w:sz w:val="24"/>
          <w:szCs w:val="24"/>
        </w:rPr>
        <w:t>critic</w:t>
      </w:r>
      <w:r w:rsidR="00C96BBF">
        <w:rPr>
          <w:rFonts w:cstheme="minorHAnsi"/>
          <w:sz w:val="24"/>
          <w:szCs w:val="24"/>
        </w:rPr>
        <w:t xml:space="preserve">ised </w:t>
      </w:r>
      <w:r w:rsidR="00F63EE1" w:rsidRPr="003B44D7">
        <w:rPr>
          <w:rFonts w:cstheme="minorHAnsi"/>
          <w:sz w:val="24"/>
          <w:szCs w:val="24"/>
        </w:rPr>
        <w:t>by</w:t>
      </w:r>
      <w:r w:rsidR="00617F02">
        <w:rPr>
          <w:rFonts w:cstheme="minorHAnsi"/>
          <w:sz w:val="24"/>
          <w:szCs w:val="24"/>
        </w:rPr>
        <w:t xml:space="preserve"> various</w:t>
      </w:r>
      <w:r w:rsidR="00A0696F">
        <w:rPr>
          <w:rFonts w:cstheme="minorHAnsi"/>
          <w:sz w:val="24"/>
          <w:szCs w:val="24"/>
        </w:rPr>
        <w:t xml:space="preserve"> </w:t>
      </w:r>
      <w:r w:rsidR="00F63EE1" w:rsidRPr="003B44D7">
        <w:rPr>
          <w:rFonts w:cstheme="minorHAnsi"/>
          <w:sz w:val="24"/>
          <w:szCs w:val="24"/>
        </w:rPr>
        <w:t>commentators,</w:t>
      </w:r>
      <w:r w:rsidR="0064048A" w:rsidRPr="003B44D7">
        <w:rPr>
          <w:rStyle w:val="FootnoteReference"/>
          <w:rFonts w:cstheme="minorHAnsi"/>
          <w:sz w:val="24"/>
          <w:szCs w:val="24"/>
        </w:rPr>
        <w:footnoteReference w:id="139"/>
      </w:r>
      <w:r w:rsidR="00F63EE1" w:rsidRPr="003B44D7">
        <w:rPr>
          <w:rFonts w:cstheme="minorHAnsi"/>
          <w:sz w:val="24"/>
          <w:szCs w:val="24"/>
        </w:rPr>
        <w:t xml:space="preserve"> there is also no </w:t>
      </w:r>
      <w:r w:rsidR="00BB43E3" w:rsidRPr="003B44D7">
        <w:rPr>
          <w:rFonts w:cstheme="minorHAnsi"/>
          <w:sz w:val="24"/>
          <w:szCs w:val="24"/>
        </w:rPr>
        <w:t xml:space="preserve">wider </w:t>
      </w:r>
      <w:r w:rsidR="0064048A" w:rsidRPr="003B44D7">
        <w:rPr>
          <w:rFonts w:cstheme="minorHAnsi"/>
          <w:sz w:val="24"/>
          <w:szCs w:val="24"/>
        </w:rPr>
        <w:t xml:space="preserve">exposure to </w:t>
      </w:r>
      <w:r w:rsidR="00F63EE1" w:rsidRPr="003B44D7">
        <w:rPr>
          <w:rFonts w:cstheme="minorHAnsi"/>
          <w:sz w:val="24"/>
          <w:szCs w:val="24"/>
        </w:rPr>
        <w:t>public</w:t>
      </w:r>
      <w:r w:rsidR="0064048A" w:rsidRPr="003B44D7">
        <w:rPr>
          <w:rFonts w:cstheme="minorHAnsi"/>
          <w:sz w:val="24"/>
          <w:szCs w:val="24"/>
        </w:rPr>
        <w:t xml:space="preserve"> </w:t>
      </w:r>
      <w:r w:rsidR="00BB43E3" w:rsidRPr="003B44D7">
        <w:rPr>
          <w:rFonts w:cstheme="minorHAnsi"/>
          <w:sz w:val="24"/>
          <w:szCs w:val="24"/>
        </w:rPr>
        <w:t>scrutiny</w:t>
      </w:r>
      <w:r w:rsidR="0064048A" w:rsidRPr="003B44D7">
        <w:rPr>
          <w:rFonts w:cstheme="minorHAnsi"/>
          <w:sz w:val="24"/>
          <w:szCs w:val="24"/>
        </w:rPr>
        <w:t xml:space="preserve"> </w:t>
      </w:r>
      <w:r w:rsidR="00BF5422">
        <w:rPr>
          <w:rFonts w:cstheme="minorHAnsi"/>
          <w:sz w:val="24"/>
          <w:szCs w:val="24"/>
        </w:rPr>
        <w:t>of</w:t>
      </w:r>
      <w:r w:rsidR="0064048A" w:rsidRPr="003B44D7">
        <w:rPr>
          <w:rFonts w:cstheme="minorHAnsi"/>
          <w:sz w:val="24"/>
          <w:szCs w:val="24"/>
        </w:rPr>
        <w:t xml:space="preserve"> </w:t>
      </w:r>
      <w:r w:rsidR="00F63EE1" w:rsidRPr="003B44D7">
        <w:rPr>
          <w:rFonts w:cstheme="minorHAnsi"/>
          <w:sz w:val="24"/>
          <w:szCs w:val="24"/>
        </w:rPr>
        <w:t xml:space="preserve">the platforms’ application of the official standards. </w:t>
      </w:r>
      <w:r w:rsidR="00C96BBF">
        <w:rPr>
          <w:rFonts w:cstheme="minorHAnsi"/>
          <w:sz w:val="24"/>
          <w:szCs w:val="24"/>
        </w:rPr>
        <w:t>NetzDG’s</w:t>
      </w:r>
      <w:r w:rsidR="00F63EE1" w:rsidRPr="003B44D7">
        <w:rPr>
          <w:rFonts w:cstheme="minorHAnsi"/>
          <w:sz w:val="24"/>
          <w:szCs w:val="24"/>
        </w:rPr>
        <w:t xml:space="preserve"> </w:t>
      </w:r>
      <w:r w:rsidR="006D1607">
        <w:rPr>
          <w:rFonts w:cstheme="minorHAnsi"/>
          <w:sz w:val="24"/>
          <w:szCs w:val="24"/>
        </w:rPr>
        <w:t xml:space="preserve">general </w:t>
      </w:r>
      <w:r w:rsidR="00F63EE1" w:rsidRPr="003B44D7">
        <w:rPr>
          <w:rFonts w:cstheme="minorHAnsi"/>
          <w:sz w:val="24"/>
          <w:szCs w:val="24"/>
        </w:rPr>
        <w:t xml:space="preserve">transparency </w:t>
      </w:r>
      <w:r w:rsidR="00BF5422">
        <w:rPr>
          <w:rFonts w:cstheme="minorHAnsi"/>
          <w:sz w:val="24"/>
          <w:szCs w:val="24"/>
        </w:rPr>
        <w:t>obligations are</w:t>
      </w:r>
      <w:r w:rsidR="00FE118B">
        <w:rPr>
          <w:rFonts w:cstheme="minorHAnsi"/>
          <w:sz w:val="24"/>
          <w:szCs w:val="24"/>
        </w:rPr>
        <w:t xml:space="preserve"> </w:t>
      </w:r>
      <w:proofErr w:type="gramStart"/>
      <w:r w:rsidR="00FE118B">
        <w:rPr>
          <w:rFonts w:cstheme="minorHAnsi"/>
          <w:sz w:val="24"/>
          <w:szCs w:val="24"/>
        </w:rPr>
        <w:t>all</w:t>
      </w:r>
      <w:r w:rsidR="00BF5422">
        <w:rPr>
          <w:rFonts w:cstheme="minorHAnsi"/>
          <w:sz w:val="24"/>
          <w:szCs w:val="24"/>
        </w:rPr>
        <w:t xml:space="preserve"> of</w:t>
      </w:r>
      <w:proofErr w:type="gramEnd"/>
      <w:r w:rsidR="00BF5422">
        <w:rPr>
          <w:rFonts w:cstheme="minorHAnsi"/>
          <w:sz w:val="24"/>
          <w:szCs w:val="24"/>
        </w:rPr>
        <w:t xml:space="preserve"> an aggregate </w:t>
      </w:r>
      <w:r w:rsidR="00FE118B">
        <w:rPr>
          <w:rFonts w:cstheme="minorHAnsi"/>
          <w:sz w:val="24"/>
          <w:szCs w:val="24"/>
        </w:rPr>
        <w:t xml:space="preserve">nature, and </w:t>
      </w:r>
      <w:r w:rsidR="00C215EC">
        <w:rPr>
          <w:rFonts w:cstheme="minorHAnsi"/>
          <w:sz w:val="24"/>
          <w:szCs w:val="24"/>
        </w:rPr>
        <w:t xml:space="preserve">do </w:t>
      </w:r>
      <w:r w:rsidR="00BF5422">
        <w:rPr>
          <w:rFonts w:cstheme="minorHAnsi"/>
          <w:sz w:val="24"/>
          <w:szCs w:val="24"/>
        </w:rPr>
        <w:t xml:space="preserve">not </w:t>
      </w:r>
      <w:r w:rsidR="00FE118B">
        <w:rPr>
          <w:rFonts w:cstheme="minorHAnsi"/>
          <w:sz w:val="24"/>
          <w:szCs w:val="24"/>
        </w:rPr>
        <w:t xml:space="preserve">give </w:t>
      </w:r>
      <w:r w:rsidR="00BF5422">
        <w:rPr>
          <w:rFonts w:cstheme="minorHAnsi"/>
          <w:sz w:val="24"/>
          <w:szCs w:val="24"/>
        </w:rPr>
        <w:t>insight</w:t>
      </w:r>
      <w:r w:rsidR="00FE118B">
        <w:rPr>
          <w:rFonts w:cstheme="minorHAnsi"/>
          <w:sz w:val="24"/>
          <w:szCs w:val="24"/>
        </w:rPr>
        <w:t xml:space="preserve"> </w:t>
      </w:r>
      <w:r w:rsidR="00C215EC">
        <w:rPr>
          <w:rFonts w:cstheme="minorHAnsi"/>
          <w:sz w:val="24"/>
          <w:szCs w:val="24"/>
        </w:rPr>
        <w:t>into t</w:t>
      </w:r>
      <w:r w:rsidR="00FE118B">
        <w:rPr>
          <w:rFonts w:cstheme="minorHAnsi"/>
          <w:sz w:val="24"/>
          <w:szCs w:val="24"/>
        </w:rPr>
        <w:t>he reasons</w:t>
      </w:r>
      <w:r w:rsidR="00C215EC">
        <w:rPr>
          <w:rFonts w:cstheme="minorHAnsi"/>
          <w:sz w:val="24"/>
          <w:szCs w:val="24"/>
        </w:rPr>
        <w:t xml:space="preserve"> for</w:t>
      </w:r>
      <w:r w:rsidR="00BF5422">
        <w:rPr>
          <w:rFonts w:cstheme="minorHAnsi"/>
          <w:sz w:val="24"/>
          <w:szCs w:val="24"/>
        </w:rPr>
        <w:t xml:space="preserve"> individual decisions</w:t>
      </w:r>
      <w:r w:rsidR="006D1607">
        <w:rPr>
          <w:rFonts w:cstheme="minorHAnsi"/>
          <w:sz w:val="24"/>
          <w:szCs w:val="24"/>
        </w:rPr>
        <w:t>,</w:t>
      </w:r>
      <w:r w:rsidR="00BF5422">
        <w:rPr>
          <w:rStyle w:val="FootnoteReference"/>
          <w:rFonts w:cstheme="minorHAnsi"/>
          <w:sz w:val="24"/>
          <w:szCs w:val="24"/>
        </w:rPr>
        <w:footnoteReference w:id="140"/>
      </w:r>
      <w:r w:rsidR="00F63EE1" w:rsidRPr="003B44D7">
        <w:rPr>
          <w:rFonts w:cstheme="minorHAnsi"/>
          <w:sz w:val="24"/>
          <w:szCs w:val="24"/>
        </w:rPr>
        <w:t xml:space="preserve"> </w:t>
      </w:r>
      <w:r w:rsidR="006D1607">
        <w:rPr>
          <w:rFonts w:cstheme="minorHAnsi"/>
          <w:sz w:val="24"/>
          <w:szCs w:val="24"/>
        </w:rPr>
        <w:t xml:space="preserve">to which only the parties have </w:t>
      </w:r>
      <w:r w:rsidR="0065313A">
        <w:rPr>
          <w:rFonts w:cstheme="minorHAnsi"/>
          <w:sz w:val="24"/>
          <w:szCs w:val="24"/>
        </w:rPr>
        <w:t>access</w:t>
      </w:r>
      <w:r w:rsidR="00FE118B" w:rsidRPr="00FE118B">
        <w:rPr>
          <w:rFonts w:cstheme="minorHAnsi"/>
          <w:sz w:val="24"/>
          <w:szCs w:val="24"/>
        </w:rPr>
        <w:t xml:space="preserve"> </w:t>
      </w:r>
      <w:r w:rsidR="00FE118B" w:rsidRPr="00C96BBF">
        <w:rPr>
          <w:rFonts w:cstheme="minorHAnsi"/>
          <w:sz w:val="24"/>
          <w:szCs w:val="24"/>
        </w:rPr>
        <w:t>and</w:t>
      </w:r>
      <w:r w:rsidR="0065313A">
        <w:rPr>
          <w:rFonts w:cstheme="minorHAnsi"/>
          <w:sz w:val="24"/>
          <w:szCs w:val="24"/>
        </w:rPr>
        <w:t>,</w:t>
      </w:r>
      <w:r w:rsidR="00FE118B">
        <w:rPr>
          <w:rFonts w:cstheme="minorHAnsi"/>
          <w:sz w:val="24"/>
          <w:szCs w:val="24"/>
        </w:rPr>
        <w:t xml:space="preserve"> it appears</w:t>
      </w:r>
      <w:r w:rsidR="0065313A">
        <w:rPr>
          <w:rFonts w:cstheme="minorHAnsi"/>
          <w:sz w:val="24"/>
          <w:szCs w:val="24"/>
        </w:rPr>
        <w:t>,</w:t>
      </w:r>
      <w:r w:rsidR="00C215EC">
        <w:rPr>
          <w:rFonts w:cstheme="minorHAnsi"/>
          <w:sz w:val="24"/>
          <w:szCs w:val="24"/>
        </w:rPr>
        <w:t xml:space="preserve"> </w:t>
      </w:r>
      <w:r w:rsidR="00FE118B" w:rsidRPr="00C96BBF">
        <w:rPr>
          <w:rFonts w:cstheme="minorHAnsi"/>
          <w:sz w:val="24"/>
          <w:szCs w:val="24"/>
        </w:rPr>
        <w:t>the supervisory authority</w:t>
      </w:r>
      <w:r w:rsidR="006D1607">
        <w:rPr>
          <w:rFonts w:cstheme="minorHAnsi"/>
          <w:sz w:val="24"/>
          <w:szCs w:val="24"/>
        </w:rPr>
        <w:t>.</w:t>
      </w:r>
      <w:r w:rsidR="006D1607">
        <w:rPr>
          <w:rStyle w:val="FootnoteReference"/>
          <w:rFonts w:cstheme="minorHAnsi"/>
          <w:sz w:val="24"/>
          <w:szCs w:val="24"/>
        </w:rPr>
        <w:footnoteReference w:id="141"/>
      </w:r>
      <w:r w:rsidR="006D1607">
        <w:rPr>
          <w:rFonts w:cstheme="minorHAnsi"/>
          <w:sz w:val="24"/>
          <w:szCs w:val="24"/>
        </w:rPr>
        <w:t xml:space="preserve"> </w:t>
      </w:r>
      <w:r w:rsidR="00F63EE1" w:rsidRPr="003B44D7">
        <w:rPr>
          <w:rFonts w:cstheme="minorHAnsi"/>
          <w:sz w:val="24"/>
          <w:szCs w:val="24"/>
        </w:rPr>
        <w:t xml:space="preserve">Last but not least, the </w:t>
      </w:r>
      <w:r w:rsidR="0064048A" w:rsidRPr="003B44D7">
        <w:rPr>
          <w:rFonts w:cstheme="minorHAnsi"/>
          <w:sz w:val="24"/>
          <w:szCs w:val="24"/>
        </w:rPr>
        <w:t>‘natural’ preference of platforms for</w:t>
      </w:r>
      <w:r w:rsidR="00F63EE1" w:rsidRPr="003B44D7">
        <w:rPr>
          <w:rFonts w:cstheme="minorHAnsi"/>
          <w:sz w:val="24"/>
          <w:szCs w:val="24"/>
        </w:rPr>
        <w:t xml:space="preserve"> autonomous inhouse decision-making </w:t>
      </w:r>
      <w:r w:rsidR="0064048A" w:rsidRPr="003B44D7">
        <w:rPr>
          <w:rFonts w:cstheme="minorHAnsi"/>
          <w:sz w:val="24"/>
          <w:szCs w:val="24"/>
        </w:rPr>
        <w:t xml:space="preserve">also explains </w:t>
      </w:r>
      <w:r w:rsidR="00F63EE1" w:rsidRPr="003B44D7">
        <w:rPr>
          <w:rFonts w:cstheme="minorHAnsi"/>
          <w:sz w:val="24"/>
          <w:szCs w:val="24"/>
        </w:rPr>
        <w:t xml:space="preserve">why </w:t>
      </w:r>
      <w:r w:rsidR="007D2997" w:rsidRPr="003B44D7">
        <w:rPr>
          <w:rFonts w:cstheme="minorHAnsi"/>
          <w:sz w:val="24"/>
          <w:szCs w:val="24"/>
        </w:rPr>
        <w:t xml:space="preserve">the </w:t>
      </w:r>
      <w:r w:rsidR="00F63EE1" w:rsidRPr="003B44D7">
        <w:rPr>
          <w:rFonts w:cstheme="minorHAnsi"/>
          <w:sz w:val="24"/>
          <w:szCs w:val="24"/>
        </w:rPr>
        <w:t xml:space="preserve">possibility of </w:t>
      </w:r>
      <w:r w:rsidR="007D2997" w:rsidRPr="003B44D7">
        <w:rPr>
          <w:sz w:val="24"/>
          <w:szCs w:val="24"/>
        </w:rPr>
        <w:t>delegating difficult decisions to ‘</w:t>
      </w:r>
      <w:r w:rsidR="00F63EE1" w:rsidRPr="003B44D7">
        <w:rPr>
          <w:sz w:val="24"/>
          <w:szCs w:val="24"/>
        </w:rPr>
        <w:t xml:space="preserve">a recognised </w:t>
      </w:r>
      <w:r w:rsidR="007D2997" w:rsidRPr="003B44D7">
        <w:rPr>
          <w:sz w:val="24"/>
          <w:szCs w:val="24"/>
        </w:rPr>
        <w:t>self-regulat</w:t>
      </w:r>
      <w:r w:rsidR="00D11548">
        <w:rPr>
          <w:sz w:val="24"/>
          <w:szCs w:val="24"/>
        </w:rPr>
        <w:t>ory</w:t>
      </w:r>
      <w:r w:rsidR="007D2997" w:rsidRPr="003B44D7">
        <w:rPr>
          <w:sz w:val="24"/>
          <w:szCs w:val="24"/>
        </w:rPr>
        <w:t xml:space="preserve"> institution’ </w:t>
      </w:r>
      <w:r w:rsidR="00F63EE1" w:rsidRPr="003B44D7">
        <w:rPr>
          <w:sz w:val="24"/>
          <w:szCs w:val="24"/>
        </w:rPr>
        <w:t>has</w:t>
      </w:r>
      <w:r w:rsidR="00EB03EF">
        <w:rPr>
          <w:sz w:val="24"/>
          <w:szCs w:val="24"/>
        </w:rPr>
        <w:t xml:space="preserve"> had a fairly low take-up</w:t>
      </w:r>
      <w:r w:rsidR="0064048A" w:rsidRPr="003B44D7">
        <w:rPr>
          <w:sz w:val="24"/>
          <w:szCs w:val="24"/>
        </w:rPr>
        <w:t>.</w:t>
      </w:r>
      <w:r w:rsidR="00A0696F" w:rsidRPr="00A0696F">
        <w:rPr>
          <w:rStyle w:val="FootnoteReference"/>
          <w:sz w:val="24"/>
          <w:szCs w:val="24"/>
        </w:rPr>
        <w:t xml:space="preserve"> </w:t>
      </w:r>
      <w:r w:rsidR="00A0696F" w:rsidRPr="003B44D7">
        <w:rPr>
          <w:rStyle w:val="FootnoteReference"/>
          <w:sz w:val="24"/>
          <w:szCs w:val="24"/>
        </w:rPr>
        <w:footnoteReference w:id="142"/>
      </w:r>
      <w:r w:rsidR="0064048A" w:rsidRPr="003B44D7">
        <w:rPr>
          <w:sz w:val="24"/>
          <w:szCs w:val="24"/>
        </w:rPr>
        <w:t xml:space="preserve"> </w:t>
      </w:r>
      <w:r w:rsidR="00F63EE1" w:rsidRPr="003B44D7">
        <w:rPr>
          <w:sz w:val="24"/>
          <w:szCs w:val="24"/>
        </w:rPr>
        <w:t xml:space="preserve"> </w:t>
      </w:r>
    </w:p>
    <w:p w14:paraId="6599191C" w14:textId="3D654653" w:rsidR="0064048A" w:rsidRPr="003B44D7" w:rsidRDefault="0064048A" w:rsidP="00F15E80">
      <w:pPr>
        <w:spacing w:after="0" w:line="240" w:lineRule="auto"/>
        <w:jc w:val="both"/>
        <w:rPr>
          <w:sz w:val="24"/>
          <w:szCs w:val="24"/>
        </w:rPr>
      </w:pPr>
    </w:p>
    <w:p w14:paraId="58651066" w14:textId="46DDD921" w:rsidR="00A71DB6" w:rsidRDefault="00A71DB6" w:rsidP="00F15E80">
      <w:pPr>
        <w:spacing w:after="0" w:line="240" w:lineRule="auto"/>
        <w:jc w:val="both"/>
        <w:rPr>
          <w:sz w:val="24"/>
          <w:szCs w:val="24"/>
        </w:rPr>
      </w:pPr>
      <w:r w:rsidRPr="003B44D7">
        <w:rPr>
          <w:sz w:val="24"/>
          <w:szCs w:val="24"/>
        </w:rPr>
        <w:t>The fact that</w:t>
      </w:r>
      <w:r w:rsidR="0064048A" w:rsidRPr="003B44D7">
        <w:rPr>
          <w:sz w:val="24"/>
          <w:szCs w:val="24"/>
        </w:rPr>
        <w:t xml:space="preserve"> NetzDG imposes</w:t>
      </w:r>
      <w:r w:rsidRPr="003B44D7">
        <w:rPr>
          <w:i/>
          <w:iCs/>
          <w:sz w:val="24"/>
          <w:szCs w:val="24"/>
        </w:rPr>
        <w:t xml:space="preserve"> official</w:t>
      </w:r>
      <w:r w:rsidR="0034589B" w:rsidRPr="003B44D7">
        <w:rPr>
          <w:i/>
          <w:iCs/>
          <w:sz w:val="24"/>
          <w:szCs w:val="24"/>
        </w:rPr>
        <w:t xml:space="preserve"> </w:t>
      </w:r>
      <w:r w:rsidRPr="003B44D7">
        <w:rPr>
          <w:sz w:val="24"/>
          <w:szCs w:val="24"/>
        </w:rPr>
        <w:t>standards based on view-point discrimination</w:t>
      </w:r>
      <w:r w:rsidR="0034589B" w:rsidRPr="003B44D7">
        <w:rPr>
          <w:sz w:val="24"/>
          <w:szCs w:val="24"/>
        </w:rPr>
        <w:t xml:space="preserve"> of speech</w:t>
      </w:r>
      <w:r w:rsidRPr="003B44D7">
        <w:rPr>
          <w:sz w:val="24"/>
          <w:szCs w:val="24"/>
        </w:rPr>
        <w:t xml:space="preserve"> </w:t>
      </w:r>
      <w:r w:rsidR="0065313A">
        <w:rPr>
          <w:sz w:val="24"/>
          <w:szCs w:val="24"/>
        </w:rPr>
        <w:t xml:space="preserve">and </w:t>
      </w:r>
      <w:r w:rsidRPr="003B44D7">
        <w:rPr>
          <w:sz w:val="24"/>
          <w:szCs w:val="24"/>
        </w:rPr>
        <w:t xml:space="preserve">would thus be struck down as unconstitutional in America, only tells half the story. The </w:t>
      </w:r>
      <w:r w:rsidR="00A0696F">
        <w:rPr>
          <w:sz w:val="24"/>
          <w:szCs w:val="24"/>
        </w:rPr>
        <w:t xml:space="preserve">other </w:t>
      </w:r>
      <w:r w:rsidRPr="003B44D7">
        <w:rPr>
          <w:sz w:val="24"/>
          <w:szCs w:val="24"/>
        </w:rPr>
        <w:t xml:space="preserve">half </w:t>
      </w:r>
      <w:r w:rsidR="00282E43">
        <w:rPr>
          <w:sz w:val="24"/>
          <w:szCs w:val="24"/>
        </w:rPr>
        <w:t>unfolds when</w:t>
      </w:r>
      <w:r w:rsidRPr="003B44D7">
        <w:rPr>
          <w:sz w:val="24"/>
          <w:szCs w:val="24"/>
        </w:rPr>
        <w:t xml:space="preserve"> these official standards are privatised in the</w:t>
      </w:r>
      <w:r w:rsidR="002D090D" w:rsidRPr="003B44D7">
        <w:rPr>
          <w:sz w:val="24"/>
          <w:szCs w:val="24"/>
        </w:rPr>
        <w:t xml:space="preserve">ir </w:t>
      </w:r>
      <w:r w:rsidRPr="003B44D7">
        <w:rPr>
          <w:sz w:val="24"/>
          <w:szCs w:val="24"/>
        </w:rPr>
        <w:t>implementation by</w:t>
      </w:r>
      <w:r w:rsidR="0034589B" w:rsidRPr="003B44D7">
        <w:rPr>
          <w:sz w:val="24"/>
          <w:szCs w:val="24"/>
        </w:rPr>
        <w:t xml:space="preserve"> private platforms</w:t>
      </w:r>
      <w:r w:rsidR="002D090D" w:rsidRPr="003B44D7">
        <w:rPr>
          <w:sz w:val="24"/>
          <w:szCs w:val="24"/>
        </w:rPr>
        <w:t>. NetzDG</w:t>
      </w:r>
      <w:r w:rsidR="006D1607">
        <w:rPr>
          <w:sz w:val="24"/>
          <w:szCs w:val="24"/>
        </w:rPr>
        <w:t xml:space="preserve"> supports</w:t>
      </w:r>
      <w:r w:rsidR="00617F02">
        <w:rPr>
          <w:sz w:val="24"/>
          <w:szCs w:val="24"/>
        </w:rPr>
        <w:t xml:space="preserve"> and legitimises</w:t>
      </w:r>
      <w:r w:rsidR="002D090D" w:rsidRPr="003B44D7">
        <w:rPr>
          <w:sz w:val="24"/>
          <w:szCs w:val="24"/>
        </w:rPr>
        <w:t xml:space="preserve"> a legal landscape whereby, on the one hand, public law </w:t>
      </w:r>
      <w:r w:rsidR="00A419A1">
        <w:rPr>
          <w:sz w:val="24"/>
          <w:szCs w:val="24"/>
        </w:rPr>
        <w:t>is</w:t>
      </w:r>
      <w:r w:rsidR="002D090D" w:rsidRPr="003B44D7">
        <w:rPr>
          <w:sz w:val="24"/>
          <w:szCs w:val="24"/>
        </w:rPr>
        <w:t xml:space="preserve"> absorbed in</w:t>
      </w:r>
      <w:r w:rsidR="009F44E4">
        <w:rPr>
          <w:sz w:val="24"/>
          <w:szCs w:val="24"/>
        </w:rPr>
        <w:t>to</w:t>
      </w:r>
      <w:r w:rsidR="002D090D" w:rsidRPr="003B44D7">
        <w:rPr>
          <w:sz w:val="24"/>
          <w:szCs w:val="24"/>
        </w:rPr>
        <w:t xml:space="preserve"> private contractual normativity, as expressed in Terms </w:t>
      </w:r>
      <w:r w:rsidR="00A0696F">
        <w:rPr>
          <w:sz w:val="24"/>
          <w:szCs w:val="24"/>
        </w:rPr>
        <w:t>of Service</w:t>
      </w:r>
      <w:r w:rsidR="002D090D" w:rsidRPr="003B44D7">
        <w:rPr>
          <w:sz w:val="24"/>
          <w:szCs w:val="24"/>
        </w:rPr>
        <w:t xml:space="preserve"> and Community </w:t>
      </w:r>
      <w:r w:rsidR="00533902">
        <w:rPr>
          <w:sz w:val="24"/>
          <w:szCs w:val="24"/>
        </w:rPr>
        <w:t>Standards</w:t>
      </w:r>
      <w:r w:rsidR="002D090D" w:rsidRPr="003B44D7">
        <w:rPr>
          <w:sz w:val="24"/>
          <w:szCs w:val="24"/>
        </w:rPr>
        <w:t>, and, on the other hand, residual complaints</w:t>
      </w:r>
      <w:r w:rsidR="0034589B" w:rsidRPr="003B44D7">
        <w:rPr>
          <w:sz w:val="24"/>
          <w:szCs w:val="24"/>
        </w:rPr>
        <w:t xml:space="preserve"> </w:t>
      </w:r>
      <w:r w:rsidR="00A419A1">
        <w:rPr>
          <w:sz w:val="24"/>
          <w:szCs w:val="24"/>
        </w:rPr>
        <w:t>are</w:t>
      </w:r>
      <w:r w:rsidR="00A0696F">
        <w:rPr>
          <w:sz w:val="24"/>
          <w:szCs w:val="24"/>
        </w:rPr>
        <w:t xml:space="preserve"> resolved</w:t>
      </w:r>
      <w:r w:rsidR="002D090D" w:rsidRPr="003B44D7">
        <w:rPr>
          <w:sz w:val="24"/>
          <w:szCs w:val="24"/>
        </w:rPr>
        <w:t xml:space="preserve"> through </w:t>
      </w:r>
      <w:r w:rsidR="0034589B" w:rsidRPr="003B44D7">
        <w:rPr>
          <w:sz w:val="24"/>
          <w:szCs w:val="24"/>
        </w:rPr>
        <w:t xml:space="preserve">largely </w:t>
      </w:r>
      <w:r w:rsidR="002D090D" w:rsidRPr="003B44D7">
        <w:rPr>
          <w:sz w:val="24"/>
          <w:szCs w:val="24"/>
        </w:rPr>
        <w:t xml:space="preserve">autonomously inhouse processes </w:t>
      </w:r>
      <w:r w:rsidR="00A0696F">
        <w:rPr>
          <w:sz w:val="24"/>
          <w:szCs w:val="24"/>
        </w:rPr>
        <w:t xml:space="preserve">applying </w:t>
      </w:r>
      <w:r w:rsidR="0034589B" w:rsidRPr="003B44D7">
        <w:rPr>
          <w:sz w:val="24"/>
          <w:szCs w:val="24"/>
        </w:rPr>
        <w:t xml:space="preserve">broad legal concepts with </w:t>
      </w:r>
      <w:r w:rsidR="00A0696F">
        <w:rPr>
          <w:sz w:val="24"/>
          <w:szCs w:val="24"/>
        </w:rPr>
        <w:t xml:space="preserve">much </w:t>
      </w:r>
      <w:r w:rsidR="00A0696F" w:rsidRPr="003B44D7">
        <w:rPr>
          <w:sz w:val="24"/>
          <w:szCs w:val="24"/>
        </w:rPr>
        <w:t>room</w:t>
      </w:r>
      <w:r w:rsidR="00A0696F">
        <w:rPr>
          <w:sz w:val="24"/>
          <w:szCs w:val="24"/>
        </w:rPr>
        <w:t xml:space="preserve"> for</w:t>
      </w:r>
      <w:r w:rsidR="00A0696F" w:rsidRPr="003B44D7">
        <w:rPr>
          <w:sz w:val="24"/>
          <w:szCs w:val="24"/>
        </w:rPr>
        <w:t xml:space="preserve"> </w:t>
      </w:r>
      <w:r w:rsidR="0034589B" w:rsidRPr="003B44D7">
        <w:rPr>
          <w:sz w:val="24"/>
          <w:szCs w:val="24"/>
        </w:rPr>
        <w:t>discretion</w:t>
      </w:r>
      <w:r w:rsidR="00A0696F">
        <w:rPr>
          <w:sz w:val="24"/>
          <w:szCs w:val="24"/>
        </w:rPr>
        <w:t xml:space="preserve"> </w:t>
      </w:r>
      <w:r w:rsidR="0034589B" w:rsidRPr="003B44D7">
        <w:rPr>
          <w:sz w:val="24"/>
          <w:szCs w:val="24"/>
        </w:rPr>
        <w:t xml:space="preserve">and without routine </w:t>
      </w:r>
      <w:r w:rsidR="002D090D" w:rsidRPr="003B44D7">
        <w:rPr>
          <w:sz w:val="24"/>
          <w:szCs w:val="24"/>
        </w:rPr>
        <w:t>scrutiny</w:t>
      </w:r>
      <w:r w:rsidR="0034589B" w:rsidRPr="003B44D7">
        <w:rPr>
          <w:sz w:val="24"/>
          <w:szCs w:val="24"/>
        </w:rPr>
        <w:t xml:space="preserve"> of individual decisions.</w:t>
      </w:r>
      <w:r w:rsidR="002D090D" w:rsidRPr="003B44D7">
        <w:rPr>
          <w:sz w:val="24"/>
          <w:szCs w:val="24"/>
        </w:rPr>
        <w:t xml:space="preserve"> This is not to say that NetzDG would escape the American constitutional wrath, but to show</w:t>
      </w:r>
      <w:r w:rsidR="0034589B" w:rsidRPr="003B44D7">
        <w:rPr>
          <w:sz w:val="24"/>
          <w:szCs w:val="24"/>
        </w:rPr>
        <w:t xml:space="preserve"> why</w:t>
      </w:r>
      <w:r w:rsidR="00C43450" w:rsidRPr="003B44D7">
        <w:rPr>
          <w:sz w:val="24"/>
          <w:szCs w:val="24"/>
        </w:rPr>
        <w:t xml:space="preserve"> the </w:t>
      </w:r>
      <w:r w:rsidR="00BF5422" w:rsidRPr="003B44D7">
        <w:rPr>
          <w:sz w:val="24"/>
          <w:szCs w:val="24"/>
        </w:rPr>
        <w:t xml:space="preserve">implementation of public </w:t>
      </w:r>
      <w:r w:rsidR="000037EF">
        <w:rPr>
          <w:sz w:val="24"/>
          <w:szCs w:val="24"/>
        </w:rPr>
        <w:t xml:space="preserve">content </w:t>
      </w:r>
      <w:r w:rsidR="00BF5422" w:rsidRPr="003B44D7">
        <w:rPr>
          <w:sz w:val="24"/>
          <w:szCs w:val="24"/>
        </w:rPr>
        <w:t xml:space="preserve">standards </w:t>
      </w:r>
      <w:r w:rsidR="00BF5422">
        <w:rPr>
          <w:sz w:val="24"/>
          <w:szCs w:val="24"/>
        </w:rPr>
        <w:t>through</w:t>
      </w:r>
      <w:r w:rsidR="00A0696F">
        <w:rPr>
          <w:sz w:val="24"/>
          <w:szCs w:val="24"/>
        </w:rPr>
        <w:t xml:space="preserve"> relatively autonomous</w:t>
      </w:r>
      <w:r w:rsidR="00C43450" w:rsidRPr="003B44D7">
        <w:rPr>
          <w:sz w:val="24"/>
          <w:szCs w:val="24"/>
        </w:rPr>
        <w:t xml:space="preserve"> private processes</w:t>
      </w:r>
      <w:r w:rsidR="002D090D" w:rsidRPr="003B44D7">
        <w:rPr>
          <w:sz w:val="24"/>
          <w:szCs w:val="24"/>
        </w:rPr>
        <w:t xml:space="preserve"> </w:t>
      </w:r>
      <w:r w:rsidR="00A0696F">
        <w:rPr>
          <w:sz w:val="24"/>
          <w:szCs w:val="24"/>
        </w:rPr>
        <w:t xml:space="preserve">should go </w:t>
      </w:r>
      <w:r w:rsidR="002D090D" w:rsidRPr="003B44D7">
        <w:rPr>
          <w:sz w:val="24"/>
          <w:szCs w:val="24"/>
        </w:rPr>
        <w:t xml:space="preserve">towards assuaging the American primary fear of </w:t>
      </w:r>
      <w:r w:rsidR="0034589B" w:rsidRPr="003B44D7">
        <w:rPr>
          <w:sz w:val="24"/>
          <w:szCs w:val="24"/>
        </w:rPr>
        <w:t>government</w:t>
      </w:r>
      <w:r w:rsidR="00FE118B">
        <w:rPr>
          <w:sz w:val="24"/>
          <w:szCs w:val="24"/>
        </w:rPr>
        <w:t>’s</w:t>
      </w:r>
      <w:r w:rsidR="0034589B" w:rsidRPr="003B44D7">
        <w:rPr>
          <w:sz w:val="24"/>
          <w:szCs w:val="24"/>
        </w:rPr>
        <w:t xml:space="preserve"> interfer</w:t>
      </w:r>
      <w:r w:rsidR="00FE118B">
        <w:rPr>
          <w:sz w:val="24"/>
          <w:szCs w:val="24"/>
        </w:rPr>
        <w:t>ence</w:t>
      </w:r>
      <w:r w:rsidR="0034589B" w:rsidRPr="003B44D7">
        <w:rPr>
          <w:sz w:val="24"/>
          <w:szCs w:val="24"/>
        </w:rPr>
        <w:t xml:space="preserve"> </w:t>
      </w:r>
      <w:r w:rsidR="00C43450" w:rsidRPr="003B44D7">
        <w:rPr>
          <w:sz w:val="24"/>
          <w:szCs w:val="24"/>
        </w:rPr>
        <w:t>with</w:t>
      </w:r>
      <w:r w:rsidR="0034589B" w:rsidRPr="003B44D7">
        <w:rPr>
          <w:sz w:val="24"/>
          <w:szCs w:val="24"/>
        </w:rPr>
        <w:t xml:space="preserve"> speech</w:t>
      </w:r>
      <w:r w:rsidR="00C43450" w:rsidRPr="003B44D7">
        <w:rPr>
          <w:sz w:val="24"/>
          <w:szCs w:val="24"/>
        </w:rPr>
        <w:t xml:space="preserve">. </w:t>
      </w:r>
    </w:p>
    <w:p w14:paraId="47DFA985" w14:textId="6A7727AF" w:rsidR="00EB03EF" w:rsidRDefault="00EB03EF" w:rsidP="00F15E80">
      <w:pPr>
        <w:spacing w:after="0" w:line="240" w:lineRule="auto"/>
        <w:jc w:val="both"/>
        <w:rPr>
          <w:sz w:val="24"/>
          <w:szCs w:val="24"/>
        </w:rPr>
      </w:pPr>
    </w:p>
    <w:p w14:paraId="783A52A4" w14:textId="77777777" w:rsidR="00EB03EF" w:rsidRPr="003B44D7" w:rsidRDefault="00EB03EF" w:rsidP="00F15E80">
      <w:pPr>
        <w:spacing w:after="0" w:line="240" w:lineRule="auto"/>
        <w:jc w:val="both"/>
        <w:rPr>
          <w:sz w:val="24"/>
          <w:szCs w:val="24"/>
        </w:rPr>
      </w:pPr>
    </w:p>
    <w:p w14:paraId="2633B012" w14:textId="77777777" w:rsidR="00F63EE1" w:rsidRPr="003B44D7" w:rsidRDefault="00F63EE1" w:rsidP="004E7EB4">
      <w:pPr>
        <w:spacing w:after="0" w:line="240" w:lineRule="auto"/>
        <w:jc w:val="both"/>
        <w:rPr>
          <w:rFonts w:cstheme="minorHAnsi"/>
          <w:sz w:val="24"/>
          <w:szCs w:val="24"/>
        </w:rPr>
      </w:pPr>
    </w:p>
    <w:p w14:paraId="35900C51" w14:textId="77777777" w:rsidR="00502159" w:rsidRPr="00D66448" w:rsidRDefault="00E5230C" w:rsidP="004E7EB4">
      <w:pPr>
        <w:pStyle w:val="Heading1"/>
        <w:numPr>
          <w:ilvl w:val="0"/>
          <w:numId w:val="13"/>
        </w:numPr>
        <w:spacing w:before="0" w:line="240" w:lineRule="auto"/>
        <w:jc w:val="both"/>
        <w:rPr>
          <w:rFonts w:asciiTheme="minorHAnsi" w:hAnsiTheme="minorHAnsi" w:cstheme="minorHAnsi"/>
          <w:sz w:val="28"/>
          <w:szCs w:val="28"/>
        </w:rPr>
      </w:pPr>
      <w:bookmarkStart w:id="9" w:name="_Toc95568723"/>
      <w:r w:rsidRPr="00D66448">
        <w:rPr>
          <w:rFonts w:asciiTheme="minorHAnsi" w:hAnsiTheme="minorHAnsi" w:cstheme="minorHAnsi"/>
          <w:sz w:val="28"/>
          <w:szCs w:val="28"/>
        </w:rPr>
        <w:lastRenderedPageBreak/>
        <w:t>Conclusion</w:t>
      </w:r>
      <w:bookmarkEnd w:id="9"/>
      <w:r w:rsidRPr="00D66448">
        <w:rPr>
          <w:rFonts w:asciiTheme="minorHAnsi" w:hAnsiTheme="minorHAnsi" w:cstheme="minorHAnsi"/>
          <w:sz w:val="28"/>
          <w:szCs w:val="28"/>
        </w:rPr>
        <w:t xml:space="preserve"> </w:t>
      </w:r>
    </w:p>
    <w:p w14:paraId="72355EBB" w14:textId="77777777" w:rsidR="00CF7EEB" w:rsidRPr="003B44D7" w:rsidRDefault="00CF7EEB" w:rsidP="004E7EB4">
      <w:pPr>
        <w:spacing w:after="0" w:line="240" w:lineRule="auto"/>
        <w:rPr>
          <w:rFonts w:cstheme="minorHAnsi"/>
          <w:sz w:val="24"/>
          <w:szCs w:val="24"/>
        </w:rPr>
      </w:pPr>
    </w:p>
    <w:p w14:paraId="7D9A1678" w14:textId="6AC3D3D6" w:rsidR="001A71FF" w:rsidRDefault="009B1FE4" w:rsidP="0019098A">
      <w:pPr>
        <w:spacing w:after="0" w:line="240" w:lineRule="auto"/>
        <w:jc w:val="both"/>
        <w:rPr>
          <w:rFonts w:cstheme="minorHAnsi"/>
          <w:sz w:val="24"/>
          <w:szCs w:val="24"/>
        </w:rPr>
      </w:pPr>
      <w:r>
        <w:rPr>
          <w:rFonts w:cstheme="minorHAnsi"/>
          <w:sz w:val="24"/>
          <w:szCs w:val="24"/>
        </w:rPr>
        <w:t xml:space="preserve">The </w:t>
      </w:r>
      <w:r w:rsidRPr="003B44D7">
        <w:rPr>
          <w:rFonts w:cstheme="minorHAnsi"/>
          <w:sz w:val="24"/>
          <w:szCs w:val="24"/>
        </w:rPr>
        <w:t xml:space="preserve">premise </w:t>
      </w:r>
      <w:r>
        <w:rPr>
          <w:rFonts w:cstheme="minorHAnsi"/>
          <w:sz w:val="24"/>
          <w:szCs w:val="24"/>
        </w:rPr>
        <w:t xml:space="preserve">of this paper was </w:t>
      </w:r>
      <w:r w:rsidRPr="003B44D7">
        <w:rPr>
          <w:rFonts w:cstheme="minorHAnsi"/>
          <w:sz w:val="24"/>
          <w:szCs w:val="24"/>
        </w:rPr>
        <w:t>that the internet has</w:t>
      </w:r>
      <w:r>
        <w:rPr>
          <w:rFonts w:cstheme="minorHAnsi"/>
          <w:sz w:val="24"/>
          <w:szCs w:val="24"/>
        </w:rPr>
        <w:t xml:space="preserve"> changed the public sphere</w:t>
      </w:r>
      <w:r w:rsidR="001A71FF">
        <w:rPr>
          <w:rFonts w:cstheme="minorHAnsi"/>
          <w:sz w:val="24"/>
          <w:szCs w:val="24"/>
        </w:rPr>
        <w:t xml:space="preserve"> profoundly</w:t>
      </w:r>
      <w:r>
        <w:rPr>
          <w:rFonts w:cstheme="minorHAnsi"/>
          <w:sz w:val="24"/>
          <w:szCs w:val="24"/>
        </w:rPr>
        <w:t>. It has</w:t>
      </w:r>
      <w:r w:rsidR="00FC125C">
        <w:rPr>
          <w:rFonts w:cstheme="minorHAnsi"/>
          <w:sz w:val="24"/>
          <w:szCs w:val="24"/>
        </w:rPr>
        <w:t>,</w:t>
      </w:r>
      <w:r>
        <w:rPr>
          <w:rFonts w:cstheme="minorHAnsi"/>
          <w:sz w:val="24"/>
          <w:szCs w:val="24"/>
        </w:rPr>
        <w:t xml:space="preserve"> </w:t>
      </w:r>
      <w:r w:rsidR="00FC125C">
        <w:rPr>
          <w:rFonts w:cstheme="minorHAnsi"/>
          <w:sz w:val="24"/>
          <w:szCs w:val="24"/>
        </w:rPr>
        <w:t>by orders of magnitude,</w:t>
      </w:r>
      <w:r w:rsidR="00FC125C" w:rsidRPr="003B44D7">
        <w:rPr>
          <w:rFonts w:cstheme="minorHAnsi"/>
          <w:sz w:val="24"/>
          <w:szCs w:val="24"/>
        </w:rPr>
        <w:t xml:space="preserve"> </w:t>
      </w:r>
      <w:r w:rsidRPr="003B44D7">
        <w:rPr>
          <w:rFonts w:cstheme="minorHAnsi"/>
          <w:sz w:val="24"/>
          <w:szCs w:val="24"/>
        </w:rPr>
        <w:t>increas</w:t>
      </w:r>
      <w:r>
        <w:rPr>
          <w:rFonts w:cstheme="minorHAnsi"/>
          <w:sz w:val="24"/>
          <w:szCs w:val="24"/>
        </w:rPr>
        <w:t>ed</w:t>
      </w:r>
      <w:r w:rsidR="00FC125C">
        <w:rPr>
          <w:rFonts w:cstheme="minorHAnsi"/>
          <w:sz w:val="24"/>
          <w:szCs w:val="24"/>
        </w:rPr>
        <w:t xml:space="preserve"> </w:t>
      </w:r>
      <w:r>
        <w:rPr>
          <w:rFonts w:cstheme="minorHAnsi"/>
          <w:sz w:val="24"/>
          <w:szCs w:val="24"/>
        </w:rPr>
        <w:t xml:space="preserve">the </w:t>
      </w:r>
      <w:r w:rsidRPr="003B44D7">
        <w:rPr>
          <w:rFonts w:cstheme="minorHAnsi"/>
          <w:sz w:val="24"/>
          <w:szCs w:val="24"/>
        </w:rPr>
        <w:t xml:space="preserve">amount, </w:t>
      </w:r>
      <w:proofErr w:type="gramStart"/>
      <w:r w:rsidRPr="003B44D7">
        <w:rPr>
          <w:rFonts w:cstheme="minorHAnsi"/>
          <w:sz w:val="24"/>
          <w:szCs w:val="24"/>
        </w:rPr>
        <w:t>visibility</w:t>
      </w:r>
      <w:proofErr w:type="gramEnd"/>
      <w:r w:rsidRPr="003B44D7">
        <w:rPr>
          <w:rFonts w:cstheme="minorHAnsi"/>
          <w:sz w:val="24"/>
          <w:szCs w:val="24"/>
        </w:rPr>
        <w:t xml:space="preserve"> and permanence of unfiltered public speech</w:t>
      </w:r>
      <w:r>
        <w:rPr>
          <w:rFonts w:cstheme="minorHAnsi"/>
          <w:sz w:val="24"/>
          <w:szCs w:val="24"/>
        </w:rPr>
        <w:t>, and intensified the globalisation of communication that makes</w:t>
      </w:r>
      <w:r w:rsidR="000B4072">
        <w:rPr>
          <w:rFonts w:cstheme="minorHAnsi"/>
          <w:sz w:val="24"/>
          <w:szCs w:val="24"/>
        </w:rPr>
        <w:t xml:space="preserve"> </w:t>
      </w:r>
      <w:r w:rsidR="00C96BBF">
        <w:rPr>
          <w:rFonts w:cstheme="minorHAnsi"/>
          <w:sz w:val="24"/>
          <w:szCs w:val="24"/>
        </w:rPr>
        <w:t xml:space="preserve">the </w:t>
      </w:r>
      <w:r w:rsidR="007D3535">
        <w:rPr>
          <w:rFonts w:cstheme="minorHAnsi"/>
          <w:sz w:val="24"/>
          <w:szCs w:val="24"/>
        </w:rPr>
        <w:t xml:space="preserve">traditional </w:t>
      </w:r>
      <w:r>
        <w:rPr>
          <w:rFonts w:cstheme="minorHAnsi"/>
          <w:sz w:val="24"/>
          <w:szCs w:val="24"/>
        </w:rPr>
        <w:t xml:space="preserve">territorial speech silos more problematic, even if </w:t>
      </w:r>
      <w:r w:rsidR="000B4072">
        <w:rPr>
          <w:rFonts w:cstheme="minorHAnsi"/>
          <w:sz w:val="24"/>
          <w:szCs w:val="24"/>
        </w:rPr>
        <w:t>not im</w:t>
      </w:r>
      <w:r>
        <w:rPr>
          <w:rFonts w:cstheme="minorHAnsi"/>
          <w:sz w:val="24"/>
          <w:szCs w:val="24"/>
        </w:rPr>
        <w:t xml:space="preserve">possible. NetzDG responds to both pressures by formalising the gatekeeping </w:t>
      </w:r>
      <w:r w:rsidR="007D3535">
        <w:rPr>
          <w:rFonts w:cstheme="minorHAnsi"/>
          <w:sz w:val="24"/>
          <w:szCs w:val="24"/>
        </w:rPr>
        <w:t xml:space="preserve">role </w:t>
      </w:r>
      <w:r>
        <w:rPr>
          <w:rFonts w:cstheme="minorHAnsi"/>
          <w:sz w:val="24"/>
          <w:szCs w:val="24"/>
        </w:rPr>
        <w:t>of key platforms in Germany</w:t>
      </w:r>
      <w:r w:rsidR="000000D5">
        <w:rPr>
          <w:rFonts w:cstheme="minorHAnsi"/>
          <w:sz w:val="24"/>
          <w:szCs w:val="24"/>
        </w:rPr>
        <w:t xml:space="preserve">; it does so </w:t>
      </w:r>
      <w:r w:rsidR="007D3535">
        <w:rPr>
          <w:rFonts w:cstheme="minorHAnsi"/>
          <w:sz w:val="24"/>
          <w:szCs w:val="24"/>
        </w:rPr>
        <w:t>through</w:t>
      </w:r>
      <w:r>
        <w:rPr>
          <w:rFonts w:cstheme="minorHAnsi"/>
          <w:sz w:val="24"/>
          <w:szCs w:val="24"/>
        </w:rPr>
        <w:t xml:space="preserve"> injecting local public </w:t>
      </w:r>
      <w:r w:rsidR="009F44E4">
        <w:rPr>
          <w:rFonts w:cstheme="minorHAnsi"/>
          <w:sz w:val="24"/>
          <w:szCs w:val="24"/>
        </w:rPr>
        <w:t xml:space="preserve">content </w:t>
      </w:r>
      <w:r>
        <w:rPr>
          <w:rFonts w:cstheme="minorHAnsi"/>
          <w:sz w:val="24"/>
          <w:szCs w:val="24"/>
        </w:rPr>
        <w:t>standards and basic due process requirements into the</w:t>
      </w:r>
      <w:r w:rsidR="000000D5">
        <w:rPr>
          <w:rFonts w:cstheme="minorHAnsi"/>
          <w:sz w:val="24"/>
          <w:szCs w:val="24"/>
        </w:rPr>
        <w:t xml:space="preserve"> platforms’ </w:t>
      </w:r>
      <w:r>
        <w:rPr>
          <w:rFonts w:cstheme="minorHAnsi"/>
          <w:sz w:val="24"/>
          <w:szCs w:val="24"/>
        </w:rPr>
        <w:t>content moderation practices. It does not displace these practices but informs and complements them</w:t>
      </w:r>
      <w:r w:rsidR="001A71FF">
        <w:rPr>
          <w:rFonts w:cstheme="minorHAnsi"/>
          <w:sz w:val="24"/>
          <w:szCs w:val="24"/>
        </w:rPr>
        <w:t xml:space="preserve">. Overall NetzDG sanctions </w:t>
      </w:r>
      <w:r w:rsidR="00E34C13">
        <w:rPr>
          <w:rFonts w:cstheme="minorHAnsi"/>
          <w:sz w:val="24"/>
          <w:szCs w:val="24"/>
        </w:rPr>
        <w:t xml:space="preserve">the </w:t>
      </w:r>
      <w:r w:rsidR="001A71FF">
        <w:rPr>
          <w:rFonts w:cstheme="minorHAnsi"/>
          <w:sz w:val="24"/>
          <w:szCs w:val="24"/>
        </w:rPr>
        <w:t>private regulation of cyberspace and strengthens its legitimacy through the background presence of the State</w:t>
      </w:r>
      <w:r w:rsidR="00C36263">
        <w:rPr>
          <w:rFonts w:cstheme="minorHAnsi"/>
          <w:sz w:val="24"/>
          <w:szCs w:val="24"/>
        </w:rPr>
        <w:t xml:space="preserve">, that is </w:t>
      </w:r>
      <w:r w:rsidR="00C36263" w:rsidRPr="00C36263">
        <w:rPr>
          <w:rFonts w:cstheme="minorHAnsi"/>
          <w:i/>
          <w:iCs/>
          <w:sz w:val="24"/>
          <w:szCs w:val="24"/>
        </w:rPr>
        <w:t>regulated</w:t>
      </w:r>
      <w:r w:rsidR="00C36263">
        <w:rPr>
          <w:rFonts w:cstheme="minorHAnsi"/>
          <w:sz w:val="24"/>
          <w:szCs w:val="24"/>
        </w:rPr>
        <w:t xml:space="preserve"> self-regulation</w:t>
      </w:r>
      <w:r w:rsidR="001A71FF">
        <w:rPr>
          <w:rFonts w:cstheme="minorHAnsi"/>
          <w:sz w:val="24"/>
          <w:szCs w:val="24"/>
        </w:rPr>
        <w:t>.</w:t>
      </w:r>
      <w:r w:rsidR="00C36263">
        <w:rPr>
          <w:rStyle w:val="FootnoteReference"/>
          <w:rFonts w:cstheme="minorHAnsi"/>
          <w:sz w:val="24"/>
          <w:szCs w:val="24"/>
        </w:rPr>
        <w:footnoteReference w:id="143"/>
      </w:r>
      <w:r w:rsidR="001A71FF">
        <w:rPr>
          <w:rFonts w:cstheme="minorHAnsi"/>
          <w:sz w:val="24"/>
          <w:szCs w:val="24"/>
        </w:rPr>
        <w:t xml:space="preserve"> It is </w:t>
      </w:r>
      <w:r w:rsidR="001A71FF" w:rsidRPr="000B4072">
        <w:rPr>
          <w:rFonts w:cstheme="minorHAnsi"/>
          <w:sz w:val="24"/>
          <w:szCs w:val="24"/>
        </w:rPr>
        <w:t>neither</w:t>
      </w:r>
      <w:r w:rsidR="001A71FF">
        <w:rPr>
          <w:rFonts w:cstheme="minorHAnsi"/>
          <w:sz w:val="24"/>
          <w:szCs w:val="24"/>
        </w:rPr>
        <w:t xml:space="preserve"> at odds with the global nature of the platform</w:t>
      </w:r>
      <w:r w:rsidR="00E34C13">
        <w:rPr>
          <w:rFonts w:cstheme="minorHAnsi"/>
          <w:sz w:val="24"/>
          <w:szCs w:val="24"/>
        </w:rPr>
        <w:t xml:space="preserve"> activity</w:t>
      </w:r>
      <w:r w:rsidR="001A71FF">
        <w:rPr>
          <w:rFonts w:cstheme="minorHAnsi"/>
          <w:sz w:val="24"/>
          <w:szCs w:val="24"/>
        </w:rPr>
        <w:t xml:space="preserve"> </w:t>
      </w:r>
      <w:r w:rsidR="001A71FF" w:rsidRPr="000B4072">
        <w:rPr>
          <w:rFonts w:cstheme="minorHAnsi"/>
          <w:sz w:val="24"/>
          <w:szCs w:val="24"/>
        </w:rPr>
        <w:t xml:space="preserve">nor </w:t>
      </w:r>
      <w:r w:rsidR="001A71FF">
        <w:rPr>
          <w:rFonts w:cstheme="minorHAnsi"/>
          <w:sz w:val="24"/>
          <w:szCs w:val="24"/>
        </w:rPr>
        <w:t>out of tune with the</w:t>
      </w:r>
      <w:r w:rsidR="00C36263">
        <w:rPr>
          <w:rFonts w:cstheme="minorHAnsi"/>
          <w:sz w:val="24"/>
          <w:szCs w:val="24"/>
        </w:rPr>
        <w:t xml:space="preserve"> platforms’ </w:t>
      </w:r>
      <w:r w:rsidR="00E34C13">
        <w:rPr>
          <w:rFonts w:cstheme="minorHAnsi"/>
          <w:sz w:val="24"/>
          <w:szCs w:val="24"/>
        </w:rPr>
        <w:t>loyalty to</w:t>
      </w:r>
      <w:r w:rsidR="001A71FF">
        <w:rPr>
          <w:rFonts w:cstheme="minorHAnsi"/>
          <w:sz w:val="24"/>
          <w:szCs w:val="24"/>
        </w:rPr>
        <w:t xml:space="preserve"> </w:t>
      </w:r>
      <w:r w:rsidR="00E34C13">
        <w:rPr>
          <w:rFonts w:cstheme="minorHAnsi"/>
          <w:sz w:val="24"/>
          <w:szCs w:val="24"/>
        </w:rPr>
        <w:t xml:space="preserve">the </w:t>
      </w:r>
      <w:r w:rsidR="001A71FF">
        <w:rPr>
          <w:rFonts w:cstheme="minorHAnsi"/>
          <w:sz w:val="24"/>
          <w:szCs w:val="24"/>
        </w:rPr>
        <w:t xml:space="preserve">American free speech </w:t>
      </w:r>
      <w:r w:rsidR="00E34C13">
        <w:rPr>
          <w:rFonts w:cstheme="minorHAnsi"/>
          <w:sz w:val="24"/>
          <w:szCs w:val="24"/>
        </w:rPr>
        <w:t>tradition.</w:t>
      </w:r>
      <w:r w:rsidR="001A71FF">
        <w:rPr>
          <w:rFonts w:cstheme="minorHAnsi"/>
          <w:sz w:val="24"/>
          <w:szCs w:val="24"/>
        </w:rPr>
        <w:t xml:space="preserve"> </w:t>
      </w:r>
    </w:p>
    <w:p w14:paraId="12D026DE" w14:textId="77777777" w:rsidR="00E34C13" w:rsidRDefault="00E34C13" w:rsidP="0019098A">
      <w:pPr>
        <w:spacing w:after="0" w:line="240" w:lineRule="auto"/>
        <w:jc w:val="both"/>
        <w:rPr>
          <w:rFonts w:cstheme="minorHAnsi"/>
          <w:sz w:val="24"/>
          <w:szCs w:val="24"/>
        </w:rPr>
      </w:pPr>
    </w:p>
    <w:p w14:paraId="3DA9C302" w14:textId="747DA56C" w:rsidR="00E34C13" w:rsidRDefault="00E34C13" w:rsidP="0019098A">
      <w:pPr>
        <w:spacing w:after="0" w:line="240" w:lineRule="auto"/>
        <w:jc w:val="both"/>
        <w:rPr>
          <w:rFonts w:cstheme="minorHAnsi"/>
          <w:sz w:val="24"/>
          <w:szCs w:val="24"/>
        </w:rPr>
      </w:pPr>
      <w:r>
        <w:rPr>
          <w:rFonts w:cstheme="minorHAnsi"/>
          <w:sz w:val="24"/>
          <w:szCs w:val="24"/>
        </w:rPr>
        <w:t>Indeed, t</w:t>
      </w:r>
      <w:r w:rsidR="001A71FF">
        <w:rPr>
          <w:rFonts w:cstheme="minorHAnsi"/>
          <w:sz w:val="24"/>
          <w:szCs w:val="24"/>
        </w:rPr>
        <w:t xml:space="preserve">his paper’s </w:t>
      </w:r>
      <w:r w:rsidR="007D3535">
        <w:rPr>
          <w:rFonts w:cstheme="minorHAnsi"/>
          <w:sz w:val="24"/>
          <w:szCs w:val="24"/>
        </w:rPr>
        <w:t xml:space="preserve">main </w:t>
      </w:r>
      <w:r w:rsidR="001A71FF">
        <w:rPr>
          <w:rFonts w:cstheme="minorHAnsi"/>
          <w:sz w:val="24"/>
          <w:szCs w:val="24"/>
        </w:rPr>
        <w:t xml:space="preserve">argument </w:t>
      </w:r>
      <w:r w:rsidR="00E54CD0">
        <w:rPr>
          <w:rFonts w:cstheme="minorHAnsi"/>
          <w:sz w:val="24"/>
          <w:szCs w:val="24"/>
        </w:rPr>
        <w:t>is</w:t>
      </w:r>
      <w:r w:rsidR="001A71FF">
        <w:rPr>
          <w:rFonts w:cstheme="minorHAnsi"/>
          <w:sz w:val="24"/>
          <w:szCs w:val="24"/>
        </w:rPr>
        <w:t xml:space="preserve"> that NetzDG strikes a </w:t>
      </w:r>
      <w:r>
        <w:rPr>
          <w:rFonts w:cstheme="minorHAnsi"/>
          <w:sz w:val="24"/>
          <w:szCs w:val="24"/>
        </w:rPr>
        <w:t xml:space="preserve">workable </w:t>
      </w:r>
      <w:r w:rsidR="001A71FF">
        <w:rPr>
          <w:rFonts w:cstheme="minorHAnsi"/>
          <w:sz w:val="24"/>
          <w:szCs w:val="24"/>
        </w:rPr>
        <w:t>compromise between</w:t>
      </w:r>
      <w:r>
        <w:rPr>
          <w:rFonts w:cstheme="minorHAnsi"/>
          <w:sz w:val="24"/>
          <w:szCs w:val="24"/>
        </w:rPr>
        <w:t xml:space="preserve"> the</w:t>
      </w:r>
      <w:r w:rsidR="001A71FF">
        <w:rPr>
          <w:rFonts w:cstheme="minorHAnsi"/>
          <w:sz w:val="24"/>
          <w:szCs w:val="24"/>
        </w:rPr>
        <w:t xml:space="preserve"> seemingly </w:t>
      </w:r>
      <w:r>
        <w:rPr>
          <w:rFonts w:cstheme="minorHAnsi"/>
          <w:sz w:val="24"/>
          <w:szCs w:val="24"/>
        </w:rPr>
        <w:t>irreconcilable European and American speech traditions based on their divergent conceptions of empowered citizenry. Its key</w:t>
      </w:r>
      <w:r w:rsidR="00E54CD0">
        <w:rPr>
          <w:rFonts w:cstheme="minorHAnsi"/>
          <w:sz w:val="24"/>
          <w:szCs w:val="24"/>
        </w:rPr>
        <w:t xml:space="preserve"> mechanism</w:t>
      </w:r>
      <w:r>
        <w:rPr>
          <w:rFonts w:cstheme="minorHAnsi"/>
          <w:sz w:val="24"/>
          <w:szCs w:val="24"/>
        </w:rPr>
        <w:t xml:space="preserve"> of enforcing public speech standards through private processes </w:t>
      </w:r>
      <w:r w:rsidR="00E54CD0">
        <w:rPr>
          <w:rFonts w:cstheme="minorHAnsi"/>
          <w:sz w:val="24"/>
          <w:szCs w:val="24"/>
        </w:rPr>
        <w:t xml:space="preserve">is uniquely adept at </w:t>
      </w:r>
      <w:r w:rsidR="00D51EEE">
        <w:rPr>
          <w:rFonts w:cstheme="minorHAnsi"/>
          <w:sz w:val="24"/>
          <w:szCs w:val="24"/>
        </w:rPr>
        <w:t>answer</w:t>
      </w:r>
      <w:r w:rsidR="00E54CD0">
        <w:rPr>
          <w:rFonts w:cstheme="minorHAnsi"/>
          <w:sz w:val="24"/>
          <w:szCs w:val="24"/>
        </w:rPr>
        <w:t>ing</w:t>
      </w:r>
      <w:r w:rsidR="00D51EEE">
        <w:rPr>
          <w:rFonts w:cstheme="minorHAnsi"/>
          <w:sz w:val="24"/>
          <w:szCs w:val="24"/>
        </w:rPr>
        <w:t xml:space="preserve"> the German</w:t>
      </w:r>
      <w:r w:rsidR="006B1C51">
        <w:rPr>
          <w:rFonts w:cstheme="minorHAnsi"/>
          <w:sz w:val="24"/>
          <w:szCs w:val="24"/>
        </w:rPr>
        <w:t xml:space="preserve">, </w:t>
      </w:r>
      <w:r w:rsidR="00C36263">
        <w:rPr>
          <w:rFonts w:cstheme="minorHAnsi"/>
          <w:sz w:val="24"/>
          <w:szCs w:val="24"/>
        </w:rPr>
        <w:t>or</w:t>
      </w:r>
      <w:r>
        <w:rPr>
          <w:rFonts w:cstheme="minorHAnsi"/>
          <w:sz w:val="24"/>
          <w:szCs w:val="24"/>
        </w:rPr>
        <w:t xml:space="preserve"> European</w:t>
      </w:r>
      <w:r w:rsidR="006B1C51">
        <w:rPr>
          <w:rFonts w:cstheme="minorHAnsi"/>
          <w:sz w:val="24"/>
          <w:szCs w:val="24"/>
        </w:rPr>
        <w:t>,</w:t>
      </w:r>
      <w:r w:rsidR="00436AF7">
        <w:rPr>
          <w:rFonts w:cstheme="minorHAnsi"/>
          <w:sz w:val="24"/>
          <w:szCs w:val="24"/>
        </w:rPr>
        <w:t xml:space="preserve"> </w:t>
      </w:r>
      <w:r w:rsidR="00D51EEE">
        <w:rPr>
          <w:rFonts w:cstheme="minorHAnsi"/>
          <w:sz w:val="24"/>
          <w:szCs w:val="24"/>
        </w:rPr>
        <w:t>need to have hate</w:t>
      </w:r>
      <w:r w:rsidR="00E54CD0">
        <w:rPr>
          <w:rFonts w:cstheme="minorHAnsi"/>
          <w:sz w:val="24"/>
          <w:szCs w:val="24"/>
        </w:rPr>
        <w:t xml:space="preserve"> and like</w:t>
      </w:r>
      <w:r w:rsidR="00D51EEE">
        <w:rPr>
          <w:rFonts w:cstheme="minorHAnsi"/>
          <w:sz w:val="24"/>
          <w:szCs w:val="24"/>
        </w:rPr>
        <w:t xml:space="preserve"> speech removed from the public domain</w:t>
      </w:r>
      <w:r w:rsidR="001C1E09">
        <w:rPr>
          <w:rFonts w:cstheme="minorHAnsi"/>
          <w:sz w:val="24"/>
          <w:szCs w:val="24"/>
        </w:rPr>
        <w:t>,</w:t>
      </w:r>
      <w:r w:rsidR="00003E62">
        <w:rPr>
          <w:rFonts w:cstheme="minorHAnsi"/>
          <w:sz w:val="24"/>
          <w:szCs w:val="24"/>
        </w:rPr>
        <w:t xml:space="preserve"> </w:t>
      </w:r>
      <w:r w:rsidR="00D51EEE">
        <w:rPr>
          <w:rFonts w:cstheme="minorHAnsi"/>
          <w:sz w:val="24"/>
          <w:szCs w:val="24"/>
        </w:rPr>
        <w:t>a</w:t>
      </w:r>
      <w:r>
        <w:rPr>
          <w:rFonts w:cstheme="minorHAnsi"/>
          <w:sz w:val="24"/>
          <w:szCs w:val="24"/>
        </w:rPr>
        <w:t xml:space="preserve">s well as </w:t>
      </w:r>
      <w:r w:rsidR="00D51EEE">
        <w:rPr>
          <w:rFonts w:cstheme="minorHAnsi"/>
          <w:sz w:val="24"/>
          <w:szCs w:val="24"/>
        </w:rPr>
        <w:t xml:space="preserve">the American need </w:t>
      </w:r>
      <w:r w:rsidR="00B15D2E">
        <w:rPr>
          <w:rFonts w:cstheme="minorHAnsi"/>
          <w:sz w:val="24"/>
          <w:szCs w:val="24"/>
        </w:rPr>
        <w:t>for</w:t>
      </w:r>
      <w:r w:rsidR="00D51EEE">
        <w:rPr>
          <w:rFonts w:cstheme="minorHAnsi"/>
          <w:sz w:val="24"/>
          <w:szCs w:val="24"/>
        </w:rPr>
        <w:t xml:space="preserve"> government </w:t>
      </w:r>
      <w:r w:rsidR="00B15D2E">
        <w:rPr>
          <w:rFonts w:cstheme="minorHAnsi"/>
          <w:sz w:val="24"/>
          <w:szCs w:val="24"/>
        </w:rPr>
        <w:t xml:space="preserve">to </w:t>
      </w:r>
      <w:r w:rsidR="00E54CD0">
        <w:rPr>
          <w:rFonts w:cstheme="minorHAnsi"/>
          <w:sz w:val="24"/>
          <w:szCs w:val="24"/>
        </w:rPr>
        <w:t>be kept</w:t>
      </w:r>
      <w:r w:rsidR="00D51EEE">
        <w:rPr>
          <w:rFonts w:cstheme="minorHAnsi"/>
          <w:sz w:val="24"/>
          <w:szCs w:val="24"/>
        </w:rPr>
        <w:t xml:space="preserve"> on the sidelines</w:t>
      </w:r>
      <w:r>
        <w:rPr>
          <w:rFonts w:cstheme="minorHAnsi"/>
          <w:sz w:val="24"/>
          <w:szCs w:val="24"/>
        </w:rPr>
        <w:t xml:space="preserve">. </w:t>
      </w:r>
      <w:r w:rsidR="00444C01">
        <w:rPr>
          <w:rFonts w:cstheme="minorHAnsi"/>
          <w:sz w:val="24"/>
          <w:szCs w:val="24"/>
        </w:rPr>
        <w:t>Still t</w:t>
      </w:r>
      <w:r w:rsidR="00D51EEE">
        <w:rPr>
          <w:rFonts w:cstheme="minorHAnsi"/>
          <w:sz w:val="24"/>
          <w:szCs w:val="24"/>
        </w:rPr>
        <w:t xml:space="preserve">he </w:t>
      </w:r>
      <w:r w:rsidR="001C1E09">
        <w:rPr>
          <w:rFonts w:cstheme="minorHAnsi"/>
          <w:sz w:val="24"/>
          <w:szCs w:val="24"/>
        </w:rPr>
        <w:t>case</w:t>
      </w:r>
      <w:r w:rsidR="00003E62">
        <w:rPr>
          <w:rFonts w:cstheme="minorHAnsi"/>
          <w:sz w:val="24"/>
          <w:szCs w:val="24"/>
        </w:rPr>
        <w:t xml:space="preserve"> i</w:t>
      </w:r>
      <w:r w:rsidR="00F73AAD">
        <w:rPr>
          <w:rFonts w:cstheme="minorHAnsi"/>
          <w:sz w:val="24"/>
          <w:szCs w:val="24"/>
        </w:rPr>
        <w:t>n support of NetzDG</w:t>
      </w:r>
      <w:r w:rsidR="00436AF7">
        <w:rPr>
          <w:rFonts w:cstheme="minorHAnsi"/>
          <w:sz w:val="24"/>
          <w:szCs w:val="24"/>
        </w:rPr>
        <w:t xml:space="preserve">’s success in </w:t>
      </w:r>
      <w:r w:rsidR="00271BF4">
        <w:rPr>
          <w:rFonts w:cstheme="minorHAnsi"/>
          <w:sz w:val="24"/>
          <w:szCs w:val="24"/>
        </w:rPr>
        <w:t>brid</w:t>
      </w:r>
      <w:r w:rsidR="00436AF7">
        <w:rPr>
          <w:rFonts w:cstheme="minorHAnsi"/>
          <w:sz w:val="24"/>
          <w:szCs w:val="24"/>
        </w:rPr>
        <w:t>g</w:t>
      </w:r>
      <w:r w:rsidR="00271BF4">
        <w:rPr>
          <w:rFonts w:cstheme="minorHAnsi"/>
          <w:sz w:val="24"/>
          <w:szCs w:val="24"/>
        </w:rPr>
        <w:t>ing</w:t>
      </w:r>
      <w:r w:rsidR="00F73AAD">
        <w:rPr>
          <w:rFonts w:cstheme="minorHAnsi"/>
          <w:sz w:val="24"/>
          <w:szCs w:val="24"/>
        </w:rPr>
        <w:t xml:space="preserve"> the transatlantic speech divide </w:t>
      </w:r>
      <w:r w:rsidR="001C1E09">
        <w:rPr>
          <w:rFonts w:cstheme="minorHAnsi"/>
          <w:sz w:val="24"/>
          <w:szCs w:val="24"/>
        </w:rPr>
        <w:t>is</w:t>
      </w:r>
      <w:r w:rsidR="00D51EEE">
        <w:rPr>
          <w:rFonts w:cstheme="minorHAnsi"/>
          <w:sz w:val="24"/>
          <w:szCs w:val="24"/>
        </w:rPr>
        <w:t xml:space="preserve"> not flawless, </w:t>
      </w:r>
      <w:r w:rsidR="00B15D2E">
        <w:rPr>
          <w:rFonts w:cstheme="minorHAnsi"/>
          <w:sz w:val="24"/>
          <w:szCs w:val="24"/>
        </w:rPr>
        <w:t xml:space="preserve">and neither can </w:t>
      </w:r>
      <w:r w:rsidR="001C1E09">
        <w:rPr>
          <w:rFonts w:cstheme="minorHAnsi"/>
          <w:sz w:val="24"/>
          <w:szCs w:val="24"/>
        </w:rPr>
        <w:t>it</w:t>
      </w:r>
      <w:r w:rsidR="00D51EEE">
        <w:rPr>
          <w:rFonts w:cstheme="minorHAnsi"/>
          <w:sz w:val="24"/>
          <w:szCs w:val="24"/>
        </w:rPr>
        <w:t xml:space="preserve"> be.</w:t>
      </w:r>
      <w:r w:rsidR="007D3535">
        <w:rPr>
          <w:rFonts w:cstheme="minorHAnsi"/>
          <w:sz w:val="24"/>
          <w:szCs w:val="24"/>
        </w:rPr>
        <w:t xml:space="preserve"> </w:t>
      </w:r>
      <w:r w:rsidR="00D51EEE">
        <w:rPr>
          <w:rFonts w:cstheme="minorHAnsi"/>
          <w:sz w:val="24"/>
          <w:szCs w:val="24"/>
        </w:rPr>
        <w:t xml:space="preserve">By </w:t>
      </w:r>
      <w:r w:rsidR="00B15D2E">
        <w:rPr>
          <w:rFonts w:cstheme="minorHAnsi"/>
          <w:sz w:val="24"/>
          <w:szCs w:val="24"/>
        </w:rPr>
        <w:t>showing</w:t>
      </w:r>
      <w:r w:rsidR="00D51EEE">
        <w:rPr>
          <w:rFonts w:cstheme="minorHAnsi"/>
          <w:sz w:val="24"/>
          <w:szCs w:val="24"/>
        </w:rPr>
        <w:t xml:space="preserve"> how NetzDG injects significant public dimensions into otherwise entirely unaccountable private process</w:t>
      </w:r>
      <w:r w:rsidR="00B15D2E">
        <w:rPr>
          <w:rFonts w:cstheme="minorHAnsi"/>
          <w:sz w:val="24"/>
          <w:szCs w:val="24"/>
        </w:rPr>
        <w:t>es</w:t>
      </w:r>
      <w:r w:rsidR="00D51EEE">
        <w:rPr>
          <w:rFonts w:cstheme="minorHAnsi"/>
          <w:sz w:val="24"/>
          <w:szCs w:val="24"/>
        </w:rPr>
        <w:t xml:space="preserve"> and </w:t>
      </w:r>
      <w:r w:rsidR="00003E62">
        <w:rPr>
          <w:rFonts w:cstheme="minorHAnsi"/>
          <w:sz w:val="24"/>
          <w:szCs w:val="24"/>
        </w:rPr>
        <w:t>how</w:t>
      </w:r>
      <w:r w:rsidR="00D51EEE">
        <w:rPr>
          <w:rFonts w:cstheme="minorHAnsi"/>
          <w:sz w:val="24"/>
          <w:szCs w:val="24"/>
        </w:rPr>
        <w:t xml:space="preserve"> the criminal speech standards upon which it is based are largely privatised </w:t>
      </w:r>
      <w:proofErr w:type="gramStart"/>
      <w:r w:rsidR="00B15D2E">
        <w:rPr>
          <w:rFonts w:cstheme="minorHAnsi"/>
          <w:sz w:val="24"/>
          <w:szCs w:val="24"/>
        </w:rPr>
        <w:t>in the course of</w:t>
      </w:r>
      <w:proofErr w:type="gramEnd"/>
      <w:r w:rsidR="00B15D2E">
        <w:rPr>
          <w:rFonts w:cstheme="minorHAnsi"/>
          <w:sz w:val="24"/>
          <w:szCs w:val="24"/>
        </w:rPr>
        <w:t xml:space="preserve"> </w:t>
      </w:r>
      <w:r w:rsidR="00D51EEE">
        <w:rPr>
          <w:rFonts w:cstheme="minorHAnsi"/>
          <w:sz w:val="24"/>
          <w:szCs w:val="24"/>
        </w:rPr>
        <w:t>the implementation process, the</w:t>
      </w:r>
      <w:r w:rsidR="00F73AAD">
        <w:rPr>
          <w:rFonts w:cstheme="minorHAnsi"/>
          <w:sz w:val="24"/>
          <w:szCs w:val="24"/>
        </w:rPr>
        <w:t xml:space="preserve"> discussion</w:t>
      </w:r>
      <w:r>
        <w:rPr>
          <w:rFonts w:cstheme="minorHAnsi"/>
          <w:sz w:val="24"/>
          <w:szCs w:val="24"/>
        </w:rPr>
        <w:t xml:space="preserve"> also</w:t>
      </w:r>
      <w:r w:rsidR="00D51EEE">
        <w:rPr>
          <w:rFonts w:cstheme="minorHAnsi"/>
          <w:sz w:val="24"/>
          <w:szCs w:val="24"/>
        </w:rPr>
        <w:t xml:space="preserve"> scores own goals - by feeding the concerns of the other side. </w:t>
      </w:r>
      <w:r w:rsidR="00E54CD0">
        <w:rPr>
          <w:rFonts w:cstheme="minorHAnsi"/>
          <w:sz w:val="24"/>
          <w:szCs w:val="24"/>
        </w:rPr>
        <w:t>This may perhaps</w:t>
      </w:r>
      <w:r w:rsidR="000000D5">
        <w:rPr>
          <w:rFonts w:cstheme="minorHAnsi"/>
          <w:sz w:val="24"/>
          <w:szCs w:val="24"/>
        </w:rPr>
        <w:t xml:space="preserve"> best</w:t>
      </w:r>
      <w:r w:rsidR="00E54CD0">
        <w:rPr>
          <w:rFonts w:cstheme="minorHAnsi"/>
          <w:sz w:val="24"/>
          <w:szCs w:val="24"/>
        </w:rPr>
        <w:t xml:space="preserve"> be understood as an inevitable side effect of a convergence of the speech traditions, not in terms of their constitutional </w:t>
      </w:r>
      <w:r w:rsidR="000000D5">
        <w:rPr>
          <w:rFonts w:cstheme="minorHAnsi"/>
          <w:sz w:val="24"/>
          <w:szCs w:val="24"/>
        </w:rPr>
        <w:t>understanding</w:t>
      </w:r>
      <w:r w:rsidR="0065313A">
        <w:rPr>
          <w:rFonts w:cstheme="minorHAnsi"/>
          <w:sz w:val="24"/>
          <w:szCs w:val="24"/>
        </w:rPr>
        <w:t xml:space="preserve">, </w:t>
      </w:r>
      <w:r w:rsidR="00E54CD0">
        <w:rPr>
          <w:rFonts w:cstheme="minorHAnsi"/>
          <w:sz w:val="24"/>
          <w:szCs w:val="24"/>
        </w:rPr>
        <w:t>but rather</w:t>
      </w:r>
      <w:r w:rsidR="00C36263">
        <w:rPr>
          <w:rFonts w:cstheme="minorHAnsi"/>
          <w:sz w:val="24"/>
          <w:szCs w:val="24"/>
        </w:rPr>
        <w:t xml:space="preserve"> as</w:t>
      </w:r>
      <w:r w:rsidR="00E54CD0">
        <w:rPr>
          <w:rFonts w:cstheme="minorHAnsi"/>
          <w:sz w:val="24"/>
          <w:szCs w:val="24"/>
        </w:rPr>
        <w:t xml:space="preserve"> a convergence </w:t>
      </w:r>
      <w:r w:rsidR="00C36263">
        <w:rPr>
          <w:rFonts w:cstheme="minorHAnsi"/>
          <w:sz w:val="24"/>
          <w:szCs w:val="24"/>
        </w:rPr>
        <w:t xml:space="preserve">through </w:t>
      </w:r>
      <w:r w:rsidR="00E54CD0">
        <w:rPr>
          <w:rFonts w:cstheme="minorHAnsi"/>
          <w:sz w:val="24"/>
          <w:szCs w:val="24"/>
        </w:rPr>
        <w:t>process. The more general insight</w:t>
      </w:r>
      <w:r w:rsidR="000000D5">
        <w:rPr>
          <w:rFonts w:cstheme="minorHAnsi"/>
          <w:sz w:val="24"/>
          <w:szCs w:val="24"/>
        </w:rPr>
        <w:t xml:space="preserve">, however, </w:t>
      </w:r>
      <w:r w:rsidR="00E54CD0">
        <w:rPr>
          <w:rFonts w:cstheme="minorHAnsi"/>
          <w:sz w:val="24"/>
          <w:szCs w:val="24"/>
        </w:rPr>
        <w:t>is that</w:t>
      </w:r>
      <w:r w:rsidR="006C7383">
        <w:rPr>
          <w:rFonts w:cstheme="minorHAnsi"/>
          <w:sz w:val="24"/>
          <w:szCs w:val="24"/>
        </w:rPr>
        <w:t xml:space="preserve"> the key</w:t>
      </w:r>
      <w:r w:rsidR="00E54CD0">
        <w:rPr>
          <w:rFonts w:cstheme="minorHAnsi"/>
          <w:sz w:val="24"/>
          <w:szCs w:val="24"/>
        </w:rPr>
        <w:t xml:space="preserve"> difference between American and European </w:t>
      </w:r>
      <w:r w:rsidR="00A419A1">
        <w:rPr>
          <w:rFonts w:cstheme="minorHAnsi"/>
          <w:sz w:val="24"/>
          <w:szCs w:val="24"/>
        </w:rPr>
        <w:t xml:space="preserve">free speech conceptions is </w:t>
      </w:r>
      <w:r w:rsidR="00E54CD0">
        <w:rPr>
          <w:rFonts w:cstheme="minorHAnsi"/>
          <w:sz w:val="24"/>
          <w:szCs w:val="24"/>
        </w:rPr>
        <w:t>not</w:t>
      </w:r>
      <w:r w:rsidR="00C36263">
        <w:rPr>
          <w:rFonts w:cstheme="minorHAnsi"/>
          <w:sz w:val="24"/>
          <w:szCs w:val="24"/>
        </w:rPr>
        <w:t xml:space="preserve"> a</w:t>
      </w:r>
      <w:r w:rsidR="00E54CD0">
        <w:rPr>
          <w:rFonts w:cstheme="minorHAnsi"/>
          <w:sz w:val="24"/>
          <w:szCs w:val="24"/>
        </w:rPr>
        <w:t xml:space="preserve"> binary</w:t>
      </w:r>
      <w:r w:rsidR="00C36263">
        <w:rPr>
          <w:rFonts w:cstheme="minorHAnsi"/>
          <w:sz w:val="24"/>
          <w:szCs w:val="24"/>
        </w:rPr>
        <w:t xml:space="preserve"> one</w:t>
      </w:r>
      <w:r w:rsidR="00E54CD0">
        <w:rPr>
          <w:rFonts w:cstheme="minorHAnsi"/>
          <w:sz w:val="24"/>
          <w:szCs w:val="24"/>
        </w:rPr>
        <w:t xml:space="preserve"> </w:t>
      </w:r>
      <w:r w:rsidR="006C7383">
        <w:rPr>
          <w:rFonts w:cstheme="minorHAnsi"/>
          <w:sz w:val="24"/>
          <w:szCs w:val="24"/>
        </w:rPr>
        <w:t xml:space="preserve">but </w:t>
      </w:r>
      <w:r w:rsidR="00E54CD0">
        <w:rPr>
          <w:rFonts w:cstheme="minorHAnsi"/>
          <w:sz w:val="24"/>
          <w:szCs w:val="24"/>
        </w:rPr>
        <w:t>reflects</w:t>
      </w:r>
      <w:r w:rsidR="006C7383">
        <w:rPr>
          <w:rFonts w:cstheme="minorHAnsi"/>
          <w:sz w:val="24"/>
          <w:szCs w:val="24"/>
        </w:rPr>
        <w:t xml:space="preserve"> primary</w:t>
      </w:r>
      <w:r w:rsidR="00E54CD0">
        <w:rPr>
          <w:rFonts w:cstheme="minorHAnsi"/>
          <w:sz w:val="24"/>
          <w:szCs w:val="24"/>
        </w:rPr>
        <w:t xml:space="preserve"> preoccupations </w:t>
      </w:r>
      <w:r w:rsidR="00C36263">
        <w:rPr>
          <w:rFonts w:cstheme="minorHAnsi"/>
          <w:sz w:val="24"/>
          <w:szCs w:val="24"/>
        </w:rPr>
        <w:t xml:space="preserve">that are </w:t>
      </w:r>
      <w:r w:rsidR="006C7383">
        <w:rPr>
          <w:rFonts w:cstheme="minorHAnsi"/>
          <w:sz w:val="24"/>
          <w:szCs w:val="24"/>
        </w:rPr>
        <w:t xml:space="preserve">different in kind: the First Amendment </w:t>
      </w:r>
      <w:r w:rsidR="00C36263">
        <w:rPr>
          <w:rFonts w:cstheme="minorHAnsi"/>
          <w:sz w:val="24"/>
          <w:szCs w:val="24"/>
        </w:rPr>
        <w:t>addresses the primary fear of</w:t>
      </w:r>
      <w:r w:rsidR="006C7383">
        <w:rPr>
          <w:rFonts w:cstheme="minorHAnsi"/>
          <w:sz w:val="24"/>
          <w:szCs w:val="24"/>
        </w:rPr>
        <w:t xml:space="preserve"> government</w:t>
      </w:r>
      <w:r w:rsidR="00C36263">
        <w:rPr>
          <w:rFonts w:cstheme="minorHAnsi"/>
          <w:sz w:val="24"/>
          <w:szCs w:val="24"/>
        </w:rPr>
        <w:t xml:space="preserve"> interfering with free speech </w:t>
      </w:r>
      <w:r w:rsidR="007D3535">
        <w:rPr>
          <w:rFonts w:cstheme="minorHAnsi"/>
          <w:sz w:val="24"/>
          <w:szCs w:val="24"/>
        </w:rPr>
        <w:t>(Who)</w:t>
      </w:r>
      <w:r w:rsidR="006C7383">
        <w:rPr>
          <w:rFonts w:cstheme="minorHAnsi"/>
          <w:sz w:val="24"/>
          <w:szCs w:val="24"/>
        </w:rPr>
        <w:t xml:space="preserve">, whilst the primary </w:t>
      </w:r>
      <w:r w:rsidR="00A419A1">
        <w:rPr>
          <w:rFonts w:cstheme="minorHAnsi"/>
          <w:sz w:val="24"/>
          <w:szCs w:val="24"/>
        </w:rPr>
        <w:t>concern</w:t>
      </w:r>
      <w:r w:rsidR="006C7383">
        <w:rPr>
          <w:rFonts w:cstheme="minorHAnsi"/>
          <w:sz w:val="24"/>
          <w:szCs w:val="24"/>
        </w:rPr>
        <w:t xml:space="preserve"> behind</w:t>
      </w:r>
      <w:r w:rsidR="00A419A1">
        <w:rPr>
          <w:rFonts w:cstheme="minorHAnsi"/>
          <w:sz w:val="24"/>
          <w:szCs w:val="24"/>
        </w:rPr>
        <w:t xml:space="preserve"> the</w:t>
      </w:r>
      <w:r w:rsidR="006C7383">
        <w:rPr>
          <w:rFonts w:cstheme="minorHAnsi"/>
          <w:sz w:val="24"/>
          <w:szCs w:val="24"/>
        </w:rPr>
        <w:t xml:space="preserve"> European </w:t>
      </w:r>
      <w:r w:rsidR="00A419A1">
        <w:rPr>
          <w:rFonts w:cstheme="minorHAnsi"/>
          <w:sz w:val="24"/>
          <w:szCs w:val="24"/>
        </w:rPr>
        <w:t>conception</w:t>
      </w:r>
      <w:r w:rsidR="006C7383">
        <w:rPr>
          <w:rFonts w:cstheme="minorHAnsi"/>
          <w:sz w:val="24"/>
          <w:szCs w:val="24"/>
        </w:rPr>
        <w:t xml:space="preserve"> lies in protecting the equality and inherent dignity of citizens in the public sphere</w:t>
      </w:r>
      <w:r w:rsidR="007D3535">
        <w:rPr>
          <w:rFonts w:cstheme="minorHAnsi"/>
          <w:sz w:val="24"/>
          <w:szCs w:val="24"/>
        </w:rPr>
        <w:t xml:space="preserve"> (What)</w:t>
      </w:r>
      <w:r w:rsidR="006C7383">
        <w:rPr>
          <w:rFonts w:cstheme="minorHAnsi"/>
          <w:sz w:val="24"/>
          <w:szCs w:val="24"/>
        </w:rPr>
        <w:t>. This divergence in</w:t>
      </w:r>
      <w:r w:rsidR="007D3535">
        <w:rPr>
          <w:rFonts w:cstheme="minorHAnsi"/>
          <w:sz w:val="24"/>
          <w:szCs w:val="24"/>
        </w:rPr>
        <w:t xml:space="preserve"> their</w:t>
      </w:r>
      <w:r w:rsidR="006C7383">
        <w:rPr>
          <w:rFonts w:cstheme="minorHAnsi"/>
          <w:sz w:val="24"/>
          <w:szCs w:val="24"/>
        </w:rPr>
        <w:t xml:space="preserve"> preoccupations creates </w:t>
      </w:r>
      <w:r w:rsidR="007D3535">
        <w:rPr>
          <w:rFonts w:cstheme="minorHAnsi"/>
          <w:sz w:val="24"/>
          <w:szCs w:val="24"/>
        </w:rPr>
        <w:t xml:space="preserve">room for negotiations. </w:t>
      </w:r>
    </w:p>
    <w:p w14:paraId="6F379581" w14:textId="426F643C" w:rsidR="006C7383" w:rsidRDefault="006C7383" w:rsidP="0019098A">
      <w:pPr>
        <w:spacing w:after="0" w:line="240" w:lineRule="auto"/>
        <w:jc w:val="both"/>
        <w:rPr>
          <w:rFonts w:cstheme="minorHAnsi"/>
          <w:sz w:val="24"/>
          <w:szCs w:val="24"/>
        </w:rPr>
      </w:pPr>
    </w:p>
    <w:p w14:paraId="46651AB4" w14:textId="26E3EEBD" w:rsidR="006C7383" w:rsidRDefault="00BD225E" w:rsidP="0019098A">
      <w:pPr>
        <w:spacing w:after="0" w:line="240" w:lineRule="auto"/>
        <w:jc w:val="both"/>
        <w:rPr>
          <w:rFonts w:cstheme="minorHAnsi"/>
          <w:sz w:val="24"/>
          <w:szCs w:val="24"/>
        </w:rPr>
      </w:pPr>
      <w:r>
        <w:rPr>
          <w:rFonts w:cstheme="minorHAnsi"/>
          <w:sz w:val="24"/>
          <w:szCs w:val="24"/>
        </w:rPr>
        <w:t xml:space="preserve">Finally, </w:t>
      </w:r>
      <w:r w:rsidR="007D3535">
        <w:rPr>
          <w:rFonts w:cstheme="minorHAnsi"/>
          <w:sz w:val="24"/>
          <w:szCs w:val="24"/>
        </w:rPr>
        <w:t>America’s adherence to First Amendment absolutism means that</w:t>
      </w:r>
      <w:r w:rsidR="000B4072">
        <w:rPr>
          <w:rFonts w:cstheme="minorHAnsi"/>
          <w:sz w:val="24"/>
          <w:szCs w:val="24"/>
        </w:rPr>
        <w:t>,</w:t>
      </w:r>
      <w:r w:rsidR="007D3535">
        <w:rPr>
          <w:rFonts w:cstheme="minorHAnsi"/>
          <w:sz w:val="24"/>
          <w:szCs w:val="24"/>
        </w:rPr>
        <w:t xml:space="preserve"> </w:t>
      </w:r>
      <w:r w:rsidR="000B4072">
        <w:rPr>
          <w:rFonts w:cstheme="minorHAnsi"/>
          <w:sz w:val="24"/>
          <w:szCs w:val="24"/>
        </w:rPr>
        <w:t xml:space="preserve">as a government and regulator, it </w:t>
      </w:r>
      <w:r w:rsidR="007D3535">
        <w:rPr>
          <w:rFonts w:cstheme="minorHAnsi"/>
          <w:sz w:val="24"/>
          <w:szCs w:val="24"/>
        </w:rPr>
        <w:t>is largely immune</w:t>
      </w:r>
      <w:r w:rsidR="000B4072">
        <w:rPr>
          <w:rFonts w:cstheme="minorHAnsi"/>
          <w:sz w:val="24"/>
          <w:szCs w:val="24"/>
        </w:rPr>
        <w:t xml:space="preserve"> t</w:t>
      </w:r>
      <w:r w:rsidR="007D3535">
        <w:rPr>
          <w:rFonts w:cstheme="minorHAnsi"/>
          <w:sz w:val="24"/>
          <w:szCs w:val="24"/>
        </w:rPr>
        <w:t>o</w:t>
      </w:r>
      <w:r>
        <w:rPr>
          <w:rFonts w:cstheme="minorHAnsi"/>
          <w:sz w:val="24"/>
          <w:szCs w:val="24"/>
        </w:rPr>
        <w:t xml:space="preserve"> the</w:t>
      </w:r>
      <w:r w:rsidR="00956EAF">
        <w:rPr>
          <w:rFonts w:cstheme="minorHAnsi"/>
          <w:sz w:val="24"/>
          <w:szCs w:val="24"/>
        </w:rPr>
        <w:t xml:space="preserve"> </w:t>
      </w:r>
      <w:r>
        <w:rPr>
          <w:rFonts w:cstheme="minorHAnsi"/>
          <w:sz w:val="24"/>
          <w:szCs w:val="24"/>
        </w:rPr>
        <w:t>savageries of online communications</w:t>
      </w:r>
      <w:r w:rsidR="00956EAF">
        <w:rPr>
          <w:rFonts w:cstheme="minorHAnsi"/>
          <w:sz w:val="24"/>
          <w:szCs w:val="24"/>
        </w:rPr>
        <w:t xml:space="preserve"> and</w:t>
      </w:r>
      <w:r w:rsidR="000B4072">
        <w:rPr>
          <w:rFonts w:cstheme="minorHAnsi"/>
          <w:sz w:val="24"/>
          <w:szCs w:val="24"/>
        </w:rPr>
        <w:t xml:space="preserve"> to the</w:t>
      </w:r>
      <w:r w:rsidR="00956EAF">
        <w:rPr>
          <w:rFonts w:cstheme="minorHAnsi"/>
          <w:sz w:val="24"/>
          <w:szCs w:val="24"/>
        </w:rPr>
        <w:t xml:space="preserve"> pressures experienced </w:t>
      </w:r>
      <w:r>
        <w:rPr>
          <w:rFonts w:cstheme="minorHAnsi"/>
          <w:sz w:val="24"/>
          <w:szCs w:val="24"/>
        </w:rPr>
        <w:t xml:space="preserve">by </w:t>
      </w:r>
      <w:r w:rsidR="00C36263">
        <w:rPr>
          <w:rFonts w:cstheme="minorHAnsi"/>
          <w:sz w:val="24"/>
          <w:szCs w:val="24"/>
        </w:rPr>
        <w:t xml:space="preserve">governments of </w:t>
      </w:r>
      <w:r>
        <w:rPr>
          <w:rFonts w:cstheme="minorHAnsi"/>
          <w:sz w:val="24"/>
          <w:szCs w:val="24"/>
        </w:rPr>
        <w:t>other liberal democracie</w:t>
      </w:r>
      <w:r w:rsidR="00FF31A5">
        <w:rPr>
          <w:rFonts w:cstheme="minorHAnsi"/>
          <w:sz w:val="24"/>
          <w:szCs w:val="24"/>
        </w:rPr>
        <w:t>s</w:t>
      </w:r>
      <w:r w:rsidR="00CD18C0">
        <w:rPr>
          <w:rFonts w:cstheme="minorHAnsi"/>
          <w:sz w:val="24"/>
          <w:szCs w:val="24"/>
        </w:rPr>
        <w:t xml:space="preserve"> to respond to them</w:t>
      </w:r>
      <w:r>
        <w:rPr>
          <w:rFonts w:cstheme="minorHAnsi"/>
          <w:sz w:val="24"/>
          <w:szCs w:val="24"/>
        </w:rPr>
        <w:t xml:space="preserve">. Yet, it also means that other </w:t>
      </w:r>
      <w:r w:rsidR="00C36263">
        <w:rPr>
          <w:rFonts w:cstheme="minorHAnsi"/>
          <w:sz w:val="24"/>
          <w:szCs w:val="24"/>
        </w:rPr>
        <w:t xml:space="preserve">States </w:t>
      </w:r>
      <w:r>
        <w:rPr>
          <w:rFonts w:cstheme="minorHAnsi"/>
          <w:sz w:val="24"/>
          <w:szCs w:val="24"/>
        </w:rPr>
        <w:t xml:space="preserve">have taken the lead in the online governance thematic, often with effects well beyond their national borders. </w:t>
      </w:r>
      <w:r w:rsidR="00CD18C0">
        <w:rPr>
          <w:rFonts w:cstheme="minorHAnsi"/>
          <w:sz w:val="24"/>
          <w:szCs w:val="24"/>
        </w:rPr>
        <w:t xml:space="preserve">The </w:t>
      </w:r>
      <w:r>
        <w:rPr>
          <w:rFonts w:cstheme="minorHAnsi"/>
          <w:sz w:val="24"/>
          <w:szCs w:val="24"/>
        </w:rPr>
        <w:t xml:space="preserve">‘Brussels effect’ refers to the regulatory ripples caused </w:t>
      </w:r>
      <w:r w:rsidR="00CD18C0">
        <w:rPr>
          <w:rFonts w:cstheme="minorHAnsi"/>
          <w:sz w:val="24"/>
          <w:szCs w:val="24"/>
        </w:rPr>
        <w:t xml:space="preserve">by EU regulation, </w:t>
      </w:r>
      <w:r w:rsidR="00F55B88">
        <w:rPr>
          <w:rFonts w:cstheme="minorHAnsi"/>
          <w:sz w:val="24"/>
          <w:szCs w:val="24"/>
        </w:rPr>
        <w:t>such as</w:t>
      </w:r>
      <w:r w:rsidR="00CD18C0">
        <w:rPr>
          <w:rFonts w:cstheme="minorHAnsi"/>
          <w:sz w:val="24"/>
          <w:szCs w:val="24"/>
        </w:rPr>
        <w:t xml:space="preserve"> the</w:t>
      </w:r>
      <w:r w:rsidR="000B4072">
        <w:rPr>
          <w:rFonts w:cstheme="minorHAnsi"/>
          <w:sz w:val="24"/>
          <w:szCs w:val="24"/>
        </w:rPr>
        <w:t xml:space="preserve"> </w:t>
      </w:r>
      <w:r>
        <w:rPr>
          <w:rFonts w:cstheme="minorHAnsi"/>
          <w:sz w:val="24"/>
          <w:szCs w:val="24"/>
        </w:rPr>
        <w:t>GDPR</w:t>
      </w:r>
      <w:r w:rsidR="00CD18C0">
        <w:rPr>
          <w:rFonts w:cstheme="minorHAnsi"/>
          <w:sz w:val="24"/>
          <w:szCs w:val="24"/>
        </w:rPr>
        <w:t>,</w:t>
      </w:r>
      <w:r>
        <w:rPr>
          <w:rFonts w:cstheme="minorHAnsi"/>
          <w:sz w:val="24"/>
          <w:szCs w:val="24"/>
        </w:rPr>
        <w:t xml:space="preserve"> well beyond European borders.</w:t>
      </w:r>
      <w:r w:rsidR="00FF31A5">
        <w:rPr>
          <w:rStyle w:val="FootnoteReference"/>
          <w:rFonts w:cstheme="minorHAnsi"/>
          <w:sz w:val="24"/>
          <w:szCs w:val="24"/>
        </w:rPr>
        <w:footnoteReference w:id="144"/>
      </w:r>
      <w:r>
        <w:rPr>
          <w:rFonts w:cstheme="minorHAnsi"/>
          <w:sz w:val="24"/>
          <w:szCs w:val="24"/>
        </w:rPr>
        <w:t xml:space="preserve"> </w:t>
      </w:r>
      <w:r w:rsidR="00CD18C0">
        <w:rPr>
          <w:rFonts w:cstheme="minorHAnsi"/>
          <w:sz w:val="24"/>
          <w:szCs w:val="24"/>
        </w:rPr>
        <w:t>This may be the</w:t>
      </w:r>
      <w:r>
        <w:rPr>
          <w:rFonts w:cstheme="minorHAnsi"/>
          <w:sz w:val="24"/>
          <w:szCs w:val="24"/>
        </w:rPr>
        <w:t xml:space="preserve"> result of </w:t>
      </w:r>
      <w:r w:rsidR="004B285F">
        <w:rPr>
          <w:rFonts w:cstheme="minorHAnsi"/>
          <w:sz w:val="24"/>
          <w:szCs w:val="24"/>
        </w:rPr>
        <w:t xml:space="preserve">combination of </w:t>
      </w:r>
      <w:r w:rsidR="00CD18C0">
        <w:rPr>
          <w:rFonts w:cstheme="minorHAnsi"/>
          <w:sz w:val="24"/>
          <w:szCs w:val="24"/>
        </w:rPr>
        <w:t xml:space="preserve">the </w:t>
      </w:r>
      <w:r>
        <w:rPr>
          <w:rFonts w:cstheme="minorHAnsi"/>
          <w:sz w:val="24"/>
          <w:szCs w:val="24"/>
        </w:rPr>
        <w:t>extraterritorial design</w:t>
      </w:r>
      <w:r w:rsidR="00CD18C0">
        <w:rPr>
          <w:rFonts w:cstheme="minorHAnsi"/>
          <w:sz w:val="24"/>
          <w:szCs w:val="24"/>
        </w:rPr>
        <w:t xml:space="preserve"> of the regulation</w:t>
      </w:r>
      <w:r w:rsidR="00F55B88">
        <w:rPr>
          <w:rFonts w:cstheme="minorHAnsi"/>
          <w:sz w:val="24"/>
          <w:szCs w:val="24"/>
        </w:rPr>
        <w:t xml:space="preserve">, or </w:t>
      </w:r>
      <w:r>
        <w:rPr>
          <w:rFonts w:cstheme="minorHAnsi"/>
          <w:sz w:val="24"/>
          <w:szCs w:val="24"/>
        </w:rPr>
        <w:t xml:space="preserve">the preference of global </w:t>
      </w:r>
      <w:r w:rsidR="00CD18C0">
        <w:rPr>
          <w:rFonts w:cstheme="minorHAnsi"/>
          <w:sz w:val="24"/>
          <w:szCs w:val="24"/>
        </w:rPr>
        <w:t>actors</w:t>
      </w:r>
      <w:r>
        <w:rPr>
          <w:rFonts w:cstheme="minorHAnsi"/>
          <w:sz w:val="24"/>
          <w:szCs w:val="24"/>
        </w:rPr>
        <w:t xml:space="preserve"> to operate under </w:t>
      </w:r>
      <w:r w:rsidR="00CD18C0">
        <w:rPr>
          <w:rFonts w:cstheme="minorHAnsi"/>
          <w:sz w:val="24"/>
          <w:szCs w:val="24"/>
        </w:rPr>
        <w:t>unified</w:t>
      </w:r>
      <w:r>
        <w:rPr>
          <w:rFonts w:cstheme="minorHAnsi"/>
          <w:sz w:val="24"/>
          <w:szCs w:val="24"/>
        </w:rPr>
        <w:t xml:space="preserve"> global</w:t>
      </w:r>
      <w:r w:rsidR="006B1C51">
        <w:rPr>
          <w:rFonts w:cstheme="minorHAnsi"/>
          <w:sz w:val="24"/>
          <w:szCs w:val="24"/>
        </w:rPr>
        <w:t xml:space="preserve"> Community</w:t>
      </w:r>
      <w:r>
        <w:rPr>
          <w:rFonts w:cstheme="minorHAnsi"/>
          <w:sz w:val="24"/>
          <w:szCs w:val="24"/>
        </w:rPr>
        <w:t xml:space="preserve"> </w:t>
      </w:r>
      <w:r w:rsidR="006B1C51">
        <w:rPr>
          <w:rFonts w:cstheme="minorHAnsi"/>
          <w:sz w:val="24"/>
          <w:szCs w:val="24"/>
        </w:rPr>
        <w:t>S</w:t>
      </w:r>
      <w:r>
        <w:rPr>
          <w:rFonts w:cstheme="minorHAnsi"/>
          <w:sz w:val="24"/>
          <w:szCs w:val="24"/>
        </w:rPr>
        <w:t>tandards</w:t>
      </w:r>
      <w:r w:rsidR="00EB03EF">
        <w:rPr>
          <w:rFonts w:cstheme="minorHAnsi"/>
          <w:sz w:val="24"/>
          <w:szCs w:val="24"/>
        </w:rPr>
        <w:t>,</w:t>
      </w:r>
      <w:r w:rsidR="00046170">
        <w:rPr>
          <w:rStyle w:val="FootnoteReference"/>
          <w:rFonts w:cstheme="minorHAnsi"/>
          <w:sz w:val="24"/>
          <w:szCs w:val="24"/>
        </w:rPr>
        <w:footnoteReference w:id="145"/>
      </w:r>
      <w:r w:rsidR="00F55B88">
        <w:rPr>
          <w:rFonts w:cstheme="minorHAnsi"/>
          <w:sz w:val="24"/>
          <w:szCs w:val="24"/>
        </w:rPr>
        <w:t xml:space="preserve"> </w:t>
      </w:r>
      <w:r w:rsidR="00FE118B">
        <w:rPr>
          <w:rFonts w:cstheme="minorHAnsi"/>
          <w:sz w:val="24"/>
          <w:szCs w:val="24"/>
        </w:rPr>
        <w:t xml:space="preserve">or </w:t>
      </w:r>
      <w:r w:rsidR="00F55B88">
        <w:rPr>
          <w:rFonts w:cstheme="minorHAnsi"/>
          <w:sz w:val="24"/>
          <w:szCs w:val="24"/>
        </w:rPr>
        <w:t xml:space="preserve">other </w:t>
      </w:r>
      <w:r w:rsidR="00F55B88">
        <w:rPr>
          <w:rFonts w:cstheme="minorHAnsi"/>
          <w:sz w:val="24"/>
          <w:szCs w:val="24"/>
        </w:rPr>
        <w:lastRenderedPageBreak/>
        <w:t>countries</w:t>
      </w:r>
      <w:r w:rsidR="00CD18C0">
        <w:rPr>
          <w:rFonts w:cstheme="minorHAnsi"/>
          <w:sz w:val="24"/>
          <w:szCs w:val="24"/>
        </w:rPr>
        <w:t xml:space="preserve"> </w:t>
      </w:r>
      <w:r w:rsidR="00FF31A5">
        <w:rPr>
          <w:rFonts w:cstheme="minorHAnsi"/>
          <w:sz w:val="24"/>
          <w:szCs w:val="24"/>
        </w:rPr>
        <w:t xml:space="preserve">copying </w:t>
      </w:r>
      <w:r w:rsidR="00065360">
        <w:rPr>
          <w:rFonts w:cstheme="minorHAnsi"/>
          <w:sz w:val="24"/>
          <w:szCs w:val="24"/>
        </w:rPr>
        <w:t>(</w:t>
      </w:r>
      <w:r w:rsidR="00F55B88">
        <w:rPr>
          <w:rFonts w:cstheme="minorHAnsi"/>
          <w:sz w:val="24"/>
          <w:szCs w:val="24"/>
        </w:rPr>
        <w:t>worthwhile</w:t>
      </w:r>
      <w:r w:rsidR="00065360">
        <w:rPr>
          <w:rFonts w:cstheme="minorHAnsi"/>
          <w:sz w:val="24"/>
          <w:szCs w:val="24"/>
        </w:rPr>
        <w:t xml:space="preserve">) </w:t>
      </w:r>
      <w:r w:rsidR="00F55B88">
        <w:rPr>
          <w:rFonts w:cstheme="minorHAnsi"/>
          <w:sz w:val="24"/>
          <w:szCs w:val="24"/>
        </w:rPr>
        <w:t>regulatory initiatives</w:t>
      </w:r>
      <w:r w:rsidR="00FF31A5">
        <w:rPr>
          <w:rFonts w:cstheme="minorHAnsi"/>
          <w:sz w:val="24"/>
          <w:szCs w:val="24"/>
        </w:rPr>
        <w:t>.</w:t>
      </w:r>
      <w:r w:rsidR="00F55B88">
        <w:rPr>
          <w:rStyle w:val="FootnoteReference"/>
          <w:rFonts w:cstheme="minorHAnsi"/>
          <w:sz w:val="24"/>
          <w:szCs w:val="24"/>
        </w:rPr>
        <w:footnoteReference w:id="146"/>
      </w:r>
      <w:r w:rsidR="00FF31A5">
        <w:rPr>
          <w:rFonts w:cstheme="minorHAnsi"/>
          <w:sz w:val="24"/>
          <w:szCs w:val="24"/>
        </w:rPr>
        <w:t xml:space="preserve"> </w:t>
      </w:r>
      <w:r w:rsidR="00C4796B">
        <w:rPr>
          <w:rFonts w:cstheme="minorHAnsi"/>
          <w:sz w:val="24"/>
          <w:szCs w:val="24"/>
        </w:rPr>
        <w:t>In design NetzDG is</w:t>
      </w:r>
      <w:r w:rsidR="00FF31A5">
        <w:rPr>
          <w:rFonts w:cstheme="minorHAnsi"/>
          <w:sz w:val="24"/>
          <w:szCs w:val="24"/>
        </w:rPr>
        <w:t xml:space="preserve"> </w:t>
      </w:r>
      <w:r w:rsidR="00C4796B">
        <w:rPr>
          <w:rFonts w:cstheme="minorHAnsi"/>
          <w:sz w:val="24"/>
          <w:szCs w:val="24"/>
        </w:rPr>
        <w:t>restricted to the German online space</w:t>
      </w:r>
      <w:r w:rsidR="004B285F">
        <w:rPr>
          <w:rFonts w:cstheme="minorHAnsi"/>
          <w:sz w:val="24"/>
          <w:szCs w:val="24"/>
        </w:rPr>
        <w:t xml:space="preserve">, yet </w:t>
      </w:r>
      <w:r w:rsidR="00C4796B">
        <w:rPr>
          <w:rFonts w:cstheme="minorHAnsi"/>
          <w:sz w:val="24"/>
          <w:szCs w:val="24"/>
        </w:rPr>
        <w:t>it may</w:t>
      </w:r>
      <w:r w:rsidR="00FF31A5">
        <w:rPr>
          <w:rFonts w:cstheme="minorHAnsi"/>
          <w:sz w:val="24"/>
          <w:szCs w:val="24"/>
        </w:rPr>
        <w:t xml:space="preserve"> </w:t>
      </w:r>
      <w:r w:rsidR="0065313A">
        <w:rPr>
          <w:rFonts w:cstheme="minorHAnsi"/>
          <w:sz w:val="24"/>
          <w:szCs w:val="24"/>
        </w:rPr>
        <w:t xml:space="preserve">well </w:t>
      </w:r>
      <w:r w:rsidR="006B1C51">
        <w:rPr>
          <w:rFonts w:cstheme="minorHAnsi"/>
          <w:sz w:val="24"/>
          <w:szCs w:val="24"/>
        </w:rPr>
        <w:t>serve as</w:t>
      </w:r>
      <w:r w:rsidR="00C4796B">
        <w:rPr>
          <w:rFonts w:cstheme="minorHAnsi"/>
          <w:sz w:val="24"/>
          <w:szCs w:val="24"/>
        </w:rPr>
        <w:t xml:space="preserve"> a</w:t>
      </w:r>
      <w:r w:rsidR="00912490">
        <w:rPr>
          <w:rFonts w:cstheme="minorHAnsi"/>
          <w:sz w:val="24"/>
          <w:szCs w:val="24"/>
        </w:rPr>
        <w:t xml:space="preserve"> </w:t>
      </w:r>
      <w:r w:rsidR="00C4796B">
        <w:rPr>
          <w:rFonts w:cstheme="minorHAnsi"/>
          <w:sz w:val="24"/>
          <w:szCs w:val="24"/>
        </w:rPr>
        <w:t>blue-print for responsible private re</w:t>
      </w:r>
      <w:r w:rsidR="00FF31A5">
        <w:rPr>
          <w:rFonts w:cstheme="minorHAnsi"/>
          <w:sz w:val="24"/>
          <w:szCs w:val="24"/>
        </w:rPr>
        <w:t>gulation</w:t>
      </w:r>
      <w:r w:rsidR="00F55B88">
        <w:rPr>
          <w:rFonts w:cstheme="minorHAnsi"/>
          <w:sz w:val="24"/>
          <w:szCs w:val="24"/>
        </w:rPr>
        <w:t xml:space="preserve"> more widel</w:t>
      </w:r>
      <w:r w:rsidR="006B1C51">
        <w:rPr>
          <w:rFonts w:cstheme="minorHAnsi"/>
          <w:sz w:val="24"/>
          <w:szCs w:val="24"/>
        </w:rPr>
        <w:t>y</w:t>
      </w:r>
      <w:r w:rsidR="000000D5">
        <w:rPr>
          <w:rFonts w:cstheme="minorHAnsi"/>
          <w:sz w:val="24"/>
          <w:szCs w:val="24"/>
        </w:rPr>
        <w:t>.</w:t>
      </w:r>
    </w:p>
    <w:p w14:paraId="5D9026C4" w14:textId="7E2C11C1" w:rsidR="00E54CD0" w:rsidRDefault="00E54CD0" w:rsidP="0019098A">
      <w:pPr>
        <w:spacing w:after="0" w:line="240" w:lineRule="auto"/>
        <w:jc w:val="both"/>
        <w:rPr>
          <w:rFonts w:cstheme="minorHAnsi"/>
          <w:sz w:val="24"/>
          <w:szCs w:val="24"/>
        </w:rPr>
      </w:pPr>
    </w:p>
    <w:p w14:paraId="1A05A7F9" w14:textId="6609CBC7" w:rsidR="00E34C13" w:rsidRDefault="00E34C13" w:rsidP="0019098A">
      <w:pPr>
        <w:spacing w:after="0" w:line="240" w:lineRule="auto"/>
        <w:jc w:val="both"/>
        <w:rPr>
          <w:rFonts w:cstheme="minorHAnsi"/>
          <w:sz w:val="24"/>
          <w:szCs w:val="24"/>
        </w:rPr>
      </w:pPr>
    </w:p>
    <w:p w14:paraId="20DB86B5" w14:textId="77777777" w:rsidR="00E34C13" w:rsidRDefault="00E34C13" w:rsidP="0019098A">
      <w:pPr>
        <w:spacing w:after="0" w:line="240" w:lineRule="auto"/>
        <w:jc w:val="both"/>
        <w:rPr>
          <w:rFonts w:cstheme="minorHAnsi"/>
          <w:sz w:val="24"/>
          <w:szCs w:val="24"/>
        </w:rPr>
      </w:pPr>
    </w:p>
    <w:p w14:paraId="1F194060" w14:textId="77777777" w:rsidR="00E34C13" w:rsidRDefault="00E34C13" w:rsidP="0019098A">
      <w:pPr>
        <w:spacing w:after="0" w:line="240" w:lineRule="auto"/>
        <w:jc w:val="both"/>
        <w:rPr>
          <w:rFonts w:cstheme="minorHAnsi"/>
          <w:sz w:val="24"/>
          <w:szCs w:val="24"/>
        </w:rPr>
      </w:pPr>
    </w:p>
    <w:p w14:paraId="108DC488" w14:textId="3B7C7409" w:rsidR="00F73AAD" w:rsidRDefault="00F73AAD" w:rsidP="0019098A">
      <w:pPr>
        <w:spacing w:after="0" w:line="240" w:lineRule="auto"/>
        <w:jc w:val="both"/>
        <w:rPr>
          <w:rFonts w:cstheme="minorHAnsi"/>
          <w:sz w:val="24"/>
          <w:szCs w:val="24"/>
        </w:rPr>
      </w:pPr>
    </w:p>
    <w:sectPr w:rsidR="00F73AAD">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21B39" w14:textId="77777777" w:rsidR="00DD552F" w:rsidRDefault="00DD552F" w:rsidP="00CF43AF">
      <w:pPr>
        <w:spacing w:after="0" w:line="240" w:lineRule="auto"/>
      </w:pPr>
      <w:r>
        <w:separator/>
      </w:r>
    </w:p>
  </w:endnote>
  <w:endnote w:type="continuationSeparator" w:id="0">
    <w:p w14:paraId="6CB2397E" w14:textId="77777777" w:rsidR="00DD552F" w:rsidRDefault="00DD552F" w:rsidP="00CF4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1706197"/>
      <w:docPartObj>
        <w:docPartGallery w:val="Page Numbers (Bottom of Page)"/>
        <w:docPartUnique/>
      </w:docPartObj>
    </w:sdtPr>
    <w:sdtEndPr>
      <w:rPr>
        <w:noProof/>
      </w:rPr>
    </w:sdtEndPr>
    <w:sdtContent>
      <w:p w14:paraId="457447D9" w14:textId="0EEAED11" w:rsidR="00917E67" w:rsidRDefault="00917E6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9F886E1" w14:textId="77777777" w:rsidR="00917E67" w:rsidRDefault="00917E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BFB6D" w14:textId="77777777" w:rsidR="00DD552F" w:rsidRDefault="00DD552F" w:rsidP="00CF43AF">
      <w:pPr>
        <w:spacing w:after="0" w:line="240" w:lineRule="auto"/>
      </w:pPr>
      <w:r>
        <w:separator/>
      </w:r>
    </w:p>
  </w:footnote>
  <w:footnote w:type="continuationSeparator" w:id="0">
    <w:p w14:paraId="7ACD25EB" w14:textId="77777777" w:rsidR="00DD552F" w:rsidRDefault="00DD552F" w:rsidP="00CF43AF">
      <w:pPr>
        <w:spacing w:after="0" w:line="240" w:lineRule="auto"/>
      </w:pPr>
      <w:r>
        <w:continuationSeparator/>
      </w:r>
    </w:p>
  </w:footnote>
  <w:footnote w:id="1">
    <w:p w14:paraId="6D9E9191" w14:textId="25BFB4AD" w:rsidR="00674334" w:rsidRPr="00617F02" w:rsidRDefault="00674334" w:rsidP="00C215EC">
      <w:pPr>
        <w:pStyle w:val="FootnoteText"/>
        <w:jc w:val="both"/>
        <w:rPr>
          <w:rFonts w:asciiTheme="minorHAnsi" w:hAnsiTheme="minorHAnsi" w:cstheme="minorHAnsi"/>
        </w:rPr>
      </w:pPr>
      <w:r w:rsidRPr="00C215EC">
        <w:rPr>
          <w:rFonts w:asciiTheme="minorHAnsi" w:hAnsiTheme="minorHAnsi" w:cstheme="minorHAnsi"/>
        </w:rPr>
        <w:t>*</w:t>
      </w:r>
      <w:r w:rsidRPr="00617F02">
        <w:rPr>
          <w:rFonts w:asciiTheme="minorHAnsi" w:hAnsiTheme="minorHAnsi" w:cstheme="minorHAnsi"/>
        </w:rPr>
        <w:t xml:space="preserve">University of Southampton. </w:t>
      </w:r>
      <w:r w:rsidR="009E1A4D">
        <w:rPr>
          <w:rFonts w:asciiTheme="minorHAnsi" w:hAnsiTheme="minorHAnsi" w:cstheme="minorHAnsi"/>
        </w:rPr>
        <w:t xml:space="preserve">Many thanks to </w:t>
      </w:r>
      <w:r w:rsidR="00A3605D">
        <w:rPr>
          <w:rFonts w:asciiTheme="minorHAnsi" w:hAnsiTheme="minorHAnsi" w:cstheme="minorHAnsi"/>
        </w:rPr>
        <w:t xml:space="preserve">Mathias Hong, Lorna Woods, </w:t>
      </w:r>
      <w:r w:rsidR="009E1A4D">
        <w:rPr>
          <w:rFonts w:asciiTheme="minorHAnsi" w:hAnsiTheme="minorHAnsi" w:cstheme="minorHAnsi"/>
        </w:rPr>
        <w:t xml:space="preserve">Chara </w:t>
      </w:r>
      <w:proofErr w:type="spellStart"/>
      <w:r w:rsidR="009E1A4D">
        <w:rPr>
          <w:rFonts w:asciiTheme="minorHAnsi" w:hAnsiTheme="minorHAnsi" w:cstheme="minorHAnsi"/>
        </w:rPr>
        <w:t>Bakalis</w:t>
      </w:r>
      <w:proofErr w:type="spellEnd"/>
      <w:r w:rsidR="00A3605D">
        <w:rPr>
          <w:rFonts w:asciiTheme="minorHAnsi" w:hAnsiTheme="minorHAnsi" w:cstheme="minorHAnsi"/>
        </w:rPr>
        <w:t xml:space="preserve"> and</w:t>
      </w:r>
      <w:r w:rsidR="000037EF">
        <w:rPr>
          <w:rFonts w:asciiTheme="minorHAnsi" w:hAnsiTheme="minorHAnsi" w:cstheme="minorHAnsi"/>
        </w:rPr>
        <w:t xml:space="preserve"> </w:t>
      </w:r>
      <w:r w:rsidR="009E1A4D">
        <w:rPr>
          <w:rFonts w:asciiTheme="minorHAnsi" w:hAnsiTheme="minorHAnsi" w:cstheme="minorHAnsi"/>
        </w:rPr>
        <w:t>Jacob Eisler</w:t>
      </w:r>
      <w:r w:rsidR="000037EF">
        <w:rPr>
          <w:rFonts w:asciiTheme="minorHAnsi" w:hAnsiTheme="minorHAnsi" w:cstheme="minorHAnsi"/>
        </w:rPr>
        <w:t xml:space="preserve"> </w:t>
      </w:r>
      <w:r w:rsidR="009E1A4D">
        <w:rPr>
          <w:rFonts w:asciiTheme="minorHAnsi" w:hAnsiTheme="minorHAnsi" w:cstheme="minorHAnsi"/>
        </w:rPr>
        <w:t xml:space="preserve">for </w:t>
      </w:r>
      <w:r w:rsidR="00A3605D">
        <w:rPr>
          <w:rFonts w:asciiTheme="minorHAnsi" w:hAnsiTheme="minorHAnsi" w:cstheme="minorHAnsi"/>
        </w:rPr>
        <w:t xml:space="preserve">very </w:t>
      </w:r>
      <w:r w:rsidR="009E1A4D">
        <w:rPr>
          <w:rFonts w:asciiTheme="minorHAnsi" w:hAnsiTheme="minorHAnsi" w:cstheme="minorHAnsi"/>
        </w:rPr>
        <w:t>helpful comments</w:t>
      </w:r>
      <w:r w:rsidR="00EB03EF">
        <w:rPr>
          <w:rFonts w:asciiTheme="minorHAnsi" w:hAnsiTheme="minorHAnsi" w:cstheme="minorHAnsi"/>
        </w:rPr>
        <w:t xml:space="preserve"> and suggestions</w:t>
      </w:r>
      <w:r w:rsidR="00A3605D">
        <w:rPr>
          <w:rFonts w:asciiTheme="minorHAnsi" w:hAnsiTheme="minorHAnsi" w:cstheme="minorHAnsi"/>
        </w:rPr>
        <w:t>, and to Sophie Turenne and Oliver Butler for organising the workshops in the lead up to this special edition</w:t>
      </w:r>
    </w:p>
    <w:p w14:paraId="7743628E" w14:textId="20154F85" w:rsidR="00674334" w:rsidRPr="00617F02" w:rsidRDefault="00674334" w:rsidP="00C215EC">
      <w:pPr>
        <w:pStyle w:val="FootnoteText"/>
        <w:jc w:val="both"/>
        <w:rPr>
          <w:rFonts w:asciiTheme="minorHAnsi" w:hAnsiTheme="minorHAnsi" w:cstheme="minorHAnsi"/>
        </w:rPr>
      </w:pPr>
      <w:r w:rsidRPr="00617F02">
        <w:rPr>
          <w:rStyle w:val="FootnoteReference"/>
          <w:rFonts w:asciiTheme="minorHAnsi" w:hAnsiTheme="minorHAnsi" w:cstheme="minorHAnsi"/>
        </w:rPr>
        <w:footnoteRef/>
      </w:r>
      <w:r w:rsidRPr="00617F02">
        <w:rPr>
          <w:rFonts w:asciiTheme="minorHAnsi" w:hAnsiTheme="minorHAnsi" w:cstheme="minorHAnsi"/>
        </w:rPr>
        <w:t xml:space="preserve"> Jeremy Waldron, </w:t>
      </w:r>
      <w:r w:rsidRPr="00617F02">
        <w:rPr>
          <w:rFonts w:asciiTheme="minorHAnsi" w:hAnsiTheme="minorHAnsi" w:cstheme="minorHAnsi"/>
          <w:i/>
        </w:rPr>
        <w:t>The Harm in Hate Speech</w:t>
      </w:r>
      <w:r w:rsidRPr="00617F02">
        <w:rPr>
          <w:rFonts w:asciiTheme="minorHAnsi" w:hAnsiTheme="minorHAnsi" w:cstheme="minorHAnsi"/>
        </w:rPr>
        <w:t xml:space="preserve"> (Cambridge, MA: Harvard University Press, 2012); Ivan Hare and James Weinstein (eds),</w:t>
      </w:r>
      <w:r w:rsidRPr="00617F02">
        <w:rPr>
          <w:rFonts w:asciiTheme="minorHAnsi" w:hAnsiTheme="minorHAnsi" w:cstheme="minorHAnsi"/>
          <w:i/>
        </w:rPr>
        <w:t xml:space="preserve"> Extreme Speech and Democracy </w:t>
      </w:r>
      <w:r w:rsidRPr="00617F02">
        <w:rPr>
          <w:rFonts w:asciiTheme="minorHAnsi" w:hAnsiTheme="minorHAnsi" w:cstheme="minorHAnsi"/>
        </w:rPr>
        <w:t xml:space="preserve">(Oxford: OUP, 2009); M </w:t>
      </w:r>
      <w:proofErr w:type="spellStart"/>
      <w:r w:rsidRPr="00617F02">
        <w:rPr>
          <w:rFonts w:asciiTheme="minorHAnsi" w:hAnsiTheme="minorHAnsi" w:cstheme="minorHAnsi"/>
        </w:rPr>
        <w:t>Herz</w:t>
      </w:r>
      <w:proofErr w:type="spellEnd"/>
      <w:r w:rsidRPr="00617F02">
        <w:rPr>
          <w:rFonts w:asciiTheme="minorHAnsi" w:hAnsiTheme="minorHAnsi" w:cstheme="minorHAnsi"/>
        </w:rPr>
        <w:t xml:space="preserve">, P Molnar (eds), </w:t>
      </w:r>
      <w:r w:rsidRPr="00617F02">
        <w:rPr>
          <w:rStyle w:val="Emphasis"/>
          <w:rFonts w:asciiTheme="minorHAnsi" w:hAnsiTheme="minorHAnsi" w:cstheme="minorHAnsi"/>
        </w:rPr>
        <w:t>The Content and Context of Hate Speech</w:t>
      </w:r>
      <w:r w:rsidRPr="00617F02">
        <w:rPr>
          <w:rFonts w:asciiTheme="minorHAnsi" w:hAnsiTheme="minorHAnsi" w:cstheme="minorHAnsi"/>
        </w:rPr>
        <w:t xml:space="preserve"> (Cambridge: Cambridge University Press, 2012); Eric Heinze, ‘Viewpoint Absolutism and Hate Speech’ (2006) 69(4) </w:t>
      </w:r>
      <w:r w:rsidRPr="00617F02">
        <w:rPr>
          <w:rFonts w:asciiTheme="minorHAnsi" w:hAnsiTheme="minorHAnsi" w:cstheme="minorHAnsi"/>
          <w:i/>
        </w:rPr>
        <w:t>Modern Law Review</w:t>
      </w:r>
      <w:r w:rsidRPr="00617F02">
        <w:rPr>
          <w:rFonts w:asciiTheme="minorHAnsi" w:hAnsiTheme="minorHAnsi" w:cstheme="minorHAnsi"/>
        </w:rPr>
        <w:t xml:space="preserve"> 543; Eric Heinze, </w:t>
      </w:r>
      <w:r w:rsidRPr="00617F02">
        <w:rPr>
          <w:rFonts w:asciiTheme="minorHAnsi" w:hAnsiTheme="minorHAnsi" w:cstheme="minorHAnsi"/>
          <w:i/>
        </w:rPr>
        <w:t>Hate Speech and Democratic Citizenship</w:t>
      </w:r>
      <w:r w:rsidRPr="00617F02">
        <w:rPr>
          <w:rFonts w:asciiTheme="minorHAnsi" w:hAnsiTheme="minorHAnsi" w:cstheme="minorHAnsi"/>
        </w:rPr>
        <w:t xml:space="preserve"> (Oxford: OUP, 2016); Eric </w:t>
      </w:r>
      <w:proofErr w:type="spellStart"/>
      <w:r w:rsidRPr="00617F02">
        <w:rPr>
          <w:rFonts w:asciiTheme="minorHAnsi" w:hAnsiTheme="minorHAnsi" w:cstheme="minorHAnsi"/>
        </w:rPr>
        <w:t>Barendt</w:t>
      </w:r>
      <w:proofErr w:type="spellEnd"/>
      <w:r w:rsidRPr="00617F02">
        <w:rPr>
          <w:rFonts w:asciiTheme="minorHAnsi" w:hAnsiTheme="minorHAnsi" w:cstheme="minorHAnsi"/>
        </w:rPr>
        <w:t xml:space="preserve">, </w:t>
      </w:r>
      <w:r w:rsidRPr="00617F02">
        <w:rPr>
          <w:rFonts w:asciiTheme="minorHAnsi" w:hAnsiTheme="minorHAnsi" w:cstheme="minorHAnsi"/>
          <w:i/>
        </w:rPr>
        <w:t>Freedom of Expression</w:t>
      </w:r>
      <w:r w:rsidRPr="00617F02">
        <w:rPr>
          <w:rFonts w:asciiTheme="minorHAnsi" w:hAnsiTheme="minorHAnsi" w:cstheme="minorHAnsi"/>
        </w:rPr>
        <w:t xml:space="preserve"> (2</w:t>
      </w:r>
      <w:r w:rsidRPr="00617F02">
        <w:rPr>
          <w:rFonts w:asciiTheme="minorHAnsi" w:hAnsiTheme="minorHAnsi" w:cstheme="minorHAnsi"/>
          <w:vertAlign w:val="superscript"/>
        </w:rPr>
        <w:t>nd</w:t>
      </w:r>
      <w:r w:rsidRPr="00617F02">
        <w:rPr>
          <w:rFonts w:asciiTheme="minorHAnsi" w:hAnsiTheme="minorHAnsi" w:cstheme="minorHAnsi"/>
        </w:rPr>
        <w:t xml:space="preserve"> ed, Oxford: OUP, 2005); Law Commission, </w:t>
      </w:r>
      <w:r w:rsidRPr="00617F02">
        <w:rPr>
          <w:rFonts w:asciiTheme="minorHAnsi" w:hAnsiTheme="minorHAnsi" w:cstheme="minorHAnsi"/>
          <w:i/>
          <w:iCs/>
        </w:rPr>
        <w:t>Abusive and Offensive Online Communications : A Scoping Report</w:t>
      </w:r>
      <w:r w:rsidRPr="00617F02">
        <w:rPr>
          <w:rFonts w:asciiTheme="minorHAnsi" w:hAnsiTheme="minorHAnsi" w:cstheme="minorHAnsi"/>
        </w:rPr>
        <w:t xml:space="preserve"> (1 Nov 2018)  </w:t>
      </w:r>
      <w:r w:rsidRPr="00617F02">
        <w:rPr>
          <w:rStyle w:val="markedcontent"/>
          <w:rFonts w:asciiTheme="minorHAnsi" w:hAnsiTheme="minorHAnsi" w:cstheme="minorHAnsi"/>
        </w:rPr>
        <w:t>Law Com No 381</w:t>
      </w:r>
      <w:r w:rsidRPr="00617F02">
        <w:rPr>
          <w:rFonts w:asciiTheme="minorHAnsi" w:hAnsiTheme="minorHAnsi" w:cstheme="minorHAnsi"/>
        </w:rPr>
        <w:t>.</w:t>
      </w:r>
    </w:p>
  </w:footnote>
  <w:footnote w:id="2">
    <w:p w14:paraId="5E2AACD8" w14:textId="19C50052" w:rsidR="00917E67" w:rsidRPr="00617F02" w:rsidRDefault="00917E67" w:rsidP="00C215EC">
      <w:pPr>
        <w:pStyle w:val="Heading2"/>
        <w:jc w:val="both"/>
        <w:rPr>
          <w:rFonts w:asciiTheme="minorHAnsi" w:hAnsiTheme="minorHAnsi" w:cstheme="minorHAnsi"/>
          <w:color w:val="auto"/>
          <w:sz w:val="20"/>
          <w:szCs w:val="20"/>
        </w:rPr>
      </w:pPr>
      <w:r w:rsidRPr="00617F02">
        <w:rPr>
          <w:rStyle w:val="FootnoteReference"/>
          <w:rFonts w:asciiTheme="minorHAnsi" w:hAnsiTheme="minorHAnsi" w:cstheme="minorHAnsi"/>
          <w:color w:val="auto"/>
          <w:sz w:val="20"/>
          <w:szCs w:val="20"/>
        </w:rPr>
        <w:footnoteRef/>
      </w:r>
      <w:r w:rsidRPr="00617F02">
        <w:rPr>
          <w:rFonts w:asciiTheme="minorHAnsi" w:hAnsiTheme="minorHAnsi" w:cstheme="minorHAnsi"/>
          <w:color w:val="auto"/>
          <w:sz w:val="20"/>
          <w:szCs w:val="20"/>
        </w:rPr>
        <w:t xml:space="preserve"> Art 20 (2) of the International Covenant on Civil and Political Rights</w:t>
      </w:r>
      <w:r w:rsidR="00674334" w:rsidRPr="00617F02">
        <w:rPr>
          <w:rFonts w:asciiTheme="minorHAnsi" w:hAnsiTheme="minorHAnsi" w:cstheme="minorHAnsi"/>
          <w:color w:val="auto"/>
          <w:sz w:val="20"/>
          <w:szCs w:val="20"/>
        </w:rPr>
        <w:t xml:space="preserve"> (1966)</w:t>
      </w:r>
      <w:r w:rsidRPr="00617F02">
        <w:rPr>
          <w:rFonts w:asciiTheme="minorHAnsi" w:hAnsiTheme="minorHAnsi" w:cstheme="minorHAnsi"/>
          <w:color w:val="auto"/>
          <w:sz w:val="20"/>
          <w:szCs w:val="20"/>
        </w:rPr>
        <w:t xml:space="preserve">; see also </w:t>
      </w:r>
      <w:r w:rsidR="00A24B8D" w:rsidRPr="00617F02">
        <w:rPr>
          <w:rFonts w:asciiTheme="minorHAnsi" w:hAnsiTheme="minorHAnsi" w:cstheme="minorHAnsi"/>
          <w:color w:val="auto"/>
          <w:sz w:val="20"/>
          <w:szCs w:val="20"/>
        </w:rPr>
        <w:t>Art 4 of the International Convention on the Elimination of All Forms of Racial Discrimination (1965).</w:t>
      </w:r>
      <w:r w:rsidR="00575BA4" w:rsidRPr="00617F02">
        <w:rPr>
          <w:rFonts w:asciiTheme="minorHAnsi" w:hAnsiTheme="minorHAnsi" w:cstheme="minorHAnsi"/>
          <w:color w:val="auto"/>
          <w:sz w:val="20"/>
          <w:szCs w:val="20"/>
        </w:rPr>
        <w:t xml:space="preserve"> On hate speech as group libel, see Waldron ibid, 34ff. </w:t>
      </w:r>
    </w:p>
  </w:footnote>
  <w:footnote w:id="3">
    <w:p w14:paraId="2635CA0A" w14:textId="74888FA2" w:rsidR="00917E67" w:rsidRPr="00617F02" w:rsidRDefault="00917E67" w:rsidP="00C215EC">
      <w:pPr>
        <w:pStyle w:val="FootnoteText"/>
        <w:jc w:val="both"/>
        <w:rPr>
          <w:rFonts w:asciiTheme="minorHAnsi" w:hAnsiTheme="minorHAnsi" w:cstheme="minorHAnsi"/>
        </w:rPr>
      </w:pPr>
      <w:r w:rsidRPr="00617F02">
        <w:rPr>
          <w:rStyle w:val="FootnoteReference"/>
          <w:rFonts w:asciiTheme="minorHAnsi" w:hAnsiTheme="minorHAnsi" w:cstheme="minorHAnsi"/>
        </w:rPr>
        <w:footnoteRef/>
      </w:r>
      <w:r w:rsidR="00804DA8" w:rsidRPr="00617F02">
        <w:rPr>
          <w:rFonts w:asciiTheme="minorHAnsi" w:hAnsiTheme="minorHAnsi" w:cstheme="minorHAnsi"/>
        </w:rPr>
        <w:t xml:space="preserve"> </w:t>
      </w:r>
      <w:r w:rsidR="00417D75" w:rsidRPr="00617F02">
        <w:rPr>
          <w:rFonts w:asciiTheme="minorHAnsi" w:hAnsiTheme="minorHAnsi" w:cstheme="minorHAnsi"/>
        </w:rPr>
        <w:t xml:space="preserve">At </w:t>
      </w:r>
      <w:r w:rsidR="00804DA8" w:rsidRPr="00617F02">
        <w:rPr>
          <w:rFonts w:asciiTheme="minorHAnsi" w:hAnsiTheme="minorHAnsi" w:cstheme="minorHAnsi"/>
        </w:rPr>
        <w:t>times</w:t>
      </w:r>
      <w:r w:rsidR="00A24B8D" w:rsidRPr="00617F02">
        <w:rPr>
          <w:rFonts w:asciiTheme="minorHAnsi" w:hAnsiTheme="minorHAnsi" w:cstheme="minorHAnsi"/>
        </w:rPr>
        <w:t xml:space="preserve"> </w:t>
      </w:r>
      <w:r w:rsidRPr="00617F02">
        <w:rPr>
          <w:rFonts w:asciiTheme="minorHAnsi" w:hAnsiTheme="minorHAnsi" w:cstheme="minorHAnsi"/>
        </w:rPr>
        <w:t xml:space="preserve">captured </w:t>
      </w:r>
      <w:r w:rsidR="00417D75" w:rsidRPr="00617F02">
        <w:rPr>
          <w:rFonts w:asciiTheme="minorHAnsi" w:hAnsiTheme="minorHAnsi" w:cstheme="minorHAnsi"/>
        </w:rPr>
        <w:t>through</w:t>
      </w:r>
      <w:r w:rsidR="00A24B8D" w:rsidRPr="00617F02">
        <w:rPr>
          <w:rFonts w:asciiTheme="minorHAnsi" w:hAnsiTheme="minorHAnsi" w:cstheme="minorHAnsi"/>
        </w:rPr>
        <w:t xml:space="preserve"> references to</w:t>
      </w:r>
      <w:r w:rsidRPr="00617F02">
        <w:rPr>
          <w:rFonts w:asciiTheme="minorHAnsi" w:hAnsiTheme="minorHAnsi" w:cstheme="minorHAnsi"/>
        </w:rPr>
        <w:t xml:space="preserve"> ‘public order’</w:t>
      </w:r>
      <w:r w:rsidR="00A24B8D" w:rsidRPr="00617F02">
        <w:rPr>
          <w:rFonts w:asciiTheme="minorHAnsi" w:hAnsiTheme="minorHAnsi" w:cstheme="minorHAnsi"/>
        </w:rPr>
        <w:t xml:space="preserve"> or ‘public peace</w:t>
      </w:r>
      <w:r w:rsidR="00804DA8" w:rsidRPr="00617F02">
        <w:rPr>
          <w:rFonts w:asciiTheme="minorHAnsi" w:hAnsiTheme="minorHAnsi" w:cstheme="minorHAnsi"/>
        </w:rPr>
        <w:t>’</w:t>
      </w:r>
      <w:r w:rsidR="00A24B8D" w:rsidRPr="00617F02">
        <w:rPr>
          <w:rFonts w:asciiTheme="minorHAnsi" w:hAnsiTheme="minorHAnsi" w:cstheme="minorHAnsi"/>
        </w:rPr>
        <w:t xml:space="preserve"> in the formulat</w:t>
      </w:r>
      <w:r w:rsidR="00524A28">
        <w:rPr>
          <w:rFonts w:asciiTheme="minorHAnsi" w:hAnsiTheme="minorHAnsi" w:cstheme="minorHAnsi"/>
        </w:rPr>
        <w:t>ion</w:t>
      </w:r>
      <w:r w:rsidR="00A24B8D" w:rsidRPr="00617F02">
        <w:rPr>
          <w:rFonts w:asciiTheme="minorHAnsi" w:hAnsiTheme="minorHAnsi" w:cstheme="minorHAnsi"/>
        </w:rPr>
        <w:t xml:space="preserve"> of </w:t>
      </w:r>
      <w:r w:rsidR="00417D75" w:rsidRPr="00617F02">
        <w:rPr>
          <w:rFonts w:asciiTheme="minorHAnsi" w:hAnsiTheme="minorHAnsi" w:cstheme="minorHAnsi"/>
        </w:rPr>
        <w:t xml:space="preserve">relevant offences, see </w:t>
      </w:r>
      <w:proofErr w:type="gramStart"/>
      <w:r w:rsidR="00804DA8" w:rsidRPr="00617F02">
        <w:rPr>
          <w:rFonts w:asciiTheme="minorHAnsi" w:hAnsiTheme="minorHAnsi" w:cstheme="minorHAnsi"/>
        </w:rPr>
        <w:t>e.g.</w:t>
      </w:r>
      <w:proofErr w:type="gramEnd"/>
      <w:r w:rsidR="00804DA8" w:rsidRPr="00617F02">
        <w:rPr>
          <w:rFonts w:asciiTheme="minorHAnsi" w:hAnsiTheme="minorHAnsi" w:cstheme="minorHAnsi"/>
        </w:rPr>
        <w:t xml:space="preserve"> s130 of the German Criminal Code</w:t>
      </w:r>
      <w:r w:rsidR="00524A28">
        <w:rPr>
          <w:rFonts w:asciiTheme="minorHAnsi" w:hAnsiTheme="minorHAnsi" w:cstheme="minorHAnsi"/>
        </w:rPr>
        <w:t xml:space="preserve">. In </w:t>
      </w:r>
      <w:r w:rsidR="00417D75" w:rsidRPr="00617F02">
        <w:rPr>
          <w:rFonts w:asciiTheme="minorHAnsi" w:hAnsiTheme="minorHAnsi" w:cstheme="minorHAnsi"/>
          <w:i/>
          <w:iCs/>
        </w:rPr>
        <w:t>King v Osborne</w:t>
      </w:r>
      <w:r w:rsidR="00417D75" w:rsidRPr="00617F02">
        <w:rPr>
          <w:rFonts w:asciiTheme="minorHAnsi" w:hAnsiTheme="minorHAnsi" w:cstheme="minorHAnsi"/>
        </w:rPr>
        <w:t xml:space="preserve"> [1732] 94 </w:t>
      </w:r>
      <w:proofErr w:type="spellStart"/>
      <w:r w:rsidR="00417D75" w:rsidRPr="00617F02">
        <w:rPr>
          <w:rFonts w:asciiTheme="minorHAnsi" w:hAnsiTheme="minorHAnsi" w:cstheme="minorHAnsi"/>
        </w:rPr>
        <w:t>Eng</w:t>
      </w:r>
      <w:proofErr w:type="spellEnd"/>
      <w:r w:rsidR="00417D75" w:rsidRPr="00617F02">
        <w:rPr>
          <w:rFonts w:asciiTheme="minorHAnsi" w:hAnsiTheme="minorHAnsi" w:cstheme="minorHAnsi"/>
        </w:rPr>
        <w:t xml:space="preserve"> Rep 406 the group libel of </w:t>
      </w:r>
      <w:proofErr w:type="gramStart"/>
      <w:r w:rsidR="00417D75" w:rsidRPr="00617F02">
        <w:rPr>
          <w:rFonts w:asciiTheme="minorHAnsi" w:hAnsiTheme="minorHAnsi" w:cstheme="minorHAnsi"/>
        </w:rPr>
        <w:t xml:space="preserve">Jews </w:t>
      </w:r>
      <w:r w:rsidR="00524A28">
        <w:rPr>
          <w:rFonts w:asciiTheme="minorHAnsi" w:hAnsiTheme="minorHAnsi" w:cstheme="minorHAnsi"/>
        </w:rPr>
        <w:t xml:space="preserve"> amounted</w:t>
      </w:r>
      <w:proofErr w:type="gramEnd"/>
      <w:r w:rsidR="00524A28">
        <w:rPr>
          <w:rFonts w:asciiTheme="minorHAnsi" w:hAnsiTheme="minorHAnsi" w:cstheme="minorHAnsi"/>
        </w:rPr>
        <w:t xml:space="preserve"> to</w:t>
      </w:r>
      <w:r w:rsidR="00417D75" w:rsidRPr="00617F02">
        <w:rPr>
          <w:rFonts w:asciiTheme="minorHAnsi" w:hAnsiTheme="minorHAnsi" w:cstheme="minorHAnsi"/>
        </w:rPr>
        <w:t xml:space="preserve"> a breach of the ‘public peace’; </w:t>
      </w:r>
      <w:r w:rsidR="00A24B8D" w:rsidRPr="00617F02">
        <w:rPr>
          <w:rFonts w:asciiTheme="minorHAnsi" w:hAnsiTheme="minorHAnsi" w:cstheme="minorHAnsi"/>
        </w:rPr>
        <w:t xml:space="preserve">see </w:t>
      </w:r>
      <w:r w:rsidR="00804DA8" w:rsidRPr="00617F02">
        <w:rPr>
          <w:rFonts w:asciiTheme="minorHAnsi" w:hAnsiTheme="minorHAnsi" w:cstheme="minorHAnsi"/>
        </w:rPr>
        <w:t xml:space="preserve">also </w:t>
      </w:r>
      <w:r w:rsidR="00A24B8D" w:rsidRPr="00617F02">
        <w:rPr>
          <w:rStyle w:val="markedcontent"/>
          <w:rFonts w:asciiTheme="minorHAnsi" w:hAnsiTheme="minorHAnsi" w:cstheme="minorHAnsi"/>
        </w:rPr>
        <w:t xml:space="preserve">Chara </w:t>
      </w:r>
      <w:proofErr w:type="spellStart"/>
      <w:r w:rsidR="00A24B8D" w:rsidRPr="00617F02">
        <w:rPr>
          <w:rStyle w:val="markedcontent"/>
          <w:rFonts w:asciiTheme="minorHAnsi" w:hAnsiTheme="minorHAnsi" w:cstheme="minorHAnsi"/>
        </w:rPr>
        <w:t>Bakalis</w:t>
      </w:r>
      <w:proofErr w:type="spellEnd"/>
      <w:r w:rsidR="00A24B8D" w:rsidRPr="00617F02">
        <w:rPr>
          <w:rStyle w:val="markedcontent"/>
          <w:rFonts w:asciiTheme="minorHAnsi" w:hAnsiTheme="minorHAnsi" w:cstheme="minorHAnsi"/>
        </w:rPr>
        <w:t xml:space="preserve">, </w:t>
      </w:r>
      <w:r w:rsidR="00804DA8" w:rsidRPr="00617F02">
        <w:rPr>
          <w:rStyle w:val="markedcontent"/>
          <w:rFonts w:asciiTheme="minorHAnsi" w:hAnsiTheme="minorHAnsi" w:cstheme="minorHAnsi"/>
        </w:rPr>
        <w:t>‘</w:t>
      </w:r>
      <w:r w:rsidR="00A24B8D" w:rsidRPr="00617F02">
        <w:rPr>
          <w:rStyle w:val="markedcontent"/>
          <w:rFonts w:asciiTheme="minorHAnsi" w:hAnsiTheme="minorHAnsi" w:cstheme="minorHAnsi"/>
        </w:rPr>
        <w:t>Rethinking cyberhate laws</w:t>
      </w:r>
      <w:r w:rsidR="00804DA8" w:rsidRPr="00617F02">
        <w:rPr>
          <w:rStyle w:val="markedcontent"/>
          <w:rFonts w:asciiTheme="minorHAnsi" w:hAnsiTheme="minorHAnsi" w:cstheme="minorHAnsi"/>
        </w:rPr>
        <w:t xml:space="preserve">’ </w:t>
      </w:r>
      <w:r w:rsidR="00A24B8D" w:rsidRPr="00617F02">
        <w:rPr>
          <w:rStyle w:val="markedcontent"/>
          <w:rFonts w:asciiTheme="minorHAnsi" w:hAnsiTheme="minorHAnsi" w:cstheme="minorHAnsi"/>
        </w:rPr>
        <w:t xml:space="preserve">(2018) 27(1) </w:t>
      </w:r>
      <w:r w:rsidR="00A24B8D" w:rsidRPr="00617F02">
        <w:rPr>
          <w:rStyle w:val="markedcontent"/>
          <w:rFonts w:asciiTheme="minorHAnsi" w:hAnsiTheme="minorHAnsi" w:cstheme="minorHAnsi"/>
          <w:i/>
          <w:iCs/>
        </w:rPr>
        <w:t>Information &amp; Communications Technology Law</w:t>
      </w:r>
      <w:r w:rsidR="00A24B8D" w:rsidRPr="00617F02">
        <w:rPr>
          <w:rStyle w:val="markedcontent"/>
          <w:rFonts w:asciiTheme="minorHAnsi" w:hAnsiTheme="minorHAnsi" w:cstheme="minorHAnsi"/>
        </w:rPr>
        <w:t xml:space="preserve"> 86</w:t>
      </w:r>
      <w:r w:rsidR="00804DA8" w:rsidRPr="00617F02">
        <w:rPr>
          <w:rStyle w:val="markedcontent"/>
          <w:rFonts w:asciiTheme="minorHAnsi" w:hAnsiTheme="minorHAnsi" w:cstheme="minorHAnsi"/>
        </w:rPr>
        <w:t xml:space="preserve"> (discussing different types of harm caused by online hate). </w:t>
      </w:r>
    </w:p>
  </w:footnote>
  <w:footnote w:id="4">
    <w:p w14:paraId="7894A6DD" w14:textId="13F1AC8C" w:rsidR="00917E67" w:rsidRPr="00617F02" w:rsidRDefault="00917E67" w:rsidP="00C215EC">
      <w:pPr>
        <w:pStyle w:val="FootnoteText"/>
        <w:jc w:val="both"/>
        <w:rPr>
          <w:rFonts w:asciiTheme="minorHAnsi" w:hAnsiTheme="minorHAnsi" w:cstheme="minorHAnsi"/>
        </w:rPr>
      </w:pPr>
      <w:r w:rsidRPr="00617F02">
        <w:rPr>
          <w:rStyle w:val="FootnoteReference"/>
          <w:rFonts w:asciiTheme="minorHAnsi" w:hAnsiTheme="minorHAnsi" w:cstheme="minorHAnsi"/>
        </w:rPr>
        <w:footnoteRef/>
      </w:r>
      <w:r w:rsidRPr="00617F02">
        <w:rPr>
          <w:rFonts w:asciiTheme="minorHAnsi" w:hAnsiTheme="minorHAnsi" w:cstheme="minorHAnsi"/>
        </w:rPr>
        <w:t xml:space="preserve"> Waldron above n 1, 3, 6 respectively</w:t>
      </w:r>
      <w:r w:rsidR="00674334" w:rsidRPr="00617F02">
        <w:rPr>
          <w:rFonts w:asciiTheme="minorHAnsi" w:hAnsiTheme="minorHAnsi" w:cstheme="minorHAnsi"/>
        </w:rPr>
        <w:t>.</w:t>
      </w:r>
      <w:r w:rsidRPr="00617F02">
        <w:rPr>
          <w:rFonts w:asciiTheme="minorHAnsi" w:hAnsiTheme="minorHAnsi" w:cstheme="minorHAnsi"/>
        </w:rPr>
        <w:t xml:space="preserve"> </w:t>
      </w:r>
    </w:p>
  </w:footnote>
  <w:footnote w:id="5">
    <w:p w14:paraId="79D26631" w14:textId="72EAA9BE" w:rsidR="00917E67" w:rsidRPr="00617F02" w:rsidRDefault="00917E67" w:rsidP="00C215EC">
      <w:pPr>
        <w:pStyle w:val="FootnoteText"/>
        <w:jc w:val="both"/>
        <w:rPr>
          <w:rFonts w:asciiTheme="minorHAnsi" w:hAnsiTheme="minorHAnsi" w:cstheme="minorHAnsi"/>
        </w:rPr>
      </w:pPr>
      <w:r w:rsidRPr="00617F02">
        <w:rPr>
          <w:rStyle w:val="FootnoteReference"/>
          <w:rFonts w:asciiTheme="minorHAnsi" w:hAnsiTheme="minorHAnsi" w:cstheme="minorHAnsi"/>
        </w:rPr>
        <w:footnoteRef/>
      </w:r>
      <w:r w:rsidRPr="00617F02">
        <w:rPr>
          <w:rFonts w:asciiTheme="minorHAnsi" w:hAnsiTheme="minorHAnsi" w:cstheme="minorHAnsi"/>
        </w:rPr>
        <w:t xml:space="preserve"> For example, Edward J Eberle, </w:t>
      </w:r>
      <w:r w:rsidRPr="00617F02">
        <w:rPr>
          <w:rFonts w:asciiTheme="minorHAnsi" w:hAnsiTheme="minorHAnsi" w:cstheme="minorHAnsi"/>
          <w:i/>
          <w:iCs/>
        </w:rPr>
        <w:t>Dignity and Liberty – Constitutional Visions in Germany and the United States</w:t>
      </w:r>
      <w:r w:rsidRPr="00617F02">
        <w:rPr>
          <w:rFonts w:asciiTheme="minorHAnsi" w:hAnsiTheme="minorHAnsi" w:cstheme="minorHAnsi"/>
        </w:rPr>
        <w:t xml:space="preserve"> (Westport, US: Praeger, 2002)</w:t>
      </w:r>
      <w:r w:rsidR="00804DA8" w:rsidRPr="00617F02">
        <w:rPr>
          <w:rFonts w:asciiTheme="minorHAnsi" w:hAnsiTheme="minorHAnsi" w:cstheme="minorHAnsi"/>
        </w:rPr>
        <w:t xml:space="preserve"> </w:t>
      </w:r>
      <w:proofErr w:type="gramStart"/>
      <w:r w:rsidRPr="00617F02">
        <w:rPr>
          <w:rFonts w:asciiTheme="minorHAnsi" w:hAnsiTheme="minorHAnsi" w:cstheme="minorHAnsi"/>
        </w:rPr>
        <w:t>224</w:t>
      </w:r>
      <w:r w:rsidR="00804DA8" w:rsidRPr="00617F02">
        <w:rPr>
          <w:rFonts w:asciiTheme="minorHAnsi" w:hAnsiTheme="minorHAnsi" w:cstheme="minorHAnsi"/>
        </w:rPr>
        <w:t>;</w:t>
      </w:r>
      <w:r w:rsidRPr="00617F02">
        <w:rPr>
          <w:rFonts w:asciiTheme="minorHAnsi" w:hAnsiTheme="minorHAnsi" w:cstheme="minorHAnsi"/>
        </w:rPr>
        <w:t>Robert</w:t>
      </w:r>
      <w:proofErr w:type="gramEnd"/>
      <w:r w:rsidRPr="00617F02">
        <w:rPr>
          <w:rFonts w:asciiTheme="minorHAnsi" w:hAnsiTheme="minorHAnsi" w:cstheme="minorHAnsi"/>
        </w:rPr>
        <w:t xml:space="preserve"> Post, ‘Hate Speech’ in Hare </w:t>
      </w:r>
      <w:r w:rsidR="00650E82" w:rsidRPr="00617F02">
        <w:rPr>
          <w:rFonts w:asciiTheme="minorHAnsi" w:hAnsiTheme="minorHAnsi" w:cstheme="minorHAnsi"/>
        </w:rPr>
        <w:t xml:space="preserve">and Weinstein </w:t>
      </w:r>
      <w:r w:rsidRPr="00617F02">
        <w:rPr>
          <w:rFonts w:asciiTheme="minorHAnsi" w:hAnsiTheme="minorHAnsi" w:cstheme="minorHAnsi"/>
        </w:rPr>
        <w:t>above n 1, 123, 133ff, on the ‘tendential’ causal connection between the harms and the speech. The harms are often downplayed</w:t>
      </w:r>
      <w:r w:rsidR="00804DA8" w:rsidRPr="00617F02">
        <w:rPr>
          <w:rFonts w:asciiTheme="minorHAnsi" w:hAnsiTheme="minorHAnsi" w:cstheme="minorHAnsi"/>
        </w:rPr>
        <w:t xml:space="preserve"> by US authors</w:t>
      </w:r>
      <w:r w:rsidRPr="00617F02">
        <w:rPr>
          <w:rFonts w:asciiTheme="minorHAnsi" w:hAnsiTheme="minorHAnsi" w:cstheme="minorHAnsi"/>
        </w:rPr>
        <w:t xml:space="preserve"> </w:t>
      </w:r>
      <w:proofErr w:type="gramStart"/>
      <w:r w:rsidRPr="00617F02">
        <w:rPr>
          <w:rFonts w:asciiTheme="minorHAnsi" w:hAnsiTheme="minorHAnsi" w:cstheme="minorHAnsi"/>
        </w:rPr>
        <w:t>e.g.</w:t>
      </w:r>
      <w:proofErr w:type="gramEnd"/>
      <w:r w:rsidRPr="00617F02">
        <w:rPr>
          <w:rFonts w:asciiTheme="minorHAnsi" w:hAnsiTheme="minorHAnsi" w:cstheme="minorHAnsi"/>
        </w:rPr>
        <w:t xml:space="preserve"> Ronald Dworkin, </w:t>
      </w:r>
      <w:proofErr w:type="spellStart"/>
      <w:r w:rsidRPr="00617F02">
        <w:rPr>
          <w:rFonts w:asciiTheme="minorHAnsi" w:hAnsiTheme="minorHAnsi" w:cstheme="minorHAnsi"/>
          <w:i/>
        </w:rPr>
        <w:t>Forword</w:t>
      </w:r>
      <w:proofErr w:type="spellEnd"/>
      <w:r w:rsidRPr="00617F02">
        <w:rPr>
          <w:rFonts w:asciiTheme="minorHAnsi" w:hAnsiTheme="minorHAnsi" w:cstheme="minorHAnsi"/>
          <w:i/>
        </w:rPr>
        <w:t xml:space="preserve"> </w:t>
      </w:r>
      <w:r w:rsidRPr="00617F02">
        <w:rPr>
          <w:rFonts w:asciiTheme="minorHAnsi" w:hAnsiTheme="minorHAnsi" w:cstheme="minorHAnsi"/>
        </w:rPr>
        <w:t xml:space="preserve">in Hare and Weinstein, above n 1: ‘Many of the claims [of the malign consequences of bad speech] are inflated and some are absurd… we must protect it even if it does have bad consequences…’ </w:t>
      </w:r>
    </w:p>
  </w:footnote>
  <w:footnote w:id="6">
    <w:p w14:paraId="17A75406" w14:textId="0FBAD826" w:rsidR="00917E67" w:rsidRPr="00617F02" w:rsidRDefault="00917E67" w:rsidP="00C215EC">
      <w:pPr>
        <w:pStyle w:val="FootnoteText"/>
        <w:jc w:val="both"/>
        <w:rPr>
          <w:rFonts w:asciiTheme="minorHAnsi" w:hAnsiTheme="minorHAnsi" w:cstheme="minorHAnsi"/>
        </w:rPr>
      </w:pPr>
      <w:r w:rsidRPr="00617F02">
        <w:rPr>
          <w:rStyle w:val="FootnoteReference"/>
          <w:rFonts w:asciiTheme="minorHAnsi" w:hAnsiTheme="minorHAnsi" w:cstheme="minorHAnsi"/>
        </w:rPr>
        <w:footnoteRef/>
      </w:r>
      <w:r w:rsidRPr="00617F02">
        <w:rPr>
          <w:rFonts w:asciiTheme="minorHAnsi" w:hAnsiTheme="minorHAnsi" w:cstheme="minorHAnsi"/>
        </w:rPr>
        <w:t xml:space="preserve"> Frederick Schauer, ‘The Exceptional First Amendment’ (February 2005) </w:t>
      </w:r>
      <w:r w:rsidRPr="00617F02">
        <w:rPr>
          <w:rFonts w:asciiTheme="minorHAnsi" w:hAnsiTheme="minorHAnsi" w:cstheme="minorHAnsi"/>
          <w:i/>
          <w:iCs/>
        </w:rPr>
        <w:t>Faculty Research Working Paper Series, Harvard University, John F. Kennedy School of Government,</w:t>
      </w:r>
      <w:r w:rsidRPr="00617F02">
        <w:rPr>
          <w:rFonts w:asciiTheme="minorHAnsi" w:hAnsiTheme="minorHAnsi" w:cstheme="minorHAnsi"/>
        </w:rPr>
        <w:t xml:space="preserve"> 28</w:t>
      </w:r>
      <w:r w:rsidRPr="00617F02">
        <w:rPr>
          <w:rFonts w:asciiTheme="minorHAnsi" w:hAnsiTheme="minorHAnsi" w:cstheme="minorHAnsi"/>
          <w:i/>
          <w:iCs/>
        </w:rPr>
        <w:t xml:space="preserve"> </w:t>
      </w:r>
      <w:r w:rsidRPr="00617F02">
        <w:rPr>
          <w:rFonts w:asciiTheme="minorHAnsi" w:hAnsiTheme="minorHAnsi" w:cstheme="minorHAnsi"/>
        </w:rPr>
        <w:t xml:space="preserve">[emphasis added]. </w:t>
      </w:r>
    </w:p>
  </w:footnote>
  <w:footnote w:id="7">
    <w:p w14:paraId="094F2527" w14:textId="1D42DBBC" w:rsidR="00917E67" w:rsidRPr="00617F02" w:rsidRDefault="00917E67" w:rsidP="00C215EC">
      <w:pPr>
        <w:pStyle w:val="FootnoteText"/>
        <w:jc w:val="both"/>
        <w:rPr>
          <w:rFonts w:asciiTheme="minorHAnsi" w:hAnsiTheme="minorHAnsi" w:cstheme="minorHAnsi"/>
        </w:rPr>
      </w:pPr>
      <w:r w:rsidRPr="00617F02">
        <w:rPr>
          <w:rStyle w:val="FootnoteReference"/>
          <w:rFonts w:asciiTheme="minorHAnsi" w:hAnsiTheme="minorHAnsi" w:cstheme="minorHAnsi"/>
        </w:rPr>
        <w:footnoteRef/>
      </w:r>
      <w:r w:rsidRPr="00617F02">
        <w:rPr>
          <w:rFonts w:asciiTheme="minorHAnsi" w:hAnsiTheme="minorHAnsi" w:cstheme="minorHAnsi"/>
        </w:rPr>
        <w:t xml:space="preserve"> Waldr</w:t>
      </w:r>
      <w:r w:rsidR="00804DA8" w:rsidRPr="00617F02">
        <w:rPr>
          <w:rFonts w:asciiTheme="minorHAnsi" w:hAnsiTheme="minorHAnsi" w:cstheme="minorHAnsi"/>
        </w:rPr>
        <w:t>o</w:t>
      </w:r>
      <w:r w:rsidRPr="00617F02">
        <w:rPr>
          <w:rFonts w:asciiTheme="minorHAnsi" w:hAnsiTheme="minorHAnsi" w:cstheme="minorHAnsi"/>
        </w:rPr>
        <w:t xml:space="preserve">n above n 1, 38, discussing Catherine MacKinnon’s concept of ‘speech acts’ to criticize the extension of the First Amendment to also protect intimidation, discrimination and subordination, see Catharine A MacKinnon, </w:t>
      </w:r>
      <w:r w:rsidRPr="00617F02">
        <w:rPr>
          <w:rFonts w:asciiTheme="minorHAnsi" w:hAnsiTheme="minorHAnsi" w:cstheme="minorHAnsi"/>
          <w:i/>
          <w:iCs/>
        </w:rPr>
        <w:t>Only Words</w:t>
      </w:r>
      <w:r w:rsidRPr="00617F02">
        <w:rPr>
          <w:rFonts w:asciiTheme="minorHAnsi" w:hAnsiTheme="minorHAnsi" w:cstheme="minorHAnsi"/>
        </w:rPr>
        <w:t xml:space="preserve"> (Cambridge MA: Harvard University Press, 1993)</w:t>
      </w:r>
      <w:r w:rsidR="00804DA8" w:rsidRPr="00617F02">
        <w:rPr>
          <w:rFonts w:asciiTheme="minorHAnsi" w:hAnsiTheme="minorHAnsi" w:cstheme="minorHAnsi"/>
        </w:rPr>
        <w:t>.</w:t>
      </w:r>
      <w:r w:rsidRPr="00617F02">
        <w:rPr>
          <w:rFonts w:asciiTheme="minorHAnsi" w:hAnsiTheme="minorHAnsi" w:cstheme="minorHAnsi"/>
        </w:rPr>
        <w:t xml:space="preserve"> </w:t>
      </w:r>
    </w:p>
  </w:footnote>
  <w:footnote w:id="8">
    <w:p w14:paraId="3C50FAC5" w14:textId="38041842" w:rsidR="00917E67" w:rsidRPr="00617F02" w:rsidRDefault="00917E67" w:rsidP="00C215EC">
      <w:pPr>
        <w:pStyle w:val="FootnoteText"/>
        <w:jc w:val="both"/>
        <w:rPr>
          <w:rFonts w:asciiTheme="minorHAnsi" w:hAnsiTheme="minorHAnsi" w:cstheme="minorHAnsi"/>
        </w:rPr>
      </w:pPr>
      <w:r w:rsidRPr="00617F02">
        <w:rPr>
          <w:rStyle w:val="FootnoteReference"/>
          <w:rFonts w:asciiTheme="minorHAnsi" w:hAnsiTheme="minorHAnsi" w:cstheme="minorHAnsi"/>
        </w:rPr>
        <w:footnoteRef/>
      </w:r>
      <w:r w:rsidRPr="00617F02">
        <w:rPr>
          <w:rFonts w:asciiTheme="minorHAnsi" w:hAnsiTheme="minorHAnsi" w:cstheme="minorHAnsi"/>
        </w:rPr>
        <w:t xml:space="preserve"> Eberle above n 5, 193.  </w:t>
      </w:r>
    </w:p>
  </w:footnote>
  <w:footnote w:id="9">
    <w:p w14:paraId="09B13ADA" w14:textId="413AE937" w:rsidR="00917E67" w:rsidRPr="00617F02" w:rsidRDefault="00917E67" w:rsidP="00C215EC">
      <w:pPr>
        <w:pStyle w:val="FootnoteText"/>
        <w:jc w:val="both"/>
        <w:rPr>
          <w:rFonts w:asciiTheme="minorHAnsi" w:hAnsiTheme="minorHAnsi" w:cstheme="minorHAnsi"/>
        </w:rPr>
      </w:pPr>
      <w:r w:rsidRPr="00617F02">
        <w:rPr>
          <w:rStyle w:val="FootnoteReference"/>
          <w:rFonts w:asciiTheme="minorHAnsi" w:hAnsiTheme="minorHAnsi" w:cstheme="minorHAnsi"/>
        </w:rPr>
        <w:footnoteRef/>
      </w:r>
      <w:r w:rsidRPr="00617F02">
        <w:rPr>
          <w:rFonts w:asciiTheme="minorHAnsi" w:hAnsiTheme="minorHAnsi" w:cstheme="minorHAnsi"/>
        </w:rPr>
        <w:t xml:space="preserve"> </w:t>
      </w:r>
      <w:proofErr w:type="spellStart"/>
      <w:r w:rsidRPr="00617F02">
        <w:rPr>
          <w:rFonts w:asciiTheme="minorHAnsi" w:hAnsiTheme="minorHAnsi" w:cstheme="minorHAnsi"/>
        </w:rPr>
        <w:t>Barendt</w:t>
      </w:r>
      <w:proofErr w:type="spellEnd"/>
      <w:r w:rsidR="00D16D4D" w:rsidRPr="00617F02">
        <w:rPr>
          <w:rFonts w:asciiTheme="minorHAnsi" w:hAnsiTheme="minorHAnsi" w:cstheme="minorHAnsi"/>
        </w:rPr>
        <w:t xml:space="preserve"> above n 1, 6ff.</w:t>
      </w:r>
      <w:r w:rsidRPr="00617F02">
        <w:rPr>
          <w:rFonts w:asciiTheme="minorHAnsi" w:hAnsiTheme="minorHAnsi" w:cstheme="minorHAnsi"/>
        </w:rPr>
        <w:t xml:space="preserve"> Frederick Schauer, </w:t>
      </w:r>
      <w:r w:rsidRPr="00617F02">
        <w:rPr>
          <w:rFonts w:asciiTheme="minorHAnsi" w:hAnsiTheme="minorHAnsi" w:cstheme="minorHAnsi"/>
          <w:i/>
        </w:rPr>
        <w:t>Free Speech: A Philosophical Enquiry</w:t>
      </w:r>
      <w:r w:rsidRPr="00617F02">
        <w:rPr>
          <w:rFonts w:asciiTheme="minorHAnsi" w:hAnsiTheme="minorHAnsi" w:cstheme="minorHAnsi"/>
        </w:rPr>
        <w:t xml:space="preserve"> (</w:t>
      </w:r>
      <w:r w:rsidR="00D16D4D" w:rsidRPr="00617F02">
        <w:rPr>
          <w:rFonts w:asciiTheme="minorHAnsi" w:hAnsiTheme="minorHAnsi" w:cstheme="minorHAnsi"/>
        </w:rPr>
        <w:t xml:space="preserve">Cambridge; CUP, </w:t>
      </w:r>
      <w:r w:rsidRPr="00617F02">
        <w:rPr>
          <w:rFonts w:asciiTheme="minorHAnsi" w:hAnsiTheme="minorHAnsi" w:cstheme="minorHAnsi"/>
        </w:rPr>
        <w:t>1982)</w:t>
      </w:r>
      <w:r w:rsidR="008A5DC9" w:rsidRPr="00617F02">
        <w:rPr>
          <w:rFonts w:asciiTheme="minorHAnsi" w:hAnsiTheme="minorHAnsi" w:cstheme="minorHAnsi"/>
        </w:rPr>
        <w:t>.</w:t>
      </w:r>
      <w:r w:rsidRPr="00617F02">
        <w:rPr>
          <w:rFonts w:asciiTheme="minorHAnsi" w:hAnsiTheme="minorHAnsi" w:cstheme="minorHAnsi"/>
        </w:rPr>
        <w:t xml:space="preserve"> </w:t>
      </w:r>
    </w:p>
  </w:footnote>
  <w:footnote w:id="10">
    <w:p w14:paraId="6F2B6428" w14:textId="665AA926" w:rsidR="00917E67" w:rsidRPr="00617F02" w:rsidRDefault="00917E67" w:rsidP="00C215EC">
      <w:pPr>
        <w:pStyle w:val="FootnoteText"/>
        <w:jc w:val="both"/>
        <w:rPr>
          <w:rFonts w:asciiTheme="minorHAnsi" w:hAnsiTheme="minorHAnsi" w:cstheme="minorHAnsi"/>
        </w:rPr>
      </w:pPr>
      <w:r w:rsidRPr="00617F02">
        <w:rPr>
          <w:rStyle w:val="FootnoteReference"/>
          <w:rFonts w:asciiTheme="minorHAnsi" w:hAnsiTheme="minorHAnsi" w:cstheme="minorHAnsi"/>
        </w:rPr>
        <w:footnoteRef/>
      </w:r>
      <w:r w:rsidRPr="00617F02">
        <w:rPr>
          <w:rFonts w:asciiTheme="minorHAnsi" w:hAnsiTheme="minorHAnsi" w:cstheme="minorHAnsi"/>
        </w:rPr>
        <w:t xml:space="preserve"> </w:t>
      </w:r>
      <w:proofErr w:type="spellStart"/>
      <w:r w:rsidRPr="00617F02">
        <w:rPr>
          <w:rStyle w:val="ref-overlay"/>
          <w:rFonts w:asciiTheme="minorHAnsi" w:hAnsiTheme="minorHAnsi" w:cstheme="minorHAnsi"/>
          <w:i/>
          <w:iCs/>
        </w:rPr>
        <w:t>Handyside</w:t>
      </w:r>
      <w:proofErr w:type="spellEnd"/>
      <w:r w:rsidRPr="00617F02">
        <w:rPr>
          <w:rStyle w:val="ref-overlay"/>
          <w:rFonts w:asciiTheme="minorHAnsi" w:hAnsiTheme="minorHAnsi" w:cstheme="minorHAnsi"/>
          <w:i/>
          <w:iCs/>
        </w:rPr>
        <w:t xml:space="preserve"> v United Kingdom</w:t>
      </w:r>
      <w:r w:rsidRPr="00617F02">
        <w:rPr>
          <w:rStyle w:val="ref-overlay"/>
          <w:rFonts w:asciiTheme="minorHAnsi" w:hAnsiTheme="minorHAnsi" w:cstheme="minorHAnsi"/>
        </w:rPr>
        <w:t xml:space="preserve"> 5493/72 [1976] ECHR 5, para 49</w:t>
      </w:r>
      <w:r w:rsidR="00046170" w:rsidRPr="00617F02">
        <w:rPr>
          <w:rStyle w:val="ref-overlay"/>
          <w:rFonts w:asciiTheme="minorHAnsi" w:hAnsiTheme="minorHAnsi" w:cstheme="minorHAnsi"/>
        </w:rPr>
        <w:t xml:space="preserve">; </w:t>
      </w:r>
      <w:r w:rsidRPr="00617F02">
        <w:rPr>
          <w:rStyle w:val="ref-overlay"/>
          <w:rFonts w:asciiTheme="minorHAnsi" w:hAnsiTheme="minorHAnsi" w:cstheme="minorHAnsi"/>
          <w:i/>
        </w:rPr>
        <w:t>Observer and Guardian v United Kingdom</w:t>
      </w:r>
      <w:r w:rsidRPr="00617F02">
        <w:rPr>
          <w:rStyle w:val="ref-overlay"/>
          <w:rFonts w:asciiTheme="minorHAnsi" w:hAnsiTheme="minorHAnsi" w:cstheme="minorHAnsi"/>
        </w:rPr>
        <w:t xml:space="preserve"> 13585/88 [1991] ECHR </w:t>
      </w:r>
      <w:r w:rsidR="00046170" w:rsidRPr="00617F02">
        <w:rPr>
          <w:rStyle w:val="ref-overlay"/>
          <w:rFonts w:asciiTheme="minorHAnsi" w:hAnsiTheme="minorHAnsi" w:cstheme="minorHAnsi"/>
        </w:rPr>
        <w:t xml:space="preserve">49, </w:t>
      </w:r>
      <w:r w:rsidRPr="00617F02">
        <w:rPr>
          <w:rStyle w:val="ref-overlay"/>
          <w:rFonts w:asciiTheme="minorHAnsi" w:hAnsiTheme="minorHAnsi" w:cstheme="minorHAnsi"/>
        </w:rPr>
        <w:t xml:space="preserve">para 59. </w:t>
      </w:r>
    </w:p>
  </w:footnote>
  <w:footnote w:id="11">
    <w:p w14:paraId="6EAE3DC0" w14:textId="77777777" w:rsidR="00917E67" w:rsidRPr="00617F02" w:rsidRDefault="00917E67" w:rsidP="00C215EC">
      <w:pPr>
        <w:pStyle w:val="FootnoteText"/>
        <w:jc w:val="both"/>
        <w:rPr>
          <w:rFonts w:asciiTheme="minorHAnsi" w:hAnsiTheme="minorHAnsi" w:cstheme="minorHAnsi"/>
        </w:rPr>
      </w:pPr>
      <w:r w:rsidRPr="00617F02">
        <w:rPr>
          <w:rStyle w:val="FootnoteReference"/>
          <w:rFonts w:asciiTheme="minorHAnsi" w:hAnsiTheme="minorHAnsi" w:cstheme="minorHAnsi"/>
        </w:rPr>
        <w:footnoteRef/>
      </w:r>
      <w:r w:rsidRPr="00617F02">
        <w:rPr>
          <w:rFonts w:asciiTheme="minorHAnsi" w:hAnsiTheme="minorHAnsi" w:cstheme="minorHAnsi"/>
        </w:rPr>
        <w:t xml:space="preserve"> There are also those who argue that the difference is overblown: C Edwin Baker, ‘Autonomy and Hate Speech’ in Hare and Weinstein, above n 1, 139, 140ff.</w:t>
      </w:r>
    </w:p>
  </w:footnote>
  <w:footnote w:id="12">
    <w:p w14:paraId="2D83EC42" w14:textId="3DC3F9CE" w:rsidR="00917E67" w:rsidRPr="00617F02" w:rsidRDefault="00917E67" w:rsidP="00C215EC">
      <w:pPr>
        <w:pStyle w:val="FootnoteText"/>
        <w:jc w:val="both"/>
        <w:rPr>
          <w:rFonts w:asciiTheme="minorHAnsi" w:hAnsiTheme="minorHAnsi" w:cstheme="minorHAnsi"/>
        </w:rPr>
      </w:pPr>
      <w:r w:rsidRPr="00617F02">
        <w:rPr>
          <w:rStyle w:val="FootnoteReference"/>
          <w:rFonts w:asciiTheme="minorHAnsi" w:hAnsiTheme="minorHAnsi" w:cstheme="minorHAnsi"/>
        </w:rPr>
        <w:footnoteRef/>
      </w:r>
      <w:r w:rsidRPr="00617F02">
        <w:rPr>
          <w:rFonts w:asciiTheme="minorHAnsi" w:hAnsiTheme="minorHAnsi" w:cstheme="minorHAnsi"/>
        </w:rPr>
        <w:t xml:space="preserve"> Martin Eifert, ‘</w:t>
      </w:r>
      <w:proofErr w:type="spellStart"/>
      <w:r w:rsidRPr="00617F02">
        <w:rPr>
          <w:rFonts w:asciiTheme="minorHAnsi" w:hAnsiTheme="minorHAnsi" w:cstheme="minorHAnsi"/>
        </w:rPr>
        <w:t>Rechenschaftspflichten</w:t>
      </w:r>
      <w:proofErr w:type="spellEnd"/>
      <w:r w:rsidRPr="00617F02">
        <w:rPr>
          <w:rFonts w:asciiTheme="minorHAnsi" w:hAnsiTheme="minorHAnsi" w:cstheme="minorHAnsi"/>
        </w:rPr>
        <w:t xml:space="preserve"> </w:t>
      </w:r>
      <w:proofErr w:type="spellStart"/>
      <w:r w:rsidRPr="00617F02">
        <w:rPr>
          <w:rFonts w:asciiTheme="minorHAnsi" w:hAnsiTheme="minorHAnsi" w:cstheme="minorHAnsi"/>
        </w:rPr>
        <w:t>für</w:t>
      </w:r>
      <w:proofErr w:type="spellEnd"/>
      <w:r w:rsidRPr="00617F02">
        <w:rPr>
          <w:rFonts w:asciiTheme="minorHAnsi" w:hAnsiTheme="minorHAnsi" w:cstheme="minorHAnsi"/>
        </w:rPr>
        <w:t xml:space="preserve"> </w:t>
      </w:r>
      <w:proofErr w:type="spellStart"/>
      <w:r w:rsidRPr="00617F02">
        <w:rPr>
          <w:rFonts w:asciiTheme="minorHAnsi" w:hAnsiTheme="minorHAnsi" w:cstheme="minorHAnsi"/>
        </w:rPr>
        <w:t>soziale</w:t>
      </w:r>
      <w:proofErr w:type="spellEnd"/>
      <w:r w:rsidRPr="00617F02">
        <w:rPr>
          <w:rFonts w:asciiTheme="minorHAnsi" w:hAnsiTheme="minorHAnsi" w:cstheme="minorHAnsi"/>
        </w:rPr>
        <w:t xml:space="preserve"> </w:t>
      </w:r>
      <w:proofErr w:type="spellStart"/>
      <w:r w:rsidRPr="00617F02">
        <w:rPr>
          <w:rFonts w:asciiTheme="minorHAnsi" w:hAnsiTheme="minorHAnsi" w:cstheme="minorHAnsi"/>
        </w:rPr>
        <w:t>Netzwerke</w:t>
      </w:r>
      <w:proofErr w:type="spellEnd"/>
      <w:r w:rsidRPr="00617F02">
        <w:rPr>
          <w:rFonts w:asciiTheme="minorHAnsi" w:hAnsiTheme="minorHAnsi" w:cstheme="minorHAnsi"/>
        </w:rPr>
        <w:t xml:space="preserve"> und </w:t>
      </w:r>
      <w:proofErr w:type="spellStart"/>
      <w:r w:rsidRPr="00617F02">
        <w:rPr>
          <w:rFonts w:asciiTheme="minorHAnsi" w:hAnsiTheme="minorHAnsi" w:cstheme="minorHAnsi"/>
        </w:rPr>
        <w:t>Suchmaschinen</w:t>
      </w:r>
      <w:proofErr w:type="spellEnd"/>
      <w:r w:rsidRPr="00617F02">
        <w:rPr>
          <w:rFonts w:asciiTheme="minorHAnsi" w:hAnsiTheme="minorHAnsi" w:cstheme="minorHAnsi"/>
        </w:rPr>
        <w:t xml:space="preserve">’ (2017) </w:t>
      </w:r>
      <w:r w:rsidRPr="00617F02">
        <w:rPr>
          <w:rFonts w:asciiTheme="minorHAnsi" w:hAnsiTheme="minorHAnsi" w:cstheme="minorHAnsi"/>
          <w:i/>
          <w:iCs/>
        </w:rPr>
        <w:t xml:space="preserve">Neue </w:t>
      </w:r>
      <w:proofErr w:type="spellStart"/>
      <w:r w:rsidRPr="00617F02">
        <w:rPr>
          <w:rFonts w:asciiTheme="minorHAnsi" w:hAnsiTheme="minorHAnsi" w:cstheme="minorHAnsi"/>
          <w:i/>
          <w:iCs/>
        </w:rPr>
        <w:t>Juristische</w:t>
      </w:r>
      <w:proofErr w:type="spellEnd"/>
      <w:r w:rsidRPr="00617F02">
        <w:rPr>
          <w:rFonts w:asciiTheme="minorHAnsi" w:hAnsiTheme="minorHAnsi" w:cstheme="minorHAnsi"/>
          <w:i/>
          <w:iCs/>
        </w:rPr>
        <w:t xml:space="preserve"> </w:t>
      </w:r>
      <w:proofErr w:type="spellStart"/>
      <w:r w:rsidRPr="00617F02">
        <w:rPr>
          <w:rFonts w:asciiTheme="minorHAnsi" w:hAnsiTheme="minorHAnsi" w:cstheme="minorHAnsi"/>
          <w:i/>
          <w:iCs/>
        </w:rPr>
        <w:t>Wochenschrift</w:t>
      </w:r>
      <w:proofErr w:type="spellEnd"/>
      <w:r w:rsidRPr="00617F02">
        <w:rPr>
          <w:rFonts w:asciiTheme="minorHAnsi" w:hAnsiTheme="minorHAnsi" w:cstheme="minorHAnsi"/>
        </w:rPr>
        <w:t xml:space="preserve"> 1450, 1454, who comments on the </w:t>
      </w:r>
      <w:r w:rsidR="00046170" w:rsidRPr="00617F02">
        <w:rPr>
          <w:rFonts w:asciiTheme="minorHAnsi" w:hAnsiTheme="minorHAnsi" w:cstheme="minorHAnsi"/>
        </w:rPr>
        <w:t>preference</w:t>
      </w:r>
      <w:r w:rsidRPr="00617F02">
        <w:rPr>
          <w:rFonts w:asciiTheme="minorHAnsi" w:hAnsiTheme="minorHAnsi" w:cstheme="minorHAnsi"/>
        </w:rPr>
        <w:t xml:space="preserve"> of the global tech players</w:t>
      </w:r>
      <w:r w:rsidR="00046170" w:rsidRPr="00617F02">
        <w:rPr>
          <w:rFonts w:asciiTheme="minorHAnsi" w:hAnsiTheme="minorHAnsi" w:cstheme="minorHAnsi"/>
        </w:rPr>
        <w:t xml:space="preserve"> for</w:t>
      </w:r>
      <w:r w:rsidRPr="00617F02">
        <w:rPr>
          <w:rFonts w:asciiTheme="minorHAnsi" w:hAnsiTheme="minorHAnsi" w:cstheme="minorHAnsi"/>
        </w:rPr>
        <w:t xml:space="preserve"> adopting common global standards, and thereby implicitly towards a convergence of national standards. </w:t>
      </w:r>
    </w:p>
  </w:footnote>
  <w:footnote w:id="13">
    <w:p w14:paraId="390B5D0B" w14:textId="72D93956" w:rsidR="00917E67" w:rsidRPr="00617F02" w:rsidRDefault="00917E67" w:rsidP="00C215EC">
      <w:pPr>
        <w:pStyle w:val="FootnoteText"/>
        <w:jc w:val="both"/>
        <w:rPr>
          <w:rFonts w:asciiTheme="minorHAnsi" w:hAnsiTheme="minorHAnsi" w:cstheme="minorHAnsi"/>
        </w:rPr>
      </w:pPr>
      <w:r w:rsidRPr="00617F02">
        <w:rPr>
          <w:rStyle w:val="FootnoteReference"/>
          <w:rFonts w:asciiTheme="minorHAnsi" w:hAnsiTheme="minorHAnsi" w:cstheme="minorHAnsi"/>
        </w:rPr>
        <w:footnoteRef/>
      </w:r>
      <w:r w:rsidRPr="00617F02">
        <w:rPr>
          <w:rFonts w:asciiTheme="minorHAnsi" w:hAnsiTheme="minorHAnsi" w:cstheme="minorHAnsi"/>
        </w:rPr>
        <w:t xml:space="preserve"> </w:t>
      </w:r>
      <w:proofErr w:type="spellStart"/>
      <w:r w:rsidRPr="00617F02">
        <w:rPr>
          <w:rFonts w:asciiTheme="minorHAnsi" w:hAnsiTheme="minorHAnsi" w:cstheme="minorHAnsi"/>
        </w:rPr>
        <w:t>Gesetz</w:t>
      </w:r>
      <w:proofErr w:type="spellEnd"/>
      <w:r w:rsidRPr="00617F02">
        <w:rPr>
          <w:rFonts w:asciiTheme="minorHAnsi" w:hAnsiTheme="minorHAnsi" w:cstheme="minorHAnsi"/>
        </w:rPr>
        <w:t xml:space="preserve"> </w:t>
      </w:r>
      <w:proofErr w:type="spellStart"/>
      <w:r w:rsidRPr="00617F02">
        <w:rPr>
          <w:rFonts w:asciiTheme="minorHAnsi" w:hAnsiTheme="minorHAnsi" w:cstheme="minorHAnsi"/>
        </w:rPr>
        <w:t>zur</w:t>
      </w:r>
      <w:proofErr w:type="spellEnd"/>
      <w:r w:rsidRPr="00617F02">
        <w:rPr>
          <w:rFonts w:asciiTheme="minorHAnsi" w:hAnsiTheme="minorHAnsi" w:cstheme="minorHAnsi"/>
        </w:rPr>
        <w:t xml:space="preserve"> </w:t>
      </w:r>
      <w:proofErr w:type="spellStart"/>
      <w:r w:rsidRPr="00617F02">
        <w:rPr>
          <w:rFonts w:asciiTheme="minorHAnsi" w:hAnsiTheme="minorHAnsi" w:cstheme="minorHAnsi"/>
        </w:rPr>
        <w:t>Verbesserung</w:t>
      </w:r>
      <w:proofErr w:type="spellEnd"/>
      <w:r w:rsidRPr="00617F02">
        <w:rPr>
          <w:rFonts w:asciiTheme="minorHAnsi" w:hAnsiTheme="minorHAnsi" w:cstheme="minorHAnsi"/>
        </w:rPr>
        <w:t xml:space="preserve"> der </w:t>
      </w:r>
      <w:proofErr w:type="spellStart"/>
      <w:r w:rsidRPr="00617F02">
        <w:rPr>
          <w:rFonts w:asciiTheme="minorHAnsi" w:hAnsiTheme="minorHAnsi" w:cstheme="minorHAnsi"/>
        </w:rPr>
        <w:t>Rechtsdurchsetzung</w:t>
      </w:r>
      <w:proofErr w:type="spellEnd"/>
      <w:r w:rsidRPr="00617F02">
        <w:rPr>
          <w:rFonts w:asciiTheme="minorHAnsi" w:hAnsiTheme="minorHAnsi" w:cstheme="minorHAnsi"/>
        </w:rPr>
        <w:t xml:space="preserve"> in </w:t>
      </w:r>
      <w:proofErr w:type="spellStart"/>
      <w:r w:rsidRPr="00617F02">
        <w:rPr>
          <w:rFonts w:asciiTheme="minorHAnsi" w:hAnsiTheme="minorHAnsi" w:cstheme="minorHAnsi"/>
        </w:rPr>
        <w:t>Sozialen</w:t>
      </w:r>
      <w:proofErr w:type="spellEnd"/>
      <w:r w:rsidRPr="00617F02">
        <w:rPr>
          <w:rFonts w:asciiTheme="minorHAnsi" w:hAnsiTheme="minorHAnsi" w:cstheme="minorHAnsi"/>
        </w:rPr>
        <w:t xml:space="preserve"> </w:t>
      </w:r>
      <w:proofErr w:type="spellStart"/>
      <w:r w:rsidRPr="00617F02">
        <w:rPr>
          <w:rFonts w:asciiTheme="minorHAnsi" w:hAnsiTheme="minorHAnsi" w:cstheme="minorHAnsi"/>
        </w:rPr>
        <w:t>Netzwerken</w:t>
      </w:r>
      <w:proofErr w:type="spellEnd"/>
      <w:r w:rsidRPr="00617F02">
        <w:rPr>
          <w:rFonts w:asciiTheme="minorHAnsi" w:hAnsiTheme="minorHAnsi" w:cstheme="minorHAnsi"/>
        </w:rPr>
        <w:t xml:space="preserve"> (1 Sept 2017</w:t>
      </w:r>
      <w:r w:rsidR="008A5DC9" w:rsidRPr="00617F02">
        <w:rPr>
          <w:rFonts w:asciiTheme="minorHAnsi" w:hAnsiTheme="minorHAnsi" w:cstheme="minorHAnsi"/>
        </w:rPr>
        <w:t>)</w:t>
      </w:r>
      <w:r w:rsidRPr="00617F02">
        <w:rPr>
          <w:rFonts w:asciiTheme="minorHAnsi" w:hAnsiTheme="minorHAnsi" w:cstheme="minorHAnsi"/>
        </w:rPr>
        <w:t xml:space="preserve"> </w:t>
      </w:r>
      <w:proofErr w:type="spellStart"/>
      <w:r w:rsidRPr="00617F02">
        <w:rPr>
          <w:rFonts w:asciiTheme="minorHAnsi" w:hAnsiTheme="minorHAnsi" w:cstheme="minorHAnsi"/>
        </w:rPr>
        <w:t>BGBl</w:t>
      </w:r>
      <w:proofErr w:type="spellEnd"/>
      <w:r w:rsidRPr="00617F02">
        <w:rPr>
          <w:rFonts w:asciiTheme="minorHAnsi" w:hAnsiTheme="minorHAnsi" w:cstheme="minorHAnsi"/>
        </w:rPr>
        <w:t xml:space="preserve"> I S 3352</w:t>
      </w:r>
      <w:r w:rsidR="008A5DC9" w:rsidRPr="00617F02">
        <w:rPr>
          <w:rFonts w:asciiTheme="minorHAnsi" w:hAnsiTheme="minorHAnsi" w:cstheme="minorHAnsi"/>
        </w:rPr>
        <w:t xml:space="preserve">, </w:t>
      </w:r>
      <w:hyperlink r:id="rId1" w:history="1">
        <w:r w:rsidR="008A5DC9" w:rsidRPr="00617F02">
          <w:rPr>
            <w:rStyle w:val="Hyperlink"/>
            <w:rFonts w:asciiTheme="minorHAnsi" w:hAnsiTheme="minorHAnsi" w:cstheme="minorHAnsi"/>
          </w:rPr>
          <w:t>http://www.gesetze-im-internet.de/netzdg/NetzDG.pdf</w:t>
        </w:r>
      </w:hyperlink>
      <w:r w:rsidR="00930C63" w:rsidRPr="00617F02">
        <w:rPr>
          <w:rFonts w:asciiTheme="minorHAnsi" w:hAnsiTheme="minorHAnsi" w:cstheme="minorHAnsi"/>
        </w:rPr>
        <w:t xml:space="preserve"> </w:t>
      </w:r>
    </w:p>
  </w:footnote>
  <w:footnote w:id="14">
    <w:p w14:paraId="03FD4A43" w14:textId="2DF459A6" w:rsidR="00917E67" w:rsidRPr="00617F02" w:rsidRDefault="00917E67" w:rsidP="00C215EC">
      <w:pPr>
        <w:pStyle w:val="FootnoteText"/>
        <w:jc w:val="both"/>
        <w:rPr>
          <w:rFonts w:asciiTheme="minorHAnsi" w:hAnsiTheme="minorHAnsi" w:cstheme="minorHAnsi"/>
        </w:rPr>
      </w:pPr>
      <w:r w:rsidRPr="00617F02">
        <w:rPr>
          <w:rStyle w:val="FootnoteReference"/>
          <w:rFonts w:asciiTheme="minorHAnsi" w:hAnsiTheme="minorHAnsi" w:cstheme="minorHAnsi"/>
        </w:rPr>
        <w:footnoteRef/>
      </w:r>
      <w:r w:rsidRPr="00617F02">
        <w:rPr>
          <w:rFonts w:asciiTheme="minorHAnsi" w:hAnsiTheme="minorHAnsi" w:cstheme="minorHAnsi"/>
        </w:rPr>
        <w:t xml:space="preserve"> </w:t>
      </w:r>
      <w:r w:rsidR="00C41BCC">
        <w:t>Proposal for a Regulation of the European Parliament and of the Council on a Single Market For Digital Services (Digital Services Act) and amending Directive 2000/31/EC, COM/2020/825 final</w:t>
      </w:r>
      <w:r w:rsidR="00C41BCC">
        <w:rPr>
          <w:rStyle w:val="markedcontent"/>
          <w:rFonts w:asciiTheme="minorHAnsi" w:hAnsiTheme="minorHAnsi" w:cstheme="minorHAnsi"/>
        </w:rPr>
        <w:t xml:space="preserve">; </w:t>
      </w:r>
      <w:r w:rsidRPr="00617F02">
        <w:rPr>
          <w:rFonts w:asciiTheme="minorHAnsi" w:hAnsiTheme="minorHAnsi" w:cstheme="minorHAnsi"/>
        </w:rPr>
        <w:t>UK Draft Online Safety Bill</w:t>
      </w:r>
      <w:r w:rsidR="00C41BCC">
        <w:rPr>
          <w:rFonts w:asciiTheme="minorHAnsi" w:hAnsiTheme="minorHAnsi" w:cstheme="minorHAnsi"/>
        </w:rPr>
        <w:t xml:space="preserve"> </w:t>
      </w:r>
      <w:r w:rsidR="00C41BCC">
        <w:rPr>
          <w:rStyle w:val="markedcontent"/>
          <w:rFonts w:asciiTheme="minorHAnsi" w:hAnsiTheme="minorHAnsi" w:cstheme="minorHAnsi"/>
        </w:rPr>
        <w:t>(</w:t>
      </w:r>
      <w:r w:rsidRPr="00617F02">
        <w:rPr>
          <w:rStyle w:val="markedcontent"/>
          <w:rFonts w:asciiTheme="minorHAnsi" w:hAnsiTheme="minorHAnsi" w:cstheme="minorHAnsi"/>
        </w:rPr>
        <w:t>May 2021</w:t>
      </w:r>
      <w:r w:rsidR="00C41BCC">
        <w:rPr>
          <w:rFonts w:asciiTheme="minorHAnsi" w:hAnsiTheme="minorHAnsi" w:cstheme="minorHAnsi"/>
        </w:rPr>
        <w:t xml:space="preserve">) </w:t>
      </w:r>
      <w:r w:rsidR="00C41BCC" w:rsidRPr="00617F02">
        <w:rPr>
          <w:rFonts w:asciiTheme="minorHAnsi" w:hAnsiTheme="minorHAnsi" w:cstheme="minorHAnsi"/>
        </w:rPr>
        <w:t>Ref: C</w:t>
      </w:r>
      <w:r w:rsidR="00C41BCC" w:rsidRPr="00617F02">
        <w:rPr>
          <w:rStyle w:val="markedcontent"/>
          <w:rFonts w:asciiTheme="minorHAnsi" w:hAnsiTheme="minorHAnsi" w:cstheme="minorHAnsi"/>
        </w:rPr>
        <w:t>CSCCS0421458742, CP405</w:t>
      </w:r>
      <w:r w:rsidRPr="00617F02">
        <w:rPr>
          <w:rStyle w:val="markedcontent"/>
          <w:rFonts w:asciiTheme="minorHAnsi" w:hAnsiTheme="minorHAnsi" w:cstheme="minorHAnsi"/>
        </w:rPr>
        <w:t>;  Ireland’s Online Safety and Media Regulation Bill (10 Jan 2020); France’s Bill on Republican Values (15 Jan 2021</w:t>
      </w:r>
      <w:r w:rsidR="00930C63" w:rsidRPr="00617F02">
        <w:rPr>
          <w:rStyle w:val="markedcontent"/>
          <w:rFonts w:asciiTheme="minorHAnsi" w:hAnsiTheme="minorHAnsi" w:cstheme="minorHAnsi"/>
        </w:rPr>
        <w:t>)</w:t>
      </w:r>
      <w:r w:rsidRPr="00617F02">
        <w:rPr>
          <w:rStyle w:val="markedcontent"/>
          <w:rFonts w:asciiTheme="minorHAnsi" w:hAnsiTheme="minorHAnsi" w:cstheme="minorHAnsi"/>
        </w:rPr>
        <w:t xml:space="preserve"> </w:t>
      </w:r>
      <w:hyperlink r:id="rId2" w:history="1">
        <w:r w:rsidRPr="00617F02">
          <w:rPr>
            <w:rStyle w:val="Hyperlink"/>
            <w:rFonts w:asciiTheme="minorHAnsi" w:hAnsiTheme="minorHAnsi" w:cstheme="minorHAnsi"/>
          </w:rPr>
          <w:t>https://www.assemblee-nationale.fr/dyn/15/amendements/3649/CSPRINCREP/1770.pdf</w:t>
        </w:r>
      </w:hyperlink>
      <w:r w:rsidRPr="00617F02">
        <w:rPr>
          <w:rStyle w:val="markedcontent"/>
          <w:rFonts w:asciiTheme="minorHAnsi" w:hAnsiTheme="minorHAnsi" w:cstheme="minorHAnsi"/>
        </w:rPr>
        <w:t xml:space="preserve">; see also Decision by the French Constitutional Court invalidating </w:t>
      </w:r>
      <w:r w:rsidR="004D6D16" w:rsidRPr="00617F02">
        <w:rPr>
          <w:rStyle w:val="markedcontent"/>
          <w:rFonts w:asciiTheme="minorHAnsi" w:hAnsiTheme="minorHAnsi" w:cstheme="minorHAnsi"/>
        </w:rPr>
        <w:t xml:space="preserve">a similar law known as Avia </w:t>
      </w:r>
      <w:r w:rsidR="00C41BCC">
        <w:rPr>
          <w:rStyle w:val="markedcontent"/>
          <w:rFonts w:asciiTheme="minorHAnsi" w:hAnsiTheme="minorHAnsi" w:cstheme="minorHAnsi"/>
        </w:rPr>
        <w:t>L</w:t>
      </w:r>
      <w:r w:rsidR="004D6D16" w:rsidRPr="00617F02">
        <w:rPr>
          <w:rStyle w:val="markedcontent"/>
          <w:rFonts w:asciiTheme="minorHAnsi" w:hAnsiTheme="minorHAnsi" w:cstheme="minorHAnsi"/>
        </w:rPr>
        <w:t>aw</w:t>
      </w:r>
      <w:r w:rsidR="00C41BCC">
        <w:rPr>
          <w:rStyle w:val="markedcontent"/>
          <w:rFonts w:asciiTheme="minorHAnsi" w:hAnsiTheme="minorHAnsi" w:cstheme="minorHAnsi"/>
        </w:rPr>
        <w:t>:</w:t>
      </w:r>
      <w:r w:rsidR="00C41BCC" w:rsidRPr="00C41BCC">
        <w:rPr>
          <w:rFonts w:asciiTheme="minorHAnsi" w:hAnsiTheme="minorHAnsi" w:cstheme="minorHAnsi"/>
        </w:rPr>
        <w:t xml:space="preserve"> </w:t>
      </w:r>
      <w:r w:rsidR="00C41BCC" w:rsidRPr="00C215EC">
        <w:rPr>
          <w:rFonts w:asciiTheme="minorHAnsi" w:hAnsiTheme="minorHAnsi" w:cstheme="minorHAnsi"/>
        </w:rPr>
        <w:t xml:space="preserve">French Constitutional Court: </w:t>
      </w:r>
      <w:proofErr w:type="spellStart"/>
      <w:r w:rsidR="00C41BCC" w:rsidRPr="00C215EC">
        <w:rPr>
          <w:rFonts w:asciiTheme="minorHAnsi" w:hAnsiTheme="minorHAnsi" w:cstheme="minorHAnsi"/>
        </w:rPr>
        <w:t>Décision</w:t>
      </w:r>
      <w:proofErr w:type="spellEnd"/>
      <w:r w:rsidR="00C41BCC" w:rsidRPr="00C215EC">
        <w:rPr>
          <w:rFonts w:asciiTheme="minorHAnsi" w:hAnsiTheme="minorHAnsi" w:cstheme="minorHAnsi"/>
        </w:rPr>
        <w:t xml:space="preserve"> n° 2020-801 DC</w:t>
      </w:r>
      <w:r w:rsidR="00C41BCC" w:rsidRPr="00C215EC">
        <w:rPr>
          <w:rStyle w:val="Date2"/>
          <w:rFonts w:asciiTheme="minorHAnsi" w:hAnsiTheme="minorHAnsi" w:cstheme="minorHAnsi"/>
        </w:rPr>
        <w:t xml:space="preserve"> (18 June 2020)</w:t>
      </w:r>
      <w:r w:rsidR="00C41BCC">
        <w:rPr>
          <w:rStyle w:val="Date2"/>
          <w:rFonts w:asciiTheme="minorHAnsi" w:hAnsiTheme="minorHAnsi" w:cstheme="minorHAnsi"/>
        </w:rPr>
        <w:t>;</w:t>
      </w:r>
      <w:r w:rsidRPr="00617F02">
        <w:rPr>
          <w:rStyle w:val="markedcontent"/>
          <w:rFonts w:asciiTheme="minorHAnsi" w:hAnsiTheme="minorHAnsi" w:cstheme="minorHAnsi"/>
        </w:rPr>
        <w:t xml:space="preserve"> </w:t>
      </w:r>
      <w:r w:rsidR="00930C63" w:rsidRPr="00617F02">
        <w:rPr>
          <w:rStyle w:val="markedcontent"/>
          <w:rFonts w:asciiTheme="minorHAnsi" w:hAnsiTheme="minorHAnsi" w:cstheme="minorHAnsi"/>
        </w:rPr>
        <w:t xml:space="preserve">European </w:t>
      </w:r>
      <w:r w:rsidRPr="00617F02">
        <w:rPr>
          <w:rFonts w:asciiTheme="minorHAnsi" w:hAnsiTheme="minorHAnsi" w:cstheme="minorHAnsi"/>
        </w:rPr>
        <w:t xml:space="preserve">Commission, </w:t>
      </w:r>
      <w:r w:rsidRPr="00617F02">
        <w:rPr>
          <w:rFonts w:asciiTheme="minorHAnsi" w:hAnsiTheme="minorHAnsi" w:cstheme="minorHAnsi"/>
          <w:i/>
        </w:rPr>
        <w:t>The Code of conduct countering illegal hate speech online</w:t>
      </w:r>
      <w:r w:rsidRPr="00617F02">
        <w:rPr>
          <w:rFonts w:asciiTheme="minorHAnsi" w:hAnsiTheme="minorHAnsi" w:cstheme="minorHAnsi"/>
        </w:rPr>
        <w:t xml:space="preserve"> (31 May 2016, together with four major IT companies: Facebook, Microsoft, Twitter and YouTube) </w:t>
      </w:r>
      <w:hyperlink r:id="rId3" w:history="1">
        <w:r w:rsidRPr="00617F02">
          <w:rPr>
            <w:rStyle w:val="Hyperlink"/>
            <w:rFonts w:asciiTheme="minorHAnsi" w:hAnsiTheme="minorHAnsi" w:cstheme="minorHAnsi"/>
          </w:rPr>
          <w:t>https://ec.europa.eu/info/policies/justice-and-fundamental-rights/combatting-discrimination/racism-and-xenophobia/eu-code-conduct-countering-illegal-hate-speech-online_en</w:t>
        </w:r>
      </w:hyperlink>
      <w:r w:rsidR="00C41BCC">
        <w:rPr>
          <w:rStyle w:val="markedcontent"/>
          <w:rFonts w:asciiTheme="minorHAnsi" w:hAnsiTheme="minorHAnsi" w:cstheme="minorHAnsi"/>
        </w:rPr>
        <w:t>.</w:t>
      </w:r>
      <w:r w:rsidRPr="00617F02">
        <w:rPr>
          <w:rStyle w:val="markedcontent"/>
          <w:rFonts w:asciiTheme="minorHAnsi" w:hAnsiTheme="minorHAnsi" w:cstheme="minorHAnsi"/>
        </w:rPr>
        <w:t xml:space="preserve"> </w:t>
      </w:r>
    </w:p>
  </w:footnote>
  <w:footnote w:id="15">
    <w:p w14:paraId="2B5C96D2" w14:textId="440EFBB1" w:rsidR="00917E67" w:rsidRPr="00617F02" w:rsidRDefault="00917E67" w:rsidP="00C215EC">
      <w:pPr>
        <w:pStyle w:val="FootnoteText"/>
        <w:jc w:val="both"/>
        <w:rPr>
          <w:rFonts w:asciiTheme="minorHAnsi" w:hAnsiTheme="minorHAnsi" w:cstheme="minorHAnsi"/>
        </w:rPr>
      </w:pPr>
      <w:r w:rsidRPr="00617F02">
        <w:rPr>
          <w:rStyle w:val="FootnoteReference"/>
          <w:rFonts w:asciiTheme="minorHAnsi" w:hAnsiTheme="minorHAnsi" w:cstheme="minorHAnsi"/>
        </w:rPr>
        <w:footnoteRef/>
      </w:r>
      <w:r w:rsidRPr="00617F02">
        <w:rPr>
          <w:rFonts w:asciiTheme="minorHAnsi" w:hAnsiTheme="minorHAnsi" w:cstheme="minorHAnsi"/>
        </w:rPr>
        <w:t xml:space="preserve"> This is a generalisation the purposes of </w:t>
      </w:r>
      <w:r w:rsidR="008A5DC9" w:rsidRPr="00617F02">
        <w:rPr>
          <w:rFonts w:asciiTheme="minorHAnsi" w:hAnsiTheme="minorHAnsi" w:cstheme="minorHAnsi"/>
        </w:rPr>
        <w:t>simplicity in this</w:t>
      </w:r>
      <w:r w:rsidRPr="00617F02">
        <w:rPr>
          <w:rFonts w:asciiTheme="minorHAnsi" w:hAnsiTheme="minorHAnsi" w:cstheme="minorHAnsi"/>
        </w:rPr>
        <w:t xml:space="preserve"> article, but the author is fully aware that not </w:t>
      </w:r>
      <w:proofErr w:type="gramStart"/>
      <w:r w:rsidRPr="00617F02">
        <w:rPr>
          <w:rFonts w:asciiTheme="minorHAnsi" w:hAnsiTheme="minorHAnsi" w:cstheme="minorHAnsi"/>
        </w:rPr>
        <w:t>all American</w:t>
      </w:r>
      <w:proofErr w:type="gramEnd"/>
      <w:r w:rsidRPr="00617F02">
        <w:rPr>
          <w:rFonts w:asciiTheme="minorHAnsi" w:hAnsiTheme="minorHAnsi" w:cstheme="minorHAnsi"/>
        </w:rPr>
        <w:t xml:space="preserve"> commentators support the First Amendment (although most do)</w:t>
      </w:r>
      <w:r w:rsidR="00046170" w:rsidRPr="00617F02">
        <w:rPr>
          <w:rFonts w:asciiTheme="minorHAnsi" w:hAnsiTheme="minorHAnsi" w:cstheme="minorHAnsi"/>
        </w:rPr>
        <w:t>,</w:t>
      </w:r>
      <w:r w:rsidRPr="00617F02">
        <w:rPr>
          <w:rFonts w:asciiTheme="minorHAnsi" w:hAnsiTheme="minorHAnsi" w:cstheme="minorHAnsi"/>
        </w:rPr>
        <w:t xml:space="preserve"> and not all European commentators are in favour of some speech prohibitions. </w:t>
      </w:r>
    </w:p>
  </w:footnote>
  <w:footnote w:id="16">
    <w:p w14:paraId="1A12CBA3" w14:textId="79E450A3" w:rsidR="00917E67" w:rsidRPr="00617F02" w:rsidRDefault="00917E67" w:rsidP="00C215EC">
      <w:pPr>
        <w:pStyle w:val="FootnoteText"/>
        <w:jc w:val="both"/>
        <w:rPr>
          <w:rFonts w:asciiTheme="minorHAnsi" w:hAnsiTheme="minorHAnsi" w:cstheme="minorHAnsi"/>
        </w:rPr>
      </w:pPr>
      <w:r w:rsidRPr="00617F02">
        <w:rPr>
          <w:rStyle w:val="FootnoteReference"/>
          <w:rFonts w:asciiTheme="minorHAnsi" w:hAnsiTheme="minorHAnsi" w:cstheme="minorHAnsi"/>
        </w:rPr>
        <w:footnoteRef/>
      </w:r>
      <w:r w:rsidRPr="00617F02">
        <w:rPr>
          <w:rFonts w:asciiTheme="minorHAnsi" w:hAnsiTheme="minorHAnsi" w:cstheme="minorHAnsi"/>
        </w:rPr>
        <w:t xml:space="preserve"> Uta Kohl, </w:t>
      </w:r>
      <w:r w:rsidRPr="00617F02">
        <w:rPr>
          <w:rFonts w:asciiTheme="minorHAnsi" w:hAnsiTheme="minorHAnsi" w:cstheme="minorHAnsi"/>
          <w:i/>
        </w:rPr>
        <w:t>Jurisdiction and the Internet – Regulatory Competence over Online Activities</w:t>
      </w:r>
      <w:r w:rsidRPr="00617F02">
        <w:rPr>
          <w:rFonts w:asciiTheme="minorHAnsi" w:hAnsiTheme="minorHAnsi" w:cstheme="minorHAnsi"/>
        </w:rPr>
        <w:t xml:space="preserve"> (Cambridge: CUP, 2007); Julia</w:t>
      </w:r>
      <w:r w:rsidRPr="00617F02">
        <w:rPr>
          <w:rFonts w:asciiTheme="minorHAnsi" w:hAnsiTheme="minorHAnsi" w:cstheme="minorHAnsi"/>
          <w:i/>
          <w:iCs/>
        </w:rPr>
        <w:t xml:space="preserve"> </w:t>
      </w:r>
      <w:proofErr w:type="spellStart"/>
      <w:r w:rsidRPr="00617F02">
        <w:rPr>
          <w:rStyle w:val="Emphasis"/>
          <w:rFonts w:asciiTheme="minorHAnsi" w:hAnsiTheme="minorHAnsi" w:cstheme="minorHAnsi"/>
          <w:i w:val="0"/>
          <w:iCs w:val="0"/>
        </w:rPr>
        <w:t>Hörnle</w:t>
      </w:r>
      <w:proofErr w:type="spellEnd"/>
      <w:r w:rsidRPr="00617F02">
        <w:rPr>
          <w:rFonts w:asciiTheme="minorHAnsi" w:hAnsiTheme="minorHAnsi" w:cstheme="minorHAnsi"/>
          <w:i/>
          <w:iCs/>
        </w:rPr>
        <w:t xml:space="preserve">, </w:t>
      </w:r>
      <w:r w:rsidRPr="00617F02">
        <w:rPr>
          <w:rFonts w:asciiTheme="minorHAnsi" w:hAnsiTheme="minorHAnsi" w:cstheme="minorHAnsi"/>
          <w:i/>
        </w:rPr>
        <w:t>Internet Jurisdiction in Law and Practice</w:t>
      </w:r>
      <w:r w:rsidRPr="00617F02">
        <w:rPr>
          <w:rFonts w:asciiTheme="minorHAnsi" w:hAnsiTheme="minorHAnsi" w:cstheme="minorHAnsi"/>
        </w:rPr>
        <w:t xml:space="preserve"> (Oxford: OUP, 2021)</w:t>
      </w:r>
    </w:p>
  </w:footnote>
  <w:footnote w:id="17">
    <w:p w14:paraId="5E1ADB6B" w14:textId="74F6BB1A" w:rsidR="00917E67" w:rsidRPr="00617F02" w:rsidRDefault="00917E67" w:rsidP="00C215EC">
      <w:pPr>
        <w:pStyle w:val="FootnoteText"/>
        <w:jc w:val="both"/>
        <w:rPr>
          <w:rFonts w:asciiTheme="minorHAnsi" w:hAnsiTheme="minorHAnsi" w:cstheme="minorHAnsi"/>
        </w:rPr>
      </w:pPr>
      <w:r w:rsidRPr="00617F02">
        <w:rPr>
          <w:rStyle w:val="FootnoteReference"/>
          <w:rFonts w:asciiTheme="minorHAnsi" w:hAnsiTheme="minorHAnsi" w:cstheme="minorHAnsi"/>
        </w:rPr>
        <w:footnoteRef/>
      </w:r>
      <w:r w:rsidRPr="00617F02">
        <w:rPr>
          <w:rFonts w:asciiTheme="minorHAnsi" w:hAnsiTheme="minorHAnsi" w:cstheme="minorHAnsi"/>
        </w:rPr>
        <w:t xml:space="preserve"> For a prominent example, see Art 3(2) of the GDPR. </w:t>
      </w:r>
    </w:p>
  </w:footnote>
  <w:footnote w:id="18">
    <w:p w14:paraId="5C754814" w14:textId="54EF3078" w:rsidR="00917E67" w:rsidRPr="00617F02" w:rsidRDefault="00917E67" w:rsidP="00C215EC">
      <w:pPr>
        <w:pStyle w:val="FootnoteText"/>
        <w:jc w:val="both"/>
        <w:rPr>
          <w:rFonts w:asciiTheme="minorHAnsi" w:hAnsiTheme="minorHAnsi" w:cstheme="minorHAnsi"/>
        </w:rPr>
      </w:pPr>
      <w:r w:rsidRPr="00617F02">
        <w:rPr>
          <w:rStyle w:val="FootnoteReference"/>
          <w:rFonts w:asciiTheme="minorHAnsi" w:hAnsiTheme="minorHAnsi" w:cstheme="minorHAnsi"/>
        </w:rPr>
        <w:footnoteRef/>
      </w:r>
      <w:r w:rsidRPr="00617F02">
        <w:rPr>
          <w:rFonts w:asciiTheme="minorHAnsi" w:hAnsiTheme="minorHAnsi" w:cstheme="minorHAnsi"/>
        </w:rPr>
        <w:t xml:space="preserve"> David Beetham, </w:t>
      </w:r>
      <w:r w:rsidRPr="00617F02">
        <w:rPr>
          <w:rFonts w:asciiTheme="minorHAnsi" w:hAnsiTheme="minorHAnsi" w:cstheme="minorHAnsi"/>
          <w:i/>
        </w:rPr>
        <w:t>The Legitimation of Power</w:t>
      </w:r>
      <w:r w:rsidRPr="00617F02">
        <w:rPr>
          <w:rFonts w:asciiTheme="minorHAnsi" w:hAnsiTheme="minorHAnsi" w:cstheme="minorHAnsi"/>
        </w:rPr>
        <w:t xml:space="preserve"> (Boston: Humanities Press International Inc, 1991)</w:t>
      </w:r>
      <w:r w:rsidR="00046170" w:rsidRPr="00617F02">
        <w:rPr>
          <w:rFonts w:asciiTheme="minorHAnsi" w:hAnsiTheme="minorHAnsi" w:cstheme="minorHAnsi"/>
        </w:rPr>
        <w:t>.</w:t>
      </w:r>
      <w:r w:rsidRPr="00617F02">
        <w:rPr>
          <w:rFonts w:asciiTheme="minorHAnsi" w:hAnsiTheme="minorHAnsi" w:cstheme="minorHAnsi"/>
        </w:rPr>
        <w:t xml:space="preserve"> </w:t>
      </w:r>
    </w:p>
  </w:footnote>
  <w:footnote w:id="19">
    <w:p w14:paraId="1A5B0681" w14:textId="77777777" w:rsidR="00917E67" w:rsidRPr="00617F02" w:rsidRDefault="00917E67" w:rsidP="00C215EC">
      <w:pPr>
        <w:pStyle w:val="FootnoteText"/>
        <w:jc w:val="both"/>
        <w:rPr>
          <w:rFonts w:asciiTheme="minorHAnsi" w:hAnsiTheme="minorHAnsi" w:cstheme="minorHAnsi"/>
        </w:rPr>
      </w:pPr>
      <w:r w:rsidRPr="00617F02">
        <w:rPr>
          <w:rStyle w:val="FootnoteReference"/>
          <w:rFonts w:asciiTheme="minorHAnsi" w:hAnsiTheme="minorHAnsi" w:cstheme="minorHAnsi"/>
        </w:rPr>
        <w:footnoteRef/>
      </w:r>
      <w:r w:rsidRPr="00617F02">
        <w:rPr>
          <w:rFonts w:asciiTheme="minorHAnsi" w:hAnsiTheme="minorHAnsi" w:cstheme="minorHAnsi"/>
        </w:rPr>
        <w:t xml:space="preserve"> Ibid 28 [emphasis in the original]; see also Waldron above n 1, 20ff, commenting on early sedition laws as precisely designed to protect the legitimacy (or respectability) of the government from verbal assaults </w:t>
      </w:r>
      <w:proofErr w:type="gramStart"/>
      <w:r w:rsidRPr="00617F02">
        <w:rPr>
          <w:rFonts w:asciiTheme="minorHAnsi" w:hAnsiTheme="minorHAnsi" w:cstheme="minorHAnsi"/>
        </w:rPr>
        <w:t>in order to</w:t>
      </w:r>
      <w:proofErr w:type="gramEnd"/>
      <w:r w:rsidRPr="00617F02">
        <w:rPr>
          <w:rFonts w:asciiTheme="minorHAnsi" w:hAnsiTheme="minorHAnsi" w:cstheme="minorHAnsi"/>
        </w:rPr>
        <w:t xml:space="preserve"> maintain the cooperation with authority. </w:t>
      </w:r>
    </w:p>
  </w:footnote>
  <w:footnote w:id="20">
    <w:p w14:paraId="3115312C" w14:textId="3EC72ED6" w:rsidR="00917E67" w:rsidRPr="00617F02" w:rsidRDefault="00917E67" w:rsidP="00C215EC">
      <w:pPr>
        <w:pStyle w:val="FootnoteText"/>
        <w:jc w:val="both"/>
        <w:rPr>
          <w:rFonts w:asciiTheme="minorHAnsi" w:hAnsiTheme="minorHAnsi" w:cstheme="minorHAnsi"/>
        </w:rPr>
      </w:pPr>
      <w:r w:rsidRPr="00617F02">
        <w:rPr>
          <w:rStyle w:val="FootnoteReference"/>
          <w:rFonts w:asciiTheme="minorHAnsi" w:hAnsiTheme="minorHAnsi" w:cstheme="minorHAnsi"/>
        </w:rPr>
        <w:footnoteRef/>
      </w:r>
      <w:r w:rsidRPr="00617F02">
        <w:rPr>
          <w:rFonts w:asciiTheme="minorHAnsi" w:hAnsiTheme="minorHAnsi" w:cstheme="minorHAnsi"/>
        </w:rPr>
        <w:t xml:space="preserve"> </w:t>
      </w:r>
      <w:r w:rsidR="008A5DC9" w:rsidRPr="00617F02">
        <w:rPr>
          <w:rFonts w:asciiTheme="minorHAnsi" w:hAnsiTheme="minorHAnsi" w:cstheme="minorHAnsi"/>
        </w:rPr>
        <w:t>For the role played by l</w:t>
      </w:r>
      <w:r w:rsidRPr="00617F02">
        <w:rPr>
          <w:rFonts w:asciiTheme="minorHAnsi" w:hAnsiTheme="minorHAnsi" w:cstheme="minorHAnsi"/>
        </w:rPr>
        <w:t>obbying in communicating alternative values</w:t>
      </w:r>
      <w:r w:rsidR="00046170" w:rsidRPr="00617F02">
        <w:rPr>
          <w:rFonts w:asciiTheme="minorHAnsi" w:hAnsiTheme="minorHAnsi" w:cstheme="minorHAnsi"/>
        </w:rPr>
        <w:t>:</w:t>
      </w:r>
      <w:r w:rsidRPr="00617F02">
        <w:rPr>
          <w:rFonts w:asciiTheme="minorHAnsi" w:hAnsiTheme="minorHAnsi" w:cstheme="minorHAnsi"/>
        </w:rPr>
        <w:t xml:space="preserve"> Adam Satariano, Matina </w:t>
      </w:r>
      <w:proofErr w:type="spellStart"/>
      <w:r w:rsidRPr="00617F02">
        <w:rPr>
          <w:rFonts w:asciiTheme="minorHAnsi" w:hAnsiTheme="minorHAnsi" w:cstheme="minorHAnsi"/>
        </w:rPr>
        <w:t>Stevis-Gridneff</w:t>
      </w:r>
      <w:proofErr w:type="spellEnd"/>
      <w:r w:rsidRPr="00617F02">
        <w:rPr>
          <w:rFonts w:asciiTheme="minorHAnsi" w:hAnsiTheme="minorHAnsi" w:cstheme="minorHAnsi"/>
        </w:rPr>
        <w:t xml:space="preserve">, ‘Big Tech Turns Its Lobbyists Loose on Europe, Alarming Regulators’ (14 Dec 2020) </w:t>
      </w:r>
      <w:r w:rsidRPr="00617F02">
        <w:rPr>
          <w:rFonts w:asciiTheme="minorHAnsi" w:hAnsiTheme="minorHAnsi" w:cstheme="minorHAnsi"/>
          <w:i/>
          <w:iCs/>
        </w:rPr>
        <w:t xml:space="preserve">The New Yok Times. </w:t>
      </w:r>
    </w:p>
  </w:footnote>
  <w:footnote w:id="21">
    <w:p w14:paraId="150C2234" w14:textId="68B56788" w:rsidR="00917E67" w:rsidRPr="00617F02" w:rsidRDefault="00917E67" w:rsidP="00C215EC">
      <w:pPr>
        <w:pStyle w:val="FootnoteText"/>
        <w:jc w:val="both"/>
        <w:rPr>
          <w:rFonts w:asciiTheme="minorHAnsi" w:hAnsiTheme="minorHAnsi" w:cstheme="minorHAnsi"/>
        </w:rPr>
      </w:pPr>
      <w:r w:rsidRPr="00617F02">
        <w:rPr>
          <w:rStyle w:val="FootnoteReference"/>
          <w:rFonts w:asciiTheme="minorHAnsi" w:hAnsiTheme="minorHAnsi" w:cstheme="minorHAnsi"/>
        </w:rPr>
        <w:footnoteRef/>
      </w:r>
      <w:r w:rsidRPr="00617F02">
        <w:rPr>
          <w:rFonts w:asciiTheme="minorHAnsi" w:hAnsiTheme="minorHAnsi" w:cstheme="minorHAnsi"/>
        </w:rPr>
        <w:t xml:space="preserve"> </w:t>
      </w:r>
      <w:r w:rsidR="00CD5671">
        <w:rPr>
          <w:rFonts w:asciiTheme="minorHAnsi" w:hAnsiTheme="minorHAnsi" w:cstheme="minorHAnsi"/>
        </w:rPr>
        <w:t xml:space="preserve"> </w:t>
      </w:r>
      <w:r w:rsidRPr="00617F02">
        <w:rPr>
          <w:rFonts w:asciiTheme="minorHAnsi" w:hAnsiTheme="minorHAnsi" w:cstheme="minorHAnsi"/>
        </w:rPr>
        <w:t>Not</w:t>
      </w:r>
      <w:r w:rsidR="008A5DC9" w:rsidRPr="00617F02">
        <w:rPr>
          <w:rFonts w:asciiTheme="minorHAnsi" w:hAnsiTheme="minorHAnsi" w:cstheme="minorHAnsi"/>
        </w:rPr>
        <w:t xml:space="preserve"> used</w:t>
      </w:r>
      <w:r w:rsidRPr="00617F02">
        <w:rPr>
          <w:rFonts w:asciiTheme="minorHAnsi" w:hAnsiTheme="minorHAnsi" w:cstheme="minorHAnsi"/>
        </w:rPr>
        <w:t xml:space="preserve"> in a legal </w:t>
      </w:r>
      <w:r w:rsidR="00575BA4" w:rsidRPr="00617F02">
        <w:rPr>
          <w:rFonts w:asciiTheme="minorHAnsi" w:hAnsiTheme="minorHAnsi" w:cstheme="minorHAnsi"/>
        </w:rPr>
        <w:t xml:space="preserve">sense </w:t>
      </w:r>
      <w:r w:rsidRPr="00617F02">
        <w:rPr>
          <w:rFonts w:asciiTheme="minorHAnsi" w:hAnsiTheme="minorHAnsi" w:cstheme="minorHAnsi"/>
        </w:rPr>
        <w:t>as con</w:t>
      </w:r>
      <w:r w:rsidR="00046170" w:rsidRPr="00617F02">
        <w:rPr>
          <w:rFonts w:asciiTheme="minorHAnsi" w:hAnsiTheme="minorHAnsi" w:cstheme="minorHAnsi"/>
        </w:rPr>
        <w:t>noting</w:t>
      </w:r>
      <w:r w:rsidRPr="00617F02">
        <w:rPr>
          <w:rFonts w:asciiTheme="minorHAnsi" w:hAnsiTheme="minorHAnsi" w:cstheme="minorHAnsi"/>
        </w:rPr>
        <w:t xml:space="preserve"> voting and other rights</w:t>
      </w:r>
      <w:r w:rsidR="0084081B" w:rsidRPr="00617F02">
        <w:rPr>
          <w:rFonts w:asciiTheme="minorHAnsi" w:hAnsiTheme="minorHAnsi" w:cstheme="minorHAnsi"/>
        </w:rPr>
        <w:t xml:space="preserve"> reserved to ‘</w:t>
      </w:r>
      <w:proofErr w:type="gramStart"/>
      <w:r w:rsidR="0084081B" w:rsidRPr="00617F02">
        <w:rPr>
          <w:rFonts w:asciiTheme="minorHAnsi" w:hAnsiTheme="minorHAnsi" w:cstheme="minorHAnsi"/>
        </w:rPr>
        <w:t>citizens’</w:t>
      </w:r>
      <w:proofErr w:type="gramEnd"/>
      <w:r w:rsidR="008A5DC9" w:rsidRPr="00617F02">
        <w:rPr>
          <w:rFonts w:asciiTheme="minorHAnsi" w:hAnsiTheme="minorHAnsi" w:cstheme="minorHAnsi"/>
        </w:rPr>
        <w:t xml:space="preserve">. </w:t>
      </w:r>
    </w:p>
  </w:footnote>
  <w:footnote w:id="22">
    <w:p w14:paraId="0D88E7BB" w14:textId="3542120E" w:rsidR="00917E67" w:rsidRPr="00617F02" w:rsidRDefault="00917E67" w:rsidP="00C215EC">
      <w:pPr>
        <w:pStyle w:val="FootnoteText"/>
        <w:jc w:val="both"/>
        <w:rPr>
          <w:rFonts w:asciiTheme="minorHAnsi" w:hAnsiTheme="minorHAnsi" w:cstheme="minorHAnsi"/>
        </w:rPr>
      </w:pPr>
      <w:r w:rsidRPr="00617F02">
        <w:rPr>
          <w:rStyle w:val="FootnoteReference"/>
          <w:rFonts w:asciiTheme="minorHAnsi" w:hAnsiTheme="minorHAnsi" w:cstheme="minorHAnsi"/>
        </w:rPr>
        <w:footnoteRef/>
      </w:r>
      <w:r w:rsidRPr="00617F02">
        <w:rPr>
          <w:rFonts w:asciiTheme="minorHAnsi" w:hAnsiTheme="minorHAnsi" w:cstheme="minorHAnsi"/>
        </w:rPr>
        <w:t xml:space="preserve"> James Q Whitman, ‘The Two Western Cultures of Privacy: Dignity versus Liberty’ (2004) 113 </w:t>
      </w:r>
      <w:r w:rsidRPr="00617F02">
        <w:rPr>
          <w:rFonts w:asciiTheme="minorHAnsi" w:hAnsiTheme="minorHAnsi" w:cstheme="minorHAnsi"/>
          <w:i/>
        </w:rPr>
        <w:t>Yale Law Journal</w:t>
      </w:r>
      <w:r w:rsidRPr="00617F02">
        <w:rPr>
          <w:rFonts w:asciiTheme="minorHAnsi" w:hAnsiTheme="minorHAnsi" w:cstheme="minorHAnsi"/>
        </w:rPr>
        <w:t xml:space="preserve"> 1151, 1219; James Q Whitman, Enforcing Civility: Three Societies (2000) 109 </w:t>
      </w:r>
      <w:r w:rsidRPr="00617F02">
        <w:rPr>
          <w:rFonts w:asciiTheme="minorHAnsi" w:hAnsiTheme="minorHAnsi" w:cstheme="minorHAnsi"/>
          <w:i/>
        </w:rPr>
        <w:t xml:space="preserve">Yale Law Journal </w:t>
      </w:r>
      <w:r w:rsidRPr="00617F02">
        <w:rPr>
          <w:rFonts w:asciiTheme="minorHAnsi" w:hAnsiTheme="minorHAnsi" w:cstheme="minorHAnsi"/>
        </w:rPr>
        <w:t xml:space="preserve">1279. </w:t>
      </w:r>
    </w:p>
  </w:footnote>
  <w:footnote w:id="23">
    <w:p w14:paraId="582EA54F" w14:textId="77777777" w:rsidR="00917E67" w:rsidRPr="00617F02" w:rsidRDefault="00917E67" w:rsidP="00C215EC">
      <w:pPr>
        <w:spacing w:after="0" w:line="240" w:lineRule="auto"/>
        <w:jc w:val="both"/>
        <w:rPr>
          <w:rFonts w:cstheme="minorHAnsi"/>
          <w:sz w:val="20"/>
          <w:szCs w:val="20"/>
        </w:rPr>
      </w:pPr>
      <w:r w:rsidRPr="00617F02">
        <w:rPr>
          <w:rStyle w:val="FootnoteReference"/>
          <w:rFonts w:cstheme="minorHAnsi"/>
          <w:sz w:val="20"/>
          <w:szCs w:val="20"/>
        </w:rPr>
        <w:footnoteRef/>
      </w:r>
      <w:r w:rsidRPr="00617F02">
        <w:rPr>
          <w:rFonts w:cstheme="minorHAnsi"/>
          <w:sz w:val="20"/>
          <w:szCs w:val="20"/>
        </w:rPr>
        <w:t xml:space="preserve"> Ibid</w:t>
      </w:r>
    </w:p>
  </w:footnote>
  <w:footnote w:id="24">
    <w:p w14:paraId="1088A045" w14:textId="69B3C3D4" w:rsidR="00917E67" w:rsidRPr="00617F02" w:rsidRDefault="00917E67" w:rsidP="00C215EC">
      <w:pPr>
        <w:pStyle w:val="FootnoteText"/>
        <w:jc w:val="both"/>
        <w:rPr>
          <w:rFonts w:asciiTheme="minorHAnsi" w:hAnsiTheme="minorHAnsi" w:cstheme="minorHAnsi"/>
        </w:rPr>
      </w:pPr>
      <w:r w:rsidRPr="00617F02">
        <w:rPr>
          <w:rStyle w:val="FootnoteReference"/>
          <w:rFonts w:asciiTheme="minorHAnsi" w:hAnsiTheme="minorHAnsi" w:cstheme="minorHAnsi"/>
        </w:rPr>
        <w:footnoteRef/>
      </w:r>
      <w:r w:rsidRPr="00617F02">
        <w:rPr>
          <w:rFonts w:asciiTheme="minorHAnsi" w:hAnsiTheme="minorHAnsi" w:cstheme="minorHAnsi"/>
        </w:rPr>
        <w:t xml:space="preserve"> Whitman (2000) above n 2</w:t>
      </w:r>
      <w:r w:rsidR="00046170" w:rsidRPr="00617F02">
        <w:rPr>
          <w:rFonts w:asciiTheme="minorHAnsi" w:hAnsiTheme="minorHAnsi" w:cstheme="minorHAnsi"/>
        </w:rPr>
        <w:t>2</w:t>
      </w:r>
      <w:r w:rsidRPr="00617F02">
        <w:rPr>
          <w:rFonts w:asciiTheme="minorHAnsi" w:hAnsiTheme="minorHAnsi" w:cstheme="minorHAnsi"/>
        </w:rPr>
        <w:t xml:space="preserve">, on hate speech regulation. </w:t>
      </w:r>
    </w:p>
  </w:footnote>
  <w:footnote w:id="25">
    <w:p w14:paraId="64791F00" w14:textId="332E6785" w:rsidR="00917E67" w:rsidRPr="00617F02" w:rsidRDefault="00917E67" w:rsidP="00C215EC">
      <w:pPr>
        <w:pStyle w:val="FootnoteText"/>
        <w:jc w:val="both"/>
        <w:rPr>
          <w:rFonts w:asciiTheme="minorHAnsi" w:hAnsiTheme="minorHAnsi" w:cstheme="minorHAnsi"/>
        </w:rPr>
      </w:pPr>
      <w:r w:rsidRPr="00617F02">
        <w:rPr>
          <w:rStyle w:val="FootnoteReference"/>
          <w:rFonts w:asciiTheme="minorHAnsi" w:hAnsiTheme="minorHAnsi" w:cstheme="minorHAnsi"/>
        </w:rPr>
        <w:footnoteRef/>
      </w:r>
      <w:r w:rsidRPr="00617F02">
        <w:rPr>
          <w:rFonts w:asciiTheme="minorHAnsi" w:hAnsiTheme="minorHAnsi" w:cstheme="minorHAnsi"/>
        </w:rPr>
        <w:t xml:space="preserve"> Waldron above n 1, </w:t>
      </w:r>
      <w:r w:rsidR="0084081B" w:rsidRPr="00617F02">
        <w:rPr>
          <w:rFonts w:asciiTheme="minorHAnsi" w:hAnsiTheme="minorHAnsi" w:cstheme="minorHAnsi"/>
        </w:rPr>
        <w:t>86f, where Waldron distinguishes between ‘appraisal respect’ (variable) and ‘recognition respect’ (invariable as it recognised the basic dignity of every person).</w:t>
      </w:r>
    </w:p>
  </w:footnote>
  <w:footnote w:id="26">
    <w:p w14:paraId="15A73C16" w14:textId="0AE7EA59" w:rsidR="00917E67" w:rsidRPr="00617F02" w:rsidRDefault="00917E67" w:rsidP="00C215EC">
      <w:pPr>
        <w:pStyle w:val="FootnoteText"/>
        <w:jc w:val="both"/>
        <w:rPr>
          <w:rFonts w:asciiTheme="minorHAnsi" w:hAnsiTheme="minorHAnsi" w:cstheme="minorHAnsi"/>
        </w:rPr>
      </w:pPr>
      <w:r w:rsidRPr="00617F02">
        <w:rPr>
          <w:rStyle w:val="FootnoteReference"/>
          <w:rFonts w:asciiTheme="minorHAnsi" w:hAnsiTheme="minorHAnsi" w:cstheme="minorHAnsi"/>
        </w:rPr>
        <w:footnoteRef/>
      </w:r>
      <w:r w:rsidRPr="00617F02">
        <w:rPr>
          <w:rFonts w:asciiTheme="minorHAnsi" w:hAnsiTheme="minorHAnsi" w:cstheme="minorHAnsi"/>
        </w:rPr>
        <w:t xml:space="preserve"> Waldron above n 1, 47.</w:t>
      </w:r>
    </w:p>
  </w:footnote>
  <w:footnote w:id="27">
    <w:p w14:paraId="4BB8DFD9" w14:textId="065ACCDB" w:rsidR="00917E67" w:rsidRPr="00617F02" w:rsidRDefault="00917E67" w:rsidP="00C215EC">
      <w:pPr>
        <w:pStyle w:val="FootnoteText"/>
        <w:jc w:val="both"/>
        <w:rPr>
          <w:rFonts w:asciiTheme="minorHAnsi" w:hAnsiTheme="minorHAnsi" w:cstheme="minorHAnsi"/>
        </w:rPr>
      </w:pPr>
      <w:r w:rsidRPr="00617F02">
        <w:rPr>
          <w:rStyle w:val="FootnoteReference"/>
          <w:rFonts w:asciiTheme="minorHAnsi" w:hAnsiTheme="minorHAnsi" w:cstheme="minorHAnsi"/>
        </w:rPr>
        <w:footnoteRef/>
      </w:r>
      <w:r w:rsidRPr="00617F02">
        <w:rPr>
          <w:rFonts w:asciiTheme="minorHAnsi" w:hAnsiTheme="minorHAnsi" w:cstheme="minorHAnsi"/>
        </w:rPr>
        <w:t xml:space="preserve"> Whitman (2004) above n 2</w:t>
      </w:r>
      <w:r w:rsidR="0084081B" w:rsidRPr="00617F02">
        <w:rPr>
          <w:rFonts w:asciiTheme="minorHAnsi" w:hAnsiTheme="minorHAnsi" w:cstheme="minorHAnsi"/>
        </w:rPr>
        <w:t>2, 1151f where Whitman traces hate speech prohibitions back to dueling law: ‘In the nineteenth century, continental courts protected the right to respect only of the dueling classes.’</w:t>
      </w:r>
    </w:p>
  </w:footnote>
  <w:footnote w:id="28">
    <w:p w14:paraId="0E706918" w14:textId="3452FD24" w:rsidR="00917E67" w:rsidRPr="00617F02" w:rsidRDefault="00917E67" w:rsidP="00C215EC">
      <w:pPr>
        <w:pStyle w:val="FootnoteText"/>
        <w:jc w:val="both"/>
        <w:rPr>
          <w:rFonts w:asciiTheme="minorHAnsi" w:hAnsiTheme="minorHAnsi" w:cstheme="minorHAnsi"/>
        </w:rPr>
      </w:pPr>
      <w:r w:rsidRPr="00617F02">
        <w:rPr>
          <w:rStyle w:val="FootnoteReference"/>
          <w:rFonts w:asciiTheme="minorHAnsi" w:hAnsiTheme="minorHAnsi" w:cstheme="minorHAnsi"/>
        </w:rPr>
        <w:footnoteRef/>
      </w:r>
      <w:r w:rsidRPr="00617F02">
        <w:rPr>
          <w:rFonts w:asciiTheme="minorHAnsi" w:hAnsiTheme="minorHAnsi" w:cstheme="minorHAnsi"/>
        </w:rPr>
        <w:t xml:space="preserve"> Whitman (2004) above n 2</w:t>
      </w:r>
      <w:r w:rsidR="0084081B" w:rsidRPr="00617F02">
        <w:rPr>
          <w:rFonts w:asciiTheme="minorHAnsi" w:hAnsiTheme="minorHAnsi" w:cstheme="minorHAnsi"/>
        </w:rPr>
        <w:t>2, 1151, 1166ff.</w:t>
      </w:r>
    </w:p>
  </w:footnote>
  <w:footnote w:id="29">
    <w:p w14:paraId="67CC3527" w14:textId="09ED63B4" w:rsidR="00917E67" w:rsidRPr="00617F02" w:rsidRDefault="00917E67" w:rsidP="00C215EC">
      <w:pPr>
        <w:pStyle w:val="FootnoteText"/>
        <w:jc w:val="both"/>
        <w:rPr>
          <w:rFonts w:asciiTheme="minorHAnsi" w:hAnsiTheme="minorHAnsi" w:cstheme="minorHAnsi"/>
        </w:rPr>
      </w:pPr>
      <w:r w:rsidRPr="00617F02">
        <w:rPr>
          <w:rStyle w:val="FootnoteReference"/>
          <w:rFonts w:asciiTheme="minorHAnsi" w:hAnsiTheme="minorHAnsi" w:cstheme="minorHAnsi"/>
        </w:rPr>
        <w:footnoteRef/>
      </w:r>
      <w:r w:rsidRPr="00617F02">
        <w:rPr>
          <w:rFonts w:asciiTheme="minorHAnsi" w:hAnsiTheme="minorHAnsi" w:cstheme="minorHAnsi"/>
        </w:rPr>
        <w:t xml:space="preserve"> Ute Frevert, </w:t>
      </w:r>
      <w:r w:rsidRPr="00617F02">
        <w:rPr>
          <w:rFonts w:asciiTheme="minorHAnsi" w:hAnsiTheme="minorHAnsi" w:cstheme="minorHAnsi"/>
          <w:i/>
          <w:iCs/>
        </w:rPr>
        <w:t>The Politics of Humiliation – A Modern History</w:t>
      </w:r>
      <w:r w:rsidRPr="00617F02">
        <w:rPr>
          <w:rFonts w:asciiTheme="minorHAnsi" w:hAnsiTheme="minorHAnsi" w:cstheme="minorHAnsi"/>
        </w:rPr>
        <w:t xml:space="preserve"> (Oxford: </w:t>
      </w:r>
      <w:r w:rsidR="0084081B" w:rsidRPr="00617F02">
        <w:rPr>
          <w:rFonts w:asciiTheme="minorHAnsi" w:hAnsiTheme="minorHAnsi" w:cstheme="minorHAnsi"/>
        </w:rPr>
        <w:t>OUP</w:t>
      </w:r>
      <w:r w:rsidRPr="00617F02">
        <w:rPr>
          <w:rFonts w:asciiTheme="minorHAnsi" w:hAnsiTheme="minorHAnsi" w:cstheme="minorHAnsi"/>
        </w:rPr>
        <w:t>, 2020).</w:t>
      </w:r>
    </w:p>
  </w:footnote>
  <w:footnote w:id="30">
    <w:p w14:paraId="097C685B" w14:textId="2B692FD5" w:rsidR="00917E67" w:rsidRPr="00617F02" w:rsidRDefault="00917E67" w:rsidP="00C215EC">
      <w:pPr>
        <w:pStyle w:val="FootnoteText"/>
        <w:jc w:val="both"/>
        <w:rPr>
          <w:rFonts w:asciiTheme="minorHAnsi" w:hAnsiTheme="minorHAnsi" w:cstheme="minorHAnsi"/>
        </w:rPr>
      </w:pPr>
      <w:r w:rsidRPr="00617F02">
        <w:rPr>
          <w:rStyle w:val="FootnoteReference"/>
          <w:rFonts w:asciiTheme="minorHAnsi" w:hAnsiTheme="minorHAnsi" w:cstheme="minorHAnsi"/>
        </w:rPr>
        <w:footnoteRef/>
      </w:r>
      <w:r w:rsidRPr="00617F02">
        <w:rPr>
          <w:rFonts w:asciiTheme="minorHAnsi" w:hAnsiTheme="minorHAnsi" w:cstheme="minorHAnsi"/>
        </w:rPr>
        <w:t xml:space="preserve"> Ute Frevert, ‘The history of humiliation points to the future of human dignity’ (20 </w:t>
      </w:r>
      <w:r w:rsidR="0084081B" w:rsidRPr="00617F02">
        <w:rPr>
          <w:rFonts w:asciiTheme="minorHAnsi" w:hAnsiTheme="minorHAnsi" w:cstheme="minorHAnsi"/>
        </w:rPr>
        <w:t>J</w:t>
      </w:r>
      <w:r w:rsidRPr="00617F02">
        <w:rPr>
          <w:rFonts w:asciiTheme="minorHAnsi" w:hAnsiTheme="minorHAnsi" w:cstheme="minorHAnsi"/>
        </w:rPr>
        <w:t xml:space="preserve">an 2021) </w:t>
      </w:r>
      <w:r w:rsidRPr="00617F02">
        <w:rPr>
          <w:rFonts w:asciiTheme="minorHAnsi" w:hAnsiTheme="minorHAnsi" w:cstheme="minorHAnsi"/>
          <w:i/>
          <w:iCs/>
        </w:rPr>
        <w:t xml:space="preserve">Psyche </w:t>
      </w:r>
      <w:proofErr w:type="spellStart"/>
      <w:r w:rsidRPr="00617F02">
        <w:rPr>
          <w:rFonts w:asciiTheme="minorHAnsi" w:hAnsiTheme="minorHAnsi" w:cstheme="minorHAnsi"/>
          <w:i/>
          <w:iCs/>
        </w:rPr>
        <w:t>Newletter</w:t>
      </w:r>
      <w:proofErr w:type="spellEnd"/>
      <w:r w:rsidRPr="00617F02">
        <w:rPr>
          <w:rFonts w:asciiTheme="minorHAnsi" w:hAnsiTheme="minorHAnsi" w:cstheme="minorHAnsi"/>
          <w:i/>
          <w:iCs/>
        </w:rPr>
        <w:t>.</w:t>
      </w:r>
      <w:r w:rsidRPr="00617F02">
        <w:rPr>
          <w:rFonts w:asciiTheme="minorHAnsi" w:hAnsiTheme="minorHAnsi" w:cstheme="minorHAnsi"/>
        </w:rPr>
        <w:t xml:space="preserve"> </w:t>
      </w:r>
    </w:p>
  </w:footnote>
  <w:footnote w:id="31">
    <w:p w14:paraId="04BC2C1A" w14:textId="1433647E" w:rsidR="00917E67" w:rsidRPr="00617F02" w:rsidRDefault="00917E67" w:rsidP="00C215EC">
      <w:pPr>
        <w:pStyle w:val="FootnoteText"/>
        <w:jc w:val="both"/>
        <w:rPr>
          <w:rFonts w:asciiTheme="minorHAnsi" w:hAnsiTheme="minorHAnsi" w:cstheme="minorHAnsi"/>
        </w:rPr>
      </w:pPr>
      <w:r w:rsidRPr="00617F02">
        <w:rPr>
          <w:rStyle w:val="FootnoteReference"/>
          <w:rFonts w:asciiTheme="minorHAnsi" w:hAnsiTheme="minorHAnsi" w:cstheme="minorHAnsi"/>
        </w:rPr>
        <w:footnoteRef/>
      </w:r>
      <w:r w:rsidRPr="00617F02">
        <w:rPr>
          <w:rFonts w:asciiTheme="minorHAnsi" w:hAnsiTheme="minorHAnsi" w:cstheme="minorHAnsi"/>
        </w:rPr>
        <w:t xml:space="preserve"> Ibid. </w:t>
      </w:r>
    </w:p>
  </w:footnote>
  <w:footnote w:id="32">
    <w:p w14:paraId="41F48809" w14:textId="7268A1EB" w:rsidR="00917E67" w:rsidRPr="00617F02" w:rsidRDefault="00917E67" w:rsidP="00C215EC">
      <w:pPr>
        <w:pStyle w:val="FootnoteText"/>
        <w:jc w:val="both"/>
        <w:rPr>
          <w:rFonts w:asciiTheme="minorHAnsi" w:hAnsiTheme="minorHAnsi" w:cstheme="minorHAnsi"/>
        </w:rPr>
      </w:pPr>
      <w:r w:rsidRPr="00617F02">
        <w:rPr>
          <w:rStyle w:val="FootnoteReference"/>
          <w:rFonts w:asciiTheme="minorHAnsi" w:hAnsiTheme="minorHAnsi" w:cstheme="minorHAnsi"/>
        </w:rPr>
        <w:footnoteRef/>
      </w:r>
      <w:r w:rsidRPr="00617F02">
        <w:rPr>
          <w:rFonts w:asciiTheme="minorHAnsi" w:hAnsiTheme="minorHAnsi" w:cstheme="minorHAnsi"/>
        </w:rPr>
        <w:t xml:space="preserve"> Frevert above n </w:t>
      </w:r>
      <w:r w:rsidR="0084081B" w:rsidRPr="00617F02">
        <w:rPr>
          <w:rFonts w:asciiTheme="minorHAnsi" w:hAnsiTheme="minorHAnsi" w:cstheme="minorHAnsi"/>
        </w:rPr>
        <w:t>29</w:t>
      </w:r>
      <w:r w:rsidRPr="00617F02">
        <w:rPr>
          <w:rFonts w:asciiTheme="minorHAnsi" w:hAnsiTheme="minorHAnsi" w:cstheme="minorHAnsi"/>
        </w:rPr>
        <w:t xml:space="preserve">, 13. </w:t>
      </w:r>
    </w:p>
  </w:footnote>
  <w:footnote w:id="33">
    <w:p w14:paraId="5D1389A6" w14:textId="167C5F89" w:rsidR="00917E67" w:rsidRPr="00617F02" w:rsidRDefault="00917E67" w:rsidP="00C215EC">
      <w:pPr>
        <w:pStyle w:val="FootnoteText"/>
        <w:jc w:val="both"/>
        <w:rPr>
          <w:rFonts w:asciiTheme="minorHAnsi" w:hAnsiTheme="minorHAnsi" w:cstheme="minorHAnsi"/>
        </w:rPr>
      </w:pPr>
      <w:r w:rsidRPr="00617F02">
        <w:rPr>
          <w:rStyle w:val="FootnoteReference"/>
          <w:rFonts w:asciiTheme="minorHAnsi" w:hAnsiTheme="minorHAnsi" w:cstheme="minorHAnsi"/>
        </w:rPr>
        <w:footnoteRef/>
      </w:r>
      <w:r w:rsidRPr="00617F02">
        <w:rPr>
          <w:rFonts w:asciiTheme="minorHAnsi" w:hAnsiTheme="minorHAnsi" w:cstheme="minorHAnsi"/>
        </w:rPr>
        <w:t xml:space="preserve"> Waldron above n 1</w:t>
      </w:r>
      <w:r w:rsidR="003A0C1F" w:rsidRPr="00617F02">
        <w:rPr>
          <w:rFonts w:asciiTheme="minorHAnsi" w:hAnsiTheme="minorHAnsi" w:cstheme="minorHAnsi"/>
        </w:rPr>
        <w:t>, 46f,</w:t>
      </w:r>
      <w:r w:rsidR="00B40437" w:rsidRPr="00617F02">
        <w:rPr>
          <w:rFonts w:asciiTheme="minorHAnsi" w:hAnsiTheme="minorHAnsi" w:cstheme="minorHAnsi"/>
        </w:rPr>
        <w:t xml:space="preserve"> 98ff.</w:t>
      </w:r>
    </w:p>
  </w:footnote>
  <w:footnote w:id="34">
    <w:p w14:paraId="519490FA" w14:textId="6F7B73BC" w:rsidR="00917E67" w:rsidRPr="00617F02" w:rsidRDefault="00917E67" w:rsidP="00C215EC">
      <w:pPr>
        <w:pStyle w:val="FootnoteText"/>
        <w:jc w:val="both"/>
        <w:rPr>
          <w:rFonts w:asciiTheme="minorHAnsi" w:hAnsiTheme="minorHAnsi" w:cstheme="minorHAnsi"/>
        </w:rPr>
      </w:pPr>
      <w:r w:rsidRPr="00617F02">
        <w:rPr>
          <w:rStyle w:val="FootnoteReference"/>
          <w:rFonts w:asciiTheme="minorHAnsi" w:hAnsiTheme="minorHAnsi" w:cstheme="minorHAnsi"/>
        </w:rPr>
        <w:footnoteRef/>
      </w:r>
      <w:r w:rsidRPr="00617F02">
        <w:rPr>
          <w:rFonts w:asciiTheme="minorHAnsi" w:hAnsiTheme="minorHAnsi" w:cstheme="minorHAnsi"/>
        </w:rPr>
        <w:t xml:space="preserve"> Waldron above n 1, 3, </w:t>
      </w:r>
      <w:r w:rsidR="00B40437" w:rsidRPr="00617F02">
        <w:rPr>
          <w:rFonts w:asciiTheme="minorHAnsi" w:hAnsiTheme="minorHAnsi" w:cstheme="minorHAnsi"/>
        </w:rPr>
        <w:t xml:space="preserve">100, </w:t>
      </w:r>
      <w:r w:rsidRPr="00617F02">
        <w:rPr>
          <w:rFonts w:asciiTheme="minorHAnsi" w:hAnsiTheme="minorHAnsi" w:cstheme="minorHAnsi"/>
        </w:rPr>
        <w:t>45: ‘[w</w:t>
      </w:r>
      <w:r w:rsidR="00B40437" w:rsidRPr="00617F02">
        <w:rPr>
          <w:rFonts w:asciiTheme="minorHAnsi" w:hAnsiTheme="minorHAnsi" w:cstheme="minorHAnsi"/>
        </w:rPr>
        <w:t>]</w:t>
      </w:r>
      <w:proofErr w:type="spellStart"/>
      <w:r w:rsidRPr="00617F02">
        <w:rPr>
          <w:rFonts w:asciiTheme="minorHAnsi" w:hAnsiTheme="minorHAnsi" w:cstheme="minorHAnsi"/>
        </w:rPr>
        <w:t>hat</w:t>
      </w:r>
      <w:proofErr w:type="spellEnd"/>
      <w:r w:rsidRPr="00617F02">
        <w:rPr>
          <w:rFonts w:asciiTheme="minorHAnsi" w:hAnsiTheme="minorHAnsi" w:cstheme="minorHAnsi"/>
        </w:rPr>
        <w:t xml:space="preserve"> attracts the attention of the criminal law] is the fact that something expressed becomes established as visible or tangible feature of the environment.’</w:t>
      </w:r>
    </w:p>
  </w:footnote>
  <w:footnote w:id="35">
    <w:p w14:paraId="4B8AA155" w14:textId="78A3993B" w:rsidR="00917E67" w:rsidRPr="00617F02" w:rsidRDefault="00917E67" w:rsidP="00C215EC">
      <w:pPr>
        <w:pStyle w:val="FootnoteText"/>
        <w:jc w:val="both"/>
        <w:rPr>
          <w:rFonts w:asciiTheme="minorHAnsi" w:hAnsiTheme="minorHAnsi" w:cstheme="minorHAnsi"/>
        </w:rPr>
      </w:pPr>
      <w:r w:rsidRPr="00617F02">
        <w:rPr>
          <w:rStyle w:val="FootnoteReference"/>
          <w:rFonts w:asciiTheme="minorHAnsi" w:hAnsiTheme="minorHAnsi" w:cstheme="minorHAnsi"/>
        </w:rPr>
        <w:footnoteRef/>
      </w:r>
      <w:r w:rsidRPr="00617F02">
        <w:rPr>
          <w:rFonts w:asciiTheme="minorHAnsi" w:hAnsiTheme="minorHAnsi" w:cstheme="minorHAnsi"/>
        </w:rPr>
        <w:t xml:space="preserve"> Art 184, 185, 186 of the German Criminal Code (</w:t>
      </w:r>
      <w:r w:rsidR="00137469" w:rsidRPr="00617F02">
        <w:rPr>
          <w:rFonts w:asciiTheme="minorHAnsi" w:hAnsiTheme="minorHAnsi" w:cstheme="minorHAnsi"/>
        </w:rPr>
        <w:t>h</w:t>
      </w:r>
      <w:r w:rsidRPr="00617F02">
        <w:rPr>
          <w:rFonts w:asciiTheme="minorHAnsi" w:hAnsiTheme="minorHAnsi" w:cstheme="minorHAnsi"/>
        </w:rPr>
        <w:t>umiliation and defamation)</w:t>
      </w:r>
      <w:r w:rsidR="00137469" w:rsidRPr="00617F02">
        <w:rPr>
          <w:rFonts w:asciiTheme="minorHAnsi" w:hAnsiTheme="minorHAnsi" w:cstheme="minorHAnsi"/>
        </w:rPr>
        <w:t>.</w:t>
      </w:r>
    </w:p>
  </w:footnote>
  <w:footnote w:id="36">
    <w:p w14:paraId="205C23E8" w14:textId="2DCDD126" w:rsidR="00917E67" w:rsidRPr="00617F02" w:rsidRDefault="00917E67" w:rsidP="00C215EC">
      <w:pPr>
        <w:pStyle w:val="FootnoteText"/>
        <w:jc w:val="both"/>
        <w:rPr>
          <w:rFonts w:asciiTheme="minorHAnsi" w:hAnsiTheme="minorHAnsi" w:cstheme="minorHAnsi"/>
        </w:rPr>
      </w:pPr>
      <w:r w:rsidRPr="00617F02">
        <w:rPr>
          <w:rStyle w:val="FootnoteReference"/>
          <w:rFonts w:asciiTheme="minorHAnsi" w:hAnsiTheme="minorHAnsi" w:cstheme="minorHAnsi"/>
        </w:rPr>
        <w:footnoteRef/>
      </w:r>
      <w:r w:rsidRPr="00617F02">
        <w:rPr>
          <w:rFonts w:asciiTheme="minorHAnsi" w:hAnsiTheme="minorHAnsi" w:cstheme="minorHAnsi"/>
        </w:rPr>
        <w:t xml:space="preserve"> Section 130(1)2 </w:t>
      </w:r>
      <w:r w:rsidR="00440B91" w:rsidRPr="00617F02">
        <w:rPr>
          <w:rFonts w:asciiTheme="minorHAnsi" w:hAnsiTheme="minorHAnsi" w:cstheme="minorHAnsi"/>
        </w:rPr>
        <w:t xml:space="preserve">of the German Criminal Code </w:t>
      </w:r>
      <w:r w:rsidRPr="00617F02">
        <w:rPr>
          <w:rFonts w:asciiTheme="minorHAnsi" w:hAnsiTheme="minorHAnsi" w:cstheme="minorHAnsi"/>
        </w:rPr>
        <w:t>specifically frames hate speech as a disturbance of the public peace through violating ‘the human dignity of others by insulting, maliciously maligning or defaming one of the aforementioned groups… on account of their belonging to… [such] groups…’</w:t>
      </w:r>
      <w:r w:rsidR="00E37005">
        <w:rPr>
          <w:rFonts w:asciiTheme="minorHAnsi" w:hAnsiTheme="minorHAnsi" w:cstheme="minorHAnsi"/>
        </w:rPr>
        <w:t xml:space="preserve">, in contrast to civil actions. </w:t>
      </w:r>
    </w:p>
  </w:footnote>
  <w:footnote w:id="37">
    <w:p w14:paraId="09DA2F96" w14:textId="3440EB8A" w:rsidR="00917E67" w:rsidRPr="00617F02" w:rsidRDefault="00917E67" w:rsidP="00C215EC">
      <w:pPr>
        <w:autoSpaceDE w:val="0"/>
        <w:autoSpaceDN w:val="0"/>
        <w:adjustRightInd w:val="0"/>
        <w:spacing w:after="0" w:line="240" w:lineRule="auto"/>
        <w:jc w:val="both"/>
        <w:rPr>
          <w:rFonts w:cstheme="minorHAnsi"/>
          <w:sz w:val="20"/>
          <w:szCs w:val="20"/>
        </w:rPr>
      </w:pPr>
      <w:r w:rsidRPr="00617F02">
        <w:rPr>
          <w:rStyle w:val="FootnoteReference"/>
          <w:rFonts w:cstheme="minorHAnsi"/>
          <w:sz w:val="20"/>
          <w:szCs w:val="20"/>
        </w:rPr>
        <w:footnoteRef/>
      </w:r>
      <w:r w:rsidRPr="00617F02">
        <w:rPr>
          <w:rFonts w:cstheme="minorHAnsi"/>
          <w:sz w:val="20"/>
          <w:szCs w:val="20"/>
        </w:rPr>
        <w:t xml:space="preserve"> </w:t>
      </w:r>
      <w:proofErr w:type="spellStart"/>
      <w:r w:rsidRPr="00617F02">
        <w:rPr>
          <w:rFonts w:cstheme="minorHAnsi"/>
          <w:i/>
          <w:iCs/>
          <w:sz w:val="20"/>
          <w:szCs w:val="20"/>
        </w:rPr>
        <w:t>Delfi</w:t>
      </w:r>
      <w:proofErr w:type="spellEnd"/>
      <w:r w:rsidRPr="00617F02">
        <w:rPr>
          <w:rFonts w:cstheme="minorHAnsi"/>
          <w:i/>
          <w:iCs/>
          <w:sz w:val="20"/>
          <w:szCs w:val="20"/>
        </w:rPr>
        <w:t xml:space="preserve"> AS v Estonia</w:t>
      </w:r>
      <w:r w:rsidRPr="00617F02">
        <w:rPr>
          <w:rFonts w:cstheme="minorHAnsi"/>
          <w:sz w:val="20"/>
          <w:szCs w:val="20"/>
        </w:rPr>
        <w:t xml:space="preserve"> 64569/09 </w:t>
      </w:r>
      <w:r w:rsidR="00137469" w:rsidRPr="00617F02">
        <w:rPr>
          <w:rFonts w:cstheme="minorHAnsi"/>
          <w:sz w:val="20"/>
          <w:szCs w:val="20"/>
        </w:rPr>
        <w:t xml:space="preserve">[2015] ECHR 586 </w:t>
      </w:r>
      <w:r w:rsidRPr="00617F02">
        <w:rPr>
          <w:rFonts w:cstheme="minorHAnsi"/>
          <w:sz w:val="20"/>
          <w:szCs w:val="20"/>
        </w:rPr>
        <w:t>paras 140–162</w:t>
      </w:r>
      <w:r w:rsidR="00137469" w:rsidRPr="00617F02">
        <w:rPr>
          <w:rFonts w:cstheme="minorHAnsi"/>
          <w:sz w:val="20"/>
          <w:szCs w:val="20"/>
        </w:rPr>
        <w:t xml:space="preserve">; </w:t>
      </w:r>
      <w:r w:rsidRPr="00617F02">
        <w:rPr>
          <w:rFonts w:cstheme="minorHAnsi"/>
          <w:i/>
          <w:iCs/>
          <w:sz w:val="20"/>
          <w:szCs w:val="20"/>
        </w:rPr>
        <w:t xml:space="preserve">see </w:t>
      </w:r>
      <w:r w:rsidRPr="00617F02">
        <w:rPr>
          <w:rFonts w:cstheme="minorHAnsi"/>
          <w:sz w:val="20"/>
          <w:szCs w:val="20"/>
        </w:rPr>
        <w:t xml:space="preserve">also </w:t>
      </w:r>
      <w:r w:rsidRPr="00617F02">
        <w:rPr>
          <w:rFonts w:cstheme="minorHAnsi"/>
          <w:i/>
          <w:iCs/>
          <w:sz w:val="20"/>
          <w:szCs w:val="20"/>
        </w:rPr>
        <w:t xml:space="preserve">MTE-Index.hu v Hungary </w:t>
      </w:r>
      <w:r w:rsidRPr="00617F02">
        <w:rPr>
          <w:rFonts w:cstheme="minorHAnsi"/>
          <w:sz w:val="20"/>
          <w:szCs w:val="20"/>
        </w:rPr>
        <w:t xml:space="preserve">22947/13 [2016] ECtHR  </w:t>
      </w:r>
    </w:p>
  </w:footnote>
  <w:footnote w:id="38">
    <w:p w14:paraId="126038BB" w14:textId="1B2B27B8" w:rsidR="00917E67" w:rsidRPr="00617F02" w:rsidRDefault="00917E67" w:rsidP="00C215EC">
      <w:pPr>
        <w:pStyle w:val="FootnoteText"/>
        <w:jc w:val="both"/>
        <w:rPr>
          <w:rFonts w:asciiTheme="minorHAnsi" w:hAnsiTheme="minorHAnsi" w:cstheme="minorHAnsi"/>
        </w:rPr>
      </w:pPr>
      <w:r w:rsidRPr="00617F02">
        <w:rPr>
          <w:rStyle w:val="FootnoteReference"/>
          <w:rFonts w:asciiTheme="minorHAnsi" w:hAnsiTheme="minorHAnsi" w:cstheme="minorHAnsi"/>
        </w:rPr>
        <w:footnoteRef/>
      </w:r>
      <w:r w:rsidRPr="00617F02">
        <w:rPr>
          <w:rFonts w:asciiTheme="minorHAnsi" w:hAnsiTheme="minorHAnsi" w:cstheme="minorHAnsi"/>
        </w:rPr>
        <w:t xml:space="preserve"> </w:t>
      </w:r>
      <w:proofErr w:type="spellStart"/>
      <w:r w:rsidR="00137469" w:rsidRPr="00617F02">
        <w:rPr>
          <w:rFonts w:asciiTheme="minorHAnsi" w:hAnsiTheme="minorHAnsi" w:cstheme="minorHAnsi"/>
          <w:i/>
          <w:iCs/>
        </w:rPr>
        <w:t>Delfi</w:t>
      </w:r>
      <w:proofErr w:type="spellEnd"/>
      <w:r w:rsidR="00137469" w:rsidRPr="00617F02">
        <w:rPr>
          <w:rFonts w:asciiTheme="minorHAnsi" w:hAnsiTheme="minorHAnsi" w:cstheme="minorHAnsi"/>
          <w:i/>
          <w:iCs/>
        </w:rPr>
        <w:t xml:space="preserve"> AS v Estonia</w:t>
      </w:r>
      <w:r w:rsidR="00137469" w:rsidRPr="00617F02">
        <w:rPr>
          <w:rFonts w:asciiTheme="minorHAnsi" w:hAnsiTheme="minorHAnsi" w:cstheme="minorHAnsi"/>
        </w:rPr>
        <w:t xml:space="preserve"> 64569/09 [2015] ECHR 586, p</w:t>
      </w:r>
      <w:r w:rsidRPr="00617F02">
        <w:rPr>
          <w:rFonts w:asciiTheme="minorHAnsi" w:hAnsiTheme="minorHAnsi" w:cstheme="minorHAnsi"/>
        </w:rPr>
        <w:t>ara 110 [emphasis added], see also para 147</w:t>
      </w:r>
      <w:r w:rsidR="00137469" w:rsidRPr="00617F02">
        <w:rPr>
          <w:rFonts w:asciiTheme="minorHAnsi" w:hAnsiTheme="minorHAnsi" w:cstheme="minorHAnsi"/>
        </w:rPr>
        <w:t>.</w:t>
      </w:r>
    </w:p>
  </w:footnote>
  <w:footnote w:id="39">
    <w:p w14:paraId="106D09FF" w14:textId="6C3B77AB" w:rsidR="00917E67" w:rsidRPr="00617F02" w:rsidRDefault="00917E67" w:rsidP="00C215EC">
      <w:pPr>
        <w:pStyle w:val="FootnoteText"/>
        <w:jc w:val="both"/>
        <w:rPr>
          <w:rFonts w:asciiTheme="minorHAnsi" w:hAnsiTheme="minorHAnsi" w:cstheme="minorHAnsi"/>
        </w:rPr>
      </w:pPr>
      <w:r w:rsidRPr="00617F02">
        <w:rPr>
          <w:rStyle w:val="FootnoteReference"/>
          <w:rFonts w:asciiTheme="minorHAnsi" w:hAnsiTheme="minorHAnsi" w:cstheme="minorHAnsi"/>
        </w:rPr>
        <w:footnoteRef/>
      </w:r>
      <w:r w:rsidRPr="00617F02">
        <w:rPr>
          <w:rFonts w:asciiTheme="minorHAnsi" w:hAnsiTheme="minorHAnsi" w:cstheme="minorHAnsi"/>
        </w:rPr>
        <w:t xml:space="preserve"> </w:t>
      </w:r>
      <w:r w:rsidRPr="00617F02">
        <w:rPr>
          <w:rFonts w:asciiTheme="minorHAnsi" w:hAnsiTheme="minorHAnsi" w:cstheme="minorHAnsi"/>
          <w:i/>
        </w:rPr>
        <w:t>Nix v Germany</w:t>
      </w:r>
      <w:r w:rsidR="00137469" w:rsidRPr="00617F02">
        <w:rPr>
          <w:rFonts w:asciiTheme="minorHAnsi" w:hAnsiTheme="minorHAnsi" w:cstheme="minorHAnsi"/>
          <w:i/>
        </w:rPr>
        <w:t xml:space="preserve"> </w:t>
      </w:r>
      <w:r w:rsidRPr="00617F02">
        <w:rPr>
          <w:rFonts w:asciiTheme="minorHAnsi" w:hAnsiTheme="minorHAnsi" w:cstheme="minorHAnsi"/>
        </w:rPr>
        <w:t>35285/16</w:t>
      </w:r>
      <w:r w:rsidR="00137469" w:rsidRPr="00617F02">
        <w:rPr>
          <w:rFonts w:asciiTheme="minorHAnsi" w:hAnsiTheme="minorHAnsi" w:cstheme="minorHAnsi"/>
        </w:rPr>
        <w:t xml:space="preserve"> [2018] ECHR 298.</w:t>
      </w:r>
    </w:p>
  </w:footnote>
  <w:footnote w:id="40">
    <w:p w14:paraId="4225279F" w14:textId="4F62C3C6" w:rsidR="00917E67" w:rsidRPr="00617F02" w:rsidRDefault="00917E67" w:rsidP="00C215EC">
      <w:pPr>
        <w:pStyle w:val="FootnoteText"/>
        <w:jc w:val="both"/>
        <w:rPr>
          <w:rFonts w:asciiTheme="minorHAnsi" w:hAnsiTheme="minorHAnsi" w:cstheme="minorHAnsi"/>
        </w:rPr>
      </w:pPr>
      <w:r w:rsidRPr="00617F02">
        <w:rPr>
          <w:rStyle w:val="FootnoteReference"/>
          <w:rFonts w:asciiTheme="minorHAnsi" w:hAnsiTheme="minorHAnsi" w:cstheme="minorHAnsi"/>
        </w:rPr>
        <w:footnoteRef/>
      </w:r>
      <w:r w:rsidRPr="00617F02">
        <w:rPr>
          <w:rFonts w:asciiTheme="minorHAnsi" w:hAnsiTheme="minorHAnsi" w:cstheme="minorHAnsi"/>
        </w:rPr>
        <w:t xml:space="preserve"> </w:t>
      </w:r>
      <w:r w:rsidR="00137469" w:rsidRPr="00617F02">
        <w:rPr>
          <w:rFonts w:asciiTheme="minorHAnsi" w:hAnsiTheme="minorHAnsi" w:cstheme="minorHAnsi"/>
          <w:i/>
        </w:rPr>
        <w:t xml:space="preserve">Nix v Germany </w:t>
      </w:r>
      <w:r w:rsidR="00137469" w:rsidRPr="00617F02">
        <w:rPr>
          <w:rFonts w:asciiTheme="minorHAnsi" w:hAnsiTheme="minorHAnsi" w:cstheme="minorHAnsi"/>
        </w:rPr>
        <w:t>35285/16 [2018] ECHR 298, p</w:t>
      </w:r>
      <w:r w:rsidRPr="00617F02">
        <w:rPr>
          <w:rFonts w:asciiTheme="minorHAnsi" w:hAnsiTheme="minorHAnsi" w:cstheme="minorHAnsi"/>
        </w:rPr>
        <w:t xml:space="preserve">ara 47 and 54 respectively. </w:t>
      </w:r>
    </w:p>
  </w:footnote>
  <w:footnote w:id="41">
    <w:p w14:paraId="266DCA24" w14:textId="6F1C7332" w:rsidR="00917E67" w:rsidRPr="00617F02" w:rsidRDefault="00917E67" w:rsidP="00C215EC">
      <w:pPr>
        <w:pStyle w:val="FootnoteText"/>
        <w:jc w:val="both"/>
        <w:rPr>
          <w:rFonts w:asciiTheme="minorHAnsi" w:hAnsiTheme="minorHAnsi" w:cstheme="minorHAnsi"/>
        </w:rPr>
      </w:pPr>
      <w:r w:rsidRPr="00617F02">
        <w:rPr>
          <w:rStyle w:val="FootnoteReference"/>
          <w:rFonts w:asciiTheme="minorHAnsi" w:hAnsiTheme="minorHAnsi" w:cstheme="minorHAnsi"/>
        </w:rPr>
        <w:footnoteRef/>
      </w:r>
      <w:r w:rsidRPr="00617F02">
        <w:rPr>
          <w:rFonts w:asciiTheme="minorHAnsi" w:hAnsiTheme="minorHAnsi" w:cstheme="minorHAnsi"/>
        </w:rPr>
        <w:t xml:space="preserve"> </w:t>
      </w:r>
      <w:r w:rsidR="00137469" w:rsidRPr="00617F02">
        <w:rPr>
          <w:rFonts w:asciiTheme="minorHAnsi" w:hAnsiTheme="minorHAnsi" w:cstheme="minorHAnsi"/>
        </w:rPr>
        <w:t>Whitman (2004) above n 22, 1166,</w:t>
      </w:r>
      <w:r w:rsidRPr="00617F02">
        <w:rPr>
          <w:rFonts w:asciiTheme="minorHAnsi" w:hAnsiTheme="minorHAnsi" w:cstheme="minorHAnsi"/>
        </w:rPr>
        <w:t xml:space="preserve"> controversially argued </w:t>
      </w:r>
      <w:r w:rsidR="00137469" w:rsidRPr="00617F02">
        <w:rPr>
          <w:rFonts w:asciiTheme="minorHAnsi" w:hAnsiTheme="minorHAnsi" w:cstheme="minorHAnsi"/>
        </w:rPr>
        <w:t xml:space="preserve">‘much of this leveling up took place </w:t>
      </w:r>
      <w:r w:rsidR="00137469" w:rsidRPr="00617F02">
        <w:rPr>
          <w:rFonts w:asciiTheme="minorHAnsi" w:hAnsiTheme="minorHAnsi" w:cstheme="minorHAnsi"/>
          <w:i/>
          <w:iCs/>
        </w:rPr>
        <w:t xml:space="preserve">during </w:t>
      </w:r>
      <w:r w:rsidR="00137469" w:rsidRPr="00617F02">
        <w:rPr>
          <w:rFonts w:asciiTheme="minorHAnsi" w:hAnsiTheme="minorHAnsi" w:cstheme="minorHAnsi"/>
        </w:rPr>
        <w:t>the fascist period’ [emphasis in the original] but clearly this was a very limited level</w:t>
      </w:r>
      <w:r w:rsidR="0003363F">
        <w:rPr>
          <w:rFonts w:asciiTheme="minorHAnsi" w:hAnsiTheme="minorHAnsi" w:cstheme="minorHAnsi"/>
        </w:rPr>
        <w:t>l</w:t>
      </w:r>
      <w:r w:rsidR="00137469" w:rsidRPr="00617F02">
        <w:rPr>
          <w:rFonts w:asciiTheme="minorHAnsi" w:hAnsiTheme="minorHAnsi" w:cstheme="minorHAnsi"/>
        </w:rPr>
        <w:t>ing up amongst ‘Aryan’ Germans</w:t>
      </w:r>
      <w:r w:rsidR="0003363F">
        <w:rPr>
          <w:rFonts w:asciiTheme="minorHAnsi" w:hAnsiTheme="minorHAnsi" w:cstheme="minorHAnsi"/>
        </w:rPr>
        <w:t xml:space="preserve"> and essentially retained the idea that some had a right to dignity, whilst others did not</w:t>
      </w:r>
      <w:r w:rsidR="00137469" w:rsidRPr="00617F02">
        <w:rPr>
          <w:rFonts w:asciiTheme="minorHAnsi" w:hAnsiTheme="minorHAnsi" w:cstheme="minorHAnsi"/>
        </w:rPr>
        <w:t xml:space="preserve">. </w:t>
      </w:r>
    </w:p>
  </w:footnote>
  <w:footnote w:id="42">
    <w:p w14:paraId="5CF09693" w14:textId="2C194295" w:rsidR="00917E67" w:rsidRPr="00617F02" w:rsidRDefault="00917E67" w:rsidP="00C215EC">
      <w:pPr>
        <w:pStyle w:val="FootnoteText"/>
        <w:jc w:val="both"/>
        <w:rPr>
          <w:rFonts w:asciiTheme="minorHAnsi" w:hAnsiTheme="minorHAnsi" w:cstheme="minorHAnsi"/>
        </w:rPr>
      </w:pPr>
      <w:r w:rsidRPr="00617F02">
        <w:rPr>
          <w:rStyle w:val="FootnoteReference"/>
          <w:rFonts w:asciiTheme="minorHAnsi" w:hAnsiTheme="minorHAnsi" w:cstheme="minorHAnsi"/>
        </w:rPr>
        <w:footnoteRef/>
      </w:r>
      <w:r w:rsidRPr="00617F02">
        <w:rPr>
          <w:rFonts w:asciiTheme="minorHAnsi" w:hAnsiTheme="minorHAnsi" w:cstheme="minorHAnsi"/>
        </w:rPr>
        <w:t xml:space="preserve"> Whitman (2004) above n 2</w:t>
      </w:r>
      <w:r w:rsidR="00137469" w:rsidRPr="00617F02">
        <w:rPr>
          <w:rFonts w:asciiTheme="minorHAnsi" w:hAnsiTheme="minorHAnsi" w:cstheme="minorHAnsi"/>
        </w:rPr>
        <w:t>2</w:t>
      </w:r>
      <w:r w:rsidRPr="00617F02">
        <w:rPr>
          <w:rFonts w:asciiTheme="minorHAnsi" w:hAnsiTheme="minorHAnsi" w:cstheme="minorHAnsi"/>
        </w:rPr>
        <w:t>, 1161.</w:t>
      </w:r>
    </w:p>
  </w:footnote>
  <w:footnote w:id="43">
    <w:p w14:paraId="4553203D" w14:textId="35DA5BF8" w:rsidR="00917E67" w:rsidRPr="00617F02" w:rsidRDefault="00917E67" w:rsidP="00C215EC">
      <w:pPr>
        <w:pStyle w:val="Heading1"/>
        <w:spacing w:before="0" w:line="240" w:lineRule="auto"/>
        <w:jc w:val="both"/>
        <w:rPr>
          <w:rFonts w:asciiTheme="minorHAnsi" w:eastAsia="Times New Roman" w:hAnsiTheme="minorHAnsi" w:cstheme="minorHAnsi"/>
          <w:b/>
          <w:bCs/>
          <w:color w:val="auto"/>
          <w:kern w:val="36"/>
          <w:sz w:val="20"/>
          <w:szCs w:val="20"/>
          <w:lang w:eastAsia="en-GB"/>
        </w:rPr>
      </w:pPr>
      <w:r w:rsidRPr="00617F02">
        <w:rPr>
          <w:rStyle w:val="FootnoteReference"/>
          <w:rFonts w:asciiTheme="minorHAnsi" w:hAnsiTheme="minorHAnsi" w:cstheme="minorHAnsi"/>
          <w:color w:val="auto"/>
          <w:sz w:val="20"/>
          <w:szCs w:val="20"/>
        </w:rPr>
        <w:footnoteRef/>
      </w:r>
      <w:r w:rsidR="00137469" w:rsidRPr="00617F02">
        <w:rPr>
          <w:rFonts w:asciiTheme="minorHAnsi" w:eastAsia="Times New Roman" w:hAnsiTheme="minorHAnsi" w:cstheme="minorHAnsi"/>
          <w:color w:val="auto"/>
          <w:kern w:val="36"/>
          <w:sz w:val="20"/>
          <w:szCs w:val="20"/>
          <w:lang w:eastAsia="en-GB"/>
        </w:rPr>
        <w:t xml:space="preserve"> European Commission above n 14, </w:t>
      </w:r>
      <w:r w:rsidR="00B40437" w:rsidRPr="00617F02">
        <w:rPr>
          <w:rFonts w:asciiTheme="minorHAnsi" w:eastAsia="Times New Roman" w:hAnsiTheme="minorHAnsi" w:cstheme="minorHAnsi"/>
          <w:color w:val="auto"/>
          <w:kern w:val="36"/>
          <w:sz w:val="20"/>
          <w:szCs w:val="20"/>
          <w:lang w:eastAsia="en-GB"/>
        </w:rPr>
        <w:t xml:space="preserve">the Code was </w:t>
      </w:r>
      <w:r w:rsidRPr="00617F02">
        <w:rPr>
          <w:rFonts w:asciiTheme="minorHAnsi" w:eastAsia="Times New Roman" w:hAnsiTheme="minorHAnsi" w:cstheme="minorHAnsi"/>
          <w:color w:val="auto"/>
          <w:kern w:val="36"/>
          <w:sz w:val="20"/>
          <w:szCs w:val="20"/>
          <w:lang w:eastAsia="en-GB"/>
        </w:rPr>
        <w:t xml:space="preserve">agreed between the European Commission and Facebook, Microsoft, </w:t>
      </w:r>
      <w:proofErr w:type="gramStart"/>
      <w:r w:rsidRPr="00617F02">
        <w:rPr>
          <w:rFonts w:asciiTheme="minorHAnsi" w:eastAsia="Times New Roman" w:hAnsiTheme="minorHAnsi" w:cstheme="minorHAnsi"/>
          <w:color w:val="auto"/>
          <w:kern w:val="36"/>
          <w:sz w:val="20"/>
          <w:szCs w:val="20"/>
          <w:lang w:eastAsia="en-GB"/>
        </w:rPr>
        <w:t>Twitter</w:t>
      </w:r>
      <w:proofErr w:type="gramEnd"/>
      <w:r w:rsidRPr="00617F02">
        <w:rPr>
          <w:rFonts w:asciiTheme="minorHAnsi" w:eastAsia="Times New Roman" w:hAnsiTheme="minorHAnsi" w:cstheme="minorHAnsi"/>
          <w:color w:val="auto"/>
          <w:kern w:val="36"/>
          <w:sz w:val="20"/>
          <w:szCs w:val="20"/>
          <w:lang w:eastAsia="en-GB"/>
        </w:rPr>
        <w:t xml:space="preserve"> and YouTube, followed subsequently by Instagram, Snapchat, Dailymotion, Jeuxvideo.com, </w:t>
      </w:r>
      <w:proofErr w:type="spellStart"/>
      <w:r w:rsidRPr="00617F02">
        <w:rPr>
          <w:rFonts w:asciiTheme="minorHAnsi" w:eastAsia="Times New Roman" w:hAnsiTheme="minorHAnsi" w:cstheme="minorHAnsi"/>
          <w:color w:val="auto"/>
          <w:kern w:val="36"/>
          <w:sz w:val="20"/>
          <w:szCs w:val="20"/>
          <w:lang w:eastAsia="en-GB"/>
        </w:rPr>
        <w:t>TikTok</w:t>
      </w:r>
      <w:proofErr w:type="spellEnd"/>
      <w:r w:rsidRPr="00617F02">
        <w:rPr>
          <w:rFonts w:asciiTheme="minorHAnsi" w:eastAsia="Times New Roman" w:hAnsiTheme="minorHAnsi" w:cstheme="minorHAnsi"/>
          <w:color w:val="auto"/>
          <w:kern w:val="36"/>
          <w:sz w:val="20"/>
          <w:szCs w:val="20"/>
          <w:lang w:eastAsia="en-GB"/>
        </w:rPr>
        <w:t xml:space="preserve"> and </w:t>
      </w:r>
      <w:proofErr w:type="spellStart"/>
      <w:r w:rsidRPr="00617F02">
        <w:rPr>
          <w:rFonts w:asciiTheme="minorHAnsi" w:eastAsia="Times New Roman" w:hAnsiTheme="minorHAnsi" w:cstheme="minorHAnsi"/>
          <w:color w:val="auto"/>
          <w:kern w:val="36"/>
          <w:sz w:val="20"/>
          <w:szCs w:val="20"/>
          <w:lang w:eastAsia="en-GB"/>
        </w:rPr>
        <w:t>Linkedin</w:t>
      </w:r>
      <w:proofErr w:type="spellEnd"/>
      <w:r w:rsidRPr="00617F02">
        <w:rPr>
          <w:rFonts w:asciiTheme="minorHAnsi" w:eastAsia="Times New Roman" w:hAnsiTheme="minorHAnsi" w:cstheme="minorHAnsi"/>
          <w:color w:val="auto"/>
          <w:kern w:val="36"/>
          <w:sz w:val="20"/>
          <w:szCs w:val="20"/>
          <w:lang w:eastAsia="en-GB"/>
        </w:rPr>
        <w:t xml:space="preserve">. </w:t>
      </w:r>
    </w:p>
  </w:footnote>
  <w:footnote w:id="44">
    <w:p w14:paraId="14CD7AE5" w14:textId="41E1CAEE" w:rsidR="00917E67" w:rsidRPr="00617F02" w:rsidRDefault="00917E67" w:rsidP="00C215EC">
      <w:pPr>
        <w:pStyle w:val="FootnoteText"/>
        <w:jc w:val="both"/>
        <w:rPr>
          <w:rFonts w:asciiTheme="minorHAnsi" w:hAnsiTheme="minorHAnsi" w:cstheme="minorHAnsi"/>
        </w:rPr>
      </w:pPr>
      <w:r w:rsidRPr="00617F02">
        <w:rPr>
          <w:rStyle w:val="FootnoteReference"/>
          <w:rFonts w:asciiTheme="minorHAnsi" w:hAnsiTheme="minorHAnsi" w:cstheme="minorHAnsi"/>
        </w:rPr>
        <w:footnoteRef/>
      </w:r>
      <w:r w:rsidRPr="00617F02">
        <w:rPr>
          <w:rFonts w:asciiTheme="minorHAnsi" w:hAnsiTheme="minorHAnsi" w:cstheme="minorHAnsi"/>
        </w:rPr>
        <w:t xml:space="preserve"> Kate Conger, Mike Isaac, ‘Twitter Permanently Bans Trump, Capping Online Revolt’ (8 Jan 2021</w:t>
      </w:r>
      <w:r w:rsidR="00137469" w:rsidRPr="00617F02">
        <w:rPr>
          <w:rFonts w:asciiTheme="minorHAnsi" w:hAnsiTheme="minorHAnsi" w:cstheme="minorHAnsi"/>
        </w:rPr>
        <w:t>)</w:t>
      </w:r>
      <w:r w:rsidRPr="00617F02">
        <w:rPr>
          <w:rFonts w:asciiTheme="minorHAnsi" w:hAnsiTheme="minorHAnsi" w:cstheme="minorHAnsi"/>
        </w:rPr>
        <w:t xml:space="preserve"> </w:t>
      </w:r>
      <w:r w:rsidRPr="00617F02">
        <w:rPr>
          <w:rFonts w:asciiTheme="minorHAnsi" w:hAnsiTheme="minorHAnsi" w:cstheme="minorHAnsi"/>
          <w:i/>
          <w:iCs/>
        </w:rPr>
        <w:t>New York Times</w:t>
      </w:r>
      <w:r w:rsidRPr="00617F02">
        <w:rPr>
          <w:rFonts w:asciiTheme="minorHAnsi" w:hAnsiTheme="minorHAnsi" w:cstheme="minorHAnsi"/>
        </w:rPr>
        <w:t>)</w:t>
      </w:r>
      <w:r w:rsidR="00137469" w:rsidRPr="00617F02">
        <w:rPr>
          <w:rFonts w:asciiTheme="minorHAnsi" w:hAnsiTheme="minorHAnsi" w:cstheme="minorHAnsi"/>
        </w:rPr>
        <w:t>.</w:t>
      </w:r>
      <w:r w:rsidRPr="00617F02">
        <w:rPr>
          <w:rFonts w:asciiTheme="minorHAnsi" w:hAnsiTheme="minorHAnsi" w:cstheme="minorHAnsi"/>
        </w:rPr>
        <w:t xml:space="preserve"> </w:t>
      </w:r>
    </w:p>
  </w:footnote>
  <w:footnote w:id="45">
    <w:p w14:paraId="29F04F7A" w14:textId="0B495423" w:rsidR="00917E67" w:rsidRPr="00617F02" w:rsidRDefault="00917E67" w:rsidP="00C215EC">
      <w:pPr>
        <w:pStyle w:val="FootnoteText"/>
        <w:jc w:val="both"/>
        <w:rPr>
          <w:rFonts w:asciiTheme="minorHAnsi" w:hAnsiTheme="minorHAnsi" w:cstheme="minorHAnsi"/>
        </w:rPr>
      </w:pPr>
      <w:r w:rsidRPr="00617F02">
        <w:rPr>
          <w:rStyle w:val="FootnoteReference"/>
          <w:rFonts w:asciiTheme="minorHAnsi" w:hAnsiTheme="minorHAnsi" w:cstheme="minorHAnsi"/>
        </w:rPr>
        <w:footnoteRef/>
      </w:r>
      <w:r w:rsidRPr="00617F02">
        <w:rPr>
          <w:rFonts w:asciiTheme="minorHAnsi" w:hAnsiTheme="minorHAnsi" w:cstheme="minorHAnsi"/>
        </w:rPr>
        <w:t xml:space="preserve"> Schauer above n</w:t>
      </w:r>
      <w:r w:rsidR="00440B91" w:rsidRPr="00617F02">
        <w:rPr>
          <w:rFonts w:asciiTheme="minorHAnsi" w:hAnsiTheme="minorHAnsi" w:cstheme="minorHAnsi"/>
        </w:rPr>
        <w:t xml:space="preserve"> 6,</w:t>
      </w:r>
      <w:r w:rsidRPr="00617F02">
        <w:rPr>
          <w:rFonts w:asciiTheme="minorHAnsi" w:hAnsiTheme="minorHAnsi" w:cstheme="minorHAnsi"/>
        </w:rPr>
        <w:t xml:space="preserve"> 20</w:t>
      </w:r>
      <w:r w:rsidR="00B40437" w:rsidRPr="00617F02">
        <w:rPr>
          <w:rFonts w:asciiTheme="minorHAnsi" w:hAnsiTheme="minorHAnsi" w:cstheme="minorHAnsi"/>
        </w:rPr>
        <w:t xml:space="preserve"> where he</w:t>
      </w:r>
      <w:r w:rsidRPr="00617F02">
        <w:rPr>
          <w:rFonts w:asciiTheme="minorHAnsi" w:hAnsiTheme="minorHAnsi" w:cstheme="minorHAnsi"/>
        </w:rPr>
        <w:t xml:space="preserve"> refers to</w:t>
      </w:r>
      <w:r w:rsidR="00440B91" w:rsidRPr="00617F02">
        <w:rPr>
          <w:rFonts w:asciiTheme="minorHAnsi" w:hAnsiTheme="minorHAnsi" w:cstheme="minorHAnsi"/>
        </w:rPr>
        <w:t xml:space="preserve"> the First Amendment as</w:t>
      </w:r>
      <w:r w:rsidRPr="00617F02">
        <w:rPr>
          <w:rFonts w:asciiTheme="minorHAnsi" w:hAnsiTheme="minorHAnsi" w:cstheme="minorHAnsi"/>
        </w:rPr>
        <w:t xml:space="preserve"> an ‘imbalanced text’; see also Hugo L Black, ‘The Bill of Rights’ (1960) 35 </w:t>
      </w:r>
      <w:r w:rsidRPr="00617F02">
        <w:rPr>
          <w:rFonts w:asciiTheme="minorHAnsi" w:hAnsiTheme="minorHAnsi" w:cstheme="minorHAnsi"/>
          <w:i/>
        </w:rPr>
        <w:t>New York University Law Review</w:t>
      </w:r>
      <w:r w:rsidRPr="00617F02">
        <w:rPr>
          <w:rFonts w:asciiTheme="minorHAnsi" w:hAnsiTheme="minorHAnsi" w:cstheme="minorHAnsi"/>
        </w:rPr>
        <w:t xml:space="preserve"> 865, 874. </w:t>
      </w:r>
      <w:r w:rsidR="00D235C5">
        <w:rPr>
          <w:rFonts w:asciiTheme="minorHAnsi" w:hAnsiTheme="minorHAnsi" w:cstheme="minorHAnsi"/>
        </w:rPr>
        <w:t>Note also, Michael Kang, Jacob Eisler, ‘</w:t>
      </w:r>
      <w:r w:rsidR="00531BE6">
        <w:rPr>
          <w:rFonts w:asciiTheme="minorHAnsi" w:hAnsiTheme="minorHAnsi" w:cstheme="minorHAnsi"/>
        </w:rPr>
        <w:t>Trump’s Challenge to Constitutional State Speech’</w:t>
      </w:r>
      <w:r w:rsidR="00D235C5">
        <w:rPr>
          <w:rFonts w:asciiTheme="minorHAnsi" w:hAnsiTheme="minorHAnsi" w:cstheme="minorHAnsi"/>
        </w:rPr>
        <w:t xml:space="preserve"> (2022, forthcoming </w:t>
      </w:r>
      <w:r w:rsidR="00D235C5" w:rsidRPr="00531BE6">
        <w:rPr>
          <w:rFonts w:asciiTheme="minorHAnsi" w:hAnsiTheme="minorHAnsi" w:cstheme="minorHAnsi"/>
          <w:i/>
          <w:iCs/>
        </w:rPr>
        <w:t>University of Illinois Law Review</w:t>
      </w:r>
      <w:r w:rsidR="00D235C5">
        <w:rPr>
          <w:rFonts w:asciiTheme="minorHAnsi" w:hAnsiTheme="minorHAnsi" w:cstheme="minorHAnsi"/>
        </w:rPr>
        <w:t>) commenting on JS Mill’s view on liberty of speech as not just entailing non-interference by the State, but as ensuring ‘a substantive opportunity to… practice intelligent self-mastery… [free from the] despotism of opinion when society is itself the tyrant…’ [internal marks omitted].</w:t>
      </w:r>
    </w:p>
  </w:footnote>
  <w:footnote w:id="46">
    <w:p w14:paraId="0325BC36" w14:textId="0FB5A536" w:rsidR="00917E67" w:rsidRPr="00F4184A" w:rsidRDefault="00917E67" w:rsidP="00F4184A">
      <w:pPr>
        <w:pStyle w:val="FootnoteText"/>
        <w:jc w:val="both"/>
        <w:rPr>
          <w:rFonts w:asciiTheme="minorHAnsi" w:hAnsiTheme="minorHAnsi" w:cstheme="minorHAnsi"/>
        </w:rPr>
      </w:pPr>
      <w:r w:rsidRPr="00617F02">
        <w:rPr>
          <w:rStyle w:val="FootnoteReference"/>
          <w:rFonts w:asciiTheme="minorHAnsi" w:hAnsiTheme="minorHAnsi" w:cstheme="minorHAnsi"/>
        </w:rPr>
        <w:footnoteRef/>
      </w:r>
      <w:r w:rsidRPr="00617F02">
        <w:rPr>
          <w:rFonts w:asciiTheme="minorHAnsi" w:hAnsiTheme="minorHAnsi" w:cstheme="minorHAnsi"/>
        </w:rPr>
        <w:t xml:space="preserve"> </w:t>
      </w:r>
      <w:r w:rsidRPr="00F4184A">
        <w:rPr>
          <w:rFonts w:asciiTheme="minorHAnsi" w:hAnsiTheme="minorHAnsi" w:cstheme="minorHAnsi"/>
          <w:bCs/>
          <w:i/>
          <w:iCs/>
        </w:rPr>
        <w:t>Brandenburg v Ohio</w:t>
      </w:r>
      <w:r w:rsidRPr="00F4184A">
        <w:rPr>
          <w:rFonts w:asciiTheme="minorHAnsi" w:hAnsiTheme="minorHAnsi" w:cstheme="minorHAnsi"/>
        </w:rPr>
        <w:t xml:space="preserve"> 395 US 444 (1969); see also </w:t>
      </w:r>
      <w:r w:rsidRPr="00F4184A">
        <w:rPr>
          <w:rFonts w:asciiTheme="minorHAnsi" w:hAnsiTheme="minorHAnsi" w:cstheme="minorHAnsi"/>
          <w:i/>
        </w:rPr>
        <w:t xml:space="preserve">Cantwell v Connecticut </w:t>
      </w:r>
      <w:r w:rsidRPr="00F4184A">
        <w:rPr>
          <w:rFonts w:asciiTheme="minorHAnsi" w:hAnsiTheme="minorHAnsi" w:cstheme="minorHAnsi"/>
        </w:rPr>
        <w:t xml:space="preserve">310 US 296 (1940). </w:t>
      </w:r>
      <w:r w:rsidR="00380AD8" w:rsidRPr="00F4184A">
        <w:rPr>
          <w:rFonts w:asciiTheme="minorHAnsi" w:hAnsiTheme="minorHAnsi" w:cstheme="minorHAnsi"/>
        </w:rPr>
        <w:t xml:space="preserve">For a context for these developments directed against attempts of the Southern states to deploy McCarthy era indirect speech restrictions against civil rights organisations, see Seth </w:t>
      </w:r>
      <w:proofErr w:type="spellStart"/>
      <w:r w:rsidR="00380AD8" w:rsidRPr="00F4184A">
        <w:rPr>
          <w:rFonts w:asciiTheme="minorHAnsi" w:hAnsiTheme="minorHAnsi" w:cstheme="minorHAnsi"/>
        </w:rPr>
        <w:t>Kreimer</w:t>
      </w:r>
      <w:proofErr w:type="spellEnd"/>
      <w:r w:rsidR="00380AD8" w:rsidRPr="00F4184A">
        <w:rPr>
          <w:rFonts w:asciiTheme="minorHAnsi" w:hAnsiTheme="minorHAnsi" w:cstheme="minorHAnsi"/>
        </w:rPr>
        <w:t xml:space="preserve">, ‘Censorship by Proxy: </w:t>
      </w:r>
      <w:proofErr w:type="gramStart"/>
      <w:r w:rsidR="00380AD8" w:rsidRPr="00F4184A">
        <w:rPr>
          <w:rFonts w:asciiTheme="minorHAnsi" w:hAnsiTheme="minorHAnsi" w:cstheme="minorHAnsi"/>
        </w:rPr>
        <w:t>the</w:t>
      </w:r>
      <w:proofErr w:type="gramEnd"/>
      <w:r w:rsidR="00380AD8" w:rsidRPr="00F4184A">
        <w:rPr>
          <w:rFonts w:asciiTheme="minorHAnsi" w:hAnsiTheme="minorHAnsi" w:cstheme="minorHAnsi"/>
        </w:rPr>
        <w:t xml:space="preserve"> First Amendment, Internet Intermediaries, and the Problem of the Weakest Link’ (2006) 155 </w:t>
      </w:r>
      <w:r w:rsidR="00380AD8" w:rsidRPr="00F4184A">
        <w:rPr>
          <w:rFonts w:asciiTheme="minorHAnsi" w:hAnsiTheme="minorHAnsi" w:cstheme="minorHAnsi"/>
          <w:i/>
          <w:iCs/>
        </w:rPr>
        <w:t xml:space="preserve">University of Pennsylvania Law Review </w:t>
      </w:r>
      <w:r w:rsidR="00380AD8" w:rsidRPr="00F4184A">
        <w:rPr>
          <w:rFonts w:asciiTheme="minorHAnsi" w:hAnsiTheme="minorHAnsi" w:cstheme="minorHAnsi"/>
        </w:rPr>
        <w:t xml:space="preserve">11; </w:t>
      </w:r>
      <w:r w:rsidR="00380AD8" w:rsidRPr="00F4184A">
        <w:rPr>
          <w:rStyle w:val="xmarkedcontent"/>
        </w:rPr>
        <w:t xml:space="preserve">Vincent Blasi, ‘The Pathological Perspective and the First Amendment’ 85 </w:t>
      </w:r>
      <w:r w:rsidR="00380AD8" w:rsidRPr="00F4184A">
        <w:rPr>
          <w:rStyle w:val="xmarkedcontent"/>
          <w:i/>
          <w:iCs/>
        </w:rPr>
        <w:t>Columbia Law Review</w:t>
      </w:r>
      <w:r w:rsidR="00380AD8" w:rsidRPr="00F4184A">
        <w:rPr>
          <w:rStyle w:val="xmarkedcontent"/>
        </w:rPr>
        <w:t xml:space="preserve"> 449.</w:t>
      </w:r>
    </w:p>
  </w:footnote>
  <w:footnote w:id="47">
    <w:p w14:paraId="59B222A1" w14:textId="2A5ECBD4" w:rsidR="00917E67" w:rsidRPr="00F4184A" w:rsidRDefault="00917E67" w:rsidP="00F4184A">
      <w:pPr>
        <w:pStyle w:val="FootnoteText"/>
        <w:jc w:val="both"/>
        <w:rPr>
          <w:rFonts w:asciiTheme="minorHAnsi" w:hAnsiTheme="minorHAnsi" w:cstheme="minorHAnsi"/>
        </w:rPr>
      </w:pPr>
      <w:r w:rsidRPr="00F4184A">
        <w:rPr>
          <w:rStyle w:val="FootnoteReference"/>
          <w:rFonts w:asciiTheme="minorHAnsi" w:hAnsiTheme="minorHAnsi" w:cstheme="minorHAnsi"/>
        </w:rPr>
        <w:footnoteRef/>
      </w:r>
      <w:r w:rsidRPr="00F4184A">
        <w:rPr>
          <w:rFonts w:asciiTheme="minorHAnsi" w:hAnsiTheme="minorHAnsi" w:cstheme="minorHAnsi"/>
        </w:rPr>
        <w:t xml:space="preserve"> </w:t>
      </w:r>
      <w:r w:rsidRPr="00F4184A">
        <w:rPr>
          <w:rFonts w:asciiTheme="minorHAnsi" w:hAnsiTheme="minorHAnsi" w:cstheme="minorHAnsi"/>
          <w:bCs/>
          <w:i/>
          <w:iCs/>
        </w:rPr>
        <w:t>New York Times Co v Sullivan</w:t>
      </w:r>
      <w:r w:rsidRPr="00F4184A">
        <w:rPr>
          <w:rFonts w:asciiTheme="minorHAnsi" w:hAnsiTheme="minorHAnsi" w:cstheme="minorHAnsi"/>
        </w:rPr>
        <w:t xml:space="preserve"> 376 US 254 (1964)</w:t>
      </w:r>
      <w:r w:rsidR="00B40437" w:rsidRPr="00F4184A">
        <w:rPr>
          <w:rFonts w:asciiTheme="minorHAnsi" w:hAnsiTheme="minorHAnsi" w:cstheme="minorHAnsi"/>
        </w:rPr>
        <w:t>.</w:t>
      </w:r>
      <w:r w:rsidR="00380AD8" w:rsidRPr="00F4184A">
        <w:rPr>
          <w:rFonts w:asciiTheme="minorHAnsi" w:hAnsiTheme="minorHAnsi" w:cstheme="minorHAnsi"/>
        </w:rPr>
        <w:t xml:space="preserve"> </w:t>
      </w:r>
    </w:p>
  </w:footnote>
  <w:footnote w:id="48">
    <w:p w14:paraId="21E7717B" w14:textId="37D22AA8" w:rsidR="00917E67" w:rsidRPr="00617F02" w:rsidRDefault="00917E67" w:rsidP="00C215EC">
      <w:pPr>
        <w:pStyle w:val="FootnoteText"/>
        <w:jc w:val="both"/>
        <w:rPr>
          <w:rFonts w:asciiTheme="minorHAnsi" w:hAnsiTheme="minorHAnsi" w:cstheme="minorHAnsi"/>
        </w:rPr>
      </w:pPr>
      <w:r w:rsidRPr="00617F02">
        <w:rPr>
          <w:rStyle w:val="FootnoteReference"/>
          <w:rFonts w:asciiTheme="minorHAnsi" w:hAnsiTheme="minorHAnsi" w:cstheme="minorHAnsi"/>
        </w:rPr>
        <w:footnoteRef/>
      </w:r>
      <w:r w:rsidRPr="00617F02">
        <w:rPr>
          <w:rFonts w:asciiTheme="minorHAnsi" w:hAnsiTheme="minorHAnsi" w:cstheme="minorHAnsi"/>
        </w:rPr>
        <w:t xml:space="preserve"> </w:t>
      </w:r>
      <w:r w:rsidR="00650E82" w:rsidRPr="00617F02">
        <w:rPr>
          <w:rStyle w:val="Emphasis"/>
          <w:rFonts w:asciiTheme="minorHAnsi" w:hAnsiTheme="minorHAnsi" w:cstheme="minorHAnsi"/>
        </w:rPr>
        <w:t>Whitney v</w:t>
      </w:r>
      <w:r w:rsidR="00650E82" w:rsidRPr="00617F02">
        <w:rPr>
          <w:rFonts w:asciiTheme="minorHAnsi" w:hAnsiTheme="minorHAnsi" w:cstheme="minorHAnsi"/>
        </w:rPr>
        <w:t xml:space="preserve"> </w:t>
      </w:r>
      <w:r w:rsidR="00650E82" w:rsidRPr="00617F02">
        <w:rPr>
          <w:rStyle w:val="Emphasis"/>
          <w:rFonts w:asciiTheme="minorHAnsi" w:hAnsiTheme="minorHAnsi" w:cstheme="minorHAnsi"/>
        </w:rPr>
        <w:t>California</w:t>
      </w:r>
      <w:r w:rsidR="00650E82" w:rsidRPr="00617F02">
        <w:rPr>
          <w:rFonts w:asciiTheme="minorHAnsi" w:hAnsiTheme="minorHAnsi" w:cstheme="minorHAnsi"/>
        </w:rPr>
        <w:t xml:space="preserve"> 274 US 357 (1927).</w:t>
      </w:r>
    </w:p>
  </w:footnote>
  <w:footnote w:id="49">
    <w:p w14:paraId="46F930E2" w14:textId="3CD471E5" w:rsidR="00917E67" w:rsidRPr="00617F02" w:rsidRDefault="00917E67" w:rsidP="00C215EC">
      <w:pPr>
        <w:pStyle w:val="FootnoteText"/>
        <w:jc w:val="both"/>
        <w:rPr>
          <w:rFonts w:asciiTheme="minorHAnsi" w:hAnsiTheme="minorHAnsi" w:cstheme="minorHAnsi"/>
        </w:rPr>
      </w:pPr>
      <w:r w:rsidRPr="00617F02">
        <w:rPr>
          <w:rStyle w:val="FootnoteReference"/>
          <w:rFonts w:asciiTheme="minorHAnsi" w:hAnsiTheme="minorHAnsi" w:cstheme="minorHAnsi"/>
        </w:rPr>
        <w:footnoteRef/>
      </w:r>
      <w:r w:rsidRPr="00617F02">
        <w:rPr>
          <w:rFonts w:asciiTheme="minorHAnsi" w:hAnsiTheme="minorHAnsi" w:cstheme="minorHAnsi"/>
        </w:rPr>
        <w:t xml:space="preserve"> </w:t>
      </w:r>
      <w:r w:rsidR="00650E82" w:rsidRPr="00617F02">
        <w:rPr>
          <w:rStyle w:val="Emphasis"/>
          <w:rFonts w:asciiTheme="minorHAnsi" w:hAnsiTheme="minorHAnsi" w:cstheme="minorHAnsi"/>
        </w:rPr>
        <w:t>Whitney v</w:t>
      </w:r>
      <w:r w:rsidR="00650E82" w:rsidRPr="00617F02">
        <w:rPr>
          <w:rFonts w:asciiTheme="minorHAnsi" w:hAnsiTheme="minorHAnsi" w:cstheme="minorHAnsi"/>
        </w:rPr>
        <w:t xml:space="preserve"> </w:t>
      </w:r>
      <w:r w:rsidR="00650E82" w:rsidRPr="00617F02">
        <w:rPr>
          <w:rStyle w:val="Emphasis"/>
          <w:rFonts w:asciiTheme="minorHAnsi" w:hAnsiTheme="minorHAnsi" w:cstheme="minorHAnsi"/>
        </w:rPr>
        <w:t>California</w:t>
      </w:r>
      <w:r w:rsidR="00650E82" w:rsidRPr="00617F02">
        <w:rPr>
          <w:rFonts w:asciiTheme="minorHAnsi" w:hAnsiTheme="minorHAnsi" w:cstheme="minorHAnsi"/>
        </w:rPr>
        <w:t xml:space="preserve"> 274 US 357, 377 (1927).</w:t>
      </w:r>
    </w:p>
  </w:footnote>
  <w:footnote w:id="50">
    <w:p w14:paraId="60D52697" w14:textId="3A82F3B7" w:rsidR="00917E67" w:rsidRPr="00617F02" w:rsidRDefault="00917E67" w:rsidP="00C215EC">
      <w:pPr>
        <w:pStyle w:val="FootnoteText"/>
        <w:jc w:val="both"/>
        <w:rPr>
          <w:rFonts w:asciiTheme="minorHAnsi" w:hAnsiTheme="minorHAnsi" w:cstheme="minorHAnsi"/>
        </w:rPr>
      </w:pPr>
      <w:r w:rsidRPr="00617F02">
        <w:rPr>
          <w:rStyle w:val="FootnoteReference"/>
          <w:rFonts w:asciiTheme="minorHAnsi" w:hAnsiTheme="minorHAnsi" w:cstheme="minorHAnsi"/>
        </w:rPr>
        <w:footnoteRef/>
      </w:r>
      <w:r w:rsidRPr="00617F02">
        <w:rPr>
          <w:rFonts w:asciiTheme="minorHAnsi" w:hAnsiTheme="minorHAnsi" w:cstheme="minorHAnsi"/>
        </w:rPr>
        <w:t xml:space="preserve"> Whitman (2000) above n 2</w:t>
      </w:r>
      <w:r w:rsidR="0065313A" w:rsidRPr="00617F02">
        <w:rPr>
          <w:rFonts w:asciiTheme="minorHAnsi" w:hAnsiTheme="minorHAnsi" w:cstheme="minorHAnsi"/>
        </w:rPr>
        <w:t>2</w:t>
      </w:r>
      <w:r w:rsidRPr="00617F02">
        <w:rPr>
          <w:rFonts w:asciiTheme="minorHAnsi" w:hAnsiTheme="minorHAnsi" w:cstheme="minorHAnsi"/>
        </w:rPr>
        <w:t>, 1397, more generally see 1384ff</w:t>
      </w:r>
      <w:r w:rsidR="00B40437" w:rsidRPr="00617F02">
        <w:rPr>
          <w:rFonts w:asciiTheme="minorHAnsi" w:hAnsiTheme="minorHAnsi" w:cstheme="minorHAnsi"/>
        </w:rPr>
        <w:t>.</w:t>
      </w:r>
      <w:r w:rsidR="00E37005">
        <w:rPr>
          <w:rFonts w:asciiTheme="minorHAnsi" w:hAnsiTheme="minorHAnsi" w:cstheme="minorHAnsi"/>
        </w:rPr>
        <w:t xml:space="preserve"> Clearly, this is more myth than reality </w:t>
      </w:r>
      <w:proofErr w:type="gramStart"/>
      <w:r w:rsidR="00E37005">
        <w:rPr>
          <w:rFonts w:asciiTheme="minorHAnsi" w:hAnsiTheme="minorHAnsi" w:cstheme="minorHAnsi"/>
        </w:rPr>
        <w:t>in light of</w:t>
      </w:r>
      <w:proofErr w:type="gramEnd"/>
      <w:r w:rsidR="00E37005">
        <w:rPr>
          <w:rFonts w:asciiTheme="minorHAnsi" w:hAnsiTheme="minorHAnsi" w:cstheme="minorHAnsi"/>
        </w:rPr>
        <w:t xml:space="preserve"> slavery and the treatment of Native Americans. </w:t>
      </w:r>
    </w:p>
  </w:footnote>
  <w:footnote w:id="51">
    <w:p w14:paraId="6C365C8C" w14:textId="6B0C4F4E" w:rsidR="00917E67" w:rsidRPr="00617F02" w:rsidRDefault="00917E67" w:rsidP="00C215EC">
      <w:pPr>
        <w:pStyle w:val="FootnoteText"/>
        <w:jc w:val="both"/>
        <w:rPr>
          <w:rFonts w:asciiTheme="minorHAnsi" w:hAnsiTheme="minorHAnsi" w:cstheme="minorHAnsi"/>
        </w:rPr>
      </w:pPr>
      <w:r w:rsidRPr="00617F02">
        <w:rPr>
          <w:rStyle w:val="FootnoteReference"/>
          <w:rFonts w:asciiTheme="minorHAnsi" w:hAnsiTheme="minorHAnsi" w:cstheme="minorHAnsi"/>
        </w:rPr>
        <w:footnoteRef/>
      </w:r>
      <w:r w:rsidRPr="00617F02">
        <w:rPr>
          <w:rFonts w:asciiTheme="minorHAnsi" w:hAnsiTheme="minorHAnsi" w:cstheme="minorHAnsi"/>
        </w:rPr>
        <w:t xml:space="preserve"> Ibid.</w:t>
      </w:r>
    </w:p>
  </w:footnote>
  <w:footnote w:id="52">
    <w:p w14:paraId="25F8DDBC" w14:textId="2C90A678" w:rsidR="00046170" w:rsidRPr="00617F02" w:rsidRDefault="00917E67" w:rsidP="00C215EC">
      <w:pPr>
        <w:pStyle w:val="FootnoteText"/>
        <w:jc w:val="both"/>
        <w:rPr>
          <w:rFonts w:asciiTheme="minorHAnsi" w:hAnsiTheme="minorHAnsi" w:cstheme="minorHAnsi"/>
          <w:i/>
          <w:iCs/>
        </w:rPr>
      </w:pPr>
      <w:r w:rsidRPr="00617F02">
        <w:rPr>
          <w:rStyle w:val="FootnoteReference"/>
          <w:rFonts w:asciiTheme="minorHAnsi" w:hAnsiTheme="minorHAnsi" w:cstheme="minorHAnsi"/>
        </w:rPr>
        <w:footnoteRef/>
      </w:r>
      <w:r w:rsidRPr="00617F02">
        <w:rPr>
          <w:rFonts w:asciiTheme="minorHAnsi" w:hAnsiTheme="minorHAnsi" w:cstheme="minorHAnsi"/>
        </w:rPr>
        <w:t xml:space="preserve"> Section </w:t>
      </w:r>
      <w:r w:rsidR="00046170" w:rsidRPr="00617F02">
        <w:rPr>
          <w:rFonts w:asciiTheme="minorHAnsi" w:hAnsiTheme="minorHAnsi" w:cstheme="minorHAnsi"/>
        </w:rPr>
        <w:t>230(c)(2</w:t>
      </w:r>
      <w:r w:rsidR="00B40437" w:rsidRPr="00617F02">
        <w:rPr>
          <w:rFonts w:asciiTheme="minorHAnsi" w:hAnsiTheme="minorHAnsi" w:cstheme="minorHAnsi"/>
        </w:rPr>
        <w:t>) of the Communication Decency Act</w:t>
      </w:r>
      <w:proofErr w:type="gramStart"/>
      <w:r w:rsidR="00046170" w:rsidRPr="00617F02">
        <w:rPr>
          <w:rFonts w:asciiTheme="minorHAnsi" w:hAnsiTheme="minorHAnsi" w:cstheme="minorHAnsi"/>
        </w:rPr>
        <w:t>:  ‘</w:t>
      </w:r>
      <w:proofErr w:type="gramEnd"/>
      <w:r w:rsidR="00046170" w:rsidRPr="00617F02">
        <w:rPr>
          <w:rStyle w:val="chapeau"/>
          <w:rFonts w:asciiTheme="minorHAnsi" w:hAnsiTheme="minorHAnsi" w:cstheme="minorHAnsi"/>
        </w:rPr>
        <w:t>No provider or user of an interactive computer service shall be held liable on account of…</w:t>
      </w:r>
      <w:r w:rsidR="00046170" w:rsidRPr="00617F02">
        <w:rPr>
          <w:rFonts w:asciiTheme="minorHAnsi" w:hAnsiTheme="minorHAnsi" w:cstheme="minorHAnsi"/>
        </w:rPr>
        <w:t>any action voluntarily taken in good faith to restrict access to or availability of material that the provider or user considers to be obscene, lewd, lascivious, filthy, excessively violent, harassing, or otherwise objectionable, whether or not such material is constitutionally protected…’</w:t>
      </w:r>
    </w:p>
  </w:footnote>
  <w:footnote w:id="53">
    <w:p w14:paraId="08BF9CC2" w14:textId="2E7127A7" w:rsidR="00917E67" w:rsidRPr="00617F02" w:rsidRDefault="00917E67" w:rsidP="00C215EC">
      <w:pPr>
        <w:pStyle w:val="FootnoteText"/>
        <w:jc w:val="both"/>
        <w:rPr>
          <w:rFonts w:asciiTheme="minorHAnsi" w:hAnsiTheme="minorHAnsi" w:cstheme="minorHAnsi"/>
        </w:rPr>
      </w:pPr>
      <w:r w:rsidRPr="00617F02">
        <w:rPr>
          <w:rStyle w:val="FootnoteReference"/>
          <w:rFonts w:asciiTheme="minorHAnsi" w:hAnsiTheme="minorHAnsi" w:cstheme="minorHAnsi"/>
        </w:rPr>
        <w:footnoteRef/>
      </w:r>
      <w:r w:rsidRPr="00617F02">
        <w:rPr>
          <w:rFonts w:asciiTheme="minorHAnsi" w:hAnsiTheme="minorHAnsi" w:cstheme="minorHAnsi"/>
        </w:rPr>
        <w:t xml:space="preserve"> Schauer above</w:t>
      </w:r>
      <w:r w:rsidR="00650E82" w:rsidRPr="00617F02">
        <w:rPr>
          <w:rFonts w:asciiTheme="minorHAnsi" w:hAnsiTheme="minorHAnsi" w:cstheme="minorHAnsi"/>
        </w:rPr>
        <w:t xml:space="preserve"> n 6, </w:t>
      </w:r>
      <w:r w:rsidRPr="00617F02">
        <w:rPr>
          <w:rFonts w:asciiTheme="minorHAnsi" w:hAnsiTheme="minorHAnsi" w:cstheme="minorHAnsi"/>
        </w:rPr>
        <w:t>24</w:t>
      </w:r>
      <w:r w:rsidR="00650E82" w:rsidRPr="00617F02">
        <w:rPr>
          <w:rFonts w:asciiTheme="minorHAnsi" w:hAnsiTheme="minorHAnsi" w:cstheme="minorHAnsi"/>
        </w:rPr>
        <w:t>.</w:t>
      </w:r>
    </w:p>
  </w:footnote>
  <w:footnote w:id="54">
    <w:p w14:paraId="39ED8090" w14:textId="17221D0F" w:rsidR="00917E67" w:rsidRPr="00617F02" w:rsidRDefault="00917E67" w:rsidP="00C215EC">
      <w:pPr>
        <w:pStyle w:val="FootnoteText"/>
        <w:jc w:val="both"/>
        <w:rPr>
          <w:rFonts w:asciiTheme="minorHAnsi" w:hAnsiTheme="minorHAnsi" w:cstheme="minorHAnsi"/>
        </w:rPr>
      </w:pPr>
      <w:r w:rsidRPr="00617F02">
        <w:rPr>
          <w:rStyle w:val="FootnoteReference"/>
          <w:rFonts w:asciiTheme="minorHAnsi" w:hAnsiTheme="minorHAnsi" w:cstheme="minorHAnsi"/>
        </w:rPr>
        <w:footnoteRef/>
      </w:r>
      <w:r w:rsidRPr="00617F02">
        <w:rPr>
          <w:rFonts w:asciiTheme="minorHAnsi" w:hAnsiTheme="minorHAnsi" w:cstheme="minorHAnsi"/>
        </w:rPr>
        <w:t xml:space="preserve"> Subject to exceptions: (1) narrow speech categories where governmental intervention is permitted e.g., obscenity, child pornography, fighting words and incitement to imminent lawless action, and (2) content-based regulation is constitutional where it survives the strict scrutiny test.</w:t>
      </w:r>
    </w:p>
  </w:footnote>
  <w:footnote w:id="55">
    <w:p w14:paraId="6769F618" w14:textId="08413AF3" w:rsidR="00917E67" w:rsidRPr="00617F02" w:rsidRDefault="00917E67" w:rsidP="00C215EC">
      <w:pPr>
        <w:pStyle w:val="FootnoteText"/>
        <w:jc w:val="both"/>
        <w:rPr>
          <w:rFonts w:asciiTheme="minorHAnsi" w:hAnsiTheme="minorHAnsi" w:cstheme="minorHAnsi"/>
        </w:rPr>
      </w:pPr>
      <w:r w:rsidRPr="00617F02">
        <w:rPr>
          <w:rStyle w:val="FootnoteReference"/>
          <w:rFonts w:asciiTheme="minorHAnsi" w:hAnsiTheme="minorHAnsi" w:cstheme="minorHAnsi"/>
        </w:rPr>
        <w:footnoteRef/>
      </w:r>
      <w:r w:rsidRPr="00617F02">
        <w:rPr>
          <w:rFonts w:asciiTheme="minorHAnsi" w:hAnsiTheme="minorHAnsi" w:cstheme="minorHAnsi"/>
        </w:rPr>
        <w:t xml:space="preserve"> James Weinstein, ‘An Overview of American Free Speech Doctrine and its Application to Extreme Speech’ in</w:t>
      </w:r>
      <w:r w:rsidR="00650E82" w:rsidRPr="00617F02">
        <w:rPr>
          <w:rFonts w:asciiTheme="minorHAnsi" w:hAnsiTheme="minorHAnsi" w:cstheme="minorHAnsi"/>
        </w:rPr>
        <w:t xml:space="preserve"> Hare and Weinstein above n 1,</w:t>
      </w:r>
      <w:r w:rsidRPr="00617F02">
        <w:rPr>
          <w:rFonts w:asciiTheme="minorHAnsi" w:hAnsiTheme="minorHAnsi" w:cstheme="minorHAnsi"/>
        </w:rPr>
        <w:t xml:space="preserve"> 81, 81.</w:t>
      </w:r>
    </w:p>
  </w:footnote>
  <w:footnote w:id="56">
    <w:p w14:paraId="6712D221" w14:textId="43F429A8" w:rsidR="00917E67" w:rsidRPr="00617F02" w:rsidRDefault="00917E67" w:rsidP="00C215EC">
      <w:pPr>
        <w:pStyle w:val="FootnoteText"/>
        <w:jc w:val="both"/>
        <w:rPr>
          <w:rFonts w:asciiTheme="minorHAnsi" w:hAnsiTheme="minorHAnsi" w:cstheme="minorHAnsi"/>
        </w:rPr>
      </w:pPr>
      <w:r w:rsidRPr="00617F02">
        <w:rPr>
          <w:rStyle w:val="FootnoteReference"/>
          <w:rFonts w:asciiTheme="minorHAnsi" w:hAnsiTheme="minorHAnsi" w:cstheme="minorHAnsi"/>
        </w:rPr>
        <w:footnoteRef/>
      </w:r>
      <w:r w:rsidRPr="00617F02">
        <w:rPr>
          <w:rFonts w:asciiTheme="minorHAnsi" w:hAnsiTheme="minorHAnsi" w:cstheme="minorHAnsi"/>
        </w:rPr>
        <w:t xml:space="preserve"> Schauer above n </w:t>
      </w:r>
      <w:r w:rsidR="00650E82" w:rsidRPr="00617F02">
        <w:rPr>
          <w:rFonts w:asciiTheme="minorHAnsi" w:hAnsiTheme="minorHAnsi" w:cstheme="minorHAnsi"/>
        </w:rPr>
        <w:t>6</w:t>
      </w:r>
      <w:r w:rsidRPr="00617F02">
        <w:rPr>
          <w:rFonts w:asciiTheme="minorHAnsi" w:hAnsiTheme="minorHAnsi" w:cstheme="minorHAnsi"/>
        </w:rPr>
        <w:t>, 9f.</w:t>
      </w:r>
    </w:p>
  </w:footnote>
  <w:footnote w:id="57">
    <w:p w14:paraId="58142CE7" w14:textId="0A696F3C" w:rsidR="00917E67" w:rsidRPr="00617F02" w:rsidRDefault="00917E67" w:rsidP="00C215EC">
      <w:pPr>
        <w:pStyle w:val="FootnoteText"/>
        <w:jc w:val="both"/>
        <w:rPr>
          <w:rFonts w:asciiTheme="minorHAnsi" w:hAnsiTheme="minorHAnsi" w:cstheme="minorHAnsi"/>
        </w:rPr>
      </w:pPr>
      <w:r w:rsidRPr="00617F02">
        <w:rPr>
          <w:rStyle w:val="FootnoteReference"/>
          <w:rFonts w:asciiTheme="minorHAnsi" w:hAnsiTheme="minorHAnsi" w:cstheme="minorHAnsi"/>
        </w:rPr>
        <w:footnoteRef/>
      </w:r>
      <w:r w:rsidRPr="00617F02">
        <w:rPr>
          <w:rFonts w:asciiTheme="minorHAnsi" w:hAnsiTheme="minorHAnsi" w:cstheme="minorHAnsi"/>
        </w:rPr>
        <w:t xml:space="preserve"> Unless the prohibition survives strict scrutin</w:t>
      </w:r>
      <w:r w:rsidR="00650E82" w:rsidRPr="00617F02">
        <w:rPr>
          <w:rFonts w:asciiTheme="minorHAnsi" w:hAnsiTheme="minorHAnsi" w:cstheme="minorHAnsi"/>
        </w:rPr>
        <w:t xml:space="preserve">y </w:t>
      </w:r>
      <w:proofErr w:type="gramStart"/>
      <w:r w:rsidR="00650E82" w:rsidRPr="00617F02">
        <w:rPr>
          <w:rFonts w:asciiTheme="minorHAnsi" w:hAnsiTheme="minorHAnsi" w:cstheme="minorHAnsi"/>
        </w:rPr>
        <w:t>e.g.</w:t>
      </w:r>
      <w:proofErr w:type="gramEnd"/>
      <w:r w:rsidR="00650E82" w:rsidRPr="00617F02">
        <w:rPr>
          <w:rFonts w:asciiTheme="minorHAnsi" w:hAnsiTheme="minorHAnsi" w:cstheme="minorHAnsi"/>
        </w:rPr>
        <w:t xml:space="preserve"> </w:t>
      </w:r>
      <w:proofErr w:type="spellStart"/>
      <w:r w:rsidR="00650E82" w:rsidRPr="00617F02">
        <w:rPr>
          <w:rFonts w:asciiTheme="minorHAnsi" w:hAnsiTheme="minorHAnsi" w:cstheme="minorHAnsi"/>
          <w:i/>
          <w:iCs/>
        </w:rPr>
        <w:t>Burson</w:t>
      </w:r>
      <w:proofErr w:type="spellEnd"/>
      <w:r w:rsidR="00650E82" w:rsidRPr="00617F02">
        <w:rPr>
          <w:rFonts w:asciiTheme="minorHAnsi" w:hAnsiTheme="minorHAnsi" w:cstheme="minorHAnsi"/>
          <w:i/>
          <w:iCs/>
        </w:rPr>
        <w:t xml:space="preserve"> v Freeman</w:t>
      </w:r>
      <w:r w:rsidR="00650E82" w:rsidRPr="00617F02">
        <w:rPr>
          <w:rFonts w:asciiTheme="minorHAnsi" w:hAnsiTheme="minorHAnsi" w:cstheme="minorHAnsi"/>
        </w:rPr>
        <w:t xml:space="preserve"> 504 US 191 (1992).</w:t>
      </w:r>
    </w:p>
  </w:footnote>
  <w:footnote w:id="58">
    <w:p w14:paraId="190B8FDC" w14:textId="77777777" w:rsidR="00917E67" w:rsidRPr="00617F02" w:rsidRDefault="00917E67" w:rsidP="00C215EC">
      <w:pPr>
        <w:pStyle w:val="FootnoteText"/>
        <w:jc w:val="both"/>
        <w:rPr>
          <w:rFonts w:asciiTheme="minorHAnsi" w:hAnsiTheme="minorHAnsi" w:cstheme="minorHAnsi"/>
        </w:rPr>
      </w:pPr>
      <w:r w:rsidRPr="00617F02">
        <w:rPr>
          <w:rStyle w:val="FootnoteReference"/>
          <w:rFonts w:asciiTheme="minorHAnsi" w:hAnsiTheme="minorHAnsi" w:cstheme="minorHAnsi"/>
        </w:rPr>
        <w:footnoteRef/>
      </w:r>
      <w:r w:rsidRPr="00617F02">
        <w:rPr>
          <w:rFonts w:asciiTheme="minorHAnsi" w:hAnsiTheme="minorHAnsi" w:cstheme="minorHAnsi"/>
        </w:rPr>
        <w:t xml:space="preserve"> </w:t>
      </w:r>
      <w:r w:rsidRPr="00617F02">
        <w:rPr>
          <w:rFonts w:asciiTheme="minorHAnsi" w:hAnsiTheme="minorHAnsi" w:cstheme="minorHAnsi"/>
          <w:i/>
          <w:color w:val="000000"/>
        </w:rPr>
        <w:t>RAV v City of St Paul</w:t>
      </w:r>
      <w:r w:rsidRPr="00617F02">
        <w:rPr>
          <w:rFonts w:asciiTheme="minorHAnsi" w:hAnsiTheme="minorHAnsi" w:cstheme="minorHAnsi"/>
          <w:color w:val="000000"/>
        </w:rPr>
        <w:t xml:space="preserve"> 505 US 377 (1992).</w:t>
      </w:r>
    </w:p>
  </w:footnote>
  <w:footnote w:id="59">
    <w:p w14:paraId="6B9A9AA6" w14:textId="77777777" w:rsidR="00917E67" w:rsidRPr="00617F02" w:rsidRDefault="00917E67" w:rsidP="00C215EC">
      <w:pPr>
        <w:pStyle w:val="FootnoteText"/>
        <w:jc w:val="both"/>
        <w:rPr>
          <w:rFonts w:asciiTheme="minorHAnsi" w:hAnsiTheme="minorHAnsi" w:cstheme="minorHAnsi"/>
        </w:rPr>
      </w:pPr>
      <w:r w:rsidRPr="00617F02">
        <w:rPr>
          <w:rStyle w:val="FootnoteReference"/>
          <w:rFonts w:asciiTheme="minorHAnsi" w:hAnsiTheme="minorHAnsi" w:cstheme="minorHAnsi"/>
        </w:rPr>
        <w:footnoteRef/>
      </w:r>
      <w:r w:rsidRPr="00617F02">
        <w:rPr>
          <w:rFonts w:asciiTheme="minorHAnsi" w:hAnsiTheme="minorHAnsi" w:cstheme="minorHAnsi"/>
        </w:rPr>
        <w:t xml:space="preserve"> </w:t>
      </w:r>
      <w:r w:rsidRPr="00617F02">
        <w:rPr>
          <w:rFonts w:asciiTheme="minorHAnsi" w:hAnsiTheme="minorHAnsi" w:cstheme="minorHAnsi"/>
          <w:i/>
          <w:color w:val="000000"/>
        </w:rPr>
        <w:t>RAV v City of St Paul</w:t>
      </w:r>
      <w:r w:rsidRPr="00617F02">
        <w:rPr>
          <w:rFonts w:asciiTheme="minorHAnsi" w:hAnsiTheme="minorHAnsi" w:cstheme="minorHAnsi"/>
          <w:color w:val="000000"/>
        </w:rPr>
        <w:t xml:space="preserve"> 505 US 377, 396 (1992).</w:t>
      </w:r>
    </w:p>
  </w:footnote>
  <w:footnote w:id="60">
    <w:p w14:paraId="252BC732" w14:textId="18CE87C8" w:rsidR="00917E67" w:rsidRPr="00617F02" w:rsidRDefault="00917E67" w:rsidP="00C215EC">
      <w:pPr>
        <w:pStyle w:val="FootnoteText"/>
        <w:jc w:val="both"/>
        <w:rPr>
          <w:rFonts w:asciiTheme="minorHAnsi" w:hAnsiTheme="minorHAnsi" w:cstheme="minorHAnsi"/>
        </w:rPr>
      </w:pPr>
      <w:r w:rsidRPr="00617F02">
        <w:rPr>
          <w:rStyle w:val="FootnoteReference"/>
          <w:rFonts w:asciiTheme="minorHAnsi" w:hAnsiTheme="minorHAnsi" w:cstheme="minorHAnsi"/>
        </w:rPr>
        <w:footnoteRef/>
      </w:r>
      <w:r w:rsidRPr="00617F02">
        <w:rPr>
          <w:rFonts w:asciiTheme="minorHAnsi" w:hAnsiTheme="minorHAnsi" w:cstheme="minorHAnsi"/>
        </w:rPr>
        <w:t xml:space="preserve"> </w:t>
      </w:r>
      <w:r w:rsidRPr="00617F02">
        <w:rPr>
          <w:rStyle w:val="Emphasis"/>
          <w:rFonts w:asciiTheme="minorHAnsi" w:hAnsiTheme="minorHAnsi" w:cstheme="minorHAnsi"/>
        </w:rPr>
        <w:t>Cohen v</w:t>
      </w:r>
      <w:r w:rsidRPr="00617F02">
        <w:rPr>
          <w:rFonts w:asciiTheme="minorHAnsi" w:hAnsiTheme="minorHAnsi" w:cstheme="minorHAnsi"/>
        </w:rPr>
        <w:t xml:space="preserve"> </w:t>
      </w:r>
      <w:r w:rsidRPr="00617F02">
        <w:rPr>
          <w:rStyle w:val="Emphasis"/>
          <w:rFonts w:asciiTheme="minorHAnsi" w:hAnsiTheme="minorHAnsi" w:cstheme="minorHAnsi"/>
        </w:rPr>
        <w:t>California</w:t>
      </w:r>
      <w:r w:rsidRPr="00617F02">
        <w:rPr>
          <w:rFonts w:asciiTheme="minorHAnsi" w:hAnsiTheme="minorHAnsi" w:cstheme="minorHAnsi"/>
        </w:rPr>
        <w:t xml:space="preserve"> 403 US 15 (1971).</w:t>
      </w:r>
    </w:p>
  </w:footnote>
  <w:footnote w:id="61">
    <w:p w14:paraId="1B858A6E" w14:textId="31EA025E" w:rsidR="00917E67" w:rsidRPr="00617F02" w:rsidRDefault="00917E67" w:rsidP="00C215EC">
      <w:pPr>
        <w:pStyle w:val="FootnoteText"/>
        <w:jc w:val="both"/>
        <w:rPr>
          <w:rFonts w:asciiTheme="minorHAnsi" w:hAnsiTheme="minorHAnsi" w:cstheme="minorHAnsi"/>
        </w:rPr>
      </w:pPr>
      <w:r w:rsidRPr="00617F02">
        <w:rPr>
          <w:rStyle w:val="FootnoteReference"/>
          <w:rFonts w:asciiTheme="minorHAnsi" w:hAnsiTheme="minorHAnsi" w:cstheme="minorHAnsi"/>
        </w:rPr>
        <w:footnoteRef/>
      </w:r>
      <w:r w:rsidRPr="00617F02">
        <w:rPr>
          <w:rFonts w:asciiTheme="minorHAnsi" w:hAnsiTheme="minorHAnsi" w:cstheme="minorHAnsi"/>
        </w:rPr>
        <w:t xml:space="preserve"> </w:t>
      </w:r>
      <w:r w:rsidR="00650E82" w:rsidRPr="00617F02">
        <w:rPr>
          <w:rStyle w:val="Emphasis"/>
          <w:rFonts w:asciiTheme="minorHAnsi" w:hAnsiTheme="minorHAnsi" w:cstheme="minorHAnsi"/>
        </w:rPr>
        <w:t>Cohen v</w:t>
      </w:r>
      <w:r w:rsidR="00650E82" w:rsidRPr="00617F02">
        <w:rPr>
          <w:rFonts w:asciiTheme="minorHAnsi" w:hAnsiTheme="minorHAnsi" w:cstheme="minorHAnsi"/>
        </w:rPr>
        <w:t xml:space="preserve"> </w:t>
      </w:r>
      <w:r w:rsidR="00650E82" w:rsidRPr="00617F02">
        <w:rPr>
          <w:rStyle w:val="Emphasis"/>
          <w:rFonts w:asciiTheme="minorHAnsi" w:hAnsiTheme="minorHAnsi" w:cstheme="minorHAnsi"/>
        </w:rPr>
        <w:t>California</w:t>
      </w:r>
      <w:r w:rsidR="00650E82" w:rsidRPr="00617F02">
        <w:rPr>
          <w:rFonts w:asciiTheme="minorHAnsi" w:hAnsiTheme="minorHAnsi" w:cstheme="minorHAnsi"/>
        </w:rPr>
        <w:t xml:space="preserve"> 403 US 15, 24 (1971).</w:t>
      </w:r>
    </w:p>
  </w:footnote>
  <w:footnote w:id="62">
    <w:p w14:paraId="6D1C5974" w14:textId="3E0FC028" w:rsidR="00917E67" w:rsidRPr="00617F02" w:rsidRDefault="00917E67" w:rsidP="00C215EC">
      <w:pPr>
        <w:pStyle w:val="FootnoteText"/>
        <w:jc w:val="both"/>
        <w:rPr>
          <w:rFonts w:asciiTheme="minorHAnsi" w:hAnsiTheme="minorHAnsi" w:cstheme="minorHAnsi"/>
        </w:rPr>
      </w:pPr>
      <w:r w:rsidRPr="00617F02">
        <w:rPr>
          <w:rStyle w:val="FootnoteReference"/>
          <w:rFonts w:asciiTheme="minorHAnsi" w:hAnsiTheme="minorHAnsi" w:cstheme="minorHAnsi"/>
        </w:rPr>
        <w:footnoteRef/>
      </w:r>
      <w:r w:rsidRPr="00617F02">
        <w:rPr>
          <w:rFonts w:asciiTheme="minorHAnsi" w:hAnsiTheme="minorHAnsi" w:cstheme="minorHAnsi"/>
        </w:rPr>
        <w:t xml:space="preserve"> Ibid 24.</w:t>
      </w:r>
      <w:r w:rsidR="00101FAF">
        <w:rPr>
          <w:rFonts w:asciiTheme="minorHAnsi" w:hAnsiTheme="minorHAnsi" w:cstheme="minorHAnsi"/>
        </w:rPr>
        <w:t xml:space="preserve"> </w:t>
      </w:r>
    </w:p>
  </w:footnote>
  <w:footnote w:id="63">
    <w:p w14:paraId="201C966E" w14:textId="0F45B907" w:rsidR="00917E67" w:rsidRPr="00617F02" w:rsidRDefault="00917E67" w:rsidP="00C215EC">
      <w:pPr>
        <w:pStyle w:val="FootnoteText"/>
        <w:jc w:val="both"/>
        <w:rPr>
          <w:rFonts w:asciiTheme="minorHAnsi" w:hAnsiTheme="minorHAnsi" w:cstheme="minorHAnsi"/>
        </w:rPr>
      </w:pPr>
      <w:r w:rsidRPr="00617F02">
        <w:rPr>
          <w:rStyle w:val="FootnoteReference"/>
          <w:rFonts w:asciiTheme="minorHAnsi" w:hAnsiTheme="minorHAnsi" w:cstheme="minorHAnsi"/>
        </w:rPr>
        <w:footnoteRef/>
      </w:r>
      <w:r w:rsidRPr="00617F02">
        <w:rPr>
          <w:rFonts w:asciiTheme="minorHAnsi" w:hAnsiTheme="minorHAnsi" w:cstheme="minorHAnsi"/>
        </w:rPr>
        <w:t xml:space="preserve"> </w:t>
      </w:r>
      <w:proofErr w:type="spellStart"/>
      <w:r w:rsidRPr="00617F02">
        <w:rPr>
          <w:rFonts w:asciiTheme="minorHAnsi" w:hAnsiTheme="minorHAnsi" w:cstheme="minorHAnsi"/>
        </w:rPr>
        <w:t>Gesetz</w:t>
      </w:r>
      <w:proofErr w:type="spellEnd"/>
      <w:r w:rsidRPr="00617F02">
        <w:rPr>
          <w:rFonts w:asciiTheme="minorHAnsi" w:hAnsiTheme="minorHAnsi" w:cstheme="minorHAnsi"/>
        </w:rPr>
        <w:t xml:space="preserve"> </w:t>
      </w:r>
      <w:proofErr w:type="spellStart"/>
      <w:r w:rsidRPr="00617F02">
        <w:rPr>
          <w:rFonts w:asciiTheme="minorHAnsi" w:hAnsiTheme="minorHAnsi" w:cstheme="minorHAnsi"/>
        </w:rPr>
        <w:t>zur</w:t>
      </w:r>
      <w:proofErr w:type="spellEnd"/>
      <w:r w:rsidRPr="00617F02">
        <w:rPr>
          <w:rFonts w:asciiTheme="minorHAnsi" w:hAnsiTheme="minorHAnsi" w:cstheme="minorHAnsi"/>
        </w:rPr>
        <w:t xml:space="preserve"> </w:t>
      </w:r>
      <w:proofErr w:type="spellStart"/>
      <w:r w:rsidRPr="00617F02">
        <w:rPr>
          <w:rFonts w:asciiTheme="minorHAnsi" w:hAnsiTheme="minorHAnsi" w:cstheme="minorHAnsi"/>
        </w:rPr>
        <w:t>Verbesserung</w:t>
      </w:r>
      <w:proofErr w:type="spellEnd"/>
      <w:r w:rsidRPr="00617F02">
        <w:rPr>
          <w:rFonts w:asciiTheme="minorHAnsi" w:hAnsiTheme="minorHAnsi" w:cstheme="minorHAnsi"/>
        </w:rPr>
        <w:t xml:space="preserve"> der </w:t>
      </w:r>
      <w:proofErr w:type="spellStart"/>
      <w:r w:rsidRPr="00617F02">
        <w:rPr>
          <w:rFonts w:asciiTheme="minorHAnsi" w:hAnsiTheme="minorHAnsi" w:cstheme="minorHAnsi"/>
        </w:rPr>
        <w:t>Rechtsdurchsetzung</w:t>
      </w:r>
      <w:proofErr w:type="spellEnd"/>
      <w:r w:rsidRPr="00617F02">
        <w:rPr>
          <w:rFonts w:asciiTheme="minorHAnsi" w:hAnsiTheme="minorHAnsi" w:cstheme="minorHAnsi"/>
        </w:rPr>
        <w:t xml:space="preserve"> in </w:t>
      </w:r>
      <w:proofErr w:type="spellStart"/>
      <w:r w:rsidRPr="00617F02">
        <w:rPr>
          <w:rFonts w:asciiTheme="minorHAnsi" w:hAnsiTheme="minorHAnsi" w:cstheme="minorHAnsi"/>
        </w:rPr>
        <w:t>Sozialen</w:t>
      </w:r>
      <w:proofErr w:type="spellEnd"/>
      <w:r w:rsidRPr="00617F02">
        <w:rPr>
          <w:rFonts w:asciiTheme="minorHAnsi" w:hAnsiTheme="minorHAnsi" w:cstheme="minorHAnsi"/>
        </w:rPr>
        <w:t xml:space="preserve"> </w:t>
      </w:r>
      <w:proofErr w:type="spellStart"/>
      <w:r w:rsidRPr="00617F02">
        <w:rPr>
          <w:rFonts w:asciiTheme="minorHAnsi" w:hAnsiTheme="minorHAnsi" w:cstheme="minorHAnsi"/>
        </w:rPr>
        <w:t>Netzwerken</w:t>
      </w:r>
      <w:proofErr w:type="spellEnd"/>
      <w:r w:rsidRPr="00617F02">
        <w:rPr>
          <w:rFonts w:asciiTheme="minorHAnsi" w:hAnsiTheme="minorHAnsi" w:cstheme="minorHAnsi"/>
        </w:rPr>
        <w:t xml:space="preserve"> (1 Sept 2017, </w:t>
      </w:r>
      <w:proofErr w:type="spellStart"/>
      <w:r w:rsidRPr="00617F02">
        <w:rPr>
          <w:rFonts w:asciiTheme="minorHAnsi" w:hAnsiTheme="minorHAnsi" w:cstheme="minorHAnsi"/>
        </w:rPr>
        <w:t>BGBl</w:t>
      </w:r>
      <w:proofErr w:type="spellEnd"/>
      <w:r w:rsidRPr="00617F02">
        <w:rPr>
          <w:rFonts w:asciiTheme="minorHAnsi" w:hAnsiTheme="minorHAnsi" w:cstheme="minorHAnsi"/>
        </w:rPr>
        <w:t xml:space="preserve"> I S 3352), in force from 1 October 2017; amended </w:t>
      </w:r>
      <w:hyperlink r:id="rId4" w:history="1">
        <w:r w:rsidRPr="00617F02">
          <w:rPr>
            <w:rStyle w:val="Hyperlink"/>
            <w:rFonts w:asciiTheme="minorHAnsi" w:hAnsiTheme="minorHAnsi" w:cstheme="minorHAnsi"/>
          </w:rPr>
          <w:t>https://www.bmjv.de/DE/Themen/FokusThemen/NetzDG/NetzDG_node.html</w:t>
        </w:r>
      </w:hyperlink>
      <w:r w:rsidRPr="00617F02">
        <w:rPr>
          <w:rFonts w:asciiTheme="minorHAnsi" w:hAnsiTheme="minorHAnsi" w:cstheme="minorHAnsi"/>
        </w:rPr>
        <w:t xml:space="preserve"> </w:t>
      </w:r>
    </w:p>
    <w:p w14:paraId="00D80848" w14:textId="131104A7" w:rsidR="00917E67" w:rsidRPr="00617F02" w:rsidRDefault="00917E67" w:rsidP="00C215EC">
      <w:pPr>
        <w:pStyle w:val="FootnoteText"/>
        <w:jc w:val="both"/>
        <w:rPr>
          <w:rFonts w:asciiTheme="minorHAnsi" w:hAnsiTheme="minorHAnsi" w:cstheme="minorHAnsi"/>
        </w:rPr>
      </w:pPr>
      <w:r w:rsidRPr="00617F02">
        <w:rPr>
          <w:rFonts w:asciiTheme="minorHAnsi" w:hAnsiTheme="minorHAnsi" w:cstheme="minorHAnsi"/>
        </w:rPr>
        <w:t>Discussed in Eifert</w:t>
      </w:r>
      <w:r w:rsidR="00AA735B" w:rsidRPr="00617F02">
        <w:rPr>
          <w:rFonts w:asciiTheme="minorHAnsi" w:hAnsiTheme="minorHAnsi" w:cstheme="minorHAnsi"/>
        </w:rPr>
        <w:t xml:space="preserve"> above n 12</w:t>
      </w:r>
      <w:r w:rsidRPr="00617F02">
        <w:rPr>
          <w:rFonts w:asciiTheme="minorHAnsi" w:hAnsiTheme="minorHAnsi" w:cstheme="minorHAnsi"/>
        </w:rPr>
        <w:t xml:space="preserve">; William </w:t>
      </w:r>
      <w:proofErr w:type="spellStart"/>
      <w:r w:rsidRPr="00617F02">
        <w:rPr>
          <w:rFonts w:asciiTheme="minorHAnsi" w:hAnsiTheme="minorHAnsi" w:cstheme="minorHAnsi"/>
        </w:rPr>
        <w:t>Echikson</w:t>
      </w:r>
      <w:proofErr w:type="spellEnd"/>
      <w:r w:rsidRPr="00617F02">
        <w:rPr>
          <w:rFonts w:asciiTheme="minorHAnsi" w:hAnsiTheme="minorHAnsi" w:cstheme="minorHAnsi"/>
        </w:rPr>
        <w:t xml:space="preserve">, Olivia </w:t>
      </w:r>
      <w:proofErr w:type="spellStart"/>
      <w:r w:rsidRPr="00617F02">
        <w:rPr>
          <w:rFonts w:asciiTheme="minorHAnsi" w:hAnsiTheme="minorHAnsi" w:cstheme="minorHAnsi"/>
        </w:rPr>
        <w:t>Knodt</w:t>
      </w:r>
      <w:proofErr w:type="spellEnd"/>
      <w:r w:rsidRPr="00617F02">
        <w:rPr>
          <w:rFonts w:asciiTheme="minorHAnsi" w:hAnsiTheme="minorHAnsi" w:cstheme="minorHAnsi"/>
        </w:rPr>
        <w:t xml:space="preserve">, ‘Germany’s </w:t>
      </w:r>
      <w:proofErr w:type="spellStart"/>
      <w:r w:rsidRPr="00617F02">
        <w:rPr>
          <w:rFonts w:asciiTheme="minorHAnsi" w:hAnsiTheme="minorHAnsi" w:cstheme="minorHAnsi"/>
        </w:rPr>
        <w:t>NextDG</w:t>
      </w:r>
      <w:proofErr w:type="spellEnd"/>
      <w:r w:rsidRPr="00617F02">
        <w:rPr>
          <w:rFonts w:asciiTheme="minorHAnsi" w:hAnsiTheme="minorHAnsi" w:cstheme="minorHAnsi"/>
        </w:rPr>
        <w:t xml:space="preserve">: A key test for combatting online hate’ (22 November 2018) </w:t>
      </w:r>
      <w:r w:rsidRPr="00617F02">
        <w:rPr>
          <w:rFonts w:asciiTheme="minorHAnsi" w:hAnsiTheme="minorHAnsi" w:cstheme="minorHAnsi"/>
          <w:i/>
          <w:iCs/>
        </w:rPr>
        <w:t xml:space="preserve">CEPS Policy </w:t>
      </w:r>
      <w:proofErr w:type="spellStart"/>
      <w:r w:rsidRPr="00617F02">
        <w:rPr>
          <w:rFonts w:asciiTheme="minorHAnsi" w:hAnsiTheme="minorHAnsi" w:cstheme="minorHAnsi"/>
          <w:i/>
          <w:iCs/>
        </w:rPr>
        <w:t>Inisght</w:t>
      </w:r>
      <w:proofErr w:type="spellEnd"/>
      <w:r w:rsidRPr="00617F02">
        <w:rPr>
          <w:rFonts w:asciiTheme="minorHAnsi" w:hAnsiTheme="minorHAnsi" w:cstheme="minorHAnsi"/>
        </w:rPr>
        <w:t xml:space="preserve"> No 2018/09;  Thomas </w:t>
      </w:r>
      <w:proofErr w:type="spellStart"/>
      <w:r w:rsidRPr="00617F02">
        <w:rPr>
          <w:rFonts w:asciiTheme="minorHAnsi" w:hAnsiTheme="minorHAnsi" w:cstheme="minorHAnsi"/>
        </w:rPr>
        <w:t>Wischmeyer</w:t>
      </w:r>
      <w:proofErr w:type="spellEnd"/>
      <w:r w:rsidRPr="00617F02">
        <w:rPr>
          <w:rFonts w:asciiTheme="minorHAnsi" w:hAnsiTheme="minorHAnsi" w:cstheme="minorHAnsi"/>
        </w:rPr>
        <w:t xml:space="preserve">, ‘What is illegal offline is also illegal online’: The German Network Enforcement Act 2017’ in </w:t>
      </w:r>
      <w:proofErr w:type="spellStart"/>
      <w:r w:rsidRPr="00617F02">
        <w:rPr>
          <w:rFonts w:asciiTheme="minorHAnsi" w:hAnsiTheme="minorHAnsi" w:cstheme="minorHAnsi"/>
        </w:rPr>
        <w:t>Bilyana</w:t>
      </w:r>
      <w:proofErr w:type="spellEnd"/>
      <w:r w:rsidRPr="00617F02">
        <w:rPr>
          <w:rFonts w:asciiTheme="minorHAnsi" w:hAnsiTheme="minorHAnsi" w:cstheme="minorHAnsi"/>
        </w:rPr>
        <w:t xml:space="preserve"> </w:t>
      </w:r>
      <w:proofErr w:type="spellStart"/>
      <w:r w:rsidRPr="00617F02">
        <w:rPr>
          <w:rFonts w:asciiTheme="minorHAnsi" w:hAnsiTheme="minorHAnsi" w:cstheme="minorHAnsi"/>
        </w:rPr>
        <w:t>Petkova</w:t>
      </w:r>
      <w:proofErr w:type="spellEnd"/>
      <w:r w:rsidRPr="00617F02">
        <w:rPr>
          <w:rFonts w:asciiTheme="minorHAnsi" w:hAnsiTheme="minorHAnsi" w:cstheme="minorHAnsi"/>
        </w:rPr>
        <w:t xml:space="preserve">,  </w:t>
      </w:r>
      <w:proofErr w:type="spellStart"/>
      <w:r w:rsidRPr="00617F02">
        <w:rPr>
          <w:rFonts w:asciiTheme="minorHAnsi" w:hAnsiTheme="minorHAnsi" w:cstheme="minorHAnsi"/>
        </w:rPr>
        <w:t>Tuomas</w:t>
      </w:r>
      <w:proofErr w:type="spellEnd"/>
      <w:r w:rsidRPr="00617F02">
        <w:rPr>
          <w:rFonts w:asciiTheme="minorHAnsi" w:hAnsiTheme="minorHAnsi" w:cstheme="minorHAnsi"/>
        </w:rPr>
        <w:t xml:space="preserve"> </w:t>
      </w:r>
      <w:proofErr w:type="spellStart"/>
      <w:r w:rsidRPr="00617F02">
        <w:rPr>
          <w:rFonts w:asciiTheme="minorHAnsi" w:hAnsiTheme="minorHAnsi" w:cstheme="minorHAnsi"/>
        </w:rPr>
        <w:t>Ojanen</w:t>
      </w:r>
      <w:proofErr w:type="spellEnd"/>
      <w:r w:rsidRPr="00617F02">
        <w:rPr>
          <w:rFonts w:asciiTheme="minorHAnsi" w:hAnsiTheme="minorHAnsi" w:cstheme="minorHAnsi"/>
        </w:rPr>
        <w:t xml:space="preserve"> (eds), </w:t>
      </w:r>
      <w:r w:rsidRPr="00617F02">
        <w:rPr>
          <w:rFonts w:asciiTheme="minorHAnsi" w:hAnsiTheme="minorHAnsi" w:cstheme="minorHAnsi"/>
          <w:i/>
          <w:iCs/>
        </w:rPr>
        <w:t>Fundamental Rights Protection Online: The Future Regulation of Intermediaries</w:t>
      </w:r>
      <w:r w:rsidRPr="00617F02">
        <w:rPr>
          <w:rFonts w:asciiTheme="minorHAnsi" w:hAnsiTheme="minorHAnsi" w:cstheme="minorHAnsi"/>
        </w:rPr>
        <w:t xml:space="preserve"> (Cheltenham: Edward Elgar, 2020) 28, also on  </w:t>
      </w:r>
      <w:proofErr w:type="spellStart"/>
      <w:r w:rsidRPr="00617F02">
        <w:rPr>
          <w:rFonts w:asciiTheme="minorHAnsi" w:hAnsiTheme="minorHAnsi" w:cstheme="minorHAnsi"/>
        </w:rPr>
        <w:t>ssrn</w:t>
      </w:r>
      <w:proofErr w:type="spellEnd"/>
      <w:r w:rsidRPr="00617F02">
        <w:rPr>
          <w:rFonts w:asciiTheme="minorHAnsi" w:hAnsiTheme="minorHAnsi" w:cstheme="minorHAnsi"/>
        </w:rPr>
        <w:t xml:space="preserve">; Heidi </w:t>
      </w:r>
      <w:proofErr w:type="spellStart"/>
      <w:r w:rsidRPr="00617F02">
        <w:rPr>
          <w:rFonts w:asciiTheme="minorHAnsi" w:hAnsiTheme="minorHAnsi" w:cstheme="minorHAnsi"/>
        </w:rPr>
        <w:t>Tworek</w:t>
      </w:r>
      <w:proofErr w:type="spellEnd"/>
      <w:r w:rsidRPr="00617F02">
        <w:rPr>
          <w:rFonts w:asciiTheme="minorHAnsi" w:hAnsiTheme="minorHAnsi" w:cstheme="minorHAnsi"/>
        </w:rPr>
        <w:t xml:space="preserve">, Paddy </w:t>
      </w:r>
      <w:proofErr w:type="spellStart"/>
      <w:r w:rsidRPr="00617F02">
        <w:rPr>
          <w:rFonts w:asciiTheme="minorHAnsi" w:hAnsiTheme="minorHAnsi" w:cstheme="minorHAnsi"/>
        </w:rPr>
        <w:t>Leerssen</w:t>
      </w:r>
      <w:proofErr w:type="spellEnd"/>
      <w:r w:rsidRPr="00617F02">
        <w:rPr>
          <w:rFonts w:asciiTheme="minorHAnsi" w:hAnsiTheme="minorHAnsi" w:cstheme="minorHAnsi"/>
        </w:rPr>
        <w:t xml:space="preserve">, ‘An Analysis of Germany’s NetzDG Law (15 April 2019) Working Paper of the Transatlantic High Level Working Group on Content Moderation Online and Freedom of Expression; Amelie </w:t>
      </w:r>
      <w:proofErr w:type="spellStart"/>
      <w:r w:rsidRPr="00617F02">
        <w:rPr>
          <w:rFonts w:asciiTheme="minorHAnsi" w:hAnsiTheme="minorHAnsi" w:cstheme="minorHAnsi"/>
        </w:rPr>
        <w:t>Heldt</w:t>
      </w:r>
      <w:proofErr w:type="spellEnd"/>
      <w:r w:rsidRPr="00617F02">
        <w:rPr>
          <w:rFonts w:asciiTheme="minorHAnsi" w:hAnsiTheme="minorHAnsi" w:cstheme="minorHAnsi"/>
        </w:rPr>
        <w:t xml:space="preserve"> , ‘Reading between the lines and the numbers : an analysis of the first NetzDG reports’ (2019) 8(2) </w:t>
      </w:r>
      <w:r w:rsidRPr="00617F02">
        <w:rPr>
          <w:rFonts w:asciiTheme="minorHAnsi" w:hAnsiTheme="minorHAnsi" w:cstheme="minorHAnsi"/>
          <w:i/>
          <w:iCs/>
        </w:rPr>
        <w:t>Internet Policy Review</w:t>
      </w:r>
      <w:r w:rsidR="00AA735B" w:rsidRPr="00617F02">
        <w:rPr>
          <w:rFonts w:asciiTheme="minorHAnsi" w:hAnsiTheme="minorHAnsi" w:cstheme="minorHAnsi"/>
        </w:rPr>
        <w:t>; Andrej Lang, ‘</w:t>
      </w:r>
      <w:proofErr w:type="spellStart"/>
      <w:r w:rsidR="00AA735B" w:rsidRPr="00617F02">
        <w:rPr>
          <w:rFonts w:asciiTheme="minorHAnsi" w:hAnsiTheme="minorHAnsi" w:cstheme="minorHAnsi"/>
        </w:rPr>
        <w:t>Netzwerkdurchsetzungsgesetz</w:t>
      </w:r>
      <w:proofErr w:type="spellEnd"/>
      <w:r w:rsidR="00AA735B" w:rsidRPr="00617F02">
        <w:rPr>
          <w:rFonts w:asciiTheme="minorHAnsi" w:hAnsiTheme="minorHAnsi" w:cstheme="minorHAnsi"/>
        </w:rPr>
        <w:t xml:space="preserve"> und </w:t>
      </w:r>
      <w:proofErr w:type="spellStart"/>
      <w:r w:rsidR="00AA735B" w:rsidRPr="00617F02">
        <w:rPr>
          <w:rFonts w:asciiTheme="minorHAnsi" w:hAnsiTheme="minorHAnsi" w:cstheme="minorHAnsi"/>
        </w:rPr>
        <w:t>Meinungsfreiheit</w:t>
      </w:r>
      <w:proofErr w:type="spellEnd"/>
      <w:r w:rsidR="00AA735B" w:rsidRPr="00617F02">
        <w:rPr>
          <w:rFonts w:asciiTheme="minorHAnsi" w:hAnsiTheme="minorHAnsi" w:cstheme="minorHAnsi"/>
        </w:rPr>
        <w:t xml:space="preserve">’ (2018) </w:t>
      </w:r>
      <w:proofErr w:type="spellStart"/>
      <w:r w:rsidR="00AA735B" w:rsidRPr="00617F02">
        <w:rPr>
          <w:rFonts w:asciiTheme="minorHAnsi" w:hAnsiTheme="minorHAnsi" w:cstheme="minorHAnsi"/>
          <w:i/>
          <w:iCs/>
        </w:rPr>
        <w:t>Archiv</w:t>
      </w:r>
      <w:proofErr w:type="spellEnd"/>
      <w:r w:rsidR="00AA735B" w:rsidRPr="00617F02">
        <w:rPr>
          <w:rFonts w:asciiTheme="minorHAnsi" w:hAnsiTheme="minorHAnsi" w:cstheme="minorHAnsi"/>
          <w:i/>
          <w:iCs/>
        </w:rPr>
        <w:t xml:space="preserve"> des </w:t>
      </w:r>
      <w:proofErr w:type="spellStart"/>
      <w:r w:rsidR="00AA735B" w:rsidRPr="00617F02">
        <w:rPr>
          <w:rFonts w:asciiTheme="minorHAnsi" w:hAnsiTheme="minorHAnsi" w:cstheme="minorHAnsi"/>
          <w:i/>
          <w:iCs/>
        </w:rPr>
        <w:t>Öffentlichen</w:t>
      </w:r>
      <w:proofErr w:type="spellEnd"/>
      <w:r w:rsidR="00AA735B" w:rsidRPr="00617F02">
        <w:rPr>
          <w:rFonts w:asciiTheme="minorHAnsi" w:hAnsiTheme="minorHAnsi" w:cstheme="minorHAnsi"/>
          <w:i/>
          <w:iCs/>
        </w:rPr>
        <w:t xml:space="preserve"> </w:t>
      </w:r>
      <w:proofErr w:type="spellStart"/>
      <w:r w:rsidR="00AA735B" w:rsidRPr="00617F02">
        <w:rPr>
          <w:rFonts w:asciiTheme="minorHAnsi" w:hAnsiTheme="minorHAnsi" w:cstheme="minorHAnsi"/>
          <w:i/>
          <w:iCs/>
        </w:rPr>
        <w:t>Rechts</w:t>
      </w:r>
      <w:proofErr w:type="spellEnd"/>
      <w:r w:rsidR="00AA735B" w:rsidRPr="00617F02">
        <w:rPr>
          <w:rFonts w:asciiTheme="minorHAnsi" w:hAnsiTheme="minorHAnsi" w:cstheme="minorHAnsi"/>
          <w:i/>
          <w:iCs/>
        </w:rPr>
        <w:t xml:space="preserve"> </w:t>
      </w:r>
      <w:r w:rsidR="00AA735B" w:rsidRPr="00617F02">
        <w:rPr>
          <w:rFonts w:asciiTheme="minorHAnsi" w:hAnsiTheme="minorHAnsi" w:cstheme="minorHAnsi"/>
        </w:rPr>
        <w:t>220.</w:t>
      </w:r>
    </w:p>
  </w:footnote>
  <w:footnote w:id="64">
    <w:p w14:paraId="732E702F" w14:textId="77777777" w:rsidR="00917E67" w:rsidRPr="00617F02" w:rsidRDefault="00917E67" w:rsidP="00C215EC">
      <w:pPr>
        <w:pStyle w:val="FootnoteText"/>
        <w:jc w:val="both"/>
        <w:rPr>
          <w:rFonts w:asciiTheme="minorHAnsi" w:hAnsiTheme="minorHAnsi" w:cstheme="minorHAnsi"/>
        </w:rPr>
      </w:pPr>
      <w:r w:rsidRPr="00617F02">
        <w:rPr>
          <w:rStyle w:val="FootnoteReference"/>
          <w:rFonts w:asciiTheme="minorHAnsi" w:hAnsiTheme="minorHAnsi" w:cstheme="minorHAnsi"/>
        </w:rPr>
        <w:footnoteRef/>
      </w:r>
      <w:r w:rsidRPr="00617F02">
        <w:rPr>
          <w:rFonts w:asciiTheme="minorHAnsi" w:hAnsiTheme="minorHAnsi" w:cstheme="minorHAnsi"/>
        </w:rPr>
        <w:t xml:space="preserve"> Section 1(2).</w:t>
      </w:r>
    </w:p>
  </w:footnote>
  <w:footnote w:id="65">
    <w:p w14:paraId="24C4018F" w14:textId="3D619074" w:rsidR="00877D90" w:rsidRDefault="00877D90">
      <w:pPr>
        <w:pStyle w:val="FootnoteText"/>
      </w:pPr>
      <w:r>
        <w:rPr>
          <w:rStyle w:val="FootnoteReference"/>
        </w:rPr>
        <w:footnoteRef/>
      </w:r>
      <w:r>
        <w:t xml:space="preserve"> Section 3(2)</w:t>
      </w:r>
      <w:r w:rsidR="00956461">
        <w:t>2. and 3(2)3.</w:t>
      </w:r>
    </w:p>
  </w:footnote>
  <w:footnote w:id="66">
    <w:p w14:paraId="5792B86E" w14:textId="2FF80EC5" w:rsidR="00917E67" w:rsidRPr="00617F02" w:rsidRDefault="00917E67" w:rsidP="00C215EC">
      <w:pPr>
        <w:spacing w:after="0" w:line="240" w:lineRule="auto"/>
        <w:jc w:val="both"/>
        <w:rPr>
          <w:rFonts w:cstheme="minorHAnsi"/>
          <w:sz w:val="20"/>
          <w:szCs w:val="20"/>
        </w:rPr>
      </w:pPr>
      <w:r w:rsidRPr="00617F02">
        <w:rPr>
          <w:rStyle w:val="FootnoteReference"/>
          <w:rFonts w:cstheme="minorHAnsi"/>
          <w:sz w:val="20"/>
          <w:szCs w:val="20"/>
        </w:rPr>
        <w:footnoteRef/>
      </w:r>
      <w:r w:rsidRPr="00617F02">
        <w:rPr>
          <w:rFonts w:cstheme="minorHAnsi"/>
          <w:sz w:val="20"/>
          <w:szCs w:val="20"/>
        </w:rPr>
        <w:t xml:space="preserve"> NetzDG lists 22 statutory offences in s.1(1): ss. 86, 86a, 89a, 91, 100a, 111, 126, 129 bis 129b, 130, 131, 140, 166, 184b, 185 bis 187, 201a, 241 and 269. There have been criticisms that the catalogue of offences is too </w:t>
      </w:r>
      <w:r w:rsidR="00650E82" w:rsidRPr="00617F02">
        <w:rPr>
          <w:rFonts w:cstheme="minorHAnsi"/>
          <w:sz w:val="20"/>
          <w:szCs w:val="20"/>
        </w:rPr>
        <w:t>long</w:t>
      </w:r>
      <w:r w:rsidRPr="00617F02">
        <w:rPr>
          <w:rFonts w:cstheme="minorHAnsi"/>
          <w:sz w:val="20"/>
          <w:szCs w:val="20"/>
        </w:rPr>
        <w:t xml:space="preserve">. </w:t>
      </w:r>
    </w:p>
  </w:footnote>
  <w:footnote w:id="67">
    <w:p w14:paraId="3F8F9ADD" w14:textId="13137CA7" w:rsidR="00917E67" w:rsidRPr="00617F02" w:rsidRDefault="00917E67" w:rsidP="00C215EC">
      <w:pPr>
        <w:pStyle w:val="FootnoteText"/>
        <w:jc w:val="both"/>
        <w:rPr>
          <w:rFonts w:asciiTheme="minorHAnsi" w:hAnsiTheme="minorHAnsi" w:cstheme="minorHAnsi"/>
        </w:rPr>
      </w:pPr>
      <w:r w:rsidRPr="00617F02">
        <w:rPr>
          <w:rStyle w:val="FootnoteReference"/>
          <w:rFonts w:asciiTheme="minorHAnsi" w:hAnsiTheme="minorHAnsi" w:cstheme="minorHAnsi"/>
        </w:rPr>
        <w:footnoteRef/>
      </w:r>
      <w:r w:rsidRPr="00617F02">
        <w:rPr>
          <w:rFonts w:asciiTheme="minorHAnsi" w:hAnsiTheme="minorHAnsi" w:cstheme="minorHAnsi"/>
        </w:rPr>
        <w:t xml:space="preserve"> </w:t>
      </w:r>
      <w:r w:rsidR="00650E82" w:rsidRPr="00617F02">
        <w:rPr>
          <w:rFonts w:asciiTheme="minorHAnsi" w:hAnsiTheme="minorHAnsi" w:cstheme="minorHAnsi"/>
        </w:rPr>
        <w:t xml:space="preserve">For a perspective on online </w:t>
      </w:r>
      <w:r w:rsidRPr="00617F02">
        <w:rPr>
          <w:rFonts w:asciiTheme="minorHAnsi" w:hAnsiTheme="minorHAnsi" w:cstheme="minorHAnsi"/>
        </w:rPr>
        <w:t xml:space="preserve">censorship and its </w:t>
      </w:r>
      <w:r w:rsidR="00650E82" w:rsidRPr="00617F02">
        <w:rPr>
          <w:rFonts w:asciiTheme="minorHAnsi" w:hAnsiTheme="minorHAnsi" w:cstheme="minorHAnsi"/>
        </w:rPr>
        <w:t>meaning</w:t>
      </w:r>
      <w:r w:rsidRPr="00617F02">
        <w:rPr>
          <w:rFonts w:asciiTheme="minorHAnsi" w:hAnsiTheme="minorHAnsi" w:cstheme="minorHAnsi"/>
        </w:rPr>
        <w:t xml:space="preserve">, see </w:t>
      </w:r>
      <w:proofErr w:type="spellStart"/>
      <w:r w:rsidRPr="00617F02">
        <w:rPr>
          <w:rStyle w:val="Emphasis"/>
          <w:rFonts w:asciiTheme="minorHAnsi" w:hAnsiTheme="minorHAnsi" w:cstheme="minorHAnsi"/>
          <w:i w:val="0"/>
          <w:iCs w:val="0"/>
        </w:rPr>
        <w:t>András</w:t>
      </w:r>
      <w:proofErr w:type="spellEnd"/>
      <w:r w:rsidRPr="00617F02">
        <w:rPr>
          <w:rStyle w:val="Emphasis"/>
          <w:rFonts w:asciiTheme="minorHAnsi" w:hAnsiTheme="minorHAnsi" w:cstheme="minorHAnsi"/>
          <w:i w:val="0"/>
          <w:iCs w:val="0"/>
        </w:rPr>
        <w:t xml:space="preserve"> </w:t>
      </w:r>
      <w:proofErr w:type="spellStart"/>
      <w:r w:rsidRPr="00617F02">
        <w:rPr>
          <w:rStyle w:val="Emphasis"/>
          <w:rFonts w:asciiTheme="minorHAnsi" w:hAnsiTheme="minorHAnsi" w:cstheme="minorHAnsi"/>
          <w:i w:val="0"/>
          <w:iCs w:val="0"/>
        </w:rPr>
        <w:t>Koltay</w:t>
      </w:r>
      <w:proofErr w:type="spellEnd"/>
      <w:r w:rsidRPr="00617F02">
        <w:rPr>
          <w:rFonts w:asciiTheme="minorHAnsi" w:hAnsiTheme="minorHAnsi" w:cstheme="minorHAnsi"/>
          <w:i/>
          <w:iCs/>
        </w:rPr>
        <w:t>,</w:t>
      </w:r>
      <w:r w:rsidRPr="00617F02">
        <w:rPr>
          <w:rFonts w:asciiTheme="minorHAnsi" w:hAnsiTheme="minorHAnsi" w:cstheme="minorHAnsi"/>
        </w:rPr>
        <w:t xml:space="preserve">’The Private Censorship of Internet Gatekeepers’ (2021) 59 </w:t>
      </w:r>
      <w:r w:rsidRPr="00617F02">
        <w:rPr>
          <w:rFonts w:asciiTheme="minorHAnsi" w:hAnsiTheme="minorHAnsi" w:cstheme="minorHAnsi"/>
          <w:i/>
          <w:iCs/>
        </w:rPr>
        <w:t>University of Louisville Law Review</w:t>
      </w:r>
      <w:r w:rsidRPr="00617F02">
        <w:rPr>
          <w:rFonts w:asciiTheme="minorHAnsi" w:hAnsiTheme="minorHAnsi" w:cstheme="minorHAnsi"/>
        </w:rPr>
        <w:t xml:space="preserve"> 255, 264ff.</w:t>
      </w:r>
    </w:p>
  </w:footnote>
  <w:footnote w:id="68">
    <w:p w14:paraId="32BA2975" w14:textId="21FB04F3" w:rsidR="00917E67" w:rsidRPr="00617F02" w:rsidRDefault="00917E67" w:rsidP="00C215EC">
      <w:pPr>
        <w:pStyle w:val="FootnoteText"/>
        <w:jc w:val="both"/>
        <w:rPr>
          <w:rFonts w:asciiTheme="minorHAnsi" w:hAnsiTheme="minorHAnsi" w:cstheme="minorHAnsi"/>
        </w:rPr>
      </w:pPr>
      <w:r w:rsidRPr="00617F02">
        <w:rPr>
          <w:rStyle w:val="FootnoteReference"/>
          <w:rFonts w:asciiTheme="minorHAnsi" w:hAnsiTheme="minorHAnsi" w:cstheme="minorHAnsi"/>
        </w:rPr>
        <w:footnoteRef/>
      </w:r>
      <w:r w:rsidRPr="00617F02">
        <w:rPr>
          <w:rFonts w:asciiTheme="minorHAnsi" w:hAnsiTheme="minorHAnsi" w:cstheme="minorHAnsi"/>
        </w:rPr>
        <w:t xml:space="preserve"> </w:t>
      </w:r>
      <w:r w:rsidR="00650E82" w:rsidRPr="00617F02">
        <w:rPr>
          <w:rFonts w:asciiTheme="minorHAnsi" w:hAnsiTheme="minorHAnsi" w:cstheme="minorHAnsi"/>
        </w:rPr>
        <w:t>For example, ‘</w:t>
      </w:r>
      <w:r w:rsidRPr="00617F02">
        <w:rPr>
          <w:rFonts w:asciiTheme="minorHAnsi" w:hAnsiTheme="minorHAnsi" w:cstheme="minorHAnsi"/>
        </w:rPr>
        <w:t>Facebook Community Standards</w:t>
      </w:r>
      <w:r w:rsidR="00650E82" w:rsidRPr="00617F02">
        <w:rPr>
          <w:rFonts w:asciiTheme="minorHAnsi" w:hAnsiTheme="minorHAnsi" w:cstheme="minorHAnsi"/>
        </w:rPr>
        <w:t>’, YouTube’s ‘Community Guidelines’ and ‘The Twitter Rules’.</w:t>
      </w:r>
    </w:p>
  </w:footnote>
  <w:footnote w:id="69">
    <w:p w14:paraId="1D5CFF74" w14:textId="08309438" w:rsidR="00917E67" w:rsidRPr="00617F02" w:rsidRDefault="00917E67" w:rsidP="00C215EC">
      <w:pPr>
        <w:spacing w:after="0" w:line="240" w:lineRule="auto"/>
        <w:jc w:val="both"/>
        <w:rPr>
          <w:rFonts w:cstheme="minorHAnsi"/>
          <w:sz w:val="20"/>
          <w:szCs w:val="20"/>
        </w:rPr>
      </w:pPr>
      <w:r w:rsidRPr="00617F02">
        <w:rPr>
          <w:rStyle w:val="FootnoteReference"/>
          <w:rFonts w:cstheme="minorHAnsi"/>
          <w:sz w:val="20"/>
          <w:szCs w:val="20"/>
        </w:rPr>
        <w:footnoteRef/>
      </w:r>
      <w:r w:rsidRPr="00617F02">
        <w:rPr>
          <w:rFonts w:cstheme="minorHAnsi"/>
          <w:sz w:val="20"/>
          <w:szCs w:val="20"/>
        </w:rPr>
        <w:t xml:space="preserve"> NetzDG enjoyed popular support in Germany with </w:t>
      </w:r>
      <w:proofErr w:type="gramStart"/>
      <w:r w:rsidRPr="00617F02">
        <w:rPr>
          <w:rFonts w:cstheme="minorHAnsi"/>
          <w:sz w:val="20"/>
          <w:szCs w:val="20"/>
        </w:rPr>
        <w:t>a</w:t>
      </w:r>
      <w:proofErr w:type="gramEnd"/>
      <w:r w:rsidRPr="00617F02">
        <w:rPr>
          <w:rFonts w:cstheme="minorHAnsi"/>
          <w:sz w:val="20"/>
          <w:szCs w:val="20"/>
        </w:rPr>
        <w:t xml:space="preserve"> 87% approval rating and only 5% disapproval rate in 2018, </w:t>
      </w:r>
      <w:r w:rsidR="00667B3D">
        <w:rPr>
          <w:rFonts w:cstheme="minorHAnsi"/>
          <w:sz w:val="20"/>
          <w:szCs w:val="20"/>
        </w:rPr>
        <w:t xml:space="preserve">see </w:t>
      </w:r>
      <w:proofErr w:type="spellStart"/>
      <w:r w:rsidRPr="00617F02">
        <w:rPr>
          <w:rFonts w:cstheme="minorHAnsi"/>
          <w:sz w:val="20"/>
          <w:szCs w:val="20"/>
        </w:rPr>
        <w:t>Tworek</w:t>
      </w:r>
      <w:proofErr w:type="spellEnd"/>
      <w:r w:rsidRPr="00617F02">
        <w:rPr>
          <w:rFonts w:cstheme="minorHAnsi"/>
          <w:sz w:val="20"/>
          <w:szCs w:val="20"/>
        </w:rPr>
        <w:t xml:space="preserve"> above n 6</w:t>
      </w:r>
      <w:r w:rsidR="00650E82" w:rsidRPr="00617F02">
        <w:rPr>
          <w:rFonts w:cstheme="minorHAnsi"/>
          <w:sz w:val="20"/>
          <w:szCs w:val="20"/>
        </w:rPr>
        <w:t>3</w:t>
      </w:r>
      <w:r w:rsidRPr="00617F02">
        <w:rPr>
          <w:rFonts w:cstheme="minorHAnsi"/>
          <w:sz w:val="20"/>
          <w:szCs w:val="20"/>
        </w:rPr>
        <w:t>, 2.</w:t>
      </w:r>
    </w:p>
  </w:footnote>
  <w:footnote w:id="70">
    <w:p w14:paraId="4ED1DE2C" w14:textId="1E32312D" w:rsidR="00917E67" w:rsidRPr="00617F02" w:rsidRDefault="00917E67" w:rsidP="00C215EC">
      <w:pPr>
        <w:spacing w:after="0" w:line="240" w:lineRule="auto"/>
        <w:jc w:val="both"/>
        <w:rPr>
          <w:rFonts w:cstheme="minorHAnsi"/>
          <w:sz w:val="20"/>
          <w:szCs w:val="20"/>
        </w:rPr>
      </w:pPr>
      <w:r w:rsidRPr="00617F02">
        <w:rPr>
          <w:rStyle w:val="FootnoteReference"/>
          <w:rFonts w:cstheme="minorHAnsi"/>
          <w:sz w:val="20"/>
          <w:szCs w:val="20"/>
        </w:rPr>
        <w:footnoteRef/>
      </w:r>
      <w:r w:rsidRPr="00617F02">
        <w:rPr>
          <w:rFonts w:cstheme="minorHAnsi"/>
          <w:sz w:val="20"/>
          <w:szCs w:val="20"/>
        </w:rPr>
        <w:t xml:space="preserve"> Section 4(2) </w:t>
      </w:r>
      <w:r w:rsidR="00650E82" w:rsidRPr="00617F02">
        <w:rPr>
          <w:rFonts w:cstheme="minorHAnsi"/>
          <w:sz w:val="20"/>
          <w:szCs w:val="20"/>
        </w:rPr>
        <w:t xml:space="preserve">of NetzDG </w:t>
      </w:r>
      <w:r w:rsidRPr="00617F02">
        <w:rPr>
          <w:rFonts w:cstheme="minorHAnsi"/>
          <w:sz w:val="20"/>
          <w:szCs w:val="20"/>
        </w:rPr>
        <w:t xml:space="preserve">in conjunction with ss. 30, 130 of the Act on </w:t>
      </w:r>
      <w:r w:rsidR="004D6D16" w:rsidRPr="00617F02">
        <w:rPr>
          <w:rFonts w:cstheme="minorHAnsi"/>
          <w:sz w:val="20"/>
          <w:szCs w:val="20"/>
        </w:rPr>
        <w:t xml:space="preserve">Infringements </w:t>
      </w:r>
      <w:r w:rsidRPr="00617F02">
        <w:rPr>
          <w:rFonts w:cstheme="minorHAnsi"/>
          <w:sz w:val="20"/>
          <w:szCs w:val="20"/>
        </w:rPr>
        <w:t>(</w:t>
      </w:r>
      <w:proofErr w:type="spellStart"/>
      <w:r w:rsidRPr="00617F02">
        <w:rPr>
          <w:rFonts w:cstheme="minorHAnsi"/>
          <w:sz w:val="20"/>
          <w:szCs w:val="20"/>
        </w:rPr>
        <w:t>Ordnungswidrigkeitengesetz</w:t>
      </w:r>
      <w:proofErr w:type="spellEnd"/>
      <w:r w:rsidRPr="00617F02">
        <w:rPr>
          <w:rFonts w:cstheme="minorHAnsi"/>
          <w:sz w:val="20"/>
          <w:szCs w:val="20"/>
        </w:rPr>
        <w:t>).</w:t>
      </w:r>
    </w:p>
  </w:footnote>
  <w:footnote w:id="71">
    <w:p w14:paraId="64451CD7" w14:textId="7788C20E" w:rsidR="00917E67" w:rsidRPr="00617F02" w:rsidRDefault="00917E67" w:rsidP="00C215EC">
      <w:pPr>
        <w:pStyle w:val="FootnoteText"/>
        <w:jc w:val="both"/>
        <w:rPr>
          <w:rFonts w:asciiTheme="minorHAnsi" w:hAnsiTheme="minorHAnsi" w:cstheme="minorHAnsi"/>
        </w:rPr>
      </w:pPr>
      <w:r w:rsidRPr="00617F02">
        <w:rPr>
          <w:rStyle w:val="FootnoteReference"/>
          <w:rFonts w:asciiTheme="minorHAnsi" w:hAnsiTheme="minorHAnsi" w:cstheme="minorHAnsi"/>
        </w:rPr>
        <w:footnoteRef/>
      </w:r>
      <w:r w:rsidRPr="00617F02">
        <w:rPr>
          <w:rFonts w:asciiTheme="minorHAnsi" w:hAnsiTheme="minorHAnsi" w:cstheme="minorHAnsi"/>
        </w:rPr>
        <w:t xml:space="preserve"> </w:t>
      </w:r>
      <w:proofErr w:type="spellStart"/>
      <w:r w:rsidR="00AA735B" w:rsidRPr="00617F02">
        <w:rPr>
          <w:rFonts w:asciiTheme="minorHAnsi" w:hAnsiTheme="minorHAnsi" w:cstheme="minorHAnsi"/>
        </w:rPr>
        <w:t>Gesetz</w:t>
      </w:r>
      <w:proofErr w:type="spellEnd"/>
      <w:r w:rsidR="00AA735B" w:rsidRPr="00617F02">
        <w:rPr>
          <w:rFonts w:asciiTheme="minorHAnsi" w:hAnsiTheme="minorHAnsi" w:cstheme="minorHAnsi"/>
        </w:rPr>
        <w:t xml:space="preserve"> </w:t>
      </w:r>
      <w:proofErr w:type="spellStart"/>
      <w:r w:rsidR="00AA735B" w:rsidRPr="00617F02">
        <w:rPr>
          <w:rFonts w:asciiTheme="minorHAnsi" w:hAnsiTheme="minorHAnsi" w:cstheme="minorHAnsi"/>
        </w:rPr>
        <w:t>zur</w:t>
      </w:r>
      <w:proofErr w:type="spellEnd"/>
      <w:r w:rsidR="00AA735B" w:rsidRPr="00617F02">
        <w:rPr>
          <w:rFonts w:asciiTheme="minorHAnsi" w:hAnsiTheme="minorHAnsi" w:cstheme="minorHAnsi"/>
        </w:rPr>
        <w:t xml:space="preserve"> </w:t>
      </w:r>
      <w:proofErr w:type="spellStart"/>
      <w:r w:rsidR="00AA735B" w:rsidRPr="00617F02">
        <w:rPr>
          <w:rStyle w:val="markedcontent"/>
          <w:rFonts w:asciiTheme="minorHAnsi" w:hAnsiTheme="minorHAnsi" w:cstheme="minorHAnsi"/>
        </w:rPr>
        <w:t>Änderung</w:t>
      </w:r>
      <w:proofErr w:type="spellEnd"/>
      <w:r w:rsidR="00AA735B" w:rsidRPr="00617F02">
        <w:rPr>
          <w:rStyle w:val="markedcontent"/>
          <w:rFonts w:asciiTheme="minorHAnsi" w:hAnsiTheme="minorHAnsi" w:cstheme="minorHAnsi"/>
        </w:rPr>
        <w:t xml:space="preserve"> des </w:t>
      </w:r>
      <w:proofErr w:type="spellStart"/>
      <w:r w:rsidR="00AA735B" w:rsidRPr="00617F02">
        <w:rPr>
          <w:rStyle w:val="markedcontent"/>
          <w:rFonts w:asciiTheme="minorHAnsi" w:hAnsiTheme="minorHAnsi" w:cstheme="minorHAnsi"/>
        </w:rPr>
        <w:t>Netzwerkdurchsetzungsgesetzes</w:t>
      </w:r>
      <w:proofErr w:type="spellEnd"/>
      <w:r w:rsidR="00AA735B" w:rsidRPr="00617F02">
        <w:rPr>
          <w:rStyle w:val="markedcontent"/>
          <w:rFonts w:asciiTheme="minorHAnsi" w:hAnsiTheme="minorHAnsi" w:cstheme="minorHAnsi"/>
        </w:rPr>
        <w:t xml:space="preserve"> (3 June 2021) </w:t>
      </w:r>
      <w:proofErr w:type="spellStart"/>
      <w:r w:rsidR="00AA735B" w:rsidRPr="00617F02">
        <w:rPr>
          <w:rStyle w:val="markedcontent"/>
          <w:rFonts w:asciiTheme="minorHAnsi" w:hAnsiTheme="minorHAnsi" w:cstheme="minorHAnsi"/>
        </w:rPr>
        <w:t>BGBl</w:t>
      </w:r>
      <w:proofErr w:type="spellEnd"/>
      <w:r w:rsidR="00AA735B" w:rsidRPr="00617F02">
        <w:rPr>
          <w:rStyle w:val="markedcontent"/>
          <w:rFonts w:asciiTheme="minorHAnsi" w:hAnsiTheme="minorHAnsi" w:cstheme="minorHAnsi"/>
        </w:rPr>
        <w:t xml:space="preserve">. I S441 </w:t>
      </w:r>
      <w:r w:rsidR="00533902" w:rsidRPr="00617F02">
        <w:rPr>
          <w:rStyle w:val="markedcontent"/>
          <w:rFonts w:asciiTheme="minorHAnsi" w:hAnsiTheme="minorHAnsi" w:cstheme="minorHAnsi"/>
        </w:rPr>
        <w:t xml:space="preserve">(for the consolidated version in German, see </w:t>
      </w:r>
      <w:hyperlink r:id="rId5" w:history="1">
        <w:r w:rsidR="00533902" w:rsidRPr="00617F02">
          <w:rPr>
            <w:rStyle w:val="Hyperlink"/>
            <w:rFonts w:asciiTheme="minorHAnsi" w:hAnsiTheme="minorHAnsi" w:cstheme="minorHAnsi"/>
          </w:rPr>
          <w:t>http://www.gesetze-im-internet.de/netzdg/BJNR335210017.html</w:t>
        </w:r>
      </w:hyperlink>
      <w:r w:rsidR="00533902" w:rsidRPr="00617F02">
        <w:rPr>
          <w:rStyle w:val="markedcontent"/>
          <w:rFonts w:asciiTheme="minorHAnsi" w:hAnsiTheme="minorHAnsi" w:cstheme="minorHAnsi"/>
        </w:rPr>
        <w:t xml:space="preserve"> ). The amendments seek to</w:t>
      </w:r>
      <w:r w:rsidR="004D6D16" w:rsidRPr="00617F02">
        <w:rPr>
          <w:rStyle w:val="markedcontent"/>
          <w:rFonts w:asciiTheme="minorHAnsi" w:hAnsiTheme="minorHAnsi" w:cstheme="minorHAnsi"/>
        </w:rPr>
        <w:t xml:space="preserve"> </w:t>
      </w:r>
      <w:r w:rsidRPr="00617F02">
        <w:rPr>
          <w:rFonts w:asciiTheme="minorHAnsi" w:hAnsiTheme="minorHAnsi" w:cstheme="minorHAnsi"/>
        </w:rPr>
        <w:t>improve</w:t>
      </w:r>
      <w:r w:rsidR="00533902" w:rsidRPr="00617F02">
        <w:rPr>
          <w:rFonts w:asciiTheme="minorHAnsi" w:hAnsiTheme="minorHAnsi" w:cstheme="minorHAnsi"/>
        </w:rPr>
        <w:t>, inter alia,</w:t>
      </w:r>
      <w:r w:rsidRPr="00617F02">
        <w:rPr>
          <w:rFonts w:asciiTheme="minorHAnsi" w:hAnsiTheme="minorHAnsi" w:cstheme="minorHAnsi"/>
        </w:rPr>
        <w:t xml:space="preserve"> the user-friendliness of the complaint </w:t>
      </w:r>
      <w:r w:rsidR="005179A6">
        <w:rPr>
          <w:rFonts w:asciiTheme="minorHAnsi" w:hAnsiTheme="minorHAnsi" w:cstheme="minorHAnsi"/>
        </w:rPr>
        <w:t xml:space="preserve">procedure </w:t>
      </w:r>
      <w:r w:rsidRPr="00617F02">
        <w:rPr>
          <w:rFonts w:asciiTheme="minorHAnsi" w:hAnsiTheme="minorHAnsi" w:cstheme="minorHAnsi"/>
        </w:rPr>
        <w:t>(s.3(1)), provide</w:t>
      </w:r>
      <w:r w:rsidR="004D6D16" w:rsidRPr="00617F02">
        <w:rPr>
          <w:rFonts w:asciiTheme="minorHAnsi" w:hAnsiTheme="minorHAnsi" w:cstheme="minorHAnsi"/>
        </w:rPr>
        <w:t>s</w:t>
      </w:r>
      <w:r w:rsidRPr="00617F02">
        <w:rPr>
          <w:rFonts w:asciiTheme="minorHAnsi" w:hAnsiTheme="minorHAnsi" w:cstheme="minorHAnsi"/>
        </w:rPr>
        <w:t xml:space="preserve"> a possibility of appeals procedure and dispute resolution (s3b,3c), enhance</w:t>
      </w:r>
      <w:r w:rsidR="004D6D16" w:rsidRPr="00617F02">
        <w:rPr>
          <w:rFonts w:asciiTheme="minorHAnsi" w:hAnsiTheme="minorHAnsi" w:cstheme="minorHAnsi"/>
        </w:rPr>
        <w:t>s</w:t>
      </w:r>
      <w:r w:rsidRPr="00617F02">
        <w:rPr>
          <w:rFonts w:asciiTheme="minorHAnsi" w:hAnsiTheme="minorHAnsi" w:cstheme="minorHAnsi"/>
        </w:rPr>
        <w:t xml:space="preserve"> the information on the transparency reports (s.2(1, (2)) and increase</w:t>
      </w:r>
      <w:r w:rsidR="004D6D16" w:rsidRPr="00617F02">
        <w:rPr>
          <w:rFonts w:asciiTheme="minorHAnsi" w:hAnsiTheme="minorHAnsi" w:cstheme="minorHAnsi"/>
        </w:rPr>
        <w:t>s</w:t>
      </w:r>
      <w:r w:rsidRPr="00617F02">
        <w:rPr>
          <w:rFonts w:asciiTheme="minorHAnsi" w:hAnsiTheme="minorHAnsi" w:cstheme="minorHAnsi"/>
        </w:rPr>
        <w:t xml:space="preserve"> the powers of the supervise </w:t>
      </w:r>
      <w:r w:rsidR="00AA735B" w:rsidRPr="00617F02">
        <w:rPr>
          <w:rFonts w:asciiTheme="minorHAnsi" w:hAnsiTheme="minorHAnsi" w:cstheme="minorHAnsi"/>
        </w:rPr>
        <w:t>authority</w:t>
      </w:r>
      <w:r w:rsidRPr="00617F02">
        <w:rPr>
          <w:rFonts w:asciiTheme="minorHAnsi" w:hAnsiTheme="minorHAnsi" w:cstheme="minorHAnsi"/>
        </w:rPr>
        <w:t xml:space="preserve"> (s.4(a)). </w:t>
      </w:r>
    </w:p>
  </w:footnote>
  <w:footnote w:id="72">
    <w:p w14:paraId="4A7062A9" w14:textId="77777777" w:rsidR="00917E67" w:rsidRPr="00617F02" w:rsidRDefault="00917E67" w:rsidP="00C215EC">
      <w:pPr>
        <w:pStyle w:val="FootnoteText"/>
        <w:jc w:val="both"/>
        <w:rPr>
          <w:rFonts w:asciiTheme="minorHAnsi" w:hAnsiTheme="minorHAnsi" w:cstheme="minorHAnsi"/>
        </w:rPr>
      </w:pPr>
      <w:r w:rsidRPr="00617F02">
        <w:rPr>
          <w:rStyle w:val="FootnoteReference"/>
          <w:rFonts w:asciiTheme="minorHAnsi" w:hAnsiTheme="minorHAnsi" w:cstheme="minorHAnsi"/>
        </w:rPr>
        <w:footnoteRef/>
      </w:r>
      <w:r w:rsidRPr="00617F02">
        <w:rPr>
          <w:rFonts w:asciiTheme="minorHAnsi" w:hAnsiTheme="minorHAnsi" w:cstheme="minorHAnsi"/>
        </w:rPr>
        <w:t xml:space="preserve"> Section 4(1) 1-8 respectively. </w:t>
      </w:r>
    </w:p>
  </w:footnote>
  <w:footnote w:id="73">
    <w:p w14:paraId="5485BF37" w14:textId="4C0F0BCF" w:rsidR="00917E67" w:rsidRPr="00617F02" w:rsidRDefault="00917E67" w:rsidP="00C215EC">
      <w:pPr>
        <w:autoSpaceDE w:val="0"/>
        <w:autoSpaceDN w:val="0"/>
        <w:adjustRightInd w:val="0"/>
        <w:spacing w:after="0" w:line="240" w:lineRule="auto"/>
        <w:jc w:val="both"/>
        <w:rPr>
          <w:rFonts w:cstheme="minorHAnsi"/>
          <w:sz w:val="20"/>
          <w:szCs w:val="20"/>
        </w:rPr>
      </w:pPr>
      <w:r w:rsidRPr="00617F02">
        <w:rPr>
          <w:rStyle w:val="FootnoteReference"/>
          <w:rFonts w:cstheme="minorHAnsi"/>
          <w:sz w:val="20"/>
          <w:szCs w:val="20"/>
        </w:rPr>
        <w:footnoteRef/>
      </w:r>
      <w:r w:rsidRPr="00617F02">
        <w:rPr>
          <w:rFonts w:cstheme="minorHAnsi"/>
          <w:sz w:val="20"/>
          <w:szCs w:val="20"/>
        </w:rPr>
        <w:t xml:space="preserve"> For the same reason, an obligation to take ‘take effective measures against new uploads of illegal content’ was taken out of the original draft</w:t>
      </w:r>
      <w:r w:rsidR="00AA735B" w:rsidRPr="00617F02">
        <w:rPr>
          <w:rFonts w:cstheme="minorHAnsi"/>
          <w:sz w:val="20"/>
          <w:szCs w:val="20"/>
        </w:rPr>
        <w:t>, see</w:t>
      </w:r>
      <w:r w:rsidRPr="00617F02">
        <w:rPr>
          <w:rFonts w:cstheme="minorHAnsi"/>
          <w:sz w:val="20"/>
          <w:szCs w:val="20"/>
        </w:rPr>
        <w:t xml:space="preserve"> </w:t>
      </w:r>
      <w:proofErr w:type="spellStart"/>
      <w:r w:rsidR="00AA735B" w:rsidRPr="00617F02">
        <w:rPr>
          <w:rFonts w:cstheme="minorHAnsi"/>
          <w:sz w:val="20"/>
          <w:szCs w:val="20"/>
        </w:rPr>
        <w:t>W</w:t>
      </w:r>
      <w:r w:rsidRPr="00617F02">
        <w:rPr>
          <w:rFonts w:cstheme="minorHAnsi"/>
          <w:sz w:val="20"/>
          <w:szCs w:val="20"/>
        </w:rPr>
        <w:t>ischmeyer</w:t>
      </w:r>
      <w:proofErr w:type="spellEnd"/>
      <w:r w:rsidRPr="00617F02">
        <w:rPr>
          <w:rFonts w:cstheme="minorHAnsi"/>
          <w:sz w:val="20"/>
          <w:szCs w:val="20"/>
        </w:rPr>
        <w:t xml:space="preserve"> </w:t>
      </w:r>
      <w:r w:rsidR="00AA735B" w:rsidRPr="00617F02">
        <w:rPr>
          <w:rFonts w:cstheme="minorHAnsi"/>
          <w:sz w:val="20"/>
          <w:szCs w:val="20"/>
        </w:rPr>
        <w:t>above n 63,</w:t>
      </w:r>
      <w:r w:rsidRPr="00617F02">
        <w:rPr>
          <w:rFonts w:cstheme="minorHAnsi"/>
          <w:sz w:val="20"/>
          <w:szCs w:val="20"/>
        </w:rPr>
        <w:t xml:space="preserve"> 9; </w:t>
      </w:r>
      <w:r w:rsidR="00AA735B" w:rsidRPr="00617F02">
        <w:rPr>
          <w:rFonts w:cstheme="minorHAnsi"/>
          <w:sz w:val="20"/>
          <w:szCs w:val="20"/>
        </w:rPr>
        <w:t xml:space="preserve">see also </w:t>
      </w:r>
      <w:r w:rsidRPr="00617F02">
        <w:rPr>
          <w:rFonts w:cstheme="minorHAnsi"/>
          <w:sz w:val="20"/>
          <w:szCs w:val="20"/>
        </w:rPr>
        <w:t>13</w:t>
      </w:r>
      <w:r w:rsidR="00AA735B" w:rsidRPr="00617F02">
        <w:rPr>
          <w:rFonts w:cstheme="minorHAnsi"/>
          <w:sz w:val="20"/>
          <w:szCs w:val="20"/>
        </w:rPr>
        <w:t>:</w:t>
      </w:r>
      <w:r w:rsidRPr="00617F02">
        <w:rPr>
          <w:rFonts w:cstheme="minorHAnsi"/>
          <w:sz w:val="20"/>
          <w:szCs w:val="20"/>
        </w:rPr>
        <w:t xml:space="preserve"> social networks already use technology to pre-emptively scan and interpret all content for reasons of fraud detection and risk management, but also to identify relevant content and, not least, to generate ad revenue.</w:t>
      </w:r>
    </w:p>
  </w:footnote>
  <w:footnote w:id="74">
    <w:p w14:paraId="2A05884F" w14:textId="2F4568AD" w:rsidR="00917E67" w:rsidRPr="00617F02" w:rsidRDefault="00917E67" w:rsidP="00C215EC">
      <w:pPr>
        <w:autoSpaceDE w:val="0"/>
        <w:autoSpaceDN w:val="0"/>
        <w:adjustRightInd w:val="0"/>
        <w:spacing w:after="0" w:line="240" w:lineRule="auto"/>
        <w:jc w:val="both"/>
        <w:rPr>
          <w:rFonts w:cstheme="minorHAnsi"/>
          <w:sz w:val="20"/>
          <w:szCs w:val="20"/>
        </w:rPr>
      </w:pPr>
      <w:r w:rsidRPr="00617F02">
        <w:rPr>
          <w:rStyle w:val="FootnoteReference"/>
          <w:rFonts w:cstheme="minorHAnsi"/>
          <w:sz w:val="20"/>
          <w:szCs w:val="20"/>
        </w:rPr>
        <w:footnoteRef/>
      </w:r>
      <w:r w:rsidRPr="00617F02">
        <w:rPr>
          <w:rFonts w:cstheme="minorHAnsi"/>
          <w:sz w:val="20"/>
          <w:szCs w:val="20"/>
        </w:rPr>
        <w:t xml:space="preserve"> For the latest version</w:t>
      </w:r>
      <w:r w:rsidR="00AA735B" w:rsidRPr="00617F02">
        <w:rPr>
          <w:rFonts w:cstheme="minorHAnsi"/>
          <w:sz w:val="20"/>
          <w:szCs w:val="20"/>
        </w:rPr>
        <w:t>:</w:t>
      </w:r>
      <w:r w:rsidRPr="00617F02">
        <w:rPr>
          <w:rFonts w:cstheme="minorHAnsi"/>
          <w:i/>
          <w:iCs/>
          <w:sz w:val="20"/>
          <w:szCs w:val="20"/>
        </w:rPr>
        <w:t xml:space="preserve"> </w:t>
      </w:r>
      <w:proofErr w:type="spellStart"/>
      <w:r w:rsidRPr="00617F02">
        <w:rPr>
          <w:rFonts w:cstheme="minorHAnsi"/>
          <w:sz w:val="20"/>
          <w:szCs w:val="20"/>
        </w:rPr>
        <w:t>Bundesamt</w:t>
      </w:r>
      <w:proofErr w:type="spellEnd"/>
      <w:r w:rsidRPr="00617F02">
        <w:rPr>
          <w:rFonts w:cstheme="minorHAnsi"/>
          <w:sz w:val="20"/>
          <w:szCs w:val="20"/>
        </w:rPr>
        <w:t xml:space="preserve"> </w:t>
      </w:r>
      <w:proofErr w:type="spellStart"/>
      <w:r w:rsidRPr="00617F02">
        <w:rPr>
          <w:rFonts w:cstheme="minorHAnsi"/>
          <w:sz w:val="20"/>
          <w:szCs w:val="20"/>
        </w:rPr>
        <w:t>für</w:t>
      </w:r>
      <w:proofErr w:type="spellEnd"/>
      <w:r w:rsidRPr="00617F02">
        <w:rPr>
          <w:rFonts w:cstheme="minorHAnsi"/>
          <w:sz w:val="20"/>
          <w:szCs w:val="20"/>
        </w:rPr>
        <w:t xml:space="preserve"> </w:t>
      </w:r>
      <w:proofErr w:type="spellStart"/>
      <w:r w:rsidRPr="00617F02">
        <w:rPr>
          <w:rFonts w:cstheme="minorHAnsi"/>
          <w:sz w:val="20"/>
          <w:szCs w:val="20"/>
        </w:rPr>
        <w:t>Justiz</w:t>
      </w:r>
      <w:proofErr w:type="spellEnd"/>
      <w:r w:rsidRPr="00617F02">
        <w:rPr>
          <w:rFonts w:cstheme="minorHAnsi"/>
          <w:sz w:val="20"/>
          <w:szCs w:val="20"/>
        </w:rPr>
        <w:t>, ‘</w:t>
      </w:r>
      <w:proofErr w:type="spellStart"/>
      <w:r w:rsidRPr="00617F02">
        <w:rPr>
          <w:rFonts w:cstheme="minorHAnsi"/>
          <w:sz w:val="20"/>
          <w:szCs w:val="20"/>
        </w:rPr>
        <w:t>Leitlinien</w:t>
      </w:r>
      <w:proofErr w:type="spellEnd"/>
      <w:r w:rsidRPr="00617F02">
        <w:rPr>
          <w:rFonts w:cstheme="minorHAnsi"/>
          <w:sz w:val="20"/>
          <w:szCs w:val="20"/>
        </w:rPr>
        <w:t xml:space="preserve"> </w:t>
      </w:r>
      <w:proofErr w:type="spellStart"/>
      <w:r w:rsidRPr="00617F02">
        <w:rPr>
          <w:rFonts w:cstheme="minorHAnsi"/>
          <w:sz w:val="20"/>
          <w:szCs w:val="20"/>
        </w:rPr>
        <w:t>zur</w:t>
      </w:r>
      <w:proofErr w:type="spellEnd"/>
      <w:r w:rsidRPr="00617F02">
        <w:rPr>
          <w:rFonts w:cstheme="minorHAnsi"/>
          <w:sz w:val="20"/>
          <w:szCs w:val="20"/>
        </w:rPr>
        <w:t xml:space="preserve"> </w:t>
      </w:r>
      <w:proofErr w:type="spellStart"/>
      <w:r w:rsidRPr="00617F02">
        <w:rPr>
          <w:rFonts w:cstheme="minorHAnsi"/>
          <w:sz w:val="20"/>
          <w:szCs w:val="20"/>
        </w:rPr>
        <w:t>Festsetzung</w:t>
      </w:r>
      <w:proofErr w:type="spellEnd"/>
      <w:r w:rsidRPr="00617F02">
        <w:rPr>
          <w:rFonts w:cstheme="minorHAnsi"/>
          <w:sz w:val="20"/>
          <w:szCs w:val="20"/>
        </w:rPr>
        <w:t xml:space="preserve"> von </w:t>
      </w:r>
      <w:proofErr w:type="spellStart"/>
      <w:r w:rsidRPr="00617F02">
        <w:rPr>
          <w:rFonts w:cstheme="minorHAnsi"/>
          <w:sz w:val="20"/>
          <w:szCs w:val="20"/>
        </w:rPr>
        <w:t>Geldbußen</w:t>
      </w:r>
      <w:proofErr w:type="spellEnd"/>
      <w:r w:rsidRPr="00617F02">
        <w:rPr>
          <w:rFonts w:cstheme="minorHAnsi"/>
          <w:sz w:val="20"/>
          <w:szCs w:val="20"/>
        </w:rPr>
        <w:t xml:space="preserve"> </w:t>
      </w:r>
      <w:proofErr w:type="spellStart"/>
      <w:r w:rsidRPr="00617F02">
        <w:rPr>
          <w:rFonts w:cstheme="minorHAnsi"/>
          <w:sz w:val="20"/>
          <w:szCs w:val="20"/>
        </w:rPr>
        <w:t>im</w:t>
      </w:r>
      <w:proofErr w:type="spellEnd"/>
      <w:r w:rsidRPr="00617F02">
        <w:rPr>
          <w:rFonts w:cstheme="minorHAnsi"/>
          <w:sz w:val="20"/>
          <w:szCs w:val="20"/>
        </w:rPr>
        <w:t xml:space="preserve"> </w:t>
      </w:r>
      <w:proofErr w:type="spellStart"/>
      <w:r w:rsidRPr="00617F02">
        <w:rPr>
          <w:rFonts w:cstheme="minorHAnsi"/>
          <w:sz w:val="20"/>
          <w:szCs w:val="20"/>
        </w:rPr>
        <w:t>Bereich</w:t>
      </w:r>
      <w:proofErr w:type="spellEnd"/>
      <w:r w:rsidRPr="00617F02">
        <w:rPr>
          <w:rFonts w:cstheme="minorHAnsi"/>
          <w:sz w:val="20"/>
          <w:szCs w:val="20"/>
        </w:rPr>
        <w:t xml:space="preserve"> des </w:t>
      </w:r>
      <w:proofErr w:type="spellStart"/>
      <w:r w:rsidRPr="00617F02">
        <w:rPr>
          <w:rFonts w:cstheme="minorHAnsi"/>
          <w:sz w:val="20"/>
          <w:szCs w:val="20"/>
        </w:rPr>
        <w:t>Netzwerkdurchsetzungsgesetzes</w:t>
      </w:r>
      <w:proofErr w:type="spellEnd"/>
      <w:r w:rsidRPr="00617F02">
        <w:rPr>
          <w:rFonts w:cstheme="minorHAnsi"/>
          <w:sz w:val="20"/>
          <w:szCs w:val="20"/>
        </w:rPr>
        <w:t xml:space="preserve"> (NetzDG)’ (11 June 2018),</w:t>
      </w:r>
    </w:p>
    <w:p w14:paraId="314B04AF" w14:textId="77777777" w:rsidR="00917E67" w:rsidRPr="00617F02" w:rsidRDefault="00DD552F" w:rsidP="00C215EC">
      <w:pPr>
        <w:pStyle w:val="FootnoteText"/>
        <w:jc w:val="both"/>
        <w:rPr>
          <w:rFonts w:asciiTheme="minorHAnsi" w:hAnsiTheme="minorHAnsi" w:cstheme="minorHAnsi"/>
        </w:rPr>
      </w:pPr>
      <w:hyperlink r:id="rId6" w:history="1">
        <w:r w:rsidR="00917E67" w:rsidRPr="00617F02">
          <w:rPr>
            <w:rStyle w:val="Hyperlink"/>
            <w:rFonts w:asciiTheme="minorHAnsi" w:hAnsiTheme="minorHAnsi" w:cstheme="minorHAnsi"/>
          </w:rPr>
          <w:t>https://www.bundesjustizamt.de/DE/SharedDocs/Publikationen/NetzDG/Leitlinien_Geldbussen_de.pdf</w:t>
        </w:r>
      </w:hyperlink>
      <w:r w:rsidR="00917E67" w:rsidRPr="00617F02">
        <w:rPr>
          <w:rFonts w:asciiTheme="minorHAnsi" w:hAnsiTheme="minorHAnsi" w:cstheme="minorHAnsi"/>
        </w:rPr>
        <w:t xml:space="preserve"> </w:t>
      </w:r>
    </w:p>
  </w:footnote>
  <w:footnote w:id="75">
    <w:p w14:paraId="29AD5AB4" w14:textId="5F7659C1" w:rsidR="00917E67" w:rsidRPr="00617F02" w:rsidRDefault="00917E67" w:rsidP="00C215EC">
      <w:pPr>
        <w:autoSpaceDE w:val="0"/>
        <w:autoSpaceDN w:val="0"/>
        <w:adjustRightInd w:val="0"/>
        <w:spacing w:after="0" w:line="240" w:lineRule="auto"/>
        <w:jc w:val="both"/>
        <w:rPr>
          <w:rFonts w:cstheme="minorHAnsi"/>
          <w:i/>
          <w:iCs/>
          <w:sz w:val="20"/>
          <w:szCs w:val="20"/>
        </w:rPr>
      </w:pPr>
      <w:r w:rsidRPr="00617F02">
        <w:rPr>
          <w:rStyle w:val="FootnoteReference"/>
          <w:rFonts w:cstheme="minorHAnsi"/>
          <w:sz w:val="20"/>
          <w:szCs w:val="20"/>
        </w:rPr>
        <w:footnoteRef/>
      </w:r>
      <w:r w:rsidRPr="00617F02">
        <w:rPr>
          <w:rFonts w:cstheme="minorHAnsi"/>
          <w:sz w:val="20"/>
          <w:szCs w:val="20"/>
        </w:rPr>
        <w:t xml:space="preserve"> On the different modes of self-regulation, see Christopher T. Marsden, </w:t>
      </w:r>
      <w:r w:rsidRPr="00617F02">
        <w:rPr>
          <w:rFonts w:cstheme="minorHAnsi"/>
          <w:i/>
          <w:iCs/>
          <w:sz w:val="20"/>
          <w:szCs w:val="20"/>
        </w:rPr>
        <w:t xml:space="preserve">Internet Co-Regulation: European Law, Regulatory Governance, and Legitimacy in Cyberspace </w:t>
      </w:r>
      <w:r w:rsidRPr="00617F02">
        <w:rPr>
          <w:rFonts w:cstheme="minorHAnsi"/>
          <w:sz w:val="20"/>
          <w:szCs w:val="20"/>
        </w:rPr>
        <w:t xml:space="preserve">(Cambridge: </w:t>
      </w:r>
      <w:r w:rsidR="00AA735B" w:rsidRPr="00617F02">
        <w:rPr>
          <w:rFonts w:cstheme="minorHAnsi"/>
          <w:sz w:val="20"/>
          <w:szCs w:val="20"/>
        </w:rPr>
        <w:t>CUP</w:t>
      </w:r>
      <w:r w:rsidRPr="00617F02">
        <w:rPr>
          <w:rFonts w:cstheme="minorHAnsi"/>
          <w:sz w:val="20"/>
          <w:szCs w:val="20"/>
        </w:rPr>
        <w:t>, 2011) 54</w:t>
      </w:r>
      <w:r w:rsidR="00AA735B" w:rsidRPr="00617F02">
        <w:rPr>
          <w:rFonts w:cstheme="minorHAnsi"/>
          <w:sz w:val="20"/>
          <w:szCs w:val="20"/>
        </w:rPr>
        <w:t>.</w:t>
      </w:r>
    </w:p>
  </w:footnote>
  <w:footnote w:id="76">
    <w:p w14:paraId="25FF7A14" w14:textId="60DC0DEB" w:rsidR="00917E67" w:rsidRPr="00617F02" w:rsidRDefault="00917E67" w:rsidP="00C215EC">
      <w:pPr>
        <w:pStyle w:val="FootnoteText"/>
        <w:jc w:val="both"/>
        <w:rPr>
          <w:rFonts w:asciiTheme="minorHAnsi" w:hAnsiTheme="minorHAnsi" w:cstheme="minorHAnsi"/>
        </w:rPr>
      </w:pPr>
      <w:r w:rsidRPr="00617F02">
        <w:rPr>
          <w:rStyle w:val="FootnoteReference"/>
          <w:rFonts w:asciiTheme="minorHAnsi" w:hAnsiTheme="minorHAnsi" w:cstheme="minorHAnsi"/>
        </w:rPr>
        <w:footnoteRef/>
      </w:r>
      <w:r w:rsidRPr="00617F02">
        <w:rPr>
          <w:rFonts w:asciiTheme="minorHAnsi" w:hAnsiTheme="minorHAnsi" w:cstheme="minorHAnsi"/>
        </w:rPr>
        <w:t xml:space="preserve"> </w:t>
      </w:r>
      <w:r w:rsidR="00AA735B" w:rsidRPr="00617F02">
        <w:rPr>
          <w:rFonts w:asciiTheme="minorHAnsi" w:hAnsiTheme="minorHAnsi" w:cstheme="minorHAnsi"/>
        </w:rPr>
        <w:t>Note, however, that NetzDG does not affect the application of Art 12-15 of the Electronic Commerce Directive 2000/31/EC.</w:t>
      </w:r>
    </w:p>
  </w:footnote>
  <w:footnote w:id="77">
    <w:p w14:paraId="3F8F8090" w14:textId="7659B8FE" w:rsidR="00917E67" w:rsidRPr="00617F02" w:rsidRDefault="00917E67" w:rsidP="00C215EC">
      <w:pPr>
        <w:pStyle w:val="FootnoteText"/>
        <w:jc w:val="both"/>
        <w:rPr>
          <w:rFonts w:asciiTheme="minorHAnsi" w:hAnsiTheme="minorHAnsi" w:cstheme="minorHAnsi"/>
        </w:rPr>
      </w:pPr>
      <w:r w:rsidRPr="00617F02">
        <w:rPr>
          <w:rStyle w:val="FootnoteReference"/>
          <w:rFonts w:asciiTheme="minorHAnsi" w:hAnsiTheme="minorHAnsi" w:cstheme="minorHAnsi"/>
        </w:rPr>
        <w:footnoteRef/>
      </w:r>
      <w:r w:rsidRPr="00617F02">
        <w:rPr>
          <w:rFonts w:asciiTheme="minorHAnsi" w:hAnsiTheme="minorHAnsi" w:cstheme="minorHAnsi"/>
        </w:rPr>
        <w:t xml:space="preserve"> </w:t>
      </w:r>
      <w:r w:rsidR="00AA735B" w:rsidRPr="00617F02">
        <w:rPr>
          <w:rFonts w:asciiTheme="minorHAnsi" w:hAnsiTheme="minorHAnsi" w:cstheme="minorHAnsi"/>
        </w:rPr>
        <w:t>‘</w:t>
      </w:r>
      <w:r w:rsidRPr="00617F02">
        <w:rPr>
          <w:rFonts w:asciiTheme="minorHAnsi" w:hAnsiTheme="minorHAnsi" w:cstheme="minorHAnsi"/>
        </w:rPr>
        <w:t>Europe</w:t>
      </w:r>
      <w:r w:rsidR="00AA735B" w:rsidRPr="00617F02">
        <w:rPr>
          <w:rFonts w:asciiTheme="minorHAnsi" w:hAnsiTheme="minorHAnsi" w:cstheme="minorHAnsi"/>
        </w:rPr>
        <w:t>an’</w:t>
      </w:r>
      <w:r w:rsidRPr="00617F02">
        <w:rPr>
          <w:rFonts w:asciiTheme="minorHAnsi" w:hAnsiTheme="minorHAnsi" w:cstheme="minorHAnsi"/>
        </w:rPr>
        <w:t xml:space="preserve"> and </w:t>
      </w:r>
      <w:r w:rsidR="00AA735B" w:rsidRPr="00617F02">
        <w:rPr>
          <w:rFonts w:asciiTheme="minorHAnsi" w:hAnsiTheme="minorHAnsi" w:cstheme="minorHAnsi"/>
        </w:rPr>
        <w:t>‘</w:t>
      </w:r>
      <w:r w:rsidRPr="00617F02">
        <w:rPr>
          <w:rFonts w:asciiTheme="minorHAnsi" w:hAnsiTheme="minorHAnsi" w:cstheme="minorHAnsi"/>
        </w:rPr>
        <w:t>America</w:t>
      </w:r>
      <w:r w:rsidR="00AA735B" w:rsidRPr="00617F02">
        <w:rPr>
          <w:rFonts w:asciiTheme="minorHAnsi" w:hAnsiTheme="minorHAnsi" w:cstheme="minorHAnsi"/>
        </w:rPr>
        <w:t xml:space="preserve">n’ </w:t>
      </w:r>
      <w:r w:rsidR="004D6D16" w:rsidRPr="00617F02">
        <w:rPr>
          <w:rFonts w:asciiTheme="minorHAnsi" w:hAnsiTheme="minorHAnsi" w:cstheme="minorHAnsi"/>
        </w:rPr>
        <w:t>will be used as a convenient</w:t>
      </w:r>
      <w:r w:rsidR="00AA735B" w:rsidRPr="00617F02">
        <w:rPr>
          <w:rFonts w:asciiTheme="minorHAnsi" w:hAnsiTheme="minorHAnsi" w:cstheme="minorHAnsi"/>
        </w:rPr>
        <w:t xml:space="preserve"> shorthand for the proponents and opponents of hate speech prohibitions. </w:t>
      </w:r>
    </w:p>
  </w:footnote>
  <w:footnote w:id="78">
    <w:p w14:paraId="390E3A3B" w14:textId="4EA0753D" w:rsidR="00917E67" w:rsidRPr="00C215EC" w:rsidRDefault="00917E67" w:rsidP="00C215EC">
      <w:pPr>
        <w:pStyle w:val="FootnoteText"/>
        <w:jc w:val="both"/>
        <w:rPr>
          <w:rFonts w:asciiTheme="minorHAnsi" w:hAnsiTheme="minorHAnsi" w:cstheme="minorHAnsi"/>
        </w:rPr>
      </w:pPr>
      <w:r w:rsidRPr="00617F02">
        <w:rPr>
          <w:rStyle w:val="FootnoteReference"/>
          <w:rFonts w:asciiTheme="minorHAnsi" w:hAnsiTheme="minorHAnsi" w:cstheme="minorHAnsi"/>
        </w:rPr>
        <w:footnoteRef/>
      </w:r>
      <w:r w:rsidRPr="00617F02">
        <w:rPr>
          <w:rFonts w:asciiTheme="minorHAnsi" w:hAnsiTheme="minorHAnsi" w:cstheme="minorHAnsi"/>
        </w:rPr>
        <w:t xml:space="preserve"> </w:t>
      </w:r>
      <w:proofErr w:type="spellStart"/>
      <w:r w:rsidRPr="00617F02">
        <w:rPr>
          <w:rFonts w:asciiTheme="minorHAnsi" w:hAnsiTheme="minorHAnsi" w:cstheme="minorHAnsi"/>
        </w:rPr>
        <w:t>Echikson</w:t>
      </w:r>
      <w:proofErr w:type="spellEnd"/>
      <w:r w:rsidRPr="00617F02">
        <w:rPr>
          <w:rFonts w:asciiTheme="minorHAnsi" w:hAnsiTheme="minorHAnsi" w:cstheme="minorHAnsi"/>
        </w:rPr>
        <w:t xml:space="preserve"> above n 6</w:t>
      </w:r>
      <w:r w:rsidR="00AA735B" w:rsidRPr="00617F02">
        <w:rPr>
          <w:rFonts w:asciiTheme="minorHAnsi" w:hAnsiTheme="minorHAnsi" w:cstheme="minorHAnsi"/>
        </w:rPr>
        <w:t>3</w:t>
      </w:r>
      <w:r w:rsidRPr="00617F02">
        <w:rPr>
          <w:rFonts w:asciiTheme="minorHAnsi" w:hAnsiTheme="minorHAnsi" w:cstheme="minorHAnsi"/>
        </w:rPr>
        <w:t>, 7</w:t>
      </w:r>
      <w:r w:rsidR="004D6D16" w:rsidRPr="00617F02">
        <w:rPr>
          <w:rFonts w:asciiTheme="minorHAnsi" w:hAnsiTheme="minorHAnsi" w:cstheme="minorHAnsi"/>
        </w:rPr>
        <w:t xml:space="preserve">; see </w:t>
      </w:r>
      <w:proofErr w:type="gramStart"/>
      <w:r w:rsidR="004D6D16" w:rsidRPr="00617F02">
        <w:rPr>
          <w:rFonts w:asciiTheme="minorHAnsi" w:hAnsiTheme="minorHAnsi" w:cstheme="minorHAnsi"/>
        </w:rPr>
        <w:t>also</w:t>
      </w:r>
      <w:r w:rsidRPr="00617F02">
        <w:rPr>
          <w:rFonts w:asciiTheme="minorHAnsi" w:hAnsiTheme="minorHAnsi" w:cstheme="minorHAnsi"/>
        </w:rPr>
        <w:t xml:space="preserve">  Molly</w:t>
      </w:r>
      <w:proofErr w:type="gramEnd"/>
      <w:r w:rsidRPr="00617F02">
        <w:rPr>
          <w:rFonts w:asciiTheme="minorHAnsi" w:hAnsiTheme="minorHAnsi" w:cstheme="minorHAnsi"/>
        </w:rPr>
        <w:t xml:space="preserve"> K Land, ‘Against Privatized Censorship:</w:t>
      </w:r>
      <w:r w:rsidRPr="00C215EC">
        <w:rPr>
          <w:rFonts w:asciiTheme="minorHAnsi" w:hAnsiTheme="minorHAnsi" w:cstheme="minorHAnsi"/>
        </w:rPr>
        <w:t xml:space="preserve"> Proposals for Responsible Delegation’ (2020) 60 </w:t>
      </w:r>
      <w:r w:rsidRPr="00C215EC">
        <w:rPr>
          <w:rFonts w:asciiTheme="minorHAnsi" w:hAnsiTheme="minorHAnsi" w:cstheme="minorHAnsi"/>
          <w:i/>
        </w:rPr>
        <w:t xml:space="preserve">Virginia Journal of International Law </w:t>
      </w:r>
      <w:r w:rsidRPr="00C215EC">
        <w:rPr>
          <w:rFonts w:asciiTheme="minorHAnsi" w:hAnsiTheme="minorHAnsi" w:cstheme="minorHAnsi"/>
        </w:rPr>
        <w:t>363.</w:t>
      </w:r>
    </w:p>
  </w:footnote>
  <w:footnote w:id="79">
    <w:p w14:paraId="565603C6" w14:textId="40328E1A" w:rsidR="00917E67" w:rsidRPr="00C215EC" w:rsidRDefault="00917E67" w:rsidP="00C215EC">
      <w:pPr>
        <w:pStyle w:val="FootnoteText"/>
        <w:jc w:val="both"/>
        <w:rPr>
          <w:rFonts w:asciiTheme="minorHAnsi" w:hAnsiTheme="minorHAnsi" w:cstheme="minorHAnsi"/>
        </w:rPr>
      </w:pPr>
      <w:r w:rsidRPr="00C215EC">
        <w:rPr>
          <w:rStyle w:val="FootnoteReference"/>
          <w:rFonts w:asciiTheme="minorHAnsi" w:hAnsiTheme="minorHAnsi" w:cstheme="minorHAnsi"/>
        </w:rPr>
        <w:footnoteRef/>
      </w:r>
      <w:r w:rsidRPr="00C215EC">
        <w:rPr>
          <w:rFonts w:asciiTheme="minorHAnsi" w:hAnsiTheme="minorHAnsi" w:cstheme="minorHAnsi"/>
        </w:rPr>
        <w:t xml:space="preserve"> See </w:t>
      </w:r>
      <w:r w:rsidR="004D6D16" w:rsidRPr="00C215EC">
        <w:rPr>
          <w:rFonts w:asciiTheme="minorHAnsi" w:hAnsiTheme="minorHAnsi" w:cstheme="minorHAnsi"/>
        </w:rPr>
        <w:t xml:space="preserve">also decision of the </w:t>
      </w:r>
      <w:r w:rsidRPr="00C215EC">
        <w:rPr>
          <w:rFonts w:asciiTheme="minorHAnsi" w:hAnsiTheme="minorHAnsi" w:cstheme="minorHAnsi"/>
        </w:rPr>
        <w:t>French</w:t>
      </w:r>
      <w:r w:rsidR="004D6D16" w:rsidRPr="00C215EC">
        <w:rPr>
          <w:rFonts w:asciiTheme="minorHAnsi" w:hAnsiTheme="minorHAnsi" w:cstheme="minorHAnsi"/>
        </w:rPr>
        <w:t xml:space="preserve"> Constitutional Court: </w:t>
      </w:r>
      <w:proofErr w:type="spellStart"/>
      <w:r w:rsidR="004D6D16" w:rsidRPr="00C215EC">
        <w:rPr>
          <w:rFonts w:asciiTheme="minorHAnsi" w:hAnsiTheme="minorHAnsi" w:cstheme="minorHAnsi"/>
        </w:rPr>
        <w:t>Décision</w:t>
      </w:r>
      <w:proofErr w:type="spellEnd"/>
      <w:r w:rsidR="004D6D16" w:rsidRPr="00C215EC">
        <w:rPr>
          <w:rFonts w:asciiTheme="minorHAnsi" w:hAnsiTheme="minorHAnsi" w:cstheme="minorHAnsi"/>
        </w:rPr>
        <w:t xml:space="preserve"> n° 2020-801 DC</w:t>
      </w:r>
      <w:r w:rsidR="004D6D16" w:rsidRPr="00C215EC">
        <w:rPr>
          <w:rStyle w:val="Date2"/>
          <w:rFonts w:asciiTheme="minorHAnsi" w:hAnsiTheme="minorHAnsi" w:cstheme="minorHAnsi"/>
        </w:rPr>
        <w:t xml:space="preserve"> (18 June 2020)</w:t>
      </w:r>
      <w:r w:rsidR="004D6D16" w:rsidRPr="00C215EC">
        <w:rPr>
          <w:rFonts w:asciiTheme="minorHAnsi" w:hAnsiTheme="minorHAnsi" w:cstheme="minorHAnsi"/>
        </w:rPr>
        <w:t xml:space="preserve"> stating that the notice-and-takedown measures violated freedom of expression, particularly considering the very short timeframes within which platforms had to respond to notices. </w:t>
      </w:r>
    </w:p>
  </w:footnote>
  <w:footnote w:id="80">
    <w:p w14:paraId="67E5B5DB" w14:textId="5C11AC8C" w:rsidR="00917E67" w:rsidRPr="00C215EC" w:rsidRDefault="00917E67" w:rsidP="00C215EC">
      <w:pPr>
        <w:pStyle w:val="FootnoteText"/>
        <w:jc w:val="both"/>
        <w:rPr>
          <w:rFonts w:asciiTheme="minorHAnsi" w:hAnsiTheme="minorHAnsi" w:cstheme="minorHAnsi"/>
        </w:rPr>
      </w:pPr>
      <w:r w:rsidRPr="00C215EC">
        <w:rPr>
          <w:rStyle w:val="FootnoteReference"/>
          <w:rFonts w:asciiTheme="minorHAnsi" w:hAnsiTheme="minorHAnsi" w:cstheme="minorHAnsi"/>
        </w:rPr>
        <w:footnoteRef/>
      </w:r>
      <w:r w:rsidRPr="00C215EC">
        <w:rPr>
          <w:rFonts w:asciiTheme="minorHAnsi" w:hAnsiTheme="minorHAnsi" w:cstheme="minorHAnsi"/>
        </w:rPr>
        <w:t xml:space="preserve"> Valid point been made that private companies already block much illegal content </w:t>
      </w:r>
    </w:p>
  </w:footnote>
  <w:footnote w:id="81">
    <w:p w14:paraId="4F66F22C" w14:textId="69033D28" w:rsidR="00917E67" w:rsidRPr="00C215EC" w:rsidRDefault="00917E67" w:rsidP="00C215EC">
      <w:pPr>
        <w:pStyle w:val="FootnoteText"/>
        <w:jc w:val="both"/>
        <w:rPr>
          <w:rFonts w:asciiTheme="minorHAnsi" w:hAnsiTheme="minorHAnsi" w:cstheme="minorHAnsi"/>
        </w:rPr>
      </w:pPr>
      <w:r w:rsidRPr="00C215EC">
        <w:rPr>
          <w:rStyle w:val="FootnoteReference"/>
          <w:rFonts w:asciiTheme="minorHAnsi" w:hAnsiTheme="minorHAnsi" w:cstheme="minorHAnsi"/>
        </w:rPr>
        <w:footnoteRef/>
      </w:r>
      <w:r w:rsidRPr="00C215EC">
        <w:rPr>
          <w:rFonts w:asciiTheme="minorHAnsi" w:hAnsiTheme="minorHAnsi" w:cstheme="minorHAnsi"/>
        </w:rPr>
        <w:t xml:space="preserve"> </w:t>
      </w:r>
      <w:proofErr w:type="spellStart"/>
      <w:r w:rsidRPr="00C215EC">
        <w:rPr>
          <w:rFonts w:asciiTheme="minorHAnsi" w:hAnsiTheme="minorHAnsi" w:cstheme="minorHAnsi"/>
        </w:rPr>
        <w:t>Wischmeyer</w:t>
      </w:r>
      <w:proofErr w:type="spellEnd"/>
      <w:r w:rsidRPr="00C215EC">
        <w:rPr>
          <w:rFonts w:asciiTheme="minorHAnsi" w:hAnsiTheme="minorHAnsi" w:cstheme="minorHAnsi"/>
        </w:rPr>
        <w:t xml:space="preserve"> above n 6</w:t>
      </w:r>
      <w:r w:rsidR="00AA735B" w:rsidRPr="00C215EC">
        <w:rPr>
          <w:rFonts w:asciiTheme="minorHAnsi" w:hAnsiTheme="minorHAnsi" w:cstheme="minorHAnsi"/>
        </w:rPr>
        <w:t>3</w:t>
      </w:r>
      <w:r w:rsidRPr="00C215EC">
        <w:rPr>
          <w:rFonts w:asciiTheme="minorHAnsi" w:hAnsiTheme="minorHAnsi" w:cstheme="minorHAnsi"/>
        </w:rPr>
        <w:t xml:space="preserve">,  </w:t>
      </w:r>
    </w:p>
  </w:footnote>
  <w:footnote w:id="82">
    <w:p w14:paraId="75988388" w14:textId="3C4E1022" w:rsidR="00917E67" w:rsidRPr="00C215EC" w:rsidRDefault="00917E67" w:rsidP="00C215EC">
      <w:pPr>
        <w:pStyle w:val="FootnoteText"/>
        <w:jc w:val="both"/>
        <w:rPr>
          <w:rFonts w:asciiTheme="minorHAnsi" w:hAnsiTheme="minorHAnsi" w:cstheme="minorHAnsi"/>
        </w:rPr>
      </w:pPr>
      <w:r w:rsidRPr="00C215EC">
        <w:rPr>
          <w:rStyle w:val="FootnoteReference"/>
          <w:rFonts w:asciiTheme="minorHAnsi" w:hAnsiTheme="minorHAnsi" w:cstheme="minorHAnsi"/>
        </w:rPr>
        <w:footnoteRef/>
      </w:r>
      <w:r w:rsidRPr="00C215EC">
        <w:rPr>
          <w:rFonts w:asciiTheme="minorHAnsi" w:hAnsiTheme="minorHAnsi" w:cstheme="minorHAnsi"/>
        </w:rPr>
        <w:t xml:space="preserve"> </w:t>
      </w:r>
      <w:proofErr w:type="spellStart"/>
      <w:r w:rsidRPr="00C215EC">
        <w:rPr>
          <w:rFonts w:asciiTheme="minorHAnsi" w:hAnsiTheme="minorHAnsi" w:cstheme="minorHAnsi"/>
        </w:rPr>
        <w:t>Wischmeyer</w:t>
      </w:r>
      <w:proofErr w:type="spellEnd"/>
      <w:r w:rsidRPr="00C215EC">
        <w:rPr>
          <w:rFonts w:asciiTheme="minorHAnsi" w:hAnsiTheme="minorHAnsi" w:cstheme="minorHAnsi"/>
        </w:rPr>
        <w:t xml:space="preserve"> above n 6</w:t>
      </w:r>
      <w:r w:rsidR="00AA735B" w:rsidRPr="00C215EC">
        <w:rPr>
          <w:rFonts w:asciiTheme="minorHAnsi" w:hAnsiTheme="minorHAnsi" w:cstheme="minorHAnsi"/>
        </w:rPr>
        <w:t>3</w:t>
      </w:r>
      <w:r w:rsidRPr="00C215EC">
        <w:rPr>
          <w:rFonts w:asciiTheme="minorHAnsi" w:hAnsiTheme="minorHAnsi" w:cstheme="minorHAnsi"/>
        </w:rPr>
        <w:t xml:space="preserve">, 20 </w:t>
      </w:r>
    </w:p>
  </w:footnote>
  <w:footnote w:id="83">
    <w:p w14:paraId="27B2FD28" w14:textId="39610800" w:rsidR="00917E67" w:rsidRPr="00C215EC" w:rsidRDefault="00917E67" w:rsidP="00C215EC">
      <w:pPr>
        <w:pStyle w:val="FootnoteText"/>
        <w:jc w:val="both"/>
        <w:rPr>
          <w:rFonts w:asciiTheme="minorHAnsi" w:hAnsiTheme="minorHAnsi" w:cstheme="minorHAnsi"/>
        </w:rPr>
      </w:pPr>
      <w:r w:rsidRPr="00C215EC">
        <w:rPr>
          <w:rStyle w:val="FootnoteReference"/>
          <w:rFonts w:asciiTheme="minorHAnsi" w:hAnsiTheme="minorHAnsi" w:cstheme="minorHAnsi"/>
        </w:rPr>
        <w:footnoteRef/>
      </w:r>
      <w:r w:rsidRPr="00C215EC">
        <w:rPr>
          <w:rFonts w:asciiTheme="minorHAnsi" w:hAnsiTheme="minorHAnsi" w:cstheme="minorHAnsi"/>
        </w:rPr>
        <w:t xml:space="preserve"> Such </w:t>
      </w:r>
      <w:r w:rsidR="00356339" w:rsidRPr="00C215EC">
        <w:rPr>
          <w:rFonts w:asciiTheme="minorHAnsi" w:hAnsiTheme="minorHAnsi" w:cstheme="minorHAnsi"/>
        </w:rPr>
        <w:t xml:space="preserve">as the </w:t>
      </w:r>
      <w:r w:rsidRPr="00C215EC">
        <w:rPr>
          <w:rFonts w:asciiTheme="minorHAnsi" w:hAnsiTheme="minorHAnsi" w:cstheme="minorHAnsi"/>
        </w:rPr>
        <w:t xml:space="preserve">obligation to </w:t>
      </w:r>
      <w:r w:rsidR="00AA735B" w:rsidRPr="00C215EC">
        <w:rPr>
          <w:rFonts w:asciiTheme="minorHAnsi" w:hAnsiTheme="minorHAnsi" w:cstheme="minorHAnsi"/>
        </w:rPr>
        <w:t>use independent and competent</w:t>
      </w:r>
      <w:r w:rsidRPr="00C215EC">
        <w:rPr>
          <w:rFonts w:asciiTheme="minorHAnsi" w:hAnsiTheme="minorHAnsi" w:cstheme="minorHAnsi"/>
        </w:rPr>
        <w:t xml:space="preserve"> content reviewers. </w:t>
      </w:r>
    </w:p>
  </w:footnote>
  <w:footnote w:id="84">
    <w:p w14:paraId="4E565A0E" w14:textId="39F3C582" w:rsidR="00917E67" w:rsidRPr="00105BC3" w:rsidRDefault="00917E67" w:rsidP="00C215EC">
      <w:pPr>
        <w:pStyle w:val="FootnoteText"/>
        <w:jc w:val="both"/>
        <w:rPr>
          <w:rFonts w:asciiTheme="minorHAnsi" w:hAnsiTheme="minorHAnsi" w:cstheme="minorHAnsi"/>
        </w:rPr>
      </w:pPr>
      <w:r w:rsidRPr="00105BC3">
        <w:rPr>
          <w:rStyle w:val="FootnoteReference"/>
          <w:rFonts w:asciiTheme="minorHAnsi" w:hAnsiTheme="minorHAnsi" w:cstheme="minorHAnsi"/>
        </w:rPr>
        <w:footnoteRef/>
      </w:r>
      <w:r w:rsidRPr="00105BC3">
        <w:rPr>
          <w:rFonts w:asciiTheme="minorHAnsi" w:hAnsiTheme="minorHAnsi" w:cstheme="minorHAnsi"/>
        </w:rPr>
        <w:t xml:space="preserve"> </w:t>
      </w:r>
      <w:proofErr w:type="spellStart"/>
      <w:r w:rsidRPr="00105BC3">
        <w:rPr>
          <w:rFonts w:asciiTheme="minorHAnsi" w:hAnsiTheme="minorHAnsi" w:cstheme="minorHAnsi"/>
        </w:rPr>
        <w:t>Wischmeyer</w:t>
      </w:r>
      <w:proofErr w:type="spellEnd"/>
      <w:r w:rsidRPr="00105BC3">
        <w:rPr>
          <w:rFonts w:asciiTheme="minorHAnsi" w:hAnsiTheme="minorHAnsi" w:cstheme="minorHAnsi"/>
        </w:rPr>
        <w:t xml:space="preserve"> above n 6</w:t>
      </w:r>
      <w:r w:rsidR="004D6D16" w:rsidRPr="00105BC3">
        <w:rPr>
          <w:rFonts w:asciiTheme="minorHAnsi" w:hAnsiTheme="minorHAnsi" w:cstheme="minorHAnsi"/>
        </w:rPr>
        <w:t>3</w:t>
      </w:r>
      <w:r w:rsidRPr="00105BC3">
        <w:rPr>
          <w:rFonts w:asciiTheme="minorHAnsi" w:hAnsiTheme="minorHAnsi" w:cstheme="minorHAnsi"/>
        </w:rPr>
        <w:t xml:space="preserve">, 15. </w:t>
      </w:r>
    </w:p>
  </w:footnote>
  <w:footnote w:id="85">
    <w:p w14:paraId="3D6CBE4E" w14:textId="421A5341" w:rsidR="00917E67" w:rsidRPr="00C215EC" w:rsidRDefault="00917E67" w:rsidP="00C215EC">
      <w:pPr>
        <w:autoSpaceDE w:val="0"/>
        <w:autoSpaceDN w:val="0"/>
        <w:adjustRightInd w:val="0"/>
        <w:spacing w:after="0" w:line="240" w:lineRule="auto"/>
        <w:jc w:val="both"/>
        <w:rPr>
          <w:rFonts w:cstheme="minorHAnsi"/>
          <w:sz w:val="20"/>
          <w:szCs w:val="20"/>
        </w:rPr>
      </w:pPr>
      <w:r w:rsidRPr="00105BC3">
        <w:rPr>
          <w:rStyle w:val="FootnoteReference"/>
          <w:rFonts w:cstheme="minorHAnsi"/>
          <w:sz w:val="20"/>
          <w:szCs w:val="20"/>
        </w:rPr>
        <w:footnoteRef/>
      </w:r>
      <w:r w:rsidRPr="00105BC3">
        <w:rPr>
          <w:rFonts w:cstheme="minorHAnsi"/>
          <w:sz w:val="20"/>
          <w:szCs w:val="20"/>
        </w:rPr>
        <w:t xml:space="preserve"> Eifert above n </w:t>
      </w:r>
      <w:r w:rsidR="004D6D16" w:rsidRPr="00105BC3">
        <w:rPr>
          <w:rFonts w:cstheme="minorHAnsi"/>
          <w:sz w:val="20"/>
          <w:szCs w:val="20"/>
        </w:rPr>
        <w:t>12</w:t>
      </w:r>
      <w:r w:rsidRPr="00105BC3">
        <w:rPr>
          <w:rFonts w:cstheme="minorHAnsi"/>
          <w:sz w:val="20"/>
          <w:szCs w:val="20"/>
        </w:rPr>
        <w:t>, 1451</w:t>
      </w:r>
      <w:r w:rsidR="00F27265" w:rsidRPr="00105BC3">
        <w:rPr>
          <w:rFonts w:cstheme="minorHAnsi"/>
          <w:sz w:val="20"/>
          <w:szCs w:val="20"/>
        </w:rPr>
        <w:t>. See also s.3b(4) which states that the judicial avenue to challenge a decision by a platform is unaffected</w:t>
      </w:r>
      <w:r w:rsidR="00F27265">
        <w:rPr>
          <w:rFonts w:cstheme="minorHAnsi"/>
          <w:sz w:val="20"/>
          <w:szCs w:val="20"/>
        </w:rPr>
        <w:t xml:space="preserve"> by the Act. </w:t>
      </w:r>
    </w:p>
  </w:footnote>
  <w:footnote w:id="86">
    <w:p w14:paraId="1E2C68B6" w14:textId="0C36BEF1" w:rsidR="00917E67" w:rsidRPr="00C215EC" w:rsidRDefault="00917E67" w:rsidP="00C215EC">
      <w:pPr>
        <w:pStyle w:val="FootnoteText"/>
        <w:jc w:val="both"/>
        <w:rPr>
          <w:rFonts w:asciiTheme="minorHAnsi" w:hAnsiTheme="minorHAnsi" w:cstheme="minorHAnsi"/>
        </w:rPr>
      </w:pPr>
      <w:r w:rsidRPr="00C215EC">
        <w:rPr>
          <w:rStyle w:val="FootnoteReference"/>
          <w:rFonts w:asciiTheme="minorHAnsi" w:hAnsiTheme="minorHAnsi" w:cstheme="minorHAnsi"/>
        </w:rPr>
        <w:footnoteRef/>
      </w:r>
      <w:r w:rsidR="009F5BD2">
        <w:rPr>
          <w:rFonts w:asciiTheme="minorHAnsi" w:hAnsiTheme="minorHAnsi" w:cstheme="minorHAnsi"/>
        </w:rPr>
        <w:t xml:space="preserve"> For a conception of contract law as a (convenient) regulatory device:</w:t>
      </w:r>
      <w:r w:rsidRPr="00C215EC">
        <w:rPr>
          <w:rFonts w:asciiTheme="minorHAnsi" w:hAnsiTheme="minorHAnsi" w:cstheme="minorHAnsi"/>
        </w:rPr>
        <w:t xml:space="preserve"> Aditi </w:t>
      </w:r>
      <w:proofErr w:type="spellStart"/>
      <w:r w:rsidRPr="00C215EC">
        <w:rPr>
          <w:rFonts w:asciiTheme="minorHAnsi" w:hAnsiTheme="minorHAnsi" w:cstheme="minorHAnsi"/>
        </w:rPr>
        <w:t>Bagchi</w:t>
      </w:r>
      <w:proofErr w:type="spellEnd"/>
      <w:r w:rsidRPr="00C215EC">
        <w:rPr>
          <w:rFonts w:asciiTheme="minorHAnsi" w:hAnsiTheme="minorHAnsi" w:cstheme="minorHAnsi"/>
        </w:rPr>
        <w:t xml:space="preserve">, ‘Interpreting Contract in a Regulatory State’ (2020) 54 </w:t>
      </w:r>
      <w:r w:rsidRPr="00C215EC">
        <w:rPr>
          <w:rFonts w:asciiTheme="minorHAnsi" w:hAnsiTheme="minorHAnsi" w:cstheme="minorHAnsi"/>
          <w:i/>
          <w:iCs/>
        </w:rPr>
        <w:t>University of San Francisco Law Review</w:t>
      </w:r>
      <w:r w:rsidRPr="00C215EC">
        <w:rPr>
          <w:rFonts w:asciiTheme="minorHAnsi" w:hAnsiTheme="minorHAnsi" w:cstheme="minorHAnsi"/>
        </w:rPr>
        <w:t xml:space="preserve"> 35. </w:t>
      </w:r>
    </w:p>
  </w:footnote>
  <w:footnote w:id="87">
    <w:p w14:paraId="42DDE8BA" w14:textId="1FEFAA87" w:rsidR="00917E67" w:rsidRPr="00C215EC" w:rsidRDefault="00917E67" w:rsidP="00C215EC">
      <w:pPr>
        <w:pStyle w:val="FootnoteText"/>
        <w:jc w:val="both"/>
        <w:rPr>
          <w:rFonts w:asciiTheme="minorHAnsi" w:hAnsiTheme="minorHAnsi" w:cstheme="minorHAnsi"/>
        </w:rPr>
      </w:pPr>
      <w:r w:rsidRPr="00C215EC">
        <w:rPr>
          <w:rStyle w:val="FootnoteReference"/>
          <w:rFonts w:asciiTheme="minorHAnsi" w:hAnsiTheme="minorHAnsi" w:cstheme="minorHAnsi"/>
        </w:rPr>
        <w:footnoteRef/>
      </w:r>
      <w:r w:rsidRPr="00C215EC">
        <w:rPr>
          <w:rFonts w:asciiTheme="minorHAnsi" w:hAnsiTheme="minorHAnsi" w:cstheme="minorHAnsi"/>
        </w:rPr>
        <w:t xml:space="preserve"> </w:t>
      </w:r>
      <w:proofErr w:type="spellStart"/>
      <w:r w:rsidRPr="00C215EC">
        <w:rPr>
          <w:rFonts w:asciiTheme="minorHAnsi" w:hAnsiTheme="minorHAnsi" w:cstheme="minorHAnsi"/>
        </w:rPr>
        <w:t>Wischemeyer</w:t>
      </w:r>
      <w:proofErr w:type="spellEnd"/>
      <w:r w:rsidRPr="00C215EC">
        <w:rPr>
          <w:rFonts w:asciiTheme="minorHAnsi" w:hAnsiTheme="minorHAnsi" w:cstheme="minorHAnsi"/>
        </w:rPr>
        <w:t xml:space="preserve"> above n 6</w:t>
      </w:r>
      <w:r w:rsidR="004D6D16" w:rsidRPr="00C215EC">
        <w:rPr>
          <w:rFonts w:asciiTheme="minorHAnsi" w:hAnsiTheme="minorHAnsi" w:cstheme="minorHAnsi"/>
        </w:rPr>
        <w:t>3</w:t>
      </w:r>
      <w:r w:rsidRPr="00C215EC">
        <w:rPr>
          <w:rFonts w:asciiTheme="minorHAnsi" w:hAnsiTheme="minorHAnsi" w:cstheme="minorHAnsi"/>
        </w:rPr>
        <w:t>, 17</w:t>
      </w:r>
      <w:r w:rsidR="00605C58" w:rsidRPr="00C215EC">
        <w:rPr>
          <w:rFonts w:asciiTheme="minorHAnsi" w:hAnsiTheme="minorHAnsi" w:cstheme="minorHAnsi"/>
        </w:rPr>
        <w:t>.</w:t>
      </w:r>
    </w:p>
  </w:footnote>
  <w:footnote w:id="88">
    <w:p w14:paraId="1E124296" w14:textId="2CFC7E5F" w:rsidR="000B1A20" w:rsidRPr="00C215EC" w:rsidRDefault="000B1A20" w:rsidP="00C215EC">
      <w:pPr>
        <w:pStyle w:val="FootnoteText"/>
        <w:jc w:val="both"/>
        <w:rPr>
          <w:rFonts w:asciiTheme="minorHAnsi" w:hAnsiTheme="minorHAnsi" w:cstheme="minorHAnsi"/>
        </w:rPr>
      </w:pPr>
      <w:r w:rsidRPr="00C215EC">
        <w:rPr>
          <w:rStyle w:val="FootnoteReference"/>
          <w:rFonts w:asciiTheme="minorHAnsi" w:hAnsiTheme="minorHAnsi" w:cstheme="minorHAnsi"/>
        </w:rPr>
        <w:footnoteRef/>
      </w:r>
      <w:r w:rsidRPr="00C215EC">
        <w:rPr>
          <w:rFonts w:asciiTheme="minorHAnsi" w:hAnsiTheme="minorHAnsi" w:cstheme="minorHAnsi"/>
        </w:rPr>
        <w:t xml:space="preserve"> Eifert above n 12, 1451. </w:t>
      </w:r>
    </w:p>
  </w:footnote>
  <w:footnote w:id="89">
    <w:p w14:paraId="0E09E50B" w14:textId="77777777" w:rsidR="00EC7F42" w:rsidRPr="00C215EC" w:rsidRDefault="00EC7F42" w:rsidP="00EC7F42">
      <w:pPr>
        <w:pStyle w:val="FootnoteText"/>
        <w:jc w:val="both"/>
        <w:rPr>
          <w:rFonts w:asciiTheme="minorHAnsi" w:hAnsiTheme="minorHAnsi" w:cstheme="minorHAnsi"/>
        </w:rPr>
      </w:pPr>
      <w:r w:rsidRPr="00C215EC">
        <w:rPr>
          <w:rStyle w:val="FootnoteReference"/>
          <w:rFonts w:asciiTheme="minorHAnsi" w:hAnsiTheme="minorHAnsi" w:cstheme="minorHAnsi"/>
        </w:rPr>
        <w:footnoteRef/>
      </w:r>
      <w:r w:rsidRPr="00C215EC">
        <w:rPr>
          <w:rFonts w:asciiTheme="minorHAnsi" w:hAnsiTheme="minorHAnsi" w:cstheme="minorHAnsi"/>
        </w:rPr>
        <w:t xml:space="preserve"> All secondary liability based on notice of the wrongdoing incentivises the ‘publisher’ to make a judgment about the </w:t>
      </w:r>
      <w:r>
        <w:rPr>
          <w:rFonts w:asciiTheme="minorHAnsi" w:hAnsiTheme="minorHAnsi" w:cstheme="minorHAnsi"/>
        </w:rPr>
        <w:t xml:space="preserve">presence </w:t>
      </w:r>
      <w:r w:rsidRPr="00C215EC">
        <w:rPr>
          <w:rFonts w:asciiTheme="minorHAnsi" w:hAnsiTheme="minorHAnsi" w:cstheme="minorHAnsi"/>
        </w:rPr>
        <w:t xml:space="preserve">of the wrongdoing by the primary author and act upon it, as is common in defamation and IP law. </w:t>
      </w:r>
      <w:r>
        <w:rPr>
          <w:rFonts w:asciiTheme="minorHAnsi" w:hAnsiTheme="minorHAnsi" w:cstheme="minorHAnsi"/>
        </w:rPr>
        <w:t>T</w:t>
      </w:r>
      <w:r w:rsidRPr="00C215EC">
        <w:rPr>
          <w:rFonts w:asciiTheme="minorHAnsi" w:hAnsiTheme="minorHAnsi" w:cstheme="minorHAnsi"/>
        </w:rPr>
        <w:t xml:space="preserve">he ‘right to be forgotten’ in </w:t>
      </w:r>
      <w:r w:rsidRPr="00C215EC">
        <w:rPr>
          <w:rFonts w:asciiTheme="minorHAnsi" w:hAnsiTheme="minorHAnsi" w:cstheme="minorHAnsi"/>
          <w:i/>
          <w:iCs/>
        </w:rPr>
        <w:t xml:space="preserve">Google Spain SL and Google Inc v </w:t>
      </w:r>
      <w:proofErr w:type="spellStart"/>
      <w:r w:rsidRPr="00C215EC">
        <w:rPr>
          <w:rFonts w:asciiTheme="minorHAnsi" w:hAnsiTheme="minorHAnsi" w:cstheme="minorHAnsi"/>
          <w:i/>
          <w:iCs/>
        </w:rPr>
        <w:t>Agencia</w:t>
      </w:r>
      <w:proofErr w:type="spellEnd"/>
      <w:r w:rsidRPr="00C215EC">
        <w:rPr>
          <w:rFonts w:asciiTheme="minorHAnsi" w:hAnsiTheme="minorHAnsi" w:cstheme="minorHAnsi"/>
          <w:i/>
          <w:iCs/>
        </w:rPr>
        <w:t xml:space="preserve"> Española de </w:t>
      </w:r>
      <w:proofErr w:type="spellStart"/>
      <w:r w:rsidRPr="00C215EC">
        <w:rPr>
          <w:rFonts w:asciiTheme="minorHAnsi" w:hAnsiTheme="minorHAnsi" w:cstheme="minorHAnsi"/>
          <w:i/>
          <w:iCs/>
        </w:rPr>
        <w:t>Protección</w:t>
      </w:r>
      <w:proofErr w:type="spellEnd"/>
      <w:r w:rsidRPr="00C215EC">
        <w:rPr>
          <w:rFonts w:asciiTheme="minorHAnsi" w:hAnsiTheme="minorHAnsi" w:cstheme="minorHAnsi"/>
          <w:i/>
          <w:iCs/>
        </w:rPr>
        <w:t xml:space="preserve"> de </w:t>
      </w:r>
      <w:proofErr w:type="spellStart"/>
      <w:r w:rsidRPr="00C215EC">
        <w:rPr>
          <w:rFonts w:asciiTheme="minorHAnsi" w:hAnsiTheme="minorHAnsi" w:cstheme="minorHAnsi"/>
          <w:i/>
          <w:iCs/>
        </w:rPr>
        <w:t>Datos</w:t>
      </w:r>
      <w:proofErr w:type="spellEnd"/>
      <w:r w:rsidRPr="00C215EC">
        <w:rPr>
          <w:rFonts w:asciiTheme="minorHAnsi" w:hAnsiTheme="minorHAnsi" w:cstheme="minorHAnsi"/>
          <w:i/>
          <w:iCs/>
        </w:rPr>
        <w:t xml:space="preserve"> (AEPD) and Mario Costeja González </w:t>
      </w:r>
      <w:r w:rsidRPr="00C215EC">
        <w:rPr>
          <w:rFonts w:asciiTheme="minorHAnsi" w:hAnsiTheme="minorHAnsi" w:cstheme="minorHAnsi"/>
        </w:rPr>
        <w:t>C</w:t>
      </w:r>
      <w:r w:rsidRPr="00C215EC">
        <w:rPr>
          <w:rFonts w:asciiTheme="minorHAnsi" w:hAnsiTheme="minorHAnsi" w:cstheme="minorHAnsi"/>
        </w:rPr>
        <w:noBreakHyphen/>
        <w:t>131/12 [2014] CJEU,</w:t>
      </w:r>
      <w:r>
        <w:rPr>
          <w:rFonts w:asciiTheme="minorHAnsi" w:hAnsiTheme="minorHAnsi" w:cstheme="minorHAnsi"/>
        </w:rPr>
        <w:t xml:space="preserve"> </w:t>
      </w:r>
      <w:r w:rsidRPr="00C215EC">
        <w:rPr>
          <w:rFonts w:asciiTheme="minorHAnsi" w:hAnsiTheme="minorHAnsi" w:cstheme="minorHAnsi"/>
        </w:rPr>
        <w:t>GC EU:C:2014:317 imposed adjudicative and takedown responsibility on data controllers, such as Google</w:t>
      </w:r>
      <w:r>
        <w:rPr>
          <w:rFonts w:asciiTheme="minorHAnsi" w:hAnsiTheme="minorHAnsi" w:cstheme="minorHAnsi"/>
        </w:rPr>
        <w:t xml:space="preserve"> (see now </w:t>
      </w:r>
      <w:r w:rsidRPr="00C215EC">
        <w:rPr>
          <w:rFonts w:asciiTheme="minorHAnsi" w:hAnsiTheme="minorHAnsi" w:cstheme="minorHAnsi"/>
        </w:rPr>
        <w:t>Art 17 of the GDPR</w:t>
      </w:r>
      <w:r>
        <w:rPr>
          <w:rFonts w:asciiTheme="minorHAnsi" w:hAnsiTheme="minorHAnsi" w:cstheme="minorHAnsi"/>
        </w:rPr>
        <w:t xml:space="preserve"> </w:t>
      </w:r>
      <w:r>
        <w:t>2016/679</w:t>
      </w:r>
      <w:r>
        <w:rPr>
          <w:rFonts w:asciiTheme="minorHAnsi" w:hAnsiTheme="minorHAnsi" w:cstheme="minorHAnsi"/>
        </w:rPr>
        <w:t>)</w:t>
      </w:r>
      <w:r w:rsidRPr="00C215EC">
        <w:rPr>
          <w:rFonts w:asciiTheme="minorHAnsi" w:hAnsiTheme="minorHAnsi" w:cstheme="minorHAnsi"/>
        </w:rPr>
        <w:t xml:space="preserve">. </w:t>
      </w:r>
    </w:p>
  </w:footnote>
  <w:footnote w:id="90">
    <w:p w14:paraId="75E986B3" w14:textId="0C3B6B0F" w:rsidR="00917E67" w:rsidRPr="00C215EC" w:rsidRDefault="00917E67" w:rsidP="00C215EC">
      <w:pPr>
        <w:pStyle w:val="FootnoteText"/>
        <w:jc w:val="both"/>
        <w:rPr>
          <w:rFonts w:asciiTheme="minorHAnsi" w:hAnsiTheme="minorHAnsi" w:cstheme="minorHAnsi"/>
        </w:rPr>
      </w:pPr>
      <w:r w:rsidRPr="00C215EC">
        <w:rPr>
          <w:rStyle w:val="FootnoteReference"/>
          <w:rFonts w:asciiTheme="minorHAnsi" w:hAnsiTheme="minorHAnsi" w:cstheme="minorHAnsi"/>
        </w:rPr>
        <w:footnoteRef/>
      </w:r>
      <w:r w:rsidR="00EC7F42">
        <w:rPr>
          <w:rFonts w:asciiTheme="minorHAnsi" w:hAnsiTheme="minorHAnsi" w:cstheme="minorHAnsi"/>
        </w:rPr>
        <w:t xml:space="preserve"> Most recently, see </w:t>
      </w:r>
      <w:proofErr w:type="spellStart"/>
      <w:r w:rsidR="00EC7F42" w:rsidRPr="00C215EC">
        <w:rPr>
          <w:rFonts w:asciiTheme="minorHAnsi" w:hAnsiTheme="minorHAnsi" w:cstheme="minorHAnsi"/>
          <w:i/>
          <w:iCs/>
        </w:rPr>
        <w:t>Stadiumban</w:t>
      </w:r>
      <w:proofErr w:type="spellEnd"/>
      <w:r w:rsidR="00EC7F42" w:rsidRPr="00C215EC">
        <w:rPr>
          <w:rFonts w:asciiTheme="minorHAnsi" w:hAnsiTheme="minorHAnsi" w:cstheme="minorHAnsi"/>
          <w:i/>
          <w:iCs/>
        </w:rPr>
        <w:t xml:space="preserve"> </w:t>
      </w:r>
      <w:r w:rsidR="00EC7F42" w:rsidRPr="00C215EC">
        <w:rPr>
          <w:rFonts w:asciiTheme="minorHAnsi" w:hAnsiTheme="minorHAnsi" w:cstheme="minorHAnsi"/>
        </w:rPr>
        <w:t xml:space="preserve">1 </w:t>
      </w:r>
      <w:proofErr w:type="spellStart"/>
      <w:r w:rsidR="00EC7F42" w:rsidRPr="00C215EC">
        <w:rPr>
          <w:rFonts w:asciiTheme="minorHAnsi" w:hAnsiTheme="minorHAnsi" w:cstheme="minorHAnsi"/>
        </w:rPr>
        <w:t>BvR</w:t>
      </w:r>
      <w:proofErr w:type="spellEnd"/>
      <w:r w:rsidR="00EC7F42" w:rsidRPr="00C215EC">
        <w:rPr>
          <w:rFonts w:asciiTheme="minorHAnsi" w:hAnsiTheme="minorHAnsi" w:cstheme="minorHAnsi"/>
        </w:rPr>
        <w:t xml:space="preserve"> 3080/09</w:t>
      </w:r>
      <w:r w:rsidR="00EC7F42" w:rsidRPr="00C215EC">
        <w:rPr>
          <w:rFonts w:asciiTheme="minorHAnsi" w:hAnsiTheme="minorHAnsi" w:cstheme="minorHAnsi"/>
          <w:i/>
          <w:iCs/>
        </w:rPr>
        <w:t xml:space="preserve"> </w:t>
      </w:r>
      <w:r w:rsidR="00EC7F42" w:rsidRPr="00C215EC">
        <w:rPr>
          <w:rFonts w:asciiTheme="minorHAnsi" w:hAnsiTheme="minorHAnsi" w:cstheme="minorHAnsi"/>
        </w:rPr>
        <w:t xml:space="preserve">[2018] </w:t>
      </w:r>
      <w:proofErr w:type="spellStart"/>
      <w:r w:rsidR="00EC7F42" w:rsidRPr="00C215EC">
        <w:rPr>
          <w:rFonts w:asciiTheme="minorHAnsi" w:hAnsiTheme="minorHAnsi" w:cstheme="minorHAnsi"/>
        </w:rPr>
        <w:t>BVerfG</w:t>
      </w:r>
      <w:proofErr w:type="spellEnd"/>
      <w:r w:rsidR="00EC7F42" w:rsidRPr="00C215EC">
        <w:rPr>
          <w:rFonts w:asciiTheme="minorHAnsi" w:hAnsiTheme="minorHAnsi" w:cstheme="minorHAnsi"/>
        </w:rPr>
        <w:t xml:space="preserve"> ECLI:</w:t>
      </w:r>
      <w:proofErr w:type="gramStart"/>
      <w:r w:rsidR="00EC7F42" w:rsidRPr="00C215EC">
        <w:rPr>
          <w:rFonts w:asciiTheme="minorHAnsi" w:hAnsiTheme="minorHAnsi" w:cstheme="minorHAnsi"/>
        </w:rPr>
        <w:t>DE:BVerfG</w:t>
      </w:r>
      <w:proofErr w:type="gramEnd"/>
      <w:r w:rsidR="00EC7F42" w:rsidRPr="00C215EC">
        <w:rPr>
          <w:rFonts w:asciiTheme="minorHAnsi" w:hAnsiTheme="minorHAnsi" w:cstheme="minorHAnsi"/>
        </w:rPr>
        <w:t>:2018:rs20180411.1bvr308009</w:t>
      </w:r>
      <w:r w:rsidR="00EC7F42">
        <w:rPr>
          <w:rFonts w:asciiTheme="minorHAnsi" w:hAnsiTheme="minorHAnsi" w:cstheme="minorHAnsi"/>
        </w:rPr>
        <w:t xml:space="preserve"> on the </w:t>
      </w:r>
      <w:r w:rsidR="00D4622C">
        <w:rPr>
          <w:rFonts w:asciiTheme="minorHAnsi" w:hAnsiTheme="minorHAnsi" w:cstheme="minorHAnsi"/>
        </w:rPr>
        <w:t xml:space="preserve">limitations of the </w:t>
      </w:r>
      <w:r w:rsidR="00EC7F42">
        <w:rPr>
          <w:rFonts w:asciiTheme="minorHAnsi" w:hAnsiTheme="minorHAnsi" w:cstheme="minorHAnsi"/>
        </w:rPr>
        <w:t>horizontal effect of basic rights</w:t>
      </w:r>
      <w:r w:rsidR="00D4622C">
        <w:rPr>
          <w:rFonts w:asciiTheme="minorHAnsi" w:hAnsiTheme="minorHAnsi" w:cstheme="minorHAnsi"/>
        </w:rPr>
        <w:t xml:space="preserve">. See also </w:t>
      </w:r>
      <w:r w:rsidR="0043576B" w:rsidRPr="00C215EC">
        <w:rPr>
          <w:rFonts w:asciiTheme="minorHAnsi" w:hAnsiTheme="minorHAnsi" w:cstheme="minorHAnsi"/>
        </w:rPr>
        <w:t xml:space="preserve">Eifert above n 12, 1451. </w:t>
      </w:r>
    </w:p>
  </w:footnote>
  <w:footnote w:id="91">
    <w:p w14:paraId="1CB87B58" w14:textId="3A90E36C" w:rsidR="00917E67" w:rsidRPr="00C215EC" w:rsidRDefault="00917E67" w:rsidP="00C215EC">
      <w:pPr>
        <w:pStyle w:val="FootnoteText"/>
        <w:jc w:val="both"/>
        <w:rPr>
          <w:rFonts w:asciiTheme="minorHAnsi" w:hAnsiTheme="minorHAnsi" w:cstheme="minorHAnsi"/>
        </w:rPr>
      </w:pPr>
      <w:r w:rsidRPr="00C215EC">
        <w:rPr>
          <w:rStyle w:val="FootnoteReference"/>
          <w:rFonts w:asciiTheme="minorHAnsi" w:hAnsiTheme="minorHAnsi" w:cstheme="minorHAnsi"/>
        </w:rPr>
        <w:footnoteRef/>
      </w:r>
      <w:r w:rsidRPr="00C215EC">
        <w:rPr>
          <w:rFonts w:asciiTheme="minorHAnsi" w:hAnsiTheme="minorHAnsi" w:cstheme="minorHAnsi"/>
        </w:rPr>
        <w:t xml:space="preserve"> </w:t>
      </w:r>
      <w:r w:rsidR="000B1A20" w:rsidRPr="00C215EC">
        <w:rPr>
          <w:rFonts w:asciiTheme="minorHAnsi" w:hAnsiTheme="minorHAnsi" w:cstheme="minorHAnsi"/>
        </w:rPr>
        <w:t>Most prominently Art 14 of the Electronic Commerce Directive</w:t>
      </w:r>
      <w:r w:rsidR="000B4D78">
        <w:rPr>
          <w:rFonts w:asciiTheme="minorHAnsi" w:hAnsiTheme="minorHAnsi" w:cstheme="minorHAnsi"/>
        </w:rPr>
        <w:t xml:space="preserve"> </w:t>
      </w:r>
      <w:r w:rsidR="000B4D78">
        <w:t>2000/31/EC</w:t>
      </w:r>
      <w:r w:rsidR="0099406E">
        <w:rPr>
          <w:rFonts w:asciiTheme="minorHAnsi" w:hAnsiTheme="minorHAnsi" w:cstheme="minorHAnsi"/>
        </w:rPr>
        <w:t>, but see also s.1(1) of the Defamation Act 1996 (UK)</w:t>
      </w:r>
      <w:r w:rsidR="000B4D78">
        <w:rPr>
          <w:rFonts w:asciiTheme="minorHAnsi" w:hAnsiTheme="minorHAnsi" w:cstheme="minorHAnsi"/>
        </w:rPr>
        <w:t xml:space="preserve"> or Art 8(3) of the Copyright Directive </w:t>
      </w:r>
      <w:r w:rsidR="000B4D78">
        <w:t>2001/29/EC.</w:t>
      </w:r>
    </w:p>
  </w:footnote>
  <w:footnote w:id="92">
    <w:p w14:paraId="5BA8AB35" w14:textId="26E10848" w:rsidR="00917E67" w:rsidRPr="00C215EC" w:rsidRDefault="00917E67" w:rsidP="00C215EC">
      <w:pPr>
        <w:pStyle w:val="FootnoteText"/>
        <w:jc w:val="both"/>
        <w:rPr>
          <w:rFonts w:asciiTheme="minorHAnsi" w:hAnsiTheme="minorHAnsi" w:cstheme="minorHAnsi"/>
        </w:rPr>
      </w:pPr>
      <w:r w:rsidRPr="00C215EC">
        <w:rPr>
          <w:rStyle w:val="FootnoteReference"/>
          <w:rFonts w:asciiTheme="minorHAnsi" w:hAnsiTheme="minorHAnsi" w:cstheme="minorHAnsi"/>
        </w:rPr>
        <w:footnoteRef/>
      </w:r>
      <w:r w:rsidRPr="00C215EC">
        <w:rPr>
          <w:rFonts w:asciiTheme="minorHAnsi" w:hAnsiTheme="minorHAnsi" w:cstheme="minorHAnsi"/>
        </w:rPr>
        <w:t xml:space="preserve"> </w:t>
      </w:r>
      <w:proofErr w:type="spellStart"/>
      <w:r w:rsidRPr="00C215EC">
        <w:rPr>
          <w:rFonts w:asciiTheme="minorHAnsi" w:hAnsiTheme="minorHAnsi" w:cstheme="minorHAnsi"/>
        </w:rPr>
        <w:t>Wischmeyer</w:t>
      </w:r>
      <w:proofErr w:type="spellEnd"/>
      <w:r w:rsidRPr="00C215EC">
        <w:rPr>
          <w:rFonts w:asciiTheme="minorHAnsi" w:hAnsiTheme="minorHAnsi" w:cstheme="minorHAnsi"/>
        </w:rPr>
        <w:t xml:space="preserve"> above n 6</w:t>
      </w:r>
      <w:r w:rsidR="004D6D16" w:rsidRPr="00C215EC">
        <w:rPr>
          <w:rFonts w:asciiTheme="minorHAnsi" w:hAnsiTheme="minorHAnsi" w:cstheme="minorHAnsi"/>
        </w:rPr>
        <w:t>3</w:t>
      </w:r>
      <w:r w:rsidRPr="00C215EC">
        <w:rPr>
          <w:rFonts w:asciiTheme="minorHAnsi" w:hAnsiTheme="minorHAnsi" w:cstheme="minorHAnsi"/>
        </w:rPr>
        <w:t>, 7</w:t>
      </w:r>
    </w:p>
  </w:footnote>
  <w:footnote w:id="93">
    <w:p w14:paraId="64469CB1" w14:textId="56029010" w:rsidR="00917E67" w:rsidRPr="00C215EC" w:rsidRDefault="00917E67" w:rsidP="00C215EC">
      <w:pPr>
        <w:pStyle w:val="FootnoteText"/>
        <w:jc w:val="both"/>
        <w:rPr>
          <w:rFonts w:asciiTheme="minorHAnsi" w:hAnsiTheme="minorHAnsi" w:cstheme="minorHAnsi"/>
        </w:rPr>
      </w:pPr>
      <w:r w:rsidRPr="00C215EC">
        <w:rPr>
          <w:rStyle w:val="FootnoteReference"/>
          <w:rFonts w:asciiTheme="minorHAnsi" w:hAnsiTheme="minorHAnsi" w:cstheme="minorHAnsi"/>
        </w:rPr>
        <w:footnoteRef/>
      </w:r>
      <w:r w:rsidRPr="00C215EC">
        <w:rPr>
          <w:rFonts w:asciiTheme="minorHAnsi" w:hAnsiTheme="minorHAnsi" w:cstheme="minorHAnsi"/>
        </w:rPr>
        <w:t xml:space="preserve"> Section 3(1).</w:t>
      </w:r>
    </w:p>
  </w:footnote>
  <w:footnote w:id="94">
    <w:p w14:paraId="043D8985" w14:textId="0BE38E15" w:rsidR="00917E67" w:rsidRPr="00C215EC" w:rsidRDefault="00917E67" w:rsidP="00C215EC">
      <w:pPr>
        <w:pStyle w:val="FootnoteText"/>
        <w:jc w:val="both"/>
        <w:rPr>
          <w:rFonts w:asciiTheme="minorHAnsi" w:hAnsiTheme="minorHAnsi" w:cstheme="minorHAnsi"/>
        </w:rPr>
      </w:pPr>
      <w:r w:rsidRPr="00C215EC">
        <w:rPr>
          <w:rStyle w:val="FootnoteReference"/>
          <w:rFonts w:asciiTheme="minorHAnsi" w:hAnsiTheme="minorHAnsi" w:cstheme="minorHAnsi"/>
        </w:rPr>
        <w:footnoteRef/>
      </w:r>
      <w:r w:rsidRPr="00C215EC">
        <w:rPr>
          <w:rFonts w:asciiTheme="minorHAnsi" w:hAnsiTheme="minorHAnsi" w:cstheme="minorHAnsi"/>
        </w:rPr>
        <w:t xml:space="preserve"> </w:t>
      </w:r>
      <w:r w:rsidR="0099406E" w:rsidRPr="00C215EC">
        <w:rPr>
          <w:rFonts w:asciiTheme="minorHAnsi" w:hAnsiTheme="minorHAnsi" w:cstheme="minorHAnsi"/>
        </w:rPr>
        <w:t xml:space="preserve">Section </w:t>
      </w:r>
      <w:r w:rsidR="0099406E">
        <w:rPr>
          <w:rFonts w:asciiTheme="minorHAnsi" w:hAnsiTheme="minorHAnsi" w:cstheme="minorHAnsi"/>
        </w:rPr>
        <w:t>3(2)</w:t>
      </w:r>
      <w:proofErr w:type="gramStart"/>
      <w:r w:rsidR="0099406E">
        <w:rPr>
          <w:rFonts w:asciiTheme="minorHAnsi" w:hAnsiTheme="minorHAnsi" w:cstheme="minorHAnsi"/>
        </w:rPr>
        <w:t>3.b</w:t>
      </w:r>
      <w:proofErr w:type="gramEnd"/>
      <w:r w:rsidR="0099406E">
        <w:rPr>
          <w:rFonts w:asciiTheme="minorHAnsi" w:hAnsiTheme="minorHAnsi" w:cstheme="minorHAnsi"/>
        </w:rPr>
        <w:t xml:space="preserve"> and </w:t>
      </w:r>
      <w:r w:rsidR="0099406E" w:rsidRPr="00C215EC">
        <w:rPr>
          <w:rFonts w:asciiTheme="minorHAnsi" w:hAnsiTheme="minorHAnsi" w:cstheme="minorHAnsi"/>
        </w:rPr>
        <w:t>3(</w:t>
      </w:r>
      <w:r w:rsidR="0099406E">
        <w:rPr>
          <w:rFonts w:asciiTheme="minorHAnsi" w:hAnsiTheme="minorHAnsi" w:cstheme="minorHAnsi"/>
        </w:rPr>
        <w:t>6)-(11)</w:t>
      </w:r>
    </w:p>
  </w:footnote>
  <w:footnote w:id="95">
    <w:p w14:paraId="42602109" w14:textId="24263E7F" w:rsidR="00917E67" w:rsidRPr="00C215EC" w:rsidRDefault="00917E67" w:rsidP="00C215EC">
      <w:pPr>
        <w:pStyle w:val="FootnoteText"/>
        <w:jc w:val="both"/>
        <w:rPr>
          <w:rFonts w:asciiTheme="minorHAnsi" w:hAnsiTheme="minorHAnsi" w:cstheme="minorHAnsi"/>
        </w:rPr>
      </w:pPr>
      <w:r w:rsidRPr="00C215EC">
        <w:rPr>
          <w:rStyle w:val="FootnoteReference"/>
          <w:rFonts w:asciiTheme="minorHAnsi" w:hAnsiTheme="minorHAnsi" w:cstheme="minorHAnsi"/>
        </w:rPr>
        <w:footnoteRef/>
      </w:r>
      <w:r w:rsidRPr="00C215EC">
        <w:rPr>
          <w:rFonts w:asciiTheme="minorHAnsi" w:hAnsiTheme="minorHAnsi" w:cstheme="minorHAnsi"/>
        </w:rPr>
        <w:t xml:space="preserve"> Section 3(2)</w:t>
      </w:r>
      <w:r w:rsidR="0099406E">
        <w:rPr>
          <w:rFonts w:asciiTheme="minorHAnsi" w:hAnsiTheme="minorHAnsi" w:cstheme="minorHAnsi"/>
        </w:rPr>
        <w:t>5</w:t>
      </w:r>
      <w:r w:rsidR="004D6D16" w:rsidRPr="00C215EC">
        <w:rPr>
          <w:rFonts w:asciiTheme="minorHAnsi" w:hAnsiTheme="minorHAnsi" w:cstheme="minorHAnsi"/>
        </w:rPr>
        <w:t>.</w:t>
      </w:r>
    </w:p>
  </w:footnote>
  <w:footnote w:id="96">
    <w:p w14:paraId="4EB69611" w14:textId="516EBDAD" w:rsidR="00917E67" w:rsidRPr="00F27265" w:rsidRDefault="00917E67" w:rsidP="00C215EC">
      <w:pPr>
        <w:pStyle w:val="FootnoteText"/>
        <w:jc w:val="both"/>
        <w:rPr>
          <w:rFonts w:asciiTheme="minorHAnsi" w:hAnsiTheme="minorHAnsi" w:cstheme="minorHAnsi"/>
        </w:rPr>
      </w:pPr>
      <w:r w:rsidRPr="00F27265">
        <w:rPr>
          <w:rStyle w:val="FootnoteReference"/>
          <w:rFonts w:asciiTheme="minorHAnsi" w:hAnsiTheme="minorHAnsi" w:cstheme="minorHAnsi"/>
        </w:rPr>
        <w:footnoteRef/>
      </w:r>
      <w:r w:rsidRPr="00F27265">
        <w:rPr>
          <w:rFonts w:asciiTheme="minorHAnsi" w:hAnsiTheme="minorHAnsi" w:cstheme="minorHAnsi"/>
        </w:rPr>
        <w:t xml:space="preserve"> </w:t>
      </w:r>
      <w:r w:rsidR="00F27265" w:rsidRPr="00F27265">
        <w:rPr>
          <w:rFonts w:asciiTheme="minorHAnsi" w:hAnsiTheme="minorHAnsi" w:cstheme="minorHAnsi"/>
        </w:rPr>
        <w:t>Section 3b</w:t>
      </w:r>
      <w:r w:rsidR="00F27265">
        <w:rPr>
          <w:rFonts w:asciiTheme="minorHAnsi" w:hAnsiTheme="minorHAnsi" w:cstheme="minorHAnsi"/>
        </w:rPr>
        <w:t>: right to ask for a review of the decision within two weeks of the decision having been made.</w:t>
      </w:r>
    </w:p>
  </w:footnote>
  <w:footnote w:id="97">
    <w:p w14:paraId="2281A572" w14:textId="1F5901E1" w:rsidR="00917E67" w:rsidRPr="00C215EC" w:rsidRDefault="00917E67" w:rsidP="00C215EC">
      <w:pPr>
        <w:pStyle w:val="FootnoteText"/>
        <w:jc w:val="both"/>
        <w:rPr>
          <w:rFonts w:asciiTheme="minorHAnsi" w:hAnsiTheme="minorHAnsi" w:cstheme="minorHAnsi"/>
          <w:highlight w:val="yellow"/>
        </w:rPr>
      </w:pPr>
      <w:r w:rsidRPr="00F27265">
        <w:rPr>
          <w:rStyle w:val="FootnoteReference"/>
          <w:rFonts w:asciiTheme="minorHAnsi" w:hAnsiTheme="minorHAnsi" w:cstheme="minorHAnsi"/>
        </w:rPr>
        <w:footnoteRef/>
      </w:r>
      <w:r w:rsidRPr="00F27265">
        <w:rPr>
          <w:rFonts w:asciiTheme="minorHAnsi" w:hAnsiTheme="minorHAnsi" w:cstheme="minorHAnsi"/>
        </w:rPr>
        <w:t xml:space="preserve"> </w:t>
      </w:r>
      <w:r w:rsidR="00F27265" w:rsidRPr="00F27265">
        <w:rPr>
          <w:rFonts w:asciiTheme="minorHAnsi" w:hAnsiTheme="minorHAnsi" w:cstheme="minorHAnsi"/>
        </w:rPr>
        <w:t>Section 3c.</w:t>
      </w:r>
      <w:r w:rsidRPr="00F27265">
        <w:rPr>
          <w:rFonts w:asciiTheme="minorHAnsi" w:hAnsiTheme="minorHAnsi" w:cstheme="minorHAnsi"/>
        </w:rPr>
        <w:t xml:space="preserve"> </w:t>
      </w:r>
    </w:p>
  </w:footnote>
  <w:footnote w:id="98">
    <w:p w14:paraId="0A101212" w14:textId="7BC9C733" w:rsidR="00917E67" w:rsidRPr="00F27265" w:rsidRDefault="00917E67" w:rsidP="00C215EC">
      <w:pPr>
        <w:pStyle w:val="FootnoteText"/>
        <w:jc w:val="both"/>
        <w:rPr>
          <w:rFonts w:asciiTheme="minorHAnsi" w:hAnsiTheme="minorHAnsi" w:cstheme="minorHAnsi"/>
        </w:rPr>
      </w:pPr>
      <w:r w:rsidRPr="00F27265">
        <w:rPr>
          <w:rStyle w:val="FootnoteReference"/>
          <w:rFonts w:asciiTheme="minorHAnsi" w:hAnsiTheme="minorHAnsi" w:cstheme="minorHAnsi"/>
        </w:rPr>
        <w:footnoteRef/>
      </w:r>
      <w:r w:rsidR="007B13E6" w:rsidRPr="00F27265">
        <w:rPr>
          <w:rFonts w:asciiTheme="minorHAnsi" w:hAnsiTheme="minorHAnsi" w:cstheme="minorHAnsi"/>
        </w:rPr>
        <w:t xml:space="preserve"> For the general transparency requirements through biannual reports, see s.2; the information requirements are either </w:t>
      </w:r>
      <w:r w:rsidR="00F27265" w:rsidRPr="00F27265">
        <w:rPr>
          <w:rFonts w:asciiTheme="minorHAnsi" w:hAnsiTheme="minorHAnsi" w:cstheme="minorHAnsi"/>
        </w:rPr>
        <w:t>for information of</w:t>
      </w:r>
      <w:r w:rsidR="007B13E6" w:rsidRPr="00F27265">
        <w:rPr>
          <w:rFonts w:asciiTheme="minorHAnsi" w:hAnsiTheme="minorHAnsi" w:cstheme="minorHAnsi"/>
        </w:rPr>
        <w:t xml:space="preserve"> a general nature (</w:t>
      </w:r>
      <w:r w:rsidR="00F27265" w:rsidRPr="00F27265">
        <w:rPr>
          <w:rFonts w:asciiTheme="minorHAnsi" w:hAnsiTheme="minorHAnsi" w:cstheme="minorHAnsi"/>
        </w:rPr>
        <w:t xml:space="preserve">s.2(2)2: ‘the criteria applied in deciding whether to delete or block unlawful content’) or for </w:t>
      </w:r>
      <w:r w:rsidR="007B13E6" w:rsidRPr="00F27265">
        <w:rPr>
          <w:rFonts w:asciiTheme="minorHAnsi" w:hAnsiTheme="minorHAnsi" w:cstheme="minorHAnsi"/>
        </w:rPr>
        <w:t xml:space="preserve">aggregate </w:t>
      </w:r>
      <w:r w:rsidR="00F27265" w:rsidRPr="00F27265">
        <w:rPr>
          <w:rFonts w:asciiTheme="minorHAnsi" w:hAnsiTheme="minorHAnsi" w:cstheme="minorHAnsi"/>
        </w:rPr>
        <w:t xml:space="preserve">information </w:t>
      </w:r>
      <w:r w:rsidR="007B13E6" w:rsidRPr="00F27265">
        <w:rPr>
          <w:rFonts w:asciiTheme="minorHAnsi" w:hAnsiTheme="minorHAnsi" w:cstheme="minorHAnsi"/>
        </w:rPr>
        <w:t>and thus</w:t>
      </w:r>
      <w:r w:rsidR="00F27265" w:rsidRPr="00F27265">
        <w:rPr>
          <w:rFonts w:asciiTheme="minorHAnsi" w:hAnsiTheme="minorHAnsi" w:cstheme="minorHAnsi"/>
        </w:rPr>
        <w:t xml:space="preserve"> not</w:t>
      </w:r>
      <w:r w:rsidR="007B13E6" w:rsidRPr="00F27265">
        <w:rPr>
          <w:rFonts w:asciiTheme="minorHAnsi" w:hAnsiTheme="minorHAnsi" w:cstheme="minorHAnsi"/>
        </w:rPr>
        <w:t xml:space="preserve"> instructive about individual decisions; see discussion </w:t>
      </w:r>
      <w:r w:rsidR="007B13E6" w:rsidRPr="009F5BD2">
        <w:rPr>
          <w:rFonts w:asciiTheme="minorHAnsi" w:hAnsiTheme="minorHAnsi" w:cstheme="minorHAnsi"/>
        </w:rPr>
        <w:t>accompanying n 13</w:t>
      </w:r>
      <w:r w:rsidR="00F4184A" w:rsidRPr="009F5BD2">
        <w:rPr>
          <w:rFonts w:asciiTheme="minorHAnsi" w:hAnsiTheme="minorHAnsi" w:cstheme="minorHAnsi"/>
        </w:rPr>
        <w:t>9</w:t>
      </w:r>
      <w:r w:rsidR="007B13E6" w:rsidRPr="009F5BD2">
        <w:rPr>
          <w:rFonts w:asciiTheme="minorHAnsi" w:hAnsiTheme="minorHAnsi" w:cstheme="minorHAnsi"/>
        </w:rPr>
        <w:t xml:space="preserve">. </w:t>
      </w:r>
      <w:r w:rsidR="00F27265" w:rsidRPr="009F5BD2">
        <w:rPr>
          <w:rFonts w:asciiTheme="minorHAnsi" w:hAnsiTheme="minorHAnsi" w:cstheme="minorHAnsi"/>
        </w:rPr>
        <w:t>Affected parties,</w:t>
      </w:r>
      <w:r w:rsidR="00F27265">
        <w:rPr>
          <w:rFonts w:asciiTheme="minorHAnsi" w:hAnsiTheme="minorHAnsi" w:cstheme="minorHAnsi"/>
        </w:rPr>
        <w:t xml:space="preserve"> however, must be kept in the loop: s.3(5).</w:t>
      </w:r>
    </w:p>
  </w:footnote>
  <w:footnote w:id="99">
    <w:p w14:paraId="753B0601" w14:textId="22C907F5" w:rsidR="00917E67" w:rsidRPr="00F27265" w:rsidRDefault="00917E67" w:rsidP="00C215EC">
      <w:pPr>
        <w:pStyle w:val="FootnoteText"/>
        <w:jc w:val="both"/>
        <w:rPr>
          <w:rFonts w:asciiTheme="minorHAnsi" w:hAnsiTheme="minorHAnsi" w:cstheme="minorHAnsi"/>
        </w:rPr>
      </w:pPr>
      <w:r w:rsidRPr="00F27265">
        <w:rPr>
          <w:rStyle w:val="FootnoteReference"/>
          <w:rFonts w:asciiTheme="minorHAnsi" w:hAnsiTheme="minorHAnsi" w:cstheme="minorHAnsi"/>
        </w:rPr>
        <w:footnoteRef/>
      </w:r>
      <w:r w:rsidRPr="00F27265">
        <w:rPr>
          <w:rFonts w:asciiTheme="minorHAnsi" w:hAnsiTheme="minorHAnsi" w:cstheme="minorHAnsi"/>
        </w:rPr>
        <w:t xml:space="preserve"> </w:t>
      </w:r>
      <w:r w:rsidR="00565A58" w:rsidRPr="00F27265">
        <w:rPr>
          <w:rFonts w:asciiTheme="minorHAnsi" w:hAnsiTheme="minorHAnsi" w:cstheme="minorHAnsi"/>
        </w:rPr>
        <w:t xml:space="preserve">Section </w:t>
      </w:r>
      <w:r w:rsidR="007B13E6" w:rsidRPr="00F27265">
        <w:rPr>
          <w:rFonts w:asciiTheme="minorHAnsi" w:hAnsiTheme="minorHAnsi" w:cstheme="minorHAnsi"/>
        </w:rPr>
        <w:t>3(2)</w:t>
      </w:r>
      <w:proofErr w:type="gramStart"/>
      <w:r w:rsidR="007B13E6" w:rsidRPr="00F27265">
        <w:rPr>
          <w:rFonts w:asciiTheme="minorHAnsi" w:hAnsiTheme="minorHAnsi" w:cstheme="minorHAnsi"/>
        </w:rPr>
        <w:t>3.b</w:t>
      </w:r>
      <w:proofErr w:type="gramEnd"/>
      <w:r w:rsidR="007B13E6" w:rsidRPr="00F27265">
        <w:rPr>
          <w:rFonts w:asciiTheme="minorHAnsi" w:hAnsiTheme="minorHAnsi" w:cstheme="minorHAnsi"/>
        </w:rPr>
        <w:t xml:space="preserve"> and s.3(6)-(7).</w:t>
      </w:r>
    </w:p>
  </w:footnote>
  <w:footnote w:id="100">
    <w:p w14:paraId="74625516" w14:textId="2A4B5676" w:rsidR="00917E67" w:rsidRPr="00F27265" w:rsidRDefault="00917E67" w:rsidP="00C215EC">
      <w:pPr>
        <w:pStyle w:val="FootnoteText"/>
        <w:jc w:val="both"/>
        <w:rPr>
          <w:rFonts w:asciiTheme="minorHAnsi" w:hAnsiTheme="minorHAnsi" w:cstheme="minorHAnsi"/>
        </w:rPr>
      </w:pPr>
      <w:r w:rsidRPr="00F27265">
        <w:rPr>
          <w:rStyle w:val="FootnoteReference"/>
          <w:rFonts w:asciiTheme="minorHAnsi" w:hAnsiTheme="minorHAnsi" w:cstheme="minorHAnsi"/>
        </w:rPr>
        <w:footnoteRef/>
      </w:r>
      <w:r w:rsidRPr="00F27265">
        <w:rPr>
          <w:rFonts w:asciiTheme="minorHAnsi" w:hAnsiTheme="minorHAnsi" w:cstheme="minorHAnsi"/>
        </w:rPr>
        <w:t xml:space="preserve"> </w:t>
      </w:r>
      <w:r w:rsidR="007B13E6" w:rsidRPr="00F27265">
        <w:rPr>
          <w:rFonts w:asciiTheme="minorHAnsi" w:hAnsiTheme="minorHAnsi" w:cstheme="minorHAnsi"/>
        </w:rPr>
        <w:t>Section 3c.</w:t>
      </w:r>
    </w:p>
  </w:footnote>
  <w:footnote w:id="101">
    <w:p w14:paraId="05D90C25" w14:textId="64535D66" w:rsidR="00565A58" w:rsidRPr="00215AF8" w:rsidRDefault="00565A58">
      <w:pPr>
        <w:pStyle w:val="FootnoteText"/>
      </w:pPr>
      <w:r w:rsidRPr="00215AF8">
        <w:rPr>
          <w:rStyle w:val="FootnoteReference"/>
        </w:rPr>
        <w:footnoteRef/>
      </w:r>
      <w:r w:rsidRPr="00215AF8">
        <w:t xml:space="preserve"> </w:t>
      </w:r>
      <w:r w:rsidR="007B13E6" w:rsidRPr="00215AF8">
        <w:t>Section 4a.</w:t>
      </w:r>
    </w:p>
  </w:footnote>
  <w:footnote w:id="102">
    <w:p w14:paraId="5D3B0B1B" w14:textId="7DE8D374" w:rsidR="00917E67" w:rsidRPr="00C215EC" w:rsidRDefault="00917E67" w:rsidP="00C215EC">
      <w:pPr>
        <w:pStyle w:val="FootnoteText"/>
        <w:jc w:val="both"/>
        <w:rPr>
          <w:rFonts w:asciiTheme="minorHAnsi" w:hAnsiTheme="minorHAnsi" w:cstheme="minorHAnsi"/>
        </w:rPr>
      </w:pPr>
      <w:r w:rsidRPr="00215AF8">
        <w:rPr>
          <w:rStyle w:val="FootnoteReference"/>
          <w:rFonts w:asciiTheme="minorHAnsi" w:hAnsiTheme="minorHAnsi" w:cstheme="minorHAnsi"/>
        </w:rPr>
        <w:footnoteRef/>
      </w:r>
      <w:r w:rsidRPr="00215AF8">
        <w:rPr>
          <w:rFonts w:asciiTheme="minorHAnsi" w:hAnsiTheme="minorHAnsi" w:cstheme="minorHAnsi"/>
        </w:rPr>
        <w:t xml:space="preserve"> </w:t>
      </w:r>
      <w:r w:rsidR="00215AF8" w:rsidRPr="00215AF8">
        <w:rPr>
          <w:rFonts w:asciiTheme="minorHAnsi" w:hAnsiTheme="minorHAnsi" w:cstheme="minorHAnsi"/>
        </w:rPr>
        <w:t xml:space="preserve">Waldron above </w:t>
      </w:r>
      <w:r w:rsidRPr="00215AF8">
        <w:rPr>
          <w:rFonts w:asciiTheme="minorHAnsi" w:hAnsiTheme="minorHAnsi" w:cstheme="minorHAnsi"/>
        </w:rPr>
        <w:t>n</w:t>
      </w:r>
      <w:r w:rsidR="00215AF8" w:rsidRPr="00215AF8">
        <w:rPr>
          <w:rFonts w:asciiTheme="minorHAnsi" w:hAnsiTheme="minorHAnsi" w:cstheme="minorHAnsi"/>
        </w:rPr>
        <w:t xml:space="preserve"> 1, 80f, draws on Emily Durkheim when arguing that ‘penal laws have an important expressive as well as a coercive function; and one would expect that expressive function to be at the fore… particularly in connection with the public</w:t>
      </w:r>
      <w:r w:rsidR="00215AF8">
        <w:rPr>
          <w:rFonts w:asciiTheme="minorHAnsi" w:hAnsiTheme="minorHAnsi" w:cstheme="minorHAnsi"/>
        </w:rPr>
        <w:t xml:space="preserve"> and visible assurance of just treatment… to all of its members.’</w:t>
      </w:r>
    </w:p>
  </w:footnote>
  <w:footnote w:id="103">
    <w:p w14:paraId="1B858D91" w14:textId="26D5F8A8" w:rsidR="00917E67" w:rsidRPr="00C215EC" w:rsidRDefault="00917E67" w:rsidP="00C215EC">
      <w:pPr>
        <w:pStyle w:val="FootnoteText"/>
        <w:jc w:val="both"/>
        <w:rPr>
          <w:rFonts w:asciiTheme="minorHAnsi" w:hAnsiTheme="minorHAnsi" w:cstheme="minorHAnsi"/>
        </w:rPr>
      </w:pPr>
      <w:r w:rsidRPr="00C215EC">
        <w:rPr>
          <w:rStyle w:val="FootnoteReference"/>
          <w:rFonts w:asciiTheme="minorHAnsi" w:hAnsiTheme="minorHAnsi" w:cstheme="minorHAnsi"/>
        </w:rPr>
        <w:footnoteRef/>
      </w:r>
      <w:r w:rsidRPr="00C215EC">
        <w:rPr>
          <w:rFonts w:asciiTheme="minorHAnsi" w:hAnsiTheme="minorHAnsi" w:cstheme="minorHAnsi"/>
          <w:i/>
          <w:iCs/>
        </w:rPr>
        <w:t xml:space="preserve"> Hate Speech Posts Deletion and Account Closure </w:t>
      </w:r>
      <w:r w:rsidR="00565A58" w:rsidRPr="00C215EC">
        <w:rPr>
          <w:rStyle w:val="Strong"/>
          <w:rFonts w:asciiTheme="minorHAnsi" w:hAnsiTheme="minorHAnsi" w:cstheme="minorHAnsi"/>
          <w:b w:val="0"/>
          <w:bCs w:val="0"/>
        </w:rPr>
        <w:t>III ZR 179/20</w:t>
      </w:r>
      <w:r w:rsidR="00565A58">
        <w:rPr>
          <w:rStyle w:val="Strong"/>
          <w:rFonts w:asciiTheme="minorHAnsi" w:hAnsiTheme="minorHAnsi" w:cstheme="minorHAnsi"/>
          <w:b w:val="0"/>
          <w:bCs w:val="0"/>
        </w:rPr>
        <w:t xml:space="preserve">, </w:t>
      </w:r>
      <w:r w:rsidR="00565A58" w:rsidRPr="00565A58">
        <w:rPr>
          <w:rStyle w:val="Emphasis"/>
          <w:i w:val="0"/>
          <w:iCs w:val="0"/>
        </w:rPr>
        <w:t>III ZR</w:t>
      </w:r>
      <w:r w:rsidR="00565A58" w:rsidRPr="00565A58">
        <w:rPr>
          <w:i/>
          <w:iCs/>
        </w:rPr>
        <w:t xml:space="preserve"> </w:t>
      </w:r>
      <w:r w:rsidR="00565A58" w:rsidRPr="00565A58">
        <w:t>192/20</w:t>
      </w:r>
      <w:r w:rsidR="00565A58">
        <w:rPr>
          <w:rFonts w:asciiTheme="minorHAnsi" w:hAnsiTheme="minorHAnsi" w:cstheme="minorHAnsi"/>
          <w:i/>
          <w:iCs/>
        </w:rPr>
        <w:t xml:space="preserve"> </w:t>
      </w:r>
      <w:r w:rsidR="00565A58">
        <w:rPr>
          <w:rFonts w:asciiTheme="minorHAnsi" w:hAnsiTheme="minorHAnsi" w:cstheme="minorHAnsi"/>
        </w:rPr>
        <w:t>[2</w:t>
      </w:r>
      <w:r w:rsidRPr="00565A58">
        <w:rPr>
          <w:rFonts w:asciiTheme="minorHAnsi" w:hAnsiTheme="minorHAnsi" w:cstheme="minorHAnsi"/>
        </w:rPr>
        <w:t>021</w:t>
      </w:r>
      <w:r w:rsidR="00565A58" w:rsidRPr="00565A58">
        <w:rPr>
          <w:rFonts w:asciiTheme="minorHAnsi" w:hAnsiTheme="minorHAnsi" w:cstheme="minorHAnsi"/>
        </w:rPr>
        <w:t>]</w:t>
      </w:r>
      <w:r w:rsidR="00565A58">
        <w:rPr>
          <w:rFonts w:asciiTheme="minorHAnsi" w:hAnsiTheme="minorHAnsi" w:cstheme="minorHAnsi"/>
          <w:b/>
          <w:bCs/>
        </w:rPr>
        <w:t xml:space="preserve"> </w:t>
      </w:r>
      <w:r w:rsidRPr="00C215EC">
        <w:rPr>
          <w:rFonts w:asciiTheme="minorHAnsi" w:hAnsiTheme="minorHAnsi" w:cstheme="minorHAnsi"/>
        </w:rPr>
        <w:t>BGH</w:t>
      </w:r>
      <w:r w:rsidR="00565A58">
        <w:rPr>
          <w:rFonts w:asciiTheme="minorHAnsi" w:hAnsiTheme="minorHAnsi" w:cstheme="minorHAnsi"/>
        </w:rPr>
        <w:t xml:space="preserve"> </w:t>
      </w:r>
      <w:r w:rsidR="00565A58">
        <w:t>ECLI:</w:t>
      </w:r>
      <w:proofErr w:type="gramStart"/>
      <w:r w:rsidR="00565A58">
        <w:t>DE:BGH</w:t>
      </w:r>
      <w:proofErr w:type="gramEnd"/>
      <w:r w:rsidR="00565A58">
        <w:t>:2021:290721UIIIZR179.20.0.</w:t>
      </w:r>
      <w:r w:rsidRPr="00C215EC">
        <w:rPr>
          <w:rStyle w:val="Strong"/>
          <w:rFonts w:asciiTheme="minorHAnsi" w:hAnsiTheme="minorHAnsi" w:cstheme="minorHAnsi"/>
          <w:b w:val="0"/>
          <w:bCs w:val="0"/>
        </w:rPr>
        <w:t xml:space="preserve"> </w:t>
      </w:r>
      <w:r w:rsidR="00565A58">
        <w:rPr>
          <w:rStyle w:val="Strong"/>
          <w:rFonts w:asciiTheme="minorHAnsi" w:hAnsiTheme="minorHAnsi" w:cstheme="minorHAnsi"/>
          <w:b w:val="0"/>
          <w:bCs w:val="0"/>
        </w:rPr>
        <w:t>T</w:t>
      </w:r>
      <w:r w:rsidRPr="00C215EC">
        <w:rPr>
          <w:rStyle w:val="Strong"/>
          <w:rFonts w:asciiTheme="minorHAnsi" w:hAnsiTheme="minorHAnsi" w:cstheme="minorHAnsi"/>
          <w:b w:val="0"/>
          <w:bCs w:val="0"/>
        </w:rPr>
        <w:t>he court reached its decision by balancing the conflicting fundamental rights of the platform to ‘occupational freedom’ (Art 12 German Constitution) and of the user to freedom of expression, and requir</w:t>
      </w:r>
      <w:r w:rsidR="005179A6">
        <w:rPr>
          <w:rStyle w:val="Strong"/>
          <w:rFonts w:asciiTheme="minorHAnsi" w:hAnsiTheme="minorHAnsi" w:cstheme="minorHAnsi"/>
          <w:b w:val="0"/>
          <w:bCs w:val="0"/>
        </w:rPr>
        <w:t>ed</w:t>
      </w:r>
      <w:r w:rsidRPr="00C215EC">
        <w:rPr>
          <w:rStyle w:val="Strong"/>
          <w:rFonts w:asciiTheme="minorHAnsi" w:hAnsiTheme="minorHAnsi" w:cstheme="minorHAnsi"/>
          <w:b w:val="0"/>
          <w:bCs w:val="0"/>
        </w:rPr>
        <w:t xml:space="preserve"> the platform, as a proportional response to its content moderation, to include minimum due process rights into its Terms and Conditions.  </w:t>
      </w:r>
    </w:p>
  </w:footnote>
  <w:footnote w:id="104">
    <w:p w14:paraId="4DFF4E3C" w14:textId="718A2928" w:rsidR="00917E67" w:rsidRPr="00C215EC" w:rsidRDefault="00917E67" w:rsidP="00C215EC">
      <w:pPr>
        <w:spacing w:after="0" w:line="240" w:lineRule="auto"/>
        <w:jc w:val="both"/>
        <w:rPr>
          <w:rFonts w:cstheme="minorHAnsi"/>
          <w:sz w:val="20"/>
          <w:szCs w:val="20"/>
        </w:rPr>
      </w:pPr>
      <w:r w:rsidRPr="00C215EC">
        <w:rPr>
          <w:rStyle w:val="FootnoteReference"/>
          <w:rFonts w:cstheme="minorHAnsi"/>
          <w:sz w:val="20"/>
          <w:szCs w:val="20"/>
        </w:rPr>
        <w:footnoteRef/>
      </w:r>
      <w:r w:rsidRPr="00C215EC">
        <w:rPr>
          <w:rFonts w:cstheme="minorHAnsi"/>
          <w:sz w:val="20"/>
          <w:szCs w:val="20"/>
        </w:rPr>
        <w:t xml:space="preserve"> </w:t>
      </w:r>
      <w:r w:rsidRPr="00C215EC">
        <w:rPr>
          <w:rStyle w:val="field-content"/>
          <w:rFonts w:cstheme="minorHAnsi"/>
          <w:sz w:val="20"/>
          <w:szCs w:val="20"/>
        </w:rPr>
        <w:t xml:space="preserve">Jacob </w:t>
      </w:r>
      <w:proofErr w:type="spellStart"/>
      <w:r w:rsidRPr="00C215EC">
        <w:rPr>
          <w:rStyle w:val="field-content"/>
          <w:rFonts w:cstheme="minorHAnsi"/>
          <w:sz w:val="20"/>
          <w:szCs w:val="20"/>
        </w:rPr>
        <w:t>Rowbottom</w:t>
      </w:r>
      <w:proofErr w:type="spellEnd"/>
      <w:r w:rsidRPr="00C215EC">
        <w:rPr>
          <w:rStyle w:val="field-content"/>
          <w:rFonts w:cstheme="minorHAnsi"/>
          <w:sz w:val="20"/>
          <w:szCs w:val="20"/>
        </w:rPr>
        <w:t xml:space="preserve">, 'To Rant, Vent and Converse: Protecting Low Level Digital Speech ' (2012) 71 </w:t>
      </w:r>
      <w:r w:rsidRPr="00C215EC">
        <w:rPr>
          <w:rStyle w:val="field-content"/>
          <w:rFonts w:cstheme="minorHAnsi"/>
          <w:i/>
          <w:iCs/>
          <w:sz w:val="20"/>
          <w:szCs w:val="20"/>
        </w:rPr>
        <w:t>Cambridge Law Journal</w:t>
      </w:r>
      <w:r w:rsidRPr="00C215EC">
        <w:rPr>
          <w:rStyle w:val="field-content"/>
          <w:rFonts w:cstheme="minorHAnsi"/>
          <w:sz w:val="20"/>
          <w:szCs w:val="20"/>
        </w:rPr>
        <w:t xml:space="preserve"> 355; </w:t>
      </w:r>
      <w:r w:rsidRPr="00C215EC">
        <w:rPr>
          <w:rFonts w:cstheme="minorHAnsi"/>
          <w:i/>
          <w:iCs/>
          <w:sz w:val="20"/>
          <w:szCs w:val="20"/>
        </w:rPr>
        <w:t>Stocker v Stocker</w:t>
      </w:r>
      <w:r w:rsidRPr="00C215EC">
        <w:rPr>
          <w:rFonts w:cstheme="minorHAnsi"/>
          <w:sz w:val="20"/>
          <w:szCs w:val="20"/>
        </w:rPr>
        <w:t xml:space="preserve"> [2019] UKSC 17</w:t>
      </w:r>
      <w:r w:rsidR="00BC0FD7">
        <w:rPr>
          <w:rFonts w:cstheme="minorHAnsi"/>
          <w:sz w:val="20"/>
          <w:szCs w:val="20"/>
        </w:rPr>
        <w:t xml:space="preserve">; and </w:t>
      </w:r>
      <w:proofErr w:type="spellStart"/>
      <w:r w:rsidR="00BC0FD7">
        <w:rPr>
          <w:rFonts w:cstheme="minorHAnsi"/>
          <w:sz w:val="20"/>
          <w:szCs w:val="20"/>
        </w:rPr>
        <w:t>Koltay</w:t>
      </w:r>
      <w:proofErr w:type="spellEnd"/>
      <w:r w:rsidR="00BC0FD7">
        <w:rPr>
          <w:rFonts w:cstheme="minorHAnsi"/>
          <w:sz w:val="20"/>
          <w:szCs w:val="20"/>
        </w:rPr>
        <w:t xml:space="preserve"> above n 67, 301, discussing this ‘unknown model of co-regulation that has never existed before.’</w:t>
      </w:r>
    </w:p>
  </w:footnote>
  <w:footnote w:id="105">
    <w:p w14:paraId="7391EDC8" w14:textId="6519E46B" w:rsidR="00917E67" w:rsidRPr="00C215EC" w:rsidRDefault="00917E67" w:rsidP="00C215EC">
      <w:pPr>
        <w:pStyle w:val="FootnoteText"/>
        <w:jc w:val="both"/>
        <w:rPr>
          <w:rFonts w:asciiTheme="minorHAnsi" w:hAnsiTheme="minorHAnsi" w:cstheme="minorHAnsi"/>
        </w:rPr>
      </w:pPr>
      <w:r w:rsidRPr="00EF3F56">
        <w:rPr>
          <w:rStyle w:val="FootnoteReference"/>
          <w:rFonts w:asciiTheme="minorHAnsi" w:hAnsiTheme="minorHAnsi" w:cstheme="minorHAnsi"/>
        </w:rPr>
        <w:footnoteRef/>
      </w:r>
      <w:r w:rsidRPr="00EF3F56">
        <w:rPr>
          <w:rFonts w:asciiTheme="minorHAnsi" w:hAnsiTheme="minorHAnsi" w:cstheme="minorHAnsi"/>
        </w:rPr>
        <w:t xml:space="preserve"> </w:t>
      </w:r>
      <w:r w:rsidR="00EF3F56" w:rsidRPr="00EF3F56">
        <w:rPr>
          <w:rFonts w:asciiTheme="minorHAnsi" w:hAnsiTheme="minorHAnsi" w:cstheme="minorHAnsi"/>
        </w:rPr>
        <w:t>Under</w:t>
      </w:r>
      <w:r w:rsidR="00EF3F56">
        <w:rPr>
          <w:rFonts w:asciiTheme="minorHAnsi" w:hAnsiTheme="minorHAnsi" w:cstheme="minorHAnsi"/>
        </w:rPr>
        <w:t xml:space="preserve"> s3</w:t>
      </w:r>
      <w:proofErr w:type="gramStart"/>
      <w:r w:rsidR="00EF3F56">
        <w:rPr>
          <w:rFonts w:asciiTheme="minorHAnsi" w:hAnsiTheme="minorHAnsi" w:cstheme="minorHAnsi"/>
        </w:rPr>
        <w:t>a(</w:t>
      </w:r>
      <w:proofErr w:type="gramEnd"/>
      <w:r w:rsidR="00EF3F56">
        <w:rPr>
          <w:rFonts w:asciiTheme="minorHAnsi" w:hAnsiTheme="minorHAnsi" w:cstheme="minorHAnsi"/>
        </w:rPr>
        <w:t xml:space="preserve">4) the network has a duty to report illegal speech to the Federal Crime Bureau. </w:t>
      </w:r>
    </w:p>
  </w:footnote>
  <w:footnote w:id="106">
    <w:p w14:paraId="23069220" w14:textId="1A0983DC" w:rsidR="00356339" w:rsidRPr="00C215EC" w:rsidRDefault="00356339" w:rsidP="00C215EC">
      <w:pPr>
        <w:pStyle w:val="FootnoteText"/>
        <w:jc w:val="both"/>
        <w:rPr>
          <w:rFonts w:asciiTheme="minorHAnsi" w:hAnsiTheme="minorHAnsi" w:cstheme="minorHAnsi"/>
        </w:rPr>
      </w:pPr>
      <w:r w:rsidRPr="00C215EC">
        <w:rPr>
          <w:rStyle w:val="FootnoteReference"/>
          <w:rFonts w:asciiTheme="minorHAnsi" w:hAnsiTheme="minorHAnsi" w:cstheme="minorHAnsi"/>
        </w:rPr>
        <w:footnoteRef/>
      </w:r>
      <w:r w:rsidRPr="00C215EC">
        <w:rPr>
          <w:rFonts w:asciiTheme="minorHAnsi" w:hAnsiTheme="minorHAnsi" w:cstheme="minorHAnsi"/>
        </w:rPr>
        <w:t xml:space="preserve"> See above n 34. </w:t>
      </w:r>
    </w:p>
  </w:footnote>
  <w:footnote w:id="107">
    <w:p w14:paraId="560A6152" w14:textId="67014AA0" w:rsidR="00917E67" w:rsidRPr="00C215EC" w:rsidRDefault="00917E67" w:rsidP="00C215EC">
      <w:pPr>
        <w:pStyle w:val="FootnoteText"/>
        <w:jc w:val="both"/>
        <w:rPr>
          <w:rFonts w:asciiTheme="minorHAnsi" w:hAnsiTheme="minorHAnsi" w:cstheme="minorHAnsi"/>
        </w:rPr>
      </w:pPr>
      <w:r w:rsidRPr="00C215EC">
        <w:rPr>
          <w:rStyle w:val="FootnoteReference"/>
          <w:rFonts w:asciiTheme="minorHAnsi" w:hAnsiTheme="minorHAnsi" w:cstheme="minorHAnsi"/>
        </w:rPr>
        <w:footnoteRef/>
      </w:r>
      <w:r w:rsidRPr="00C215EC">
        <w:rPr>
          <w:rFonts w:asciiTheme="minorHAnsi" w:hAnsiTheme="minorHAnsi" w:cstheme="minorHAnsi"/>
        </w:rPr>
        <w:t xml:space="preserve"> But see Patrick </w:t>
      </w:r>
      <w:proofErr w:type="spellStart"/>
      <w:r w:rsidRPr="00C215EC">
        <w:rPr>
          <w:rFonts w:asciiTheme="minorHAnsi" w:hAnsiTheme="minorHAnsi" w:cstheme="minorHAnsi"/>
        </w:rPr>
        <w:t>Zurth</w:t>
      </w:r>
      <w:proofErr w:type="spellEnd"/>
      <w:r w:rsidRPr="00C215EC">
        <w:rPr>
          <w:rFonts w:asciiTheme="minorHAnsi" w:hAnsiTheme="minorHAnsi" w:cstheme="minorHAnsi"/>
        </w:rPr>
        <w:t xml:space="preserve">, ‘The German NetzDG as Role Model or Cautionary Tales? Implications for the Debate on Social Media Liability’ (2021) 31 </w:t>
      </w:r>
      <w:r w:rsidRPr="00C215EC">
        <w:rPr>
          <w:rFonts w:asciiTheme="minorHAnsi" w:hAnsiTheme="minorHAnsi" w:cstheme="minorHAnsi"/>
          <w:i/>
          <w:iCs/>
        </w:rPr>
        <w:t>Fordham Intellectual Property, Media &amp; Entertainment Law Journal</w:t>
      </w:r>
      <w:r w:rsidRPr="00C215EC">
        <w:rPr>
          <w:rFonts w:asciiTheme="minorHAnsi" w:hAnsiTheme="minorHAnsi" w:cstheme="minorHAnsi"/>
        </w:rPr>
        <w:t xml:space="preserve"> 1084. </w:t>
      </w:r>
    </w:p>
  </w:footnote>
  <w:footnote w:id="108">
    <w:p w14:paraId="773FECFA" w14:textId="487D1158" w:rsidR="00917E67" w:rsidRPr="00C215EC" w:rsidRDefault="00917E67" w:rsidP="00C215EC">
      <w:pPr>
        <w:pStyle w:val="FootnoteText"/>
        <w:jc w:val="both"/>
        <w:rPr>
          <w:rFonts w:asciiTheme="minorHAnsi" w:hAnsiTheme="minorHAnsi" w:cstheme="minorHAnsi"/>
        </w:rPr>
      </w:pPr>
      <w:r w:rsidRPr="00C215EC">
        <w:rPr>
          <w:rStyle w:val="FootnoteReference"/>
          <w:rFonts w:asciiTheme="minorHAnsi" w:hAnsiTheme="minorHAnsi" w:cstheme="minorHAnsi"/>
        </w:rPr>
        <w:footnoteRef/>
      </w:r>
      <w:r w:rsidRPr="00C215EC">
        <w:rPr>
          <w:rFonts w:asciiTheme="minorHAnsi" w:hAnsiTheme="minorHAnsi" w:cstheme="minorHAnsi"/>
        </w:rPr>
        <w:t xml:space="preserve"> </w:t>
      </w:r>
      <w:r w:rsidRPr="00C215EC">
        <w:rPr>
          <w:rFonts w:asciiTheme="minorHAnsi" w:hAnsiTheme="minorHAnsi" w:cstheme="minorHAnsi"/>
          <w:i/>
          <w:color w:val="000000"/>
        </w:rPr>
        <w:t>RAV v City of St Paul</w:t>
      </w:r>
      <w:r w:rsidRPr="00C215EC">
        <w:rPr>
          <w:rFonts w:asciiTheme="minorHAnsi" w:hAnsiTheme="minorHAnsi" w:cstheme="minorHAnsi"/>
          <w:color w:val="000000"/>
        </w:rPr>
        <w:t xml:space="preserve"> 505 US 377 (1992).</w:t>
      </w:r>
      <w:r w:rsidR="003B4086">
        <w:rPr>
          <w:rFonts w:asciiTheme="minorHAnsi" w:hAnsiTheme="minorHAnsi" w:cstheme="minorHAnsi"/>
          <w:color w:val="000000"/>
        </w:rPr>
        <w:t xml:space="preserve"> A difference is that the standards in NetzDG are not in fact enforced by the State. </w:t>
      </w:r>
    </w:p>
  </w:footnote>
  <w:footnote w:id="109">
    <w:p w14:paraId="588F566B" w14:textId="51C69C0C" w:rsidR="00917E67" w:rsidRPr="00C215EC" w:rsidRDefault="00917E67" w:rsidP="00C215EC">
      <w:pPr>
        <w:pStyle w:val="FootnoteText"/>
        <w:jc w:val="both"/>
        <w:rPr>
          <w:rFonts w:asciiTheme="minorHAnsi" w:hAnsiTheme="minorHAnsi" w:cstheme="minorHAnsi"/>
        </w:rPr>
      </w:pPr>
      <w:r w:rsidRPr="00C215EC">
        <w:rPr>
          <w:rStyle w:val="FootnoteReference"/>
          <w:rFonts w:asciiTheme="minorHAnsi" w:hAnsiTheme="minorHAnsi" w:cstheme="minorHAnsi"/>
        </w:rPr>
        <w:footnoteRef/>
      </w:r>
      <w:r w:rsidRPr="00C215EC">
        <w:rPr>
          <w:rFonts w:asciiTheme="minorHAnsi" w:hAnsiTheme="minorHAnsi" w:cstheme="minorHAnsi"/>
        </w:rPr>
        <w:t xml:space="preserve"> </w:t>
      </w:r>
      <w:r w:rsidRPr="00C215EC">
        <w:rPr>
          <w:rFonts w:asciiTheme="minorHAnsi" w:hAnsiTheme="minorHAnsi" w:cstheme="minorHAnsi"/>
          <w:i/>
          <w:iCs/>
        </w:rPr>
        <w:t>Chaplinsky v New Hampshire</w:t>
      </w:r>
      <w:r w:rsidRPr="00C215EC">
        <w:rPr>
          <w:rFonts w:asciiTheme="minorHAnsi" w:hAnsiTheme="minorHAnsi" w:cstheme="minorHAnsi"/>
        </w:rPr>
        <w:t xml:space="preserve"> 315 US 568, 572 (1942).</w:t>
      </w:r>
    </w:p>
  </w:footnote>
  <w:footnote w:id="110">
    <w:p w14:paraId="4E1CA1B3" w14:textId="2DC69689" w:rsidR="00917E67" w:rsidRPr="00C215EC" w:rsidRDefault="00917E67" w:rsidP="00C215EC">
      <w:pPr>
        <w:pStyle w:val="FootnoteText"/>
        <w:jc w:val="both"/>
        <w:rPr>
          <w:rFonts w:asciiTheme="minorHAnsi" w:hAnsiTheme="minorHAnsi" w:cstheme="minorHAnsi"/>
        </w:rPr>
      </w:pPr>
      <w:r w:rsidRPr="00C215EC">
        <w:rPr>
          <w:rStyle w:val="FootnoteReference"/>
          <w:rFonts w:asciiTheme="minorHAnsi" w:hAnsiTheme="minorHAnsi" w:cstheme="minorHAnsi"/>
        </w:rPr>
        <w:footnoteRef/>
      </w:r>
      <w:r w:rsidRPr="00C215EC">
        <w:rPr>
          <w:rFonts w:asciiTheme="minorHAnsi" w:hAnsiTheme="minorHAnsi" w:cstheme="minorHAnsi"/>
        </w:rPr>
        <w:t xml:space="preserve"> </w:t>
      </w:r>
      <w:r w:rsidRPr="00C215EC">
        <w:rPr>
          <w:rFonts w:asciiTheme="minorHAnsi" w:hAnsiTheme="minorHAnsi" w:cstheme="minorHAnsi"/>
          <w:i/>
          <w:color w:val="000000"/>
        </w:rPr>
        <w:t>RAV v City of St Paul</w:t>
      </w:r>
      <w:r w:rsidRPr="00C215EC">
        <w:rPr>
          <w:rFonts w:asciiTheme="minorHAnsi" w:hAnsiTheme="minorHAnsi" w:cstheme="minorHAnsi"/>
          <w:color w:val="000000"/>
        </w:rPr>
        <w:t xml:space="preserve"> 505 US 377, 390 (1992) [emphasis added].</w:t>
      </w:r>
      <w:r w:rsidRPr="00C215EC">
        <w:rPr>
          <w:rFonts w:asciiTheme="minorHAnsi" w:hAnsiTheme="minorHAnsi" w:cstheme="minorHAnsi"/>
        </w:rPr>
        <w:t xml:space="preserve"> </w:t>
      </w:r>
    </w:p>
  </w:footnote>
  <w:footnote w:id="111">
    <w:p w14:paraId="31535894" w14:textId="741BC1A8" w:rsidR="00917E67" w:rsidRPr="00C215EC" w:rsidRDefault="00917E67" w:rsidP="00C215EC">
      <w:pPr>
        <w:pStyle w:val="FootnoteText"/>
        <w:jc w:val="both"/>
        <w:rPr>
          <w:rFonts w:asciiTheme="minorHAnsi" w:hAnsiTheme="minorHAnsi" w:cstheme="minorHAnsi"/>
        </w:rPr>
      </w:pPr>
      <w:r w:rsidRPr="00C215EC">
        <w:rPr>
          <w:rStyle w:val="FootnoteReference"/>
          <w:rFonts w:asciiTheme="minorHAnsi" w:hAnsiTheme="minorHAnsi" w:cstheme="minorHAnsi"/>
        </w:rPr>
        <w:footnoteRef/>
      </w:r>
      <w:r w:rsidRPr="00C215EC">
        <w:rPr>
          <w:rFonts w:asciiTheme="minorHAnsi" w:hAnsiTheme="minorHAnsi" w:cstheme="minorHAnsi"/>
        </w:rPr>
        <w:t xml:space="preserve"> Edward J Eberle, ‘The Architecture of First Amend Free Speech’ [2011] </w:t>
      </w:r>
      <w:r w:rsidRPr="00C215EC">
        <w:rPr>
          <w:rFonts w:asciiTheme="minorHAnsi" w:hAnsiTheme="minorHAnsi" w:cstheme="minorHAnsi"/>
          <w:i/>
          <w:iCs/>
        </w:rPr>
        <w:t>Michigan State Law Review</w:t>
      </w:r>
      <w:r w:rsidRPr="00C215EC">
        <w:rPr>
          <w:rFonts w:asciiTheme="minorHAnsi" w:hAnsiTheme="minorHAnsi" w:cstheme="minorHAnsi"/>
        </w:rPr>
        <w:t xml:space="preserve"> 1191, 1193. </w:t>
      </w:r>
    </w:p>
  </w:footnote>
  <w:footnote w:id="112">
    <w:p w14:paraId="3B4DCF34" w14:textId="6294EBB0" w:rsidR="00917E67" w:rsidRPr="00C215EC" w:rsidRDefault="00917E67" w:rsidP="00C215EC">
      <w:pPr>
        <w:autoSpaceDE w:val="0"/>
        <w:autoSpaceDN w:val="0"/>
        <w:adjustRightInd w:val="0"/>
        <w:spacing w:after="0" w:line="240" w:lineRule="auto"/>
        <w:jc w:val="both"/>
        <w:rPr>
          <w:rFonts w:cstheme="minorHAnsi"/>
          <w:sz w:val="20"/>
          <w:szCs w:val="20"/>
        </w:rPr>
      </w:pPr>
      <w:r w:rsidRPr="00C215EC">
        <w:rPr>
          <w:rStyle w:val="FootnoteReference"/>
          <w:rFonts w:cstheme="minorHAnsi"/>
          <w:sz w:val="20"/>
          <w:szCs w:val="20"/>
        </w:rPr>
        <w:footnoteRef/>
      </w:r>
      <w:r w:rsidRPr="00C215EC">
        <w:rPr>
          <w:rFonts w:cstheme="minorHAnsi"/>
          <w:sz w:val="20"/>
          <w:szCs w:val="20"/>
        </w:rPr>
        <w:t xml:space="preserve"> Jack </w:t>
      </w:r>
      <w:proofErr w:type="spellStart"/>
      <w:r w:rsidRPr="00C215EC">
        <w:rPr>
          <w:rFonts w:cstheme="minorHAnsi"/>
          <w:sz w:val="20"/>
          <w:szCs w:val="20"/>
        </w:rPr>
        <w:t>Balkin</w:t>
      </w:r>
      <w:proofErr w:type="spellEnd"/>
      <w:r w:rsidRPr="00C215EC">
        <w:rPr>
          <w:rFonts w:cstheme="minorHAnsi"/>
          <w:sz w:val="20"/>
          <w:szCs w:val="20"/>
        </w:rPr>
        <w:t>,</w:t>
      </w:r>
      <w:r w:rsidR="00605C58" w:rsidRPr="00C215EC">
        <w:rPr>
          <w:rFonts w:cstheme="minorHAnsi"/>
          <w:sz w:val="20"/>
          <w:szCs w:val="20"/>
        </w:rPr>
        <w:t xml:space="preserve"> ‘</w:t>
      </w:r>
      <w:r w:rsidRPr="00C215EC">
        <w:rPr>
          <w:rFonts w:cstheme="minorHAnsi"/>
          <w:sz w:val="20"/>
          <w:szCs w:val="20"/>
        </w:rPr>
        <w:t xml:space="preserve">Free Speech in the Algorithmic Society: Big Data, Private Governance, and New School Speech Regulation’ (2018) 51 </w:t>
      </w:r>
      <w:r w:rsidRPr="00C215EC">
        <w:rPr>
          <w:rFonts w:cstheme="minorHAnsi"/>
          <w:i/>
          <w:iCs/>
          <w:sz w:val="20"/>
          <w:szCs w:val="20"/>
        </w:rPr>
        <w:t xml:space="preserve">University </w:t>
      </w:r>
      <w:r w:rsidR="00605C58" w:rsidRPr="00C215EC">
        <w:rPr>
          <w:rFonts w:cstheme="minorHAnsi"/>
          <w:i/>
          <w:iCs/>
          <w:sz w:val="20"/>
          <w:szCs w:val="20"/>
        </w:rPr>
        <w:t xml:space="preserve">of </w:t>
      </w:r>
      <w:r w:rsidRPr="00C215EC">
        <w:rPr>
          <w:rFonts w:cstheme="minorHAnsi"/>
          <w:i/>
          <w:iCs/>
          <w:sz w:val="20"/>
          <w:szCs w:val="20"/>
        </w:rPr>
        <w:t>C</w:t>
      </w:r>
      <w:r w:rsidR="00605C58" w:rsidRPr="00C215EC">
        <w:rPr>
          <w:rFonts w:cstheme="minorHAnsi"/>
          <w:i/>
          <w:iCs/>
          <w:sz w:val="20"/>
          <w:szCs w:val="20"/>
        </w:rPr>
        <w:t>alifornia</w:t>
      </w:r>
      <w:r w:rsidRPr="00C215EC">
        <w:rPr>
          <w:rFonts w:cstheme="minorHAnsi"/>
          <w:i/>
          <w:iCs/>
          <w:sz w:val="20"/>
          <w:szCs w:val="20"/>
        </w:rPr>
        <w:t xml:space="preserve"> Davis Law Review</w:t>
      </w:r>
      <w:r w:rsidRPr="00C215EC">
        <w:rPr>
          <w:rFonts w:cstheme="minorHAnsi"/>
          <w:sz w:val="20"/>
          <w:szCs w:val="20"/>
        </w:rPr>
        <w:t xml:space="preserve"> 1149, arguing </w:t>
      </w:r>
      <w:proofErr w:type="gramStart"/>
      <w:r w:rsidRPr="00C215EC">
        <w:rPr>
          <w:rFonts w:cstheme="minorHAnsi"/>
          <w:sz w:val="20"/>
          <w:szCs w:val="20"/>
        </w:rPr>
        <w:t>on the basis of</w:t>
      </w:r>
      <w:proofErr w:type="gramEnd"/>
      <w:r w:rsidRPr="00C215EC">
        <w:rPr>
          <w:rFonts w:cstheme="minorHAnsi"/>
          <w:sz w:val="20"/>
          <w:szCs w:val="20"/>
        </w:rPr>
        <w:t xml:space="preserve"> U</w:t>
      </w:r>
      <w:r w:rsidR="00533902" w:rsidRPr="00C215EC">
        <w:rPr>
          <w:rFonts w:cstheme="minorHAnsi"/>
          <w:sz w:val="20"/>
          <w:szCs w:val="20"/>
        </w:rPr>
        <w:t>S</w:t>
      </w:r>
      <w:r w:rsidRPr="00C215EC">
        <w:rPr>
          <w:rFonts w:cstheme="minorHAnsi"/>
          <w:sz w:val="20"/>
          <w:szCs w:val="20"/>
        </w:rPr>
        <w:t xml:space="preserve"> constitutional law against the participation of intermediaries in online speech regulation</w:t>
      </w:r>
      <w:r w:rsidR="00533902" w:rsidRPr="00C215EC">
        <w:rPr>
          <w:rFonts w:cstheme="minorHAnsi"/>
          <w:sz w:val="20"/>
          <w:szCs w:val="20"/>
        </w:rPr>
        <w:t>.</w:t>
      </w:r>
    </w:p>
  </w:footnote>
  <w:footnote w:id="113">
    <w:p w14:paraId="7A41AD74" w14:textId="14262EBD" w:rsidR="00917E67" w:rsidRPr="00C215EC" w:rsidRDefault="00917E67" w:rsidP="00C215EC">
      <w:pPr>
        <w:pStyle w:val="FootnoteText"/>
        <w:jc w:val="both"/>
        <w:rPr>
          <w:rFonts w:asciiTheme="minorHAnsi" w:hAnsiTheme="minorHAnsi" w:cstheme="minorHAnsi"/>
          <w:highlight w:val="yellow"/>
        </w:rPr>
      </w:pPr>
      <w:r w:rsidRPr="00C215EC">
        <w:rPr>
          <w:rStyle w:val="FootnoteReference"/>
          <w:rFonts w:asciiTheme="minorHAnsi" w:hAnsiTheme="minorHAnsi" w:cstheme="minorHAnsi"/>
        </w:rPr>
        <w:footnoteRef/>
      </w:r>
      <w:r w:rsidRPr="00C215EC">
        <w:rPr>
          <w:rFonts w:asciiTheme="minorHAnsi" w:hAnsiTheme="minorHAnsi" w:cstheme="minorHAnsi"/>
        </w:rPr>
        <w:t xml:space="preserve"> </w:t>
      </w:r>
      <w:proofErr w:type="spellStart"/>
      <w:r w:rsidRPr="00C215EC">
        <w:rPr>
          <w:rFonts w:asciiTheme="minorHAnsi" w:hAnsiTheme="minorHAnsi" w:cstheme="minorHAnsi"/>
        </w:rPr>
        <w:t>Tworek</w:t>
      </w:r>
      <w:proofErr w:type="spellEnd"/>
      <w:r w:rsidRPr="00C215EC">
        <w:rPr>
          <w:rFonts w:asciiTheme="minorHAnsi" w:hAnsiTheme="minorHAnsi" w:cstheme="minorHAnsi"/>
        </w:rPr>
        <w:t xml:space="preserve"> above n 6</w:t>
      </w:r>
      <w:r w:rsidR="0065313A">
        <w:rPr>
          <w:rFonts w:asciiTheme="minorHAnsi" w:hAnsiTheme="minorHAnsi" w:cstheme="minorHAnsi"/>
        </w:rPr>
        <w:t>3</w:t>
      </w:r>
      <w:r w:rsidRPr="00C215EC">
        <w:rPr>
          <w:rFonts w:asciiTheme="minorHAnsi" w:hAnsiTheme="minorHAnsi" w:cstheme="minorHAnsi"/>
        </w:rPr>
        <w:t xml:space="preserve">, 5; see also </w:t>
      </w:r>
      <w:proofErr w:type="spellStart"/>
      <w:r w:rsidRPr="00C215EC">
        <w:rPr>
          <w:rFonts w:asciiTheme="minorHAnsi" w:hAnsiTheme="minorHAnsi" w:cstheme="minorHAnsi"/>
        </w:rPr>
        <w:t>Heldt</w:t>
      </w:r>
      <w:proofErr w:type="spellEnd"/>
      <w:r w:rsidRPr="00C215EC">
        <w:rPr>
          <w:rFonts w:asciiTheme="minorHAnsi" w:hAnsiTheme="minorHAnsi" w:cstheme="minorHAnsi"/>
        </w:rPr>
        <w:t xml:space="preserve"> above n 6</w:t>
      </w:r>
      <w:r w:rsidR="0065313A">
        <w:rPr>
          <w:rFonts w:asciiTheme="minorHAnsi" w:hAnsiTheme="minorHAnsi" w:cstheme="minorHAnsi"/>
        </w:rPr>
        <w:t>3</w:t>
      </w:r>
      <w:r w:rsidRPr="00C215EC">
        <w:rPr>
          <w:rFonts w:asciiTheme="minorHAnsi" w:hAnsiTheme="minorHAnsi" w:cstheme="minorHAnsi"/>
        </w:rPr>
        <w:t>, 8f.</w:t>
      </w:r>
      <w:r w:rsidR="005179A6">
        <w:rPr>
          <w:rFonts w:asciiTheme="minorHAnsi" w:hAnsiTheme="minorHAnsi" w:cstheme="minorHAnsi"/>
        </w:rPr>
        <w:t xml:space="preserve"> Facebook </w:t>
      </w:r>
      <w:r w:rsidR="003B4086">
        <w:rPr>
          <w:rFonts w:asciiTheme="minorHAnsi" w:hAnsiTheme="minorHAnsi" w:cstheme="minorHAnsi"/>
        </w:rPr>
        <w:t xml:space="preserve">was in fact fined for misrepresenting the amount of unlawful content in its first transparency report of 2018 by steering using to its standard feedback and reporting channels. German Justice Ministry, ‘Federal Office of Justice issues Fine against Facebook’ (2 July 2019 </w:t>
      </w:r>
      <w:hyperlink r:id="rId7" w:history="1">
        <w:r w:rsidR="003B4086" w:rsidRPr="00A945F2">
          <w:rPr>
            <w:rStyle w:val="Hyperlink"/>
            <w:rFonts w:asciiTheme="minorHAnsi" w:hAnsiTheme="minorHAnsi" w:cstheme="minorHAnsi"/>
          </w:rPr>
          <w:t>https://www.bundesjustizamt.de/DE/Presse/Archiv/2019/20190702_EN.html</w:t>
        </w:r>
      </w:hyperlink>
      <w:r w:rsidR="003B4086">
        <w:rPr>
          <w:rFonts w:asciiTheme="minorHAnsi" w:hAnsiTheme="minorHAnsi" w:cstheme="minorHAnsi"/>
        </w:rPr>
        <w:t xml:space="preserve"> .</w:t>
      </w:r>
    </w:p>
  </w:footnote>
  <w:footnote w:id="114">
    <w:p w14:paraId="10C384AD" w14:textId="51BDFEC0" w:rsidR="00F55B88" w:rsidRPr="00667B3D" w:rsidRDefault="00F55B88" w:rsidP="00C215EC">
      <w:pPr>
        <w:pStyle w:val="FootnoteText"/>
        <w:jc w:val="both"/>
        <w:rPr>
          <w:rFonts w:asciiTheme="minorHAnsi" w:hAnsiTheme="minorHAnsi" w:cstheme="minorHAnsi"/>
          <w:highlight w:val="yellow"/>
        </w:rPr>
      </w:pPr>
      <w:r w:rsidRPr="00667B3D">
        <w:rPr>
          <w:rStyle w:val="FootnoteReference"/>
          <w:rFonts w:asciiTheme="minorHAnsi" w:hAnsiTheme="minorHAnsi" w:cstheme="minorHAnsi"/>
        </w:rPr>
        <w:footnoteRef/>
      </w:r>
      <w:r w:rsidRPr="00667B3D">
        <w:rPr>
          <w:rFonts w:asciiTheme="minorHAnsi" w:hAnsiTheme="minorHAnsi" w:cstheme="minorHAnsi"/>
        </w:rPr>
        <w:t xml:space="preserve"> </w:t>
      </w:r>
      <w:r w:rsidR="00667B3D" w:rsidRPr="00667B3D">
        <w:rPr>
          <w:rFonts w:asciiTheme="minorHAnsi" w:hAnsiTheme="minorHAnsi" w:cstheme="minorHAnsi"/>
        </w:rPr>
        <w:t xml:space="preserve">The community standards of the big platforms would have already been influenced by the </w:t>
      </w:r>
      <w:r w:rsidR="00667B3D" w:rsidRPr="00667B3D">
        <w:rPr>
          <w:rFonts w:cstheme="minorHAnsi"/>
          <w:i/>
          <w:iCs/>
        </w:rPr>
        <w:t>EU Code of Conduct on countering illegal hate speech online</w:t>
      </w:r>
      <w:r w:rsidR="00667B3D" w:rsidRPr="00667B3D">
        <w:rPr>
          <w:rFonts w:cstheme="minorHAnsi"/>
        </w:rPr>
        <w:t xml:space="preserve"> (2016) n 14. </w:t>
      </w:r>
    </w:p>
  </w:footnote>
  <w:footnote w:id="115">
    <w:p w14:paraId="6D0A6092" w14:textId="7EBDBACA" w:rsidR="00917E67" w:rsidRPr="00C215EC" w:rsidRDefault="00917E67" w:rsidP="00C215EC">
      <w:pPr>
        <w:pStyle w:val="FootnoteText"/>
        <w:jc w:val="both"/>
        <w:rPr>
          <w:rFonts w:asciiTheme="minorHAnsi" w:hAnsiTheme="minorHAnsi" w:cstheme="minorHAnsi"/>
        </w:rPr>
      </w:pPr>
      <w:r w:rsidRPr="00AC6AAB">
        <w:rPr>
          <w:rStyle w:val="FootnoteReference"/>
          <w:rFonts w:asciiTheme="minorHAnsi" w:hAnsiTheme="minorHAnsi" w:cstheme="minorHAnsi"/>
        </w:rPr>
        <w:footnoteRef/>
      </w:r>
      <w:r w:rsidRPr="00AC6AAB">
        <w:rPr>
          <w:rFonts w:asciiTheme="minorHAnsi" w:hAnsiTheme="minorHAnsi" w:cstheme="minorHAnsi"/>
        </w:rPr>
        <w:t xml:space="preserve"> </w:t>
      </w:r>
      <w:r w:rsidR="00AC6AAB" w:rsidRPr="00AC6AAB">
        <w:rPr>
          <w:rFonts w:asciiTheme="minorHAnsi" w:hAnsiTheme="minorHAnsi" w:cstheme="minorHAnsi"/>
        </w:rPr>
        <w:t>For a critical account of private censorship and its democra</w:t>
      </w:r>
      <w:r w:rsidR="00AC6AAB">
        <w:rPr>
          <w:rFonts w:asciiTheme="minorHAnsi" w:hAnsiTheme="minorHAnsi" w:cstheme="minorHAnsi"/>
        </w:rPr>
        <w:t>tic</w:t>
      </w:r>
      <w:r w:rsidR="00AC6AAB" w:rsidRPr="00AC6AAB">
        <w:rPr>
          <w:rFonts w:asciiTheme="minorHAnsi" w:hAnsiTheme="minorHAnsi" w:cstheme="minorHAnsi"/>
        </w:rPr>
        <w:t xml:space="preserve"> deficit, see </w:t>
      </w:r>
      <w:proofErr w:type="spellStart"/>
      <w:r w:rsidRPr="00AC6AAB">
        <w:rPr>
          <w:rFonts w:asciiTheme="minorHAnsi" w:hAnsiTheme="minorHAnsi" w:cstheme="minorHAnsi"/>
        </w:rPr>
        <w:t>Koltay</w:t>
      </w:r>
      <w:proofErr w:type="spellEnd"/>
      <w:r w:rsidRPr="00AC6AAB">
        <w:rPr>
          <w:rFonts w:asciiTheme="minorHAnsi" w:hAnsiTheme="minorHAnsi" w:cstheme="minorHAnsi"/>
        </w:rPr>
        <w:t xml:space="preserve"> above n </w:t>
      </w:r>
      <w:r w:rsidR="0065313A" w:rsidRPr="00AC6AAB">
        <w:rPr>
          <w:rFonts w:asciiTheme="minorHAnsi" w:hAnsiTheme="minorHAnsi" w:cstheme="minorHAnsi"/>
        </w:rPr>
        <w:t>6</w:t>
      </w:r>
      <w:r w:rsidR="00956461" w:rsidRPr="00AC6AAB">
        <w:rPr>
          <w:rFonts w:asciiTheme="minorHAnsi" w:hAnsiTheme="minorHAnsi" w:cstheme="minorHAnsi"/>
        </w:rPr>
        <w:t>7</w:t>
      </w:r>
      <w:r w:rsidR="00AC6AAB" w:rsidRPr="00AC6AAB">
        <w:rPr>
          <w:rFonts w:asciiTheme="minorHAnsi" w:hAnsiTheme="minorHAnsi" w:cstheme="minorHAnsi"/>
        </w:rPr>
        <w:t>, 301ff.</w:t>
      </w:r>
    </w:p>
  </w:footnote>
  <w:footnote w:id="116">
    <w:p w14:paraId="3C6F1E90" w14:textId="5AAAF6C9" w:rsidR="00917E67" w:rsidRPr="00BC0FD7" w:rsidRDefault="00917E67" w:rsidP="00C215EC">
      <w:pPr>
        <w:pStyle w:val="FootnoteText"/>
        <w:jc w:val="both"/>
        <w:rPr>
          <w:rFonts w:asciiTheme="minorHAnsi" w:hAnsiTheme="minorHAnsi" w:cstheme="minorHAnsi"/>
        </w:rPr>
      </w:pPr>
      <w:r w:rsidRPr="00C215EC">
        <w:rPr>
          <w:rStyle w:val="FootnoteReference"/>
          <w:rFonts w:asciiTheme="minorHAnsi" w:hAnsiTheme="minorHAnsi" w:cstheme="minorHAnsi"/>
        </w:rPr>
        <w:footnoteRef/>
      </w:r>
      <w:r w:rsidRPr="00C215EC">
        <w:rPr>
          <w:rFonts w:asciiTheme="minorHAnsi" w:hAnsiTheme="minorHAnsi" w:cstheme="minorHAnsi"/>
        </w:rPr>
        <w:t xml:space="preserve"> </w:t>
      </w:r>
      <w:proofErr w:type="spellStart"/>
      <w:r w:rsidRPr="00C215EC">
        <w:rPr>
          <w:rFonts w:asciiTheme="minorHAnsi" w:hAnsiTheme="minorHAnsi" w:cstheme="minorHAnsi"/>
        </w:rPr>
        <w:t>Wischmeyer</w:t>
      </w:r>
      <w:proofErr w:type="spellEnd"/>
      <w:r w:rsidRPr="00C215EC">
        <w:rPr>
          <w:rFonts w:asciiTheme="minorHAnsi" w:hAnsiTheme="minorHAnsi" w:cstheme="minorHAnsi"/>
        </w:rPr>
        <w:t xml:space="preserve"> above n 6</w:t>
      </w:r>
      <w:r w:rsidR="005F0228">
        <w:rPr>
          <w:rFonts w:asciiTheme="minorHAnsi" w:hAnsiTheme="minorHAnsi" w:cstheme="minorHAnsi"/>
        </w:rPr>
        <w:t>3</w:t>
      </w:r>
      <w:r w:rsidRPr="00C215EC">
        <w:rPr>
          <w:rFonts w:asciiTheme="minorHAnsi" w:hAnsiTheme="minorHAnsi" w:cstheme="minorHAnsi"/>
        </w:rPr>
        <w:t xml:space="preserve">, 4; Malte </w:t>
      </w:r>
      <w:proofErr w:type="spellStart"/>
      <w:r w:rsidRPr="00C215EC">
        <w:rPr>
          <w:rFonts w:asciiTheme="minorHAnsi" w:hAnsiTheme="minorHAnsi" w:cstheme="minorHAnsi"/>
        </w:rPr>
        <w:t>Engeler</w:t>
      </w:r>
      <w:proofErr w:type="spellEnd"/>
      <w:r w:rsidRPr="00C215EC">
        <w:rPr>
          <w:rFonts w:asciiTheme="minorHAnsi" w:hAnsiTheme="minorHAnsi" w:cstheme="minorHAnsi"/>
        </w:rPr>
        <w:t>, ‘</w:t>
      </w:r>
      <w:proofErr w:type="spellStart"/>
      <w:r w:rsidRPr="00C215EC">
        <w:rPr>
          <w:rFonts w:asciiTheme="minorHAnsi" w:hAnsiTheme="minorHAnsi" w:cstheme="minorHAnsi"/>
        </w:rPr>
        <w:t>Meinungsfreiheit</w:t>
      </w:r>
      <w:proofErr w:type="spellEnd"/>
      <w:r w:rsidRPr="00C215EC">
        <w:rPr>
          <w:rFonts w:asciiTheme="minorHAnsi" w:hAnsiTheme="minorHAnsi" w:cstheme="minorHAnsi"/>
        </w:rPr>
        <w:t xml:space="preserve">: </w:t>
      </w:r>
      <w:proofErr w:type="spellStart"/>
      <w:r w:rsidRPr="00C215EC">
        <w:rPr>
          <w:rFonts w:asciiTheme="minorHAnsi" w:hAnsiTheme="minorHAnsi" w:cstheme="minorHAnsi"/>
        </w:rPr>
        <w:t>Warum</w:t>
      </w:r>
      <w:proofErr w:type="spellEnd"/>
      <w:r w:rsidRPr="00C215EC">
        <w:rPr>
          <w:rFonts w:asciiTheme="minorHAnsi" w:hAnsiTheme="minorHAnsi" w:cstheme="minorHAnsi"/>
        </w:rPr>
        <w:t xml:space="preserve"> Facebook (</w:t>
      </w:r>
      <w:proofErr w:type="spellStart"/>
      <w:r w:rsidRPr="00C215EC">
        <w:rPr>
          <w:rFonts w:asciiTheme="minorHAnsi" w:hAnsiTheme="minorHAnsi" w:cstheme="minorHAnsi"/>
        </w:rPr>
        <w:t>zu</w:t>
      </w:r>
      <w:proofErr w:type="spellEnd"/>
      <w:r w:rsidRPr="00C215EC">
        <w:rPr>
          <w:rFonts w:asciiTheme="minorHAnsi" w:hAnsiTheme="minorHAnsi" w:cstheme="minorHAnsi"/>
        </w:rPr>
        <w:t xml:space="preserve"> </w:t>
      </w:r>
      <w:proofErr w:type="spellStart"/>
      <w:r w:rsidRPr="00C215EC">
        <w:rPr>
          <w:rFonts w:asciiTheme="minorHAnsi" w:hAnsiTheme="minorHAnsi" w:cstheme="minorHAnsi"/>
        </w:rPr>
        <w:t>Recht</w:t>
      </w:r>
      <w:proofErr w:type="spellEnd"/>
      <w:r w:rsidRPr="00C215EC">
        <w:rPr>
          <w:rFonts w:asciiTheme="minorHAnsi" w:hAnsiTheme="minorHAnsi" w:cstheme="minorHAnsi"/>
        </w:rPr>
        <w:t xml:space="preserve">) </w:t>
      </w:r>
      <w:proofErr w:type="spellStart"/>
      <w:r w:rsidRPr="00C215EC">
        <w:rPr>
          <w:rFonts w:asciiTheme="minorHAnsi" w:hAnsiTheme="minorHAnsi" w:cstheme="minorHAnsi"/>
        </w:rPr>
        <w:t>nicht</w:t>
      </w:r>
      <w:proofErr w:type="spellEnd"/>
      <w:r w:rsidRPr="00C215EC">
        <w:rPr>
          <w:rFonts w:asciiTheme="minorHAnsi" w:hAnsiTheme="minorHAnsi" w:cstheme="minorHAnsi"/>
        </w:rPr>
        <w:t xml:space="preserve"> an </w:t>
      </w:r>
      <w:proofErr w:type="spellStart"/>
      <w:r w:rsidRPr="00C215EC">
        <w:rPr>
          <w:rFonts w:asciiTheme="minorHAnsi" w:hAnsiTheme="minorHAnsi" w:cstheme="minorHAnsi"/>
        </w:rPr>
        <w:t>Grundrechte</w:t>
      </w:r>
      <w:proofErr w:type="spellEnd"/>
      <w:r w:rsidRPr="00C215EC">
        <w:rPr>
          <w:rFonts w:asciiTheme="minorHAnsi" w:hAnsiTheme="minorHAnsi" w:cstheme="minorHAnsi"/>
        </w:rPr>
        <w:t xml:space="preserve"> </w:t>
      </w:r>
      <w:proofErr w:type="spellStart"/>
      <w:r w:rsidRPr="00C215EC">
        <w:rPr>
          <w:rFonts w:asciiTheme="minorHAnsi" w:hAnsiTheme="minorHAnsi" w:cstheme="minorHAnsi"/>
        </w:rPr>
        <w:t>gebunden</w:t>
      </w:r>
      <w:proofErr w:type="spellEnd"/>
      <w:r w:rsidRPr="00C215EC">
        <w:rPr>
          <w:rFonts w:asciiTheme="minorHAnsi" w:hAnsiTheme="minorHAnsi" w:cstheme="minorHAnsi"/>
        </w:rPr>
        <w:t xml:space="preserve"> </w:t>
      </w:r>
      <w:proofErr w:type="spellStart"/>
      <w:r w:rsidRPr="00C215EC">
        <w:rPr>
          <w:rFonts w:asciiTheme="minorHAnsi" w:hAnsiTheme="minorHAnsi" w:cstheme="minorHAnsi"/>
        </w:rPr>
        <w:t>ist</w:t>
      </w:r>
      <w:proofErr w:type="spellEnd"/>
      <w:r w:rsidRPr="00C215EC">
        <w:rPr>
          <w:rFonts w:asciiTheme="minorHAnsi" w:hAnsiTheme="minorHAnsi" w:cstheme="minorHAnsi"/>
        </w:rPr>
        <w:t xml:space="preserve">’ (18 Sept 2018) </w:t>
      </w:r>
      <w:r w:rsidRPr="00C215EC">
        <w:rPr>
          <w:rFonts w:asciiTheme="minorHAnsi" w:hAnsiTheme="minorHAnsi" w:cstheme="minorHAnsi"/>
          <w:i/>
          <w:iCs/>
        </w:rPr>
        <w:t>Netzpolitik.org</w:t>
      </w:r>
      <w:r w:rsidRPr="00C215EC">
        <w:rPr>
          <w:rFonts w:asciiTheme="minorHAnsi" w:hAnsiTheme="minorHAnsi" w:cstheme="minorHAnsi"/>
        </w:rPr>
        <w:t>; see also</w:t>
      </w:r>
      <w:r w:rsidR="00605C58" w:rsidRPr="00C215EC">
        <w:rPr>
          <w:rFonts w:asciiTheme="minorHAnsi" w:hAnsiTheme="minorHAnsi" w:cstheme="minorHAnsi"/>
        </w:rPr>
        <w:t xml:space="preserve"> </w:t>
      </w:r>
      <w:r w:rsidRPr="00C215EC">
        <w:rPr>
          <w:rFonts w:asciiTheme="minorHAnsi" w:hAnsiTheme="minorHAnsi" w:cstheme="minorHAnsi"/>
          <w:i/>
          <w:iCs/>
        </w:rPr>
        <w:t xml:space="preserve">Fraport </w:t>
      </w:r>
      <w:r w:rsidRPr="00C215EC">
        <w:rPr>
          <w:rFonts w:asciiTheme="minorHAnsi" w:hAnsiTheme="minorHAnsi" w:cstheme="minorHAnsi"/>
        </w:rPr>
        <w:t xml:space="preserve">1 </w:t>
      </w:r>
      <w:proofErr w:type="spellStart"/>
      <w:r w:rsidRPr="00C215EC">
        <w:rPr>
          <w:rFonts w:asciiTheme="minorHAnsi" w:hAnsiTheme="minorHAnsi" w:cstheme="minorHAnsi"/>
        </w:rPr>
        <w:t>BvR</w:t>
      </w:r>
      <w:proofErr w:type="spellEnd"/>
      <w:r w:rsidRPr="00C215EC">
        <w:rPr>
          <w:rFonts w:asciiTheme="minorHAnsi" w:hAnsiTheme="minorHAnsi" w:cstheme="minorHAnsi"/>
        </w:rPr>
        <w:t xml:space="preserve"> 699/06 [2011] </w:t>
      </w:r>
      <w:proofErr w:type="spellStart"/>
      <w:r w:rsidRPr="00C215EC">
        <w:rPr>
          <w:rFonts w:asciiTheme="minorHAnsi" w:hAnsiTheme="minorHAnsi" w:cstheme="minorHAnsi"/>
        </w:rPr>
        <w:t>BVerfG</w:t>
      </w:r>
      <w:proofErr w:type="spellEnd"/>
      <w:r w:rsidRPr="00C215EC">
        <w:rPr>
          <w:rFonts w:asciiTheme="minorHAnsi" w:hAnsiTheme="minorHAnsi" w:cstheme="minorHAnsi"/>
        </w:rPr>
        <w:t xml:space="preserve"> ECLI:</w:t>
      </w:r>
      <w:proofErr w:type="gramStart"/>
      <w:r w:rsidRPr="00C215EC">
        <w:rPr>
          <w:rFonts w:asciiTheme="minorHAnsi" w:hAnsiTheme="minorHAnsi" w:cstheme="minorHAnsi"/>
        </w:rPr>
        <w:t>DE:BVerfG</w:t>
      </w:r>
      <w:proofErr w:type="gramEnd"/>
      <w:r w:rsidRPr="00C215EC">
        <w:rPr>
          <w:rFonts w:asciiTheme="minorHAnsi" w:hAnsiTheme="minorHAnsi" w:cstheme="minorHAnsi"/>
        </w:rPr>
        <w:t>:2011:rs20110222.1bvr069906,  where the State</w:t>
      </w:r>
      <w:r w:rsidR="00F97699" w:rsidRPr="00C215EC">
        <w:rPr>
          <w:rFonts w:asciiTheme="minorHAnsi" w:hAnsiTheme="minorHAnsi" w:cstheme="minorHAnsi"/>
        </w:rPr>
        <w:t xml:space="preserve"> owned and had a controlling influence (70% of the </w:t>
      </w:r>
      <w:r w:rsidR="00F97699" w:rsidRPr="00BC0FD7">
        <w:rPr>
          <w:rFonts w:asciiTheme="minorHAnsi" w:hAnsiTheme="minorHAnsi" w:cstheme="minorHAnsi"/>
        </w:rPr>
        <w:t>shares) of the airport in question and thus</w:t>
      </w:r>
      <w:r w:rsidRPr="00BC0FD7">
        <w:rPr>
          <w:rFonts w:asciiTheme="minorHAnsi" w:hAnsiTheme="minorHAnsi" w:cstheme="minorHAnsi"/>
        </w:rPr>
        <w:t xml:space="preserve"> was held to be</w:t>
      </w:r>
      <w:r w:rsidRPr="00BC0FD7">
        <w:rPr>
          <w:rFonts w:asciiTheme="minorHAnsi" w:hAnsiTheme="minorHAnsi" w:cstheme="minorHAnsi"/>
          <w:i/>
          <w:iCs/>
        </w:rPr>
        <w:t xml:space="preserve"> directly</w:t>
      </w:r>
      <w:r w:rsidRPr="00BC0FD7">
        <w:rPr>
          <w:rFonts w:asciiTheme="minorHAnsi" w:hAnsiTheme="minorHAnsi" w:cstheme="minorHAnsi"/>
        </w:rPr>
        <w:t xml:space="preserve"> bound by fundamental rights. </w:t>
      </w:r>
    </w:p>
  </w:footnote>
  <w:footnote w:id="117">
    <w:p w14:paraId="55F281F5" w14:textId="4B49077A" w:rsidR="00FE118B" w:rsidRPr="00BC0FD7" w:rsidRDefault="00FE118B" w:rsidP="00C215EC">
      <w:pPr>
        <w:pStyle w:val="FootnoteText"/>
        <w:jc w:val="both"/>
        <w:rPr>
          <w:rFonts w:asciiTheme="minorHAnsi" w:hAnsiTheme="minorHAnsi" w:cstheme="minorHAnsi"/>
        </w:rPr>
      </w:pPr>
      <w:r w:rsidRPr="00BC0FD7">
        <w:rPr>
          <w:rStyle w:val="FootnoteReference"/>
          <w:rFonts w:asciiTheme="minorHAnsi" w:hAnsiTheme="minorHAnsi" w:cstheme="minorHAnsi"/>
        </w:rPr>
        <w:footnoteRef/>
      </w:r>
      <w:r w:rsidRPr="00BC0FD7">
        <w:rPr>
          <w:rFonts w:asciiTheme="minorHAnsi" w:hAnsiTheme="minorHAnsi" w:cstheme="minorHAnsi"/>
        </w:rPr>
        <w:t xml:space="preserve"> For a discussion of</w:t>
      </w:r>
      <w:r w:rsidR="00BC0FD7" w:rsidRPr="00BC0FD7">
        <w:rPr>
          <w:rFonts w:asciiTheme="minorHAnsi" w:hAnsiTheme="minorHAnsi" w:cstheme="minorHAnsi"/>
        </w:rPr>
        <w:t xml:space="preserve"> </w:t>
      </w:r>
      <w:r w:rsidRPr="00BC0FD7">
        <w:rPr>
          <w:rFonts w:asciiTheme="minorHAnsi" w:hAnsiTheme="minorHAnsi" w:cstheme="minorHAnsi"/>
        </w:rPr>
        <w:t xml:space="preserve">German </w:t>
      </w:r>
      <w:r w:rsidR="00BC0FD7" w:rsidRPr="00BC0FD7">
        <w:rPr>
          <w:rFonts w:asciiTheme="minorHAnsi" w:hAnsiTheme="minorHAnsi" w:cstheme="minorHAnsi"/>
        </w:rPr>
        <w:t>judgments on that point,</w:t>
      </w:r>
      <w:r w:rsidRPr="00BC0FD7">
        <w:rPr>
          <w:rFonts w:asciiTheme="minorHAnsi" w:hAnsiTheme="minorHAnsi" w:cstheme="minorHAnsi"/>
        </w:rPr>
        <w:t xml:space="preserve"> see </w:t>
      </w:r>
      <w:proofErr w:type="spellStart"/>
      <w:r w:rsidRPr="00BC0FD7">
        <w:rPr>
          <w:rFonts w:asciiTheme="minorHAnsi" w:hAnsiTheme="minorHAnsi" w:cstheme="minorHAnsi"/>
        </w:rPr>
        <w:t>Koltay</w:t>
      </w:r>
      <w:proofErr w:type="spellEnd"/>
      <w:r w:rsidRPr="00BC0FD7">
        <w:rPr>
          <w:rFonts w:asciiTheme="minorHAnsi" w:hAnsiTheme="minorHAnsi" w:cstheme="minorHAnsi"/>
        </w:rPr>
        <w:t xml:space="preserve"> n </w:t>
      </w:r>
      <w:r w:rsidR="0065313A" w:rsidRPr="00BC0FD7">
        <w:rPr>
          <w:rFonts w:asciiTheme="minorHAnsi" w:hAnsiTheme="minorHAnsi" w:cstheme="minorHAnsi"/>
        </w:rPr>
        <w:t>6</w:t>
      </w:r>
      <w:r w:rsidR="00956461" w:rsidRPr="00BC0FD7">
        <w:rPr>
          <w:rFonts w:asciiTheme="minorHAnsi" w:hAnsiTheme="minorHAnsi" w:cstheme="minorHAnsi"/>
        </w:rPr>
        <w:t>7</w:t>
      </w:r>
      <w:r w:rsidRPr="00BC0FD7">
        <w:rPr>
          <w:rFonts w:asciiTheme="minorHAnsi" w:hAnsiTheme="minorHAnsi" w:cstheme="minorHAnsi"/>
        </w:rPr>
        <w:t xml:space="preserve">, </w:t>
      </w:r>
      <w:r w:rsidR="00BC0FD7" w:rsidRPr="00BC0FD7">
        <w:rPr>
          <w:rFonts w:asciiTheme="minorHAnsi" w:hAnsiTheme="minorHAnsi" w:cstheme="minorHAnsi"/>
        </w:rPr>
        <w:t>283ff.</w:t>
      </w:r>
    </w:p>
  </w:footnote>
  <w:footnote w:id="118">
    <w:p w14:paraId="572CB057" w14:textId="351BAB10" w:rsidR="00917E67" w:rsidRPr="00C215EC" w:rsidRDefault="00917E67" w:rsidP="00C215EC">
      <w:pPr>
        <w:pStyle w:val="FootnoteText"/>
        <w:jc w:val="both"/>
        <w:rPr>
          <w:rFonts w:asciiTheme="minorHAnsi" w:hAnsiTheme="minorHAnsi" w:cstheme="minorHAnsi"/>
        </w:rPr>
      </w:pPr>
      <w:r w:rsidRPr="00BC0FD7">
        <w:rPr>
          <w:rStyle w:val="FootnoteReference"/>
          <w:rFonts w:asciiTheme="minorHAnsi" w:hAnsiTheme="minorHAnsi" w:cstheme="minorHAnsi"/>
        </w:rPr>
        <w:footnoteRef/>
      </w:r>
      <w:r w:rsidRPr="00BC0FD7">
        <w:rPr>
          <w:rFonts w:asciiTheme="minorHAnsi" w:hAnsiTheme="minorHAnsi" w:cstheme="minorHAnsi"/>
        </w:rPr>
        <w:t xml:space="preserve"> </w:t>
      </w:r>
      <w:r w:rsidRPr="00BC0FD7">
        <w:rPr>
          <w:rFonts w:asciiTheme="minorHAnsi" w:hAnsiTheme="minorHAnsi" w:cstheme="minorHAnsi"/>
          <w:i/>
          <w:iCs/>
        </w:rPr>
        <w:t>Beer-Cans-</w:t>
      </w:r>
      <w:proofErr w:type="spellStart"/>
      <w:r w:rsidRPr="00BC0FD7">
        <w:rPr>
          <w:rFonts w:asciiTheme="minorHAnsi" w:hAnsiTheme="minorHAnsi" w:cstheme="minorHAnsi"/>
          <w:i/>
          <w:iCs/>
        </w:rPr>
        <w:t>Flashmob</w:t>
      </w:r>
      <w:proofErr w:type="spellEnd"/>
      <w:r w:rsidRPr="00BC0FD7">
        <w:rPr>
          <w:rFonts w:asciiTheme="minorHAnsi" w:hAnsiTheme="minorHAnsi" w:cstheme="minorHAnsi"/>
          <w:i/>
          <w:iCs/>
        </w:rPr>
        <w:t xml:space="preserve"> for Freedom </w:t>
      </w:r>
      <w:r w:rsidRPr="00BC0FD7">
        <w:rPr>
          <w:rFonts w:asciiTheme="minorHAnsi" w:hAnsiTheme="minorHAnsi" w:cstheme="minorHAnsi"/>
        </w:rPr>
        <w:t xml:space="preserve">1 </w:t>
      </w:r>
      <w:proofErr w:type="spellStart"/>
      <w:r w:rsidRPr="00BC0FD7">
        <w:rPr>
          <w:rFonts w:asciiTheme="minorHAnsi" w:hAnsiTheme="minorHAnsi" w:cstheme="minorHAnsi"/>
        </w:rPr>
        <w:t>BvQ</w:t>
      </w:r>
      <w:proofErr w:type="spellEnd"/>
      <w:r w:rsidRPr="00BC0FD7">
        <w:rPr>
          <w:rFonts w:asciiTheme="minorHAnsi" w:hAnsiTheme="minorHAnsi" w:cstheme="minorHAnsi"/>
        </w:rPr>
        <w:t xml:space="preserve"> 25/15 [2015] </w:t>
      </w:r>
      <w:proofErr w:type="spellStart"/>
      <w:r w:rsidRPr="00BC0FD7">
        <w:rPr>
          <w:rFonts w:asciiTheme="minorHAnsi" w:hAnsiTheme="minorHAnsi" w:cstheme="minorHAnsi"/>
        </w:rPr>
        <w:t>BVerfG</w:t>
      </w:r>
      <w:proofErr w:type="spellEnd"/>
      <w:r w:rsidRPr="00BC0FD7">
        <w:rPr>
          <w:rFonts w:asciiTheme="minorHAnsi" w:hAnsiTheme="minorHAnsi" w:cstheme="minorHAnsi"/>
        </w:rPr>
        <w:t>, ECLI:</w:t>
      </w:r>
      <w:proofErr w:type="gramStart"/>
      <w:r w:rsidRPr="00BC0FD7">
        <w:rPr>
          <w:rFonts w:asciiTheme="minorHAnsi" w:hAnsiTheme="minorHAnsi" w:cstheme="minorHAnsi"/>
        </w:rPr>
        <w:t>DE:BVerfG</w:t>
      </w:r>
      <w:proofErr w:type="gramEnd"/>
      <w:r w:rsidRPr="00BC0FD7">
        <w:rPr>
          <w:rFonts w:asciiTheme="minorHAnsi" w:hAnsiTheme="minorHAnsi" w:cstheme="minorHAnsi"/>
        </w:rPr>
        <w:t xml:space="preserve">:2011:rs20110222.1bvr069906; see also </w:t>
      </w:r>
      <w:proofErr w:type="spellStart"/>
      <w:r w:rsidRPr="00BC0FD7">
        <w:rPr>
          <w:rFonts w:asciiTheme="minorHAnsi" w:hAnsiTheme="minorHAnsi" w:cstheme="minorHAnsi"/>
          <w:i/>
          <w:iCs/>
        </w:rPr>
        <w:t>Stadiumban</w:t>
      </w:r>
      <w:proofErr w:type="spellEnd"/>
      <w:r w:rsidRPr="00BC0FD7">
        <w:rPr>
          <w:rFonts w:asciiTheme="minorHAnsi" w:hAnsiTheme="minorHAnsi" w:cstheme="minorHAnsi"/>
          <w:i/>
          <w:iCs/>
        </w:rPr>
        <w:t xml:space="preserve"> </w:t>
      </w:r>
      <w:r w:rsidRPr="00BC0FD7">
        <w:rPr>
          <w:rFonts w:asciiTheme="minorHAnsi" w:hAnsiTheme="minorHAnsi" w:cstheme="minorHAnsi"/>
        </w:rPr>
        <w:t xml:space="preserve">1 </w:t>
      </w:r>
      <w:proofErr w:type="spellStart"/>
      <w:r w:rsidRPr="00BC0FD7">
        <w:rPr>
          <w:rFonts w:asciiTheme="minorHAnsi" w:hAnsiTheme="minorHAnsi" w:cstheme="minorHAnsi"/>
        </w:rPr>
        <w:t>BvR</w:t>
      </w:r>
      <w:proofErr w:type="spellEnd"/>
      <w:r w:rsidRPr="00BC0FD7">
        <w:rPr>
          <w:rFonts w:asciiTheme="minorHAnsi" w:hAnsiTheme="minorHAnsi" w:cstheme="minorHAnsi"/>
        </w:rPr>
        <w:t xml:space="preserve"> 3080/09</w:t>
      </w:r>
      <w:r w:rsidRPr="00BC0FD7">
        <w:rPr>
          <w:rFonts w:asciiTheme="minorHAnsi" w:hAnsiTheme="minorHAnsi" w:cstheme="minorHAnsi"/>
          <w:i/>
          <w:iCs/>
        </w:rPr>
        <w:t xml:space="preserve"> </w:t>
      </w:r>
      <w:r w:rsidRPr="00BC0FD7">
        <w:rPr>
          <w:rFonts w:asciiTheme="minorHAnsi" w:hAnsiTheme="minorHAnsi" w:cstheme="minorHAnsi"/>
        </w:rPr>
        <w:t xml:space="preserve">[2018] </w:t>
      </w:r>
      <w:proofErr w:type="spellStart"/>
      <w:r w:rsidRPr="00BC0FD7">
        <w:rPr>
          <w:rFonts w:asciiTheme="minorHAnsi" w:hAnsiTheme="minorHAnsi" w:cstheme="minorHAnsi"/>
        </w:rPr>
        <w:t>BVerfG</w:t>
      </w:r>
      <w:proofErr w:type="spellEnd"/>
      <w:r w:rsidRPr="00BC0FD7">
        <w:rPr>
          <w:rFonts w:asciiTheme="minorHAnsi" w:hAnsiTheme="minorHAnsi" w:cstheme="minorHAnsi"/>
        </w:rPr>
        <w:t xml:space="preserve"> ECLI:DE:BVerfG:2018:rs20180411.1bvr308009 which affirms the private actors, such as event organisers, who can control the access of others to participate in social life must not use their discretionary powers to</w:t>
      </w:r>
      <w:r w:rsidRPr="00C215EC">
        <w:rPr>
          <w:rFonts w:asciiTheme="minorHAnsi" w:hAnsiTheme="minorHAnsi" w:cstheme="minorHAnsi"/>
        </w:rPr>
        <w:t xml:space="preserve"> exclude specific persons from such events without factual reason. </w:t>
      </w:r>
    </w:p>
  </w:footnote>
  <w:footnote w:id="119">
    <w:p w14:paraId="74144CB3" w14:textId="45B1A74B" w:rsidR="00917E67" w:rsidRPr="00C215EC" w:rsidRDefault="00917E67" w:rsidP="00C215EC">
      <w:pPr>
        <w:pStyle w:val="FootnoteText"/>
        <w:jc w:val="both"/>
        <w:rPr>
          <w:rFonts w:asciiTheme="minorHAnsi" w:hAnsiTheme="minorHAnsi" w:cstheme="minorHAnsi"/>
        </w:rPr>
      </w:pPr>
      <w:r w:rsidRPr="00C215EC">
        <w:rPr>
          <w:rStyle w:val="FootnoteReference"/>
          <w:rFonts w:asciiTheme="minorHAnsi" w:hAnsiTheme="minorHAnsi" w:cstheme="minorHAnsi"/>
        </w:rPr>
        <w:footnoteRef/>
      </w:r>
      <w:r w:rsidRPr="00C215EC">
        <w:rPr>
          <w:rFonts w:asciiTheme="minorHAnsi" w:hAnsiTheme="minorHAnsi" w:cstheme="minorHAnsi"/>
        </w:rPr>
        <w:t xml:space="preserve"> Ibid para 6 [translation by author, emphasis added]. </w:t>
      </w:r>
    </w:p>
  </w:footnote>
  <w:footnote w:id="120">
    <w:p w14:paraId="3EA72979" w14:textId="5F9FC2A2" w:rsidR="00917E67" w:rsidRPr="00C215EC" w:rsidRDefault="00917E67" w:rsidP="00C215EC">
      <w:pPr>
        <w:pStyle w:val="FootnoteText"/>
        <w:jc w:val="both"/>
        <w:rPr>
          <w:rFonts w:asciiTheme="minorHAnsi" w:hAnsiTheme="minorHAnsi" w:cstheme="minorHAnsi"/>
        </w:rPr>
      </w:pPr>
      <w:r w:rsidRPr="00C215EC">
        <w:rPr>
          <w:rStyle w:val="FootnoteReference"/>
          <w:rFonts w:asciiTheme="minorHAnsi" w:hAnsiTheme="minorHAnsi" w:cstheme="minorHAnsi"/>
        </w:rPr>
        <w:footnoteRef/>
      </w:r>
      <w:r w:rsidRPr="00C215EC">
        <w:rPr>
          <w:rFonts w:asciiTheme="minorHAnsi" w:hAnsiTheme="minorHAnsi" w:cstheme="minorHAnsi"/>
        </w:rPr>
        <w:t xml:space="preserve"> Above n 109. For </w:t>
      </w:r>
      <w:proofErr w:type="gramStart"/>
      <w:r w:rsidRPr="00C215EC">
        <w:rPr>
          <w:rFonts w:asciiTheme="minorHAnsi" w:hAnsiTheme="minorHAnsi" w:cstheme="minorHAnsi"/>
        </w:rPr>
        <w:t>a number of</w:t>
      </w:r>
      <w:proofErr w:type="gramEnd"/>
      <w:r w:rsidRPr="00C215EC">
        <w:rPr>
          <w:rFonts w:asciiTheme="minorHAnsi" w:hAnsiTheme="minorHAnsi" w:cstheme="minorHAnsi"/>
        </w:rPr>
        <w:t xml:space="preserve"> inconsistent judgments by lower courts on the negative duties of platforms, see </w:t>
      </w:r>
      <w:proofErr w:type="spellStart"/>
      <w:r w:rsidRPr="00C215EC">
        <w:rPr>
          <w:rFonts w:asciiTheme="minorHAnsi" w:hAnsiTheme="minorHAnsi" w:cstheme="minorHAnsi"/>
        </w:rPr>
        <w:t>Echikson</w:t>
      </w:r>
      <w:proofErr w:type="spellEnd"/>
      <w:r w:rsidRPr="00C215EC">
        <w:rPr>
          <w:rFonts w:asciiTheme="minorHAnsi" w:hAnsiTheme="minorHAnsi" w:cstheme="minorHAnsi"/>
        </w:rPr>
        <w:t xml:space="preserve"> above n</w:t>
      </w:r>
      <w:r w:rsidR="0043576B" w:rsidRPr="00C215EC">
        <w:rPr>
          <w:rFonts w:asciiTheme="minorHAnsi" w:hAnsiTheme="minorHAnsi" w:cstheme="minorHAnsi"/>
        </w:rPr>
        <w:t xml:space="preserve"> 63</w:t>
      </w:r>
      <w:r w:rsidRPr="00C215EC">
        <w:rPr>
          <w:rFonts w:asciiTheme="minorHAnsi" w:hAnsiTheme="minorHAnsi" w:cstheme="minorHAnsi"/>
        </w:rPr>
        <w:t>, 11</w:t>
      </w:r>
      <w:r w:rsidR="0043576B" w:rsidRPr="00C215EC">
        <w:rPr>
          <w:rFonts w:asciiTheme="minorHAnsi" w:hAnsiTheme="minorHAnsi" w:cstheme="minorHAnsi"/>
        </w:rPr>
        <w:t xml:space="preserve">, and </w:t>
      </w:r>
      <w:r w:rsidR="00181A8D">
        <w:rPr>
          <w:rFonts w:asciiTheme="minorHAnsi" w:hAnsiTheme="minorHAnsi" w:cstheme="minorHAnsi"/>
        </w:rPr>
        <w:t xml:space="preserve">see above n 117. </w:t>
      </w:r>
      <w:r w:rsidRPr="00C215EC">
        <w:rPr>
          <w:rFonts w:asciiTheme="minorHAnsi" w:hAnsiTheme="minorHAnsi" w:cstheme="minorHAnsi"/>
        </w:rPr>
        <w:t xml:space="preserve"> </w:t>
      </w:r>
    </w:p>
  </w:footnote>
  <w:footnote w:id="121">
    <w:p w14:paraId="3722A7CF" w14:textId="1A249B39" w:rsidR="00917E67" w:rsidRPr="00C215EC" w:rsidRDefault="00917E67" w:rsidP="00C215EC">
      <w:pPr>
        <w:pStyle w:val="FootnoteText"/>
        <w:jc w:val="both"/>
        <w:rPr>
          <w:rFonts w:asciiTheme="minorHAnsi" w:hAnsiTheme="minorHAnsi" w:cstheme="minorHAnsi"/>
        </w:rPr>
      </w:pPr>
      <w:r w:rsidRPr="00C215EC">
        <w:rPr>
          <w:rStyle w:val="FootnoteReference"/>
          <w:rFonts w:asciiTheme="minorHAnsi" w:hAnsiTheme="minorHAnsi" w:cstheme="minorHAnsi"/>
        </w:rPr>
        <w:footnoteRef/>
      </w:r>
      <w:r w:rsidRPr="00C215EC">
        <w:rPr>
          <w:rFonts w:asciiTheme="minorHAnsi" w:hAnsiTheme="minorHAnsi" w:cstheme="minorHAnsi"/>
        </w:rPr>
        <w:t xml:space="preserve"> </w:t>
      </w:r>
      <w:r w:rsidRPr="00C215EC">
        <w:rPr>
          <w:rFonts w:asciiTheme="minorHAnsi" w:hAnsiTheme="minorHAnsi" w:cstheme="minorHAnsi"/>
          <w:i/>
        </w:rPr>
        <w:t>Marsh v Alabama</w:t>
      </w:r>
      <w:r w:rsidRPr="00C215EC">
        <w:rPr>
          <w:rFonts w:asciiTheme="minorHAnsi" w:hAnsiTheme="minorHAnsi" w:cstheme="minorHAnsi"/>
        </w:rPr>
        <w:t xml:space="preserve"> 326 US 501 (1946)</w:t>
      </w:r>
    </w:p>
  </w:footnote>
  <w:footnote w:id="122">
    <w:p w14:paraId="3727650C" w14:textId="620FE15B" w:rsidR="00917E67" w:rsidRPr="00C215EC" w:rsidRDefault="00917E67" w:rsidP="00C215EC">
      <w:pPr>
        <w:pStyle w:val="FootnoteText"/>
        <w:jc w:val="both"/>
        <w:rPr>
          <w:rFonts w:asciiTheme="minorHAnsi" w:hAnsiTheme="minorHAnsi" w:cstheme="minorHAnsi"/>
        </w:rPr>
      </w:pPr>
      <w:r w:rsidRPr="00C215EC">
        <w:rPr>
          <w:rStyle w:val="FootnoteReference"/>
          <w:rFonts w:asciiTheme="minorHAnsi" w:hAnsiTheme="minorHAnsi" w:cstheme="minorHAnsi"/>
        </w:rPr>
        <w:footnoteRef/>
      </w:r>
      <w:r w:rsidRPr="00C215EC">
        <w:rPr>
          <w:rFonts w:asciiTheme="minorHAnsi" w:hAnsiTheme="minorHAnsi" w:cstheme="minorHAnsi"/>
        </w:rPr>
        <w:t xml:space="preserve"> </w:t>
      </w:r>
      <w:r w:rsidRPr="00C215EC">
        <w:rPr>
          <w:rFonts w:asciiTheme="minorHAnsi" w:hAnsiTheme="minorHAnsi" w:cstheme="minorHAnsi"/>
          <w:i/>
          <w:iCs/>
        </w:rPr>
        <w:t>Lloyd Corp v Tanner</w:t>
      </w:r>
      <w:r w:rsidRPr="00C215EC">
        <w:rPr>
          <w:rFonts w:asciiTheme="minorHAnsi" w:hAnsiTheme="minorHAnsi" w:cstheme="minorHAnsi"/>
        </w:rPr>
        <w:t xml:space="preserve"> 407 US 551, 569 (1972); </w:t>
      </w:r>
      <w:r w:rsidRPr="00C215EC">
        <w:rPr>
          <w:rFonts w:asciiTheme="minorHAnsi" w:hAnsiTheme="minorHAnsi" w:cstheme="minorHAnsi"/>
          <w:i/>
          <w:iCs/>
        </w:rPr>
        <w:t>Hudgens v NLRB</w:t>
      </w:r>
      <w:r w:rsidRPr="00C215EC">
        <w:rPr>
          <w:rFonts w:asciiTheme="minorHAnsi" w:hAnsiTheme="minorHAnsi" w:cstheme="minorHAnsi"/>
        </w:rPr>
        <w:t xml:space="preserve"> 424 U.S. 507, 518ff (1976)</w:t>
      </w:r>
    </w:p>
  </w:footnote>
  <w:footnote w:id="123">
    <w:p w14:paraId="4A36B467" w14:textId="280DE320" w:rsidR="00917E67" w:rsidRPr="00C215EC" w:rsidRDefault="00917E67" w:rsidP="00C215EC">
      <w:pPr>
        <w:pStyle w:val="Heading1"/>
        <w:spacing w:before="0" w:line="240" w:lineRule="auto"/>
        <w:jc w:val="both"/>
        <w:rPr>
          <w:rFonts w:asciiTheme="minorHAnsi" w:hAnsiTheme="minorHAnsi" w:cstheme="minorHAnsi"/>
          <w:color w:val="auto"/>
          <w:sz w:val="20"/>
          <w:szCs w:val="20"/>
        </w:rPr>
      </w:pPr>
      <w:r w:rsidRPr="00C215EC">
        <w:rPr>
          <w:rStyle w:val="FootnoteReference"/>
          <w:rFonts w:asciiTheme="minorHAnsi" w:hAnsiTheme="minorHAnsi" w:cstheme="minorHAnsi"/>
          <w:color w:val="auto"/>
          <w:sz w:val="20"/>
          <w:szCs w:val="20"/>
        </w:rPr>
        <w:footnoteRef/>
      </w:r>
      <w:r w:rsidRPr="00C215EC">
        <w:rPr>
          <w:rFonts w:asciiTheme="minorHAnsi" w:hAnsiTheme="minorHAnsi" w:cstheme="minorHAnsi"/>
          <w:color w:val="auto"/>
          <w:sz w:val="20"/>
          <w:szCs w:val="20"/>
        </w:rPr>
        <w:t xml:space="preserve"> </w:t>
      </w:r>
      <w:r w:rsidRPr="00C215EC">
        <w:rPr>
          <w:rFonts w:asciiTheme="minorHAnsi" w:hAnsiTheme="minorHAnsi" w:cstheme="minorHAnsi"/>
          <w:i/>
          <w:iCs/>
          <w:color w:val="auto"/>
          <w:sz w:val="20"/>
          <w:szCs w:val="20"/>
        </w:rPr>
        <w:t>Prager University v Google LLC</w:t>
      </w:r>
      <w:r w:rsidRPr="00C215EC">
        <w:rPr>
          <w:rFonts w:asciiTheme="minorHAnsi" w:hAnsiTheme="minorHAnsi" w:cstheme="minorHAnsi"/>
          <w:color w:val="auto"/>
          <w:sz w:val="20"/>
          <w:szCs w:val="20"/>
        </w:rPr>
        <w:t xml:space="preserve"> No. 18-15712 (9th Cir. 2020)</w:t>
      </w:r>
    </w:p>
  </w:footnote>
  <w:footnote w:id="124">
    <w:p w14:paraId="2AA86D98" w14:textId="0E3A016C" w:rsidR="00917E67" w:rsidRPr="00C215EC" w:rsidRDefault="00917E67" w:rsidP="00C215EC">
      <w:pPr>
        <w:pStyle w:val="Heading1"/>
        <w:spacing w:before="0" w:line="240" w:lineRule="auto"/>
        <w:jc w:val="both"/>
        <w:rPr>
          <w:rFonts w:asciiTheme="minorHAnsi" w:hAnsiTheme="minorHAnsi" w:cstheme="minorHAnsi"/>
          <w:color w:val="auto"/>
          <w:sz w:val="20"/>
          <w:szCs w:val="20"/>
        </w:rPr>
      </w:pPr>
      <w:r w:rsidRPr="00C215EC">
        <w:rPr>
          <w:rStyle w:val="FootnoteReference"/>
          <w:rFonts w:asciiTheme="minorHAnsi" w:hAnsiTheme="minorHAnsi" w:cstheme="minorHAnsi"/>
          <w:color w:val="auto"/>
          <w:sz w:val="20"/>
          <w:szCs w:val="20"/>
        </w:rPr>
        <w:footnoteRef/>
      </w:r>
      <w:r w:rsidRPr="00C215EC">
        <w:rPr>
          <w:rFonts w:asciiTheme="minorHAnsi" w:hAnsiTheme="minorHAnsi" w:cstheme="minorHAnsi"/>
          <w:color w:val="auto"/>
          <w:sz w:val="20"/>
          <w:szCs w:val="20"/>
        </w:rPr>
        <w:t xml:space="preserve"> Ibid 5, citing </w:t>
      </w:r>
      <w:r w:rsidRPr="00C215EC">
        <w:rPr>
          <w:rFonts w:asciiTheme="minorHAnsi" w:hAnsiTheme="minorHAnsi" w:cstheme="minorHAnsi"/>
          <w:i/>
          <w:iCs/>
          <w:color w:val="auto"/>
          <w:sz w:val="20"/>
          <w:szCs w:val="20"/>
        </w:rPr>
        <w:t>Manhattan Community Access Corp v Halleck</w:t>
      </w:r>
      <w:r w:rsidRPr="00C215EC">
        <w:rPr>
          <w:rFonts w:asciiTheme="minorHAnsi" w:hAnsiTheme="minorHAnsi" w:cstheme="minorHAnsi"/>
          <w:color w:val="auto"/>
          <w:sz w:val="20"/>
          <w:szCs w:val="20"/>
        </w:rPr>
        <w:t xml:space="preserve"> 139 </w:t>
      </w:r>
      <w:proofErr w:type="spellStart"/>
      <w:r w:rsidRPr="00C215EC">
        <w:rPr>
          <w:rFonts w:asciiTheme="minorHAnsi" w:hAnsiTheme="minorHAnsi" w:cstheme="minorHAnsi"/>
          <w:color w:val="auto"/>
          <w:sz w:val="20"/>
          <w:szCs w:val="20"/>
        </w:rPr>
        <w:t>SCt</w:t>
      </w:r>
      <w:proofErr w:type="spellEnd"/>
      <w:r w:rsidRPr="00C215EC">
        <w:rPr>
          <w:rFonts w:asciiTheme="minorHAnsi" w:hAnsiTheme="minorHAnsi" w:cstheme="minorHAnsi"/>
          <w:color w:val="auto"/>
          <w:sz w:val="20"/>
          <w:szCs w:val="20"/>
        </w:rPr>
        <w:t xml:space="preserve"> 1921, 1930 (2019).</w:t>
      </w:r>
    </w:p>
  </w:footnote>
  <w:footnote w:id="125">
    <w:p w14:paraId="78893F5F" w14:textId="77A9D3D1" w:rsidR="00C215EC" w:rsidRPr="00C215EC" w:rsidRDefault="00917E67" w:rsidP="00C215EC">
      <w:pPr>
        <w:pStyle w:val="FootnoteText"/>
        <w:jc w:val="both"/>
        <w:rPr>
          <w:rFonts w:asciiTheme="minorHAnsi" w:hAnsiTheme="minorHAnsi" w:cstheme="minorHAnsi"/>
        </w:rPr>
      </w:pPr>
      <w:r w:rsidRPr="00C215EC">
        <w:rPr>
          <w:rStyle w:val="FootnoteReference"/>
          <w:rFonts w:asciiTheme="minorHAnsi" w:hAnsiTheme="minorHAnsi" w:cstheme="minorHAnsi"/>
        </w:rPr>
        <w:footnoteRef/>
      </w:r>
      <w:r w:rsidRPr="00C215EC">
        <w:rPr>
          <w:rFonts w:asciiTheme="minorHAnsi" w:hAnsiTheme="minorHAnsi" w:cstheme="minorHAnsi"/>
        </w:rPr>
        <w:t xml:space="preserve"> Note </w:t>
      </w:r>
      <w:r w:rsidRPr="00C215EC">
        <w:rPr>
          <w:rFonts w:asciiTheme="minorHAnsi" w:hAnsiTheme="minorHAnsi" w:cstheme="minorHAnsi"/>
          <w:i/>
        </w:rPr>
        <w:t>Marsh v Alabama</w:t>
      </w:r>
      <w:r w:rsidRPr="00C215EC">
        <w:rPr>
          <w:rFonts w:asciiTheme="minorHAnsi" w:hAnsiTheme="minorHAnsi" w:cstheme="minorHAnsi"/>
        </w:rPr>
        <w:t xml:space="preserve"> 326 US 501 (1946) has not been extended to shopping malls</w:t>
      </w:r>
      <w:r w:rsidR="00C215EC" w:rsidRPr="00C215EC">
        <w:rPr>
          <w:rFonts w:asciiTheme="minorHAnsi" w:hAnsiTheme="minorHAnsi" w:cstheme="minorHAnsi"/>
        </w:rPr>
        <w:t xml:space="preserve">, see </w:t>
      </w:r>
      <w:r w:rsidR="00C215EC" w:rsidRPr="00C215EC">
        <w:rPr>
          <w:rStyle w:val="Emphasis"/>
        </w:rPr>
        <w:t>Lloyd Corp</w:t>
      </w:r>
      <w:r w:rsidR="00C215EC">
        <w:t xml:space="preserve"> </w:t>
      </w:r>
      <w:r w:rsidR="00C215EC">
        <w:rPr>
          <w:rStyle w:val="Emphasis"/>
        </w:rPr>
        <w:t>v</w:t>
      </w:r>
      <w:r w:rsidR="00C215EC">
        <w:t xml:space="preserve"> </w:t>
      </w:r>
      <w:r w:rsidR="00C215EC">
        <w:rPr>
          <w:rStyle w:val="Emphasis"/>
        </w:rPr>
        <w:t>Tanner</w:t>
      </w:r>
      <w:r w:rsidR="00C215EC">
        <w:t xml:space="preserve"> 407 US 551 (1972).</w:t>
      </w:r>
    </w:p>
  </w:footnote>
  <w:footnote w:id="126">
    <w:p w14:paraId="64D3643A" w14:textId="68D0E79C" w:rsidR="00CD5671" w:rsidRDefault="00CD5671">
      <w:pPr>
        <w:pStyle w:val="FootnoteText"/>
      </w:pPr>
      <w:r>
        <w:rPr>
          <w:rStyle w:val="FootnoteReference"/>
        </w:rPr>
        <w:footnoteRef/>
      </w:r>
      <w:r>
        <w:t xml:space="preserve"> See above n 1</w:t>
      </w:r>
      <w:r w:rsidR="00FC125C">
        <w:t>2</w:t>
      </w:r>
      <w:r>
        <w:t xml:space="preserve">0. </w:t>
      </w:r>
    </w:p>
  </w:footnote>
  <w:footnote w:id="127">
    <w:p w14:paraId="156D7D80" w14:textId="6DAAFF6E" w:rsidR="00917E67" w:rsidRPr="00C215EC" w:rsidRDefault="00917E67" w:rsidP="00C215EC">
      <w:pPr>
        <w:pStyle w:val="FootnoteText"/>
        <w:jc w:val="both"/>
        <w:rPr>
          <w:rFonts w:asciiTheme="minorHAnsi" w:hAnsiTheme="minorHAnsi" w:cstheme="minorHAnsi"/>
        </w:rPr>
      </w:pPr>
      <w:r w:rsidRPr="00C215EC">
        <w:rPr>
          <w:rStyle w:val="FootnoteReference"/>
          <w:rFonts w:asciiTheme="minorHAnsi" w:hAnsiTheme="minorHAnsi" w:cstheme="minorHAnsi"/>
        </w:rPr>
        <w:footnoteRef/>
      </w:r>
      <w:r w:rsidRPr="00C215EC">
        <w:rPr>
          <w:rFonts w:asciiTheme="minorHAnsi" w:hAnsiTheme="minorHAnsi" w:cstheme="minorHAnsi"/>
        </w:rPr>
        <w:t xml:space="preserve"> </w:t>
      </w:r>
      <w:r w:rsidR="00FC125C" w:rsidRPr="00C215EC">
        <w:rPr>
          <w:rFonts w:asciiTheme="minorHAnsi" w:hAnsiTheme="minorHAnsi" w:cstheme="minorHAnsi"/>
          <w:i/>
          <w:iCs/>
        </w:rPr>
        <w:t>Prager University v Google LLC</w:t>
      </w:r>
      <w:r w:rsidR="00FC125C" w:rsidRPr="00C215EC">
        <w:rPr>
          <w:rFonts w:asciiTheme="minorHAnsi" w:hAnsiTheme="minorHAnsi" w:cstheme="minorHAnsi"/>
        </w:rPr>
        <w:t xml:space="preserve"> No. 18-15712 (9th Cir 2020)</w:t>
      </w:r>
      <w:r w:rsidRPr="00C215EC">
        <w:rPr>
          <w:rFonts w:asciiTheme="minorHAnsi" w:hAnsiTheme="minorHAnsi" w:cstheme="minorHAnsi"/>
        </w:rPr>
        <w:t xml:space="preserve">, citing </w:t>
      </w:r>
      <w:r w:rsidRPr="00C215EC">
        <w:rPr>
          <w:rFonts w:asciiTheme="minorHAnsi" w:hAnsiTheme="minorHAnsi" w:cstheme="minorHAnsi"/>
          <w:i/>
          <w:iCs/>
        </w:rPr>
        <w:t>Rendell-Baker v Kohn</w:t>
      </w:r>
      <w:r w:rsidRPr="00C215EC">
        <w:rPr>
          <w:rFonts w:asciiTheme="minorHAnsi" w:hAnsiTheme="minorHAnsi" w:cstheme="minorHAnsi"/>
        </w:rPr>
        <w:t xml:space="preserve"> 457 US 830, 842 (1982) [emphasis in the original]</w:t>
      </w:r>
    </w:p>
  </w:footnote>
  <w:footnote w:id="128">
    <w:p w14:paraId="0B222A71" w14:textId="5416017E" w:rsidR="00917E67" w:rsidRPr="00C215EC" w:rsidRDefault="00917E67" w:rsidP="00C215EC">
      <w:pPr>
        <w:pStyle w:val="FootnoteText"/>
        <w:jc w:val="both"/>
        <w:rPr>
          <w:rFonts w:asciiTheme="minorHAnsi" w:hAnsiTheme="minorHAnsi" w:cstheme="minorHAnsi"/>
        </w:rPr>
      </w:pPr>
      <w:r w:rsidRPr="00C215EC">
        <w:rPr>
          <w:rStyle w:val="FootnoteReference"/>
          <w:rFonts w:asciiTheme="minorHAnsi" w:hAnsiTheme="minorHAnsi" w:cstheme="minorHAnsi"/>
        </w:rPr>
        <w:footnoteRef/>
      </w:r>
      <w:r w:rsidR="00C215EC" w:rsidRPr="00C215EC">
        <w:rPr>
          <w:rFonts w:asciiTheme="minorHAnsi" w:hAnsiTheme="minorHAnsi" w:cstheme="minorHAnsi"/>
        </w:rPr>
        <w:t xml:space="preserve"> For critical engagement</w:t>
      </w:r>
      <w:r w:rsidR="00DB009B">
        <w:rPr>
          <w:rFonts w:asciiTheme="minorHAnsi" w:hAnsiTheme="minorHAnsi" w:cstheme="minorHAnsi"/>
        </w:rPr>
        <w:t>s</w:t>
      </w:r>
      <w:r w:rsidR="00C215EC" w:rsidRPr="00C215EC">
        <w:rPr>
          <w:rFonts w:asciiTheme="minorHAnsi" w:hAnsiTheme="minorHAnsi" w:cstheme="minorHAnsi"/>
        </w:rPr>
        <w:t xml:space="preserve"> with this position, see Matthew P Hooker, </w:t>
      </w:r>
      <w:r w:rsidR="00215AF8">
        <w:rPr>
          <w:rFonts w:asciiTheme="minorHAnsi" w:hAnsiTheme="minorHAnsi" w:cstheme="minorHAnsi"/>
        </w:rPr>
        <w:t>‘</w:t>
      </w:r>
      <w:r w:rsidR="00C215EC" w:rsidRPr="00C215EC">
        <w:rPr>
          <w:rFonts w:asciiTheme="minorHAnsi" w:hAnsiTheme="minorHAnsi" w:cstheme="minorHAnsi"/>
        </w:rPr>
        <w:t>Censorship, Free Speech &amp; Facebook: Applying the First Amendment via the Public Function Exception</w:t>
      </w:r>
      <w:r w:rsidR="00215AF8">
        <w:rPr>
          <w:rFonts w:asciiTheme="minorHAnsi" w:hAnsiTheme="minorHAnsi" w:cstheme="minorHAnsi"/>
        </w:rPr>
        <w:t>’</w:t>
      </w:r>
      <w:r w:rsidR="00C215EC" w:rsidRPr="00C215EC">
        <w:rPr>
          <w:rFonts w:asciiTheme="minorHAnsi" w:hAnsiTheme="minorHAnsi" w:cstheme="minorHAnsi"/>
        </w:rPr>
        <w:t xml:space="preserve"> (2019) 15(3) </w:t>
      </w:r>
      <w:r w:rsidR="00C215EC" w:rsidRPr="00C215EC">
        <w:rPr>
          <w:rFonts w:asciiTheme="minorHAnsi" w:hAnsiTheme="minorHAnsi" w:cstheme="minorHAnsi"/>
          <w:i/>
          <w:iCs/>
        </w:rPr>
        <w:t>Washington Journal of Law, Technology &amp; Arts</w:t>
      </w:r>
      <w:r w:rsidR="00C215EC">
        <w:rPr>
          <w:rFonts w:asciiTheme="minorHAnsi" w:hAnsiTheme="minorHAnsi" w:cstheme="minorHAnsi"/>
        </w:rPr>
        <w:t xml:space="preserve"> 35.</w:t>
      </w:r>
      <w:r w:rsidR="00C215EC" w:rsidRPr="00F27265">
        <w:rPr>
          <w:rFonts w:asciiTheme="minorHAnsi" w:hAnsiTheme="minorHAnsi" w:cstheme="minorHAnsi"/>
          <w:b/>
          <w:bCs/>
        </w:rPr>
        <w:t xml:space="preserve"> </w:t>
      </w:r>
    </w:p>
  </w:footnote>
  <w:footnote w:id="129">
    <w:p w14:paraId="2E9C45F6" w14:textId="643C4ECB" w:rsidR="00FC125C" w:rsidRDefault="00FC125C">
      <w:pPr>
        <w:pStyle w:val="FootnoteText"/>
      </w:pPr>
      <w:r w:rsidRPr="00181A8D">
        <w:rPr>
          <w:rStyle w:val="FootnoteReference"/>
        </w:rPr>
        <w:footnoteRef/>
      </w:r>
      <w:r w:rsidRPr="00181A8D">
        <w:t xml:space="preserve"> </w:t>
      </w:r>
      <w:r w:rsidR="00181A8D" w:rsidRPr="00181A8D">
        <w:t>The same principle also underlies the frameworks to be put in place by the EU</w:t>
      </w:r>
      <w:r w:rsidRPr="00181A8D">
        <w:t xml:space="preserve"> D</w:t>
      </w:r>
      <w:r w:rsidR="00181A8D" w:rsidRPr="00181A8D">
        <w:t>i</w:t>
      </w:r>
      <w:r w:rsidRPr="00181A8D">
        <w:t>gital Services Act and</w:t>
      </w:r>
      <w:r w:rsidR="00181A8D" w:rsidRPr="00181A8D">
        <w:t xml:space="preserve"> the UK</w:t>
      </w:r>
      <w:r w:rsidRPr="00181A8D">
        <w:t xml:space="preserve"> Online Safety Bill</w:t>
      </w:r>
      <w:r w:rsidR="00181A8D">
        <w:t>,</w:t>
      </w:r>
      <w:r w:rsidRPr="00181A8D">
        <w:t xml:space="preserve"> </w:t>
      </w:r>
      <w:r w:rsidR="00181A8D" w:rsidRPr="00181A8D">
        <w:t xml:space="preserve">above n </w:t>
      </w:r>
      <w:r w:rsidR="00181A8D">
        <w:t>1</w:t>
      </w:r>
      <w:r w:rsidR="00181A8D" w:rsidRPr="00181A8D">
        <w:t>4.</w:t>
      </w:r>
      <w:r w:rsidR="00181A8D">
        <w:t xml:space="preserve"> </w:t>
      </w:r>
    </w:p>
  </w:footnote>
  <w:footnote w:id="130">
    <w:p w14:paraId="58DF028F" w14:textId="6C9BD075" w:rsidR="00917E67" w:rsidRPr="00C215EC" w:rsidRDefault="00917E67" w:rsidP="00C215EC">
      <w:pPr>
        <w:pStyle w:val="FootnoteText"/>
        <w:jc w:val="both"/>
        <w:rPr>
          <w:rFonts w:asciiTheme="minorHAnsi" w:hAnsiTheme="minorHAnsi" w:cstheme="minorHAnsi"/>
        </w:rPr>
      </w:pPr>
      <w:r w:rsidRPr="00C215EC">
        <w:rPr>
          <w:rStyle w:val="FootnoteReference"/>
          <w:rFonts w:asciiTheme="minorHAnsi" w:hAnsiTheme="minorHAnsi" w:cstheme="minorHAnsi"/>
        </w:rPr>
        <w:footnoteRef/>
      </w:r>
      <w:r w:rsidRPr="00C215EC">
        <w:rPr>
          <w:rFonts w:asciiTheme="minorHAnsi" w:hAnsiTheme="minorHAnsi" w:cstheme="minorHAnsi"/>
        </w:rPr>
        <w:t xml:space="preserve"> </w:t>
      </w:r>
      <w:proofErr w:type="spellStart"/>
      <w:r w:rsidR="001049BC" w:rsidRPr="00C215EC">
        <w:rPr>
          <w:rFonts w:asciiTheme="minorHAnsi" w:hAnsiTheme="minorHAnsi" w:cstheme="minorHAnsi"/>
        </w:rPr>
        <w:t>Heldt</w:t>
      </w:r>
      <w:proofErr w:type="spellEnd"/>
      <w:r w:rsidR="001049BC" w:rsidRPr="00C215EC">
        <w:rPr>
          <w:rFonts w:asciiTheme="minorHAnsi" w:hAnsiTheme="minorHAnsi" w:cstheme="minorHAnsi"/>
        </w:rPr>
        <w:t xml:space="preserve"> above n 63, 13.</w:t>
      </w:r>
      <w:r w:rsidR="0043576B" w:rsidRPr="00C215EC">
        <w:rPr>
          <w:rFonts w:asciiTheme="minorHAnsi" w:hAnsiTheme="minorHAnsi" w:cstheme="minorHAnsi"/>
        </w:rPr>
        <w:t xml:space="preserve"> </w:t>
      </w:r>
    </w:p>
  </w:footnote>
  <w:footnote w:id="131">
    <w:p w14:paraId="6F7E5D7D" w14:textId="5053F006" w:rsidR="00917E67" w:rsidRPr="00C215EC" w:rsidRDefault="00917E67" w:rsidP="00C215EC">
      <w:pPr>
        <w:pStyle w:val="FootnoteText"/>
        <w:jc w:val="both"/>
        <w:rPr>
          <w:rFonts w:asciiTheme="minorHAnsi" w:hAnsiTheme="minorHAnsi" w:cstheme="minorHAnsi"/>
        </w:rPr>
      </w:pPr>
      <w:r w:rsidRPr="00C215EC">
        <w:rPr>
          <w:rStyle w:val="FootnoteReference"/>
          <w:rFonts w:asciiTheme="minorHAnsi" w:hAnsiTheme="minorHAnsi" w:cstheme="minorHAnsi"/>
        </w:rPr>
        <w:footnoteRef/>
      </w:r>
      <w:r w:rsidRPr="00C215EC">
        <w:rPr>
          <w:rFonts w:asciiTheme="minorHAnsi" w:hAnsiTheme="minorHAnsi" w:cstheme="minorHAnsi"/>
        </w:rPr>
        <w:t xml:space="preserve"> </w:t>
      </w:r>
      <w:proofErr w:type="spellStart"/>
      <w:r w:rsidRPr="00C215EC">
        <w:rPr>
          <w:rFonts w:asciiTheme="minorHAnsi" w:hAnsiTheme="minorHAnsi" w:cstheme="minorHAnsi"/>
        </w:rPr>
        <w:t>Tworek</w:t>
      </w:r>
      <w:proofErr w:type="spellEnd"/>
      <w:r w:rsidRPr="00C215EC">
        <w:rPr>
          <w:rFonts w:asciiTheme="minorHAnsi" w:hAnsiTheme="minorHAnsi" w:cstheme="minorHAnsi"/>
        </w:rPr>
        <w:t xml:space="preserve"> above n 6</w:t>
      </w:r>
      <w:r w:rsidR="00293DBB" w:rsidRPr="00C215EC">
        <w:rPr>
          <w:rFonts w:asciiTheme="minorHAnsi" w:hAnsiTheme="minorHAnsi" w:cstheme="minorHAnsi"/>
        </w:rPr>
        <w:t>3</w:t>
      </w:r>
      <w:r w:rsidRPr="00C215EC">
        <w:rPr>
          <w:rFonts w:asciiTheme="minorHAnsi" w:hAnsiTheme="minorHAnsi" w:cstheme="minorHAnsi"/>
        </w:rPr>
        <w:t xml:space="preserve">, 6. </w:t>
      </w:r>
    </w:p>
  </w:footnote>
  <w:footnote w:id="132">
    <w:p w14:paraId="7D4D88FB" w14:textId="35DE9E4F" w:rsidR="0043576B" w:rsidRPr="00C215EC" w:rsidRDefault="0043576B" w:rsidP="00C215EC">
      <w:pPr>
        <w:pStyle w:val="FootnoteText"/>
        <w:jc w:val="both"/>
        <w:rPr>
          <w:rFonts w:asciiTheme="minorHAnsi" w:hAnsiTheme="minorHAnsi" w:cstheme="minorHAnsi"/>
        </w:rPr>
      </w:pPr>
      <w:r w:rsidRPr="00C215EC">
        <w:rPr>
          <w:rStyle w:val="FootnoteReference"/>
          <w:rFonts w:asciiTheme="minorHAnsi" w:hAnsiTheme="minorHAnsi" w:cstheme="minorHAnsi"/>
        </w:rPr>
        <w:footnoteRef/>
      </w:r>
      <w:r w:rsidRPr="00C215EC">
        <w:rPr>
          <w:rFonts w:asciiTheme="minorHAnsi" w:hAnsiTheme="minorHAnsi" w:cstheme="minorHAnsi"/>
        </w:rPr>
        <w:t xml:space="preserve"> </w:t>
      </w:r>
      <w:r w:rsidR="00D11548" w:rsidRPr="00C215EC">
        <w:rPr>
          <w:rFonts w:asciiTheme="minorHAnsi" w:hAnsiTheme="minorHAnsi" w:cstheme="minorHAnsi"/>
        </w:rPr>
        <w:t>But see</w:t>
      </w:r>
      <w:r w:rsidR="00C215EC" w:rsidRPr="00C215EC">
        <w:rPr>
          <w:rFonts w:asciiTheme="minorHAnsi" w:hAnsiTheme="minorHAnsi" w:cstheme="minorHAnsi"/>
        </w:rPr>
        <w:t xml:space="preserve"> judgment in</w:t>
      </w:r>
      <w:r w:rsidR="00D11548" w:rsidRPr="00C215EC">
        <w:rPr>
          <w:rFonts w:asciiTheme="minorHAnsi" w:hAnsiTheme="minorHAnsi" w:cstheme="minorHAnsi"/>
        </w:rPr>
        <w:t xml:space="preserve"> </w:t>
      </w:r>
      <w:r w:rsidR="00C215EC" w:rsidRPr="00C215EC">
        <w:rPr>
          <w:rFonts w:asciiTheme="minorHAnsi" w:hAnsiTheme="minorHAnsi" w:cstheme="minorHAnsi"/>
          <w:i/>
          <w:iCs/>
        </w:rPr>
        <w:t>Hate Speech Posts Deletion and Account Closure</w:t>
      </w:r>
      <w:r w:rsidR="00D11548" w:rsidRPr="00C215EC">
        <w:rPr>
          <w:rFonts w:asciiTheme="minorHAnsi" w:hAnsiTheme="minorHAnsi" w:cstheme="minorHAnsi"/>
        </w:rPr>
        <w:t xml:space="preserve"> n 10</w:t>
      </w:r>
      <w:r w:rsidR="00956461">
        <w:rPr>
          <w:rFonts w:asciiTheme="minorHAnsi" w:hAnsiTheme="minorHAnsi" w:cstheme="minorHAnsi"/>
        </w:rPr>
        <w:t>3</w:t>
      </w:r>
      <w:r w:rsidR="00D11548" w:rsidRPr="00C215EC">
        <w:rPr>
          <w:rFonts w:asciiTheme="minorHAnsi" w:hAnsiTheme="minorHAnsi" w:cstheme="minorHAnsi"/>
        </w:rPr>
        <w:t xml:space="preserve">, where the German Court required </w:t>
      </w:r>
      <w:r w:rsidR="00956461">
        <w:rPr>
          <w:rFonts w:asciiTheme="minorHAnsi" w:hAnsiTheme="minorHAnsi" w:cstheme="minorHAnsi"/>
        </w:rPr>
        <w:t>basic</w:t>
      </w:r>
      <w:r w:rsidR="00D11548" w:rsidRPr="00C215EC">
        <w:rPr>
          <w:rFonts w:asciiTheme="minorHAnsi" w:hAnsiTheme="minorHAnsi" w:cstheme="minorHAnsi"/>
        </w:rPr>
        <w:t xml:space="preserve"> due process rights in respect of a takedown based on Facebook’s Community </w:t>
      </w:r>
      <w:r w:rsidR="00C215EC" w:rsidRPr="00C215EC">
        <w:rPr>
          <w:rFonts w:asciiTheme="minorHAnsi" w:hAnsiTheme="minorHAnsi" w:cstheme="minorHAnsi"/>
        </w:rPr>
        <w:t>Standards.</w:t>
      </w:r>
    </w:p>
  </w:footnote>
  <w:footnote w:id="133">
    <w:p w14:paraId="4460427F" w14:textId="6689C60C" w:rsidR="00917E67" w:rsidRPr="00C215EC" w:rsidRDefault="00917E67" w:rsidP="00C215EC">
      <w:pPr>
        <w:pStyle w:val="FootnoteText"/>
        <w:jc w:val="both"/>
        <w:rPr>
          <w:rFonts w:asciiTheme="minorHAnsi" w:hAnsiTheme="minorHAnsi" w:cstheme="minorHAnsi"/>
        </w:rPr>
      </w:pPr>
      <w:r w:rsidRPr="00C215EC">
        <w:rPr>
          <w:rStyle w:val="FootnoteReference"/>
          <w:rFonts w:asciiTheme="minorHAnsi" w:hAnsiTheme="minorHAnsi" w:cstheme="minorHAnsi"/>
        </w:rPr>
        <w:footnoteRef/>
      </w:r>
      <w:r w:rsidRPr="00C215EC">
        <w:rPr>
          <w:rFonts w:asciiTheme="minorHAnsi" w:hAnsiTheme="minorHAnsi" w:cstheme="minorHAnsi"/>
        </w:rPr>
        <w:t xml:space="preserve"> David Kaye, Special Rapporteur on the promotion and protection of the right to freedom of opinion and expression, ‘Open Letter to German Government’ (I June 2017) </w:t>
      </w:r>
      <w:r w:rsidRPr="00C215EC">
        <w:rPr>
          <w:rFonts w:asciiTheme="minorHAnsi" w:hAnsiTheme="minorHAnsi" w:cstheme="minorHAnsi"/>
          <w:i/>
          <w:iCs/>
        </w:rPr>
        <w:t xml:space="preserve">Office of High Commissioner of Human Rights </w:t>
      </w:r>
      <w:hyperlink r:id="rId8" w:history="1">
        <w:r w:rsidRPr="00C215EC">
          <w:rPr>
            <w:rStyle w:val="Hyperlink"/>
            <w:rFonts w:asciiTheme="minorHAnsi" w:hAnsiTheme="minorHAnsi" w:cstheme="minorHAnsi"/>
          </w:rPr>
          <w:t>https://www.ohchr.org/Documents/Issues/Opinion/Legislation/OL-DEU-1-2017.pdf</w:t>
        </w:r>
      </w:hyperlink>
      <w:r w:rsidRPr="00C215EC">
        <w:rPr>
          <w:rFonts w:asciiTheme="minorHAnsi" w:hAnsiTheme="minorHAnsi" w:cstheme="minorHAnsi"/>
        </w:rPr>
        <w:t xml:space="preserve"> </w:t>
      </w:r>
    </w:p>
  </w:footnote>
  <w:footnote w:id="134">
    <w:p w14:paraId="2AD0B5B8" w14:textId="06AF1FF4" w:rsidR="00917E67" w:rsidRPr="00C215EC" w:rsidRDefault="00917E67" w:rsidP="00C215EC">
      <w:pPr>
        <w:pStyle w:val="FootnoteText"/>
        <w:jc w:val="both"/>
        <w:rPr>
          <w:rFonts w:asciiTheme="minorHAnsi" w:hAnsiTheme="minorHAnsi" w:cstheme="minorHAnsi"/>
        </w:rPr>
      </w:pPr>
      <w:r w:rsidRPr="00C215EC">
        <w:rPr>
          <w:rStyle w:val="FootnoteReference"/>
          <w:rFonts w:asciiTheme="minorHAnsi" w:hAnsiTheme="minorHAnsi" w:cstheme="minorHAnsi"/>
        </w:rPr>
        <w:footnoteRef/>
      </w:r>
      <w:r w:rsidRPr="00C215EC">
        <w:rPr>
          <w:rFonts w:asciiTheme="minorHAnsi" w:hAnsiTheme="minorHAnsi" w:cstheme="minorHAnsi"/>
        </w:rPr>
        <w:t xml:space="preserve"> </w:t>
      </w:r>
      <w:r w:rsidR="00293DBB" w:rsidRPr="00C215EC">
        <w:rPr>
          <w:rFonts w:asciiTheme="minorHAnsi" w:hAnsiTheme="minorHAnsi" w:cstheme="minorHAnsi"/>
        </w:rPr>
        <w:t xml:space="preserve">Bernd </w:t>
      </w:r>
      <w:proofErr w:type="spellStart"/>
      <w:r w:rsidR="00293DBB" w:rsidRPr="00C215EC">
        <w:rPr>
          <w:rFonts w:asciiTheme="minorHAnsi" w:hAnsiTheme="minorHAnsi" w:cstheme="minorHAnsi"/>
        </w:rPr>
        <w:t>Holznagel</w:t>
      </w:r>
      <w:proofErr w:type="spellEnd"/>
      <w:r w:rsidR="00293DBB" w:rsidRPr="00C215EC">
        <w:rPr>
          <w:rFonts w:asciiTheme="minorHAnsi" w:hAnsiTheme="minorHAnsi" w:cstheme="minorHAnsi"/>
        </w:rPr>
        <w:t xml:space="preserve">, ‘Legal Review of the Draft Law on Better Law Enforcement in Social Networks’ (May 2017) </w:t>
      </w:r>
      <w:r w:rsidR="00293DBB" w:rsidRPr="00C215EC">
        <w:rPr>
          <w:rFonts w:asciiTheme="minorHAnsi" w:hAnsiTheme="minorHAnsi" w:cstheme="minorHAnsi"/>
          <w:i/>
          <w:iCs/>
        </w:rPr>
        <w:t xml:space="preserve">Organisation for Security and Co-operation in Europe, Office of the Representative on Freedom of the Media, </w:t>
      </w:r>
      <w:r w:rsidR="00293DBB" w:rsidRPr="00C215EC">
        <w:rPr>
          <w:rFonts w:asciiTheme="minorHAnsi" w:hAnsiTheme="minorHAnsi" w:cstheme="minorHAnsi"/>
        </w:rPr>
        <w:t xml:space="preserve">14f; </w:t>
      </w:r>
      <w:r w:rsidRPr="00C215EC">
        <w:rPr>
          <w:rFonts w:asciiTheme="minorHAnsi" w:hAnsiTheme="minorHAnsi" w:cstheme="minorHAnsi"/>
        </w:rPr>
        <w:t xml:space="preserve">Reporter </w:t>
      </w:r>
      <w:proofErr w:type="spellStart"/>
      <w:r w:rsidRPr="00C215EC">
        <w:rPr>
          <w:rFonts w:asciiTheme="minorHAnsi" w:hAnsiTheme="minorHAnsi" w:cstheme="minorHAnsi"/>
        </w:rPr>
        <w:t>ohne</w:t>
      </w:r>
      <w:proofErr w:type="spellEnd"/>
      <w:r w:rsidRPr="00C215EC">
        <w:rPr>
          <w:rFonts w:asciiTheme="minorHAnsi" w:hAnsiTheme="minorHAnsi" w:cstheme="minorHAnsi"/>
        </w:rPr>
        <w:t xml:space="preserve"> </w:t>
      </w:r>
      <w:proofErr w:type="spellStart"/>
      <w:r w:rsidRPr="00C215EC">
        <w:rPr>
          <w:rFonts w:asciiTheme="minorHAnsi" w:hAnsiTheme="minorHAnsi" w:cstheme="minorHAnsi"/>
        </w:rPr>
        <w:t>Grenzen</w:t>
      </w:r>
      <w:proofErr w:type="spellEnd"/>
      <w:r w:rsidRPr="00C215EC">
        <w:rPr>
          <w:rFonts w:asciiTheme="minorHAnsi" w:hAnsiTheme="minorHAnsi" w:cstheme="minorHAnsi"/>
        </w:rPr>
        <w:t xml:space="preserve">, ‘NetzDG </w:t>
      </w:r>
      <w:proofErr w:type="spellStart"/>
      <w:r w:rsidRPr="00C215EC">
        <w:rPr>
          <w:rFonts w:asciiTheme="minorHAnsi" w:hAnsiTheme="minorHAnsi" w:cstheme="minorHAnsi"/>
        </w:rPr>
        <w:t>führt</w:t>
      </w:r>
      <w:proofErr w:type="spellEnd"/>
      <w:r w:rsidRPr="00C215EC">
        <w:rPr>
          <w:rFonts w:asciiTheme="minorHAnsi" w:hAnsiTheme="minorHAnsi" w:cstheme="minorHAnsi"/>
        </w:rPr>
        <w:t xml:space="preserve"> </w:t>
      </w:r>
      <w:proofErr w:type="spellStart"/>
      <w:r w:rsidRPr="00C215EC">
        <w:rPr>
          <w:rFonts w:asciiTheme="minorHAnsi" w:hAnsiTheme="minorHAnsi" w:cstheme="minorHAnsi"/>
        </w:rPr>
        <w:t>offenbar</w:t>
      </w:r>
      <w:proofErr w:type="spellEnd"/>
      <w:r w:rsidRPr="00C215EC">
        <w:rPr>
          <w:rFonts w:asciiTheme="minorHAnsi" w:hAnsiTheme="minorHAnsi" w:cstheme="minorHAnsi"/>
        </w:rPr>
        <w:t xml:space="preserve"> </w:t>
      </w:r>
      <w:proofErr w:type="spellStart"/>
      <w:r w:rsidRPr="00C215EC">
        <w:rPr>
          <w:rFonts w:asciiTheme="minorHAnsi" w:hAnsiTheme="minorHAnsi" w:cstheme="minorHAnsi"/>
        </w:rPr>
        <w:t>zu</w:t>
      </w:r>
      <w:proofErr w:type="spellEnd"/>
      <w:r w:rsidRPr="00C215EC">
        <w:rPr>
          <w:rFonts w:asciiTheme="minorHAnsi" w:hAnsiTheme="minorHAnsi" w:cstheme="minorHAnsi"/>
        </w:rPr>
        <w:t xml:space="preserve"> Overblocking’ (27 July 2018) </w:t>
      </w:r>
      <w:r w:rsidRPr="00C215EC">
        <w:rPr>
          <w:rFonts w:asciiTheme="minorHAnsi" w:hAnsiTheme="minorHAnsi" w:cstheme="minorHAnsi"/>
          <w:i/>
          <w:iCs/>
        </w:rPr>
        <w:t xml:space="preserve">Reporter </w:t>
      </w:r>
      <w:proofErr w:type="spellStart"/>
      <w:r w:rsidRPr="00C215EC">
        <w:rPr>
          <w:rFonts w:asciiTheme="minorHAnsi" w:hAnsiTheme="minorHAnsi" w:cstheme="minorHAnsi"/>
          <w:i/>
          <w:iCs/>
        </w:rPr>
        <w:t>ohne</w:t>
      </w:r>
      <w:proofErr w:type="spellEnd"/>
      <w:r w:rsidRPr="00C215EC">
        <w:rPr>
          <w:rFonts w:asciiTheme="minorHAnsi" w:hAnsiTheme="minorHAnsi" w:cstheme="minorHAnsi"/>
          <w:i/>
          <w:iCs/>
        </w:rPr>
        <w:t xml:space="preserve"> </w:t>
      </w:r>
      <w:proofErr w:type="spellStart"/>
      <w:r w:rsidRPr="00C215EC">
        <w:rPr>
          <w:rFonts w:asciiTheme="minorHAnsi" w:hAnsiTheme="minorHAnsi" w:cstheme="minorHAnsi"/>
          <w:i/>
          <w:iCs/>
        </w:rPr>
        <w:t>Grenzen</w:t>
      </w:r>
      <w:proofErr w:type="spellEnd"/>
      <w:r w:rsidR="00293DBB" w:rsidRPr="00C215EC">
        <w:rPr>
          <w:rFonts w:asciiTheme="minorHAnsi" w:hAnsiTheme="minorHAnsi" w:cstheme="minorHAnsi"/>
          <w:i/>
          <w:iCs/>
        </w:rPr>
        <w:t xml:space="preserve">; </w:t>
      </w:r>
      <w:r w:rsidR="00293DBB" w:rsidRPr="00C215EC">
        <w:rPr>
          <w:rFonts w:asciiTheme="minorHAnsi" w:hAnsiTheme="minorHAnsi" w:cstheme="minorHAnsi"/>
        </w:rPr>
        <w:t xml:space="preserve">see also Article 19, ‘Germany: The Act to improve Enforcement of the Law in Social Networks’ (August 2017) </w:t>
      </w:r>
      <w:r w:rsidR="00293DBB" w:rsidRPr="00C215EC">
        <w:rPr>
          <w:rFonts w:asciiTheme="minorHAnsi" w:hAnsiTheme="minorHAnsi" w:cstheme="minorHAnsi"/>
          <w:i/>
          <w:iCs/>
        </w:rPr>
        <w:t>Article19.org</w:t>
      </w:r>
      <w:r w:rsidR="00293DBB" w:rsidRPr="00C215EC">
        <w:rPr>
          <w:rFonts w:asciiTheme="minorHAnsi" w:hAnsiTheme="minorHAnsi" w:cstheme="minorHAnsi"/>
        </w:rPr>
        <w:t xml:space="preserve">. </w:t>
      </w:r>
    </w:p>
  </w:footnote>
  <w:footnote w:id="135">
    <w:p w14:paraId="458EF42B" w14:textId="65D2F8CC" w:rsidR="00917E67" w:rsidRPr="00956461" w:rsidRDefault="00917E67" w:rsidP="00C215EC">
      <w:pPr>
        <w:pStyle w:val="FootnoteText"/>
        <w:jc w:val="both"/>
        <w:rPr>
          <w:rFonts w:asciiTheme="minorHAnsi" w:hAnsiTheme="minorHAnsi" w:cstheme="minorHAnsi"/>
        </w:rPr>
      </w:pPr>
      <w:r w:rsidRPr="00956461">
        <w:rPr>
          <w:rStyle w:val="FootnoteReference"/>
          <w:rFonts w:asciiTheme="minorHAnsi" w:hAnsiTheme="minorHAnsi" w:cstheme="minorHAnsi"/>
        </w:rPr>
        <w:footnoteRef/>
      </w:r>
      <w:r w:rsidRPr="00956461">
        <w:rPr>
          <w:rFonts w:asciiTheme="minorHAnsi" w:hAnsiTheme="minorHAnsi" w:cstheme="minorHAnsi"/>
        </w:rPr>
        <w:t xml:space="preserve"> Meta, ‘Facebook Community Standards – Hate Speech’ </w:t>
      </w:r>
      <w:r w:rsidRPr="00956461">
        <w:rPr>
          <w:rFonts w:asciiTheme="minorHAnsi" w:hAnsiTheme="minorHAnsi" w:cstheme="minorHAnsi"/>
          <w:i/>
          <w:iCs/>
        </w:rPr>
        <w:t>Transparency Center</w:t>
      </w:r>
      <w:r w:rsidR="00956461">
        <w:rPr>
          <w:rFonts w:asciiTheme="minorHAnsi" w:hAnsiTheme="minorHAnsi" w:cstheme="minorHAnsi"/>
          <w:i/>
          <w:iCs/>
        </w:rPr>
        <w:t xml:space="preserve"> </w:t>
      </w:r>
      <w:r w:rsidRPr="00956461">
        <w:rPr>
          <w:rFonts w:asciiTheme="minorHAnsi" w:hAnsiTheme="minorHAnsi" w:cstheme="minorHAnsi"/>
        </w:rPr>
        <w:t>(accessed 29 Ja</w:t>
      </w:r>
      <w:r w:rsidR="00605C58" w:rsidRPr="00956461">
        <w:rPr>
          <w:rFonts w:asciiTheme="minorHAnsi" w:hAnsiTheme="minorHAnsi" w:cstheme="minorHAnsi"/>
        </w:rPr>
        <w:t>n</w:t>
      </w:r>
      <w:r w:rsidRPr="00956461">
        <w:rPr>
          <w:rFonts w:asciiTheme="minorHAnsi" w:hAnsiTheme="minorHAnsi" w:cstheme="minorHAnsi"/>
        </w:rPr>
        <w:t xml:space="preserve">2022) </w:t>
      </w:r>
    </w:p>
  </w:footnote>
  <w:footnote w:id="136">
    <w:p w14:paraId="6462C593" w14:textId="6CF42928" w:rsidR="00917E67" w:rsidRPr="00956461" w:rsidRDefault="00917E67" w:rsidP="00C215EC">
      <w:pPr>
        <w:pStyle w:val="FootnoteText"/>
        <w:jc w:val="both"/>
        <w:rPr>
          <w:rFonts w:asciiTheme="minorHAnsi" w:hAnsiTheme="minorHAnsi" w:cstheme="minorHAnsi"/>
        </w:rPr>
      </w:pPr>
      <w:r w:rsidRPr="00956461">
        <w:rPr>
          <w:rStyle w:val="FootnoteReference"/>
          <w:rFonts w:asciiTheme="minorHAnsi" w:hAnsiTheme="minorHAnsi" w:cstheme="minorHAnsi"/>
        </w:rPr>
        <w:footnoteRef/>
      </w:r>
      <w:r w:rsidRPr="00956461">
        <w:rPr>
          <w:rFonts w:asciiTheme="minorHAnsi" w:hAnsiTheme="minorHAnsi" w:cstheme="minorHAnsi"/>
        </w:rPr>
        <w:t xml:space="preserve"> </w:t>
      </w:r>
      <w:r w:rsidRPr="00956461">
        <w:rPr>
          <w:rFonts w:asciiTheme="minorHAnsi" w:hAnsiTheme="minorHAnsi" w:cstheme="minorHAnsi"/>
          <w:i/>
          <w:iCs/>
        </w:rPr>
        <w:t xml:space="preserve">Renate </w:t>
      </w:r>
      <w:proofErr w:type="spellStart"/>
      <w:r w:rsidRPr="00956461">
        <w:rPr>
          <w:rFonts w:asciiTheme="minorHAnsi" w:hAnsiTheme="minorHAnsi" w:cstheme="minorHAnsi"/>
          <w:i/>
          <w:iCs/>
        </w:rPr>
        <w:t>Künast</w:t>
      </w:r>
      <w:proofErr w:type="spellEnd"/>
      <w:r w:rsidRPr="00956461">
        <w:rPr>
          <w:rFonts w:asciiTheme="minorHAnsi" w:hAnsiTheme="minorHAnsi" w:cstheme="minorHAnsi"/>
          <w:i/>
          <w:iCs/>
        </w:rPr>
        <w:t xml:space="preserve"> v Facebook</w:t>
      </w:r>
      <w:r w:rsidRPr="00956461">
        <w:rPr>
          <w:rFonts w:asciiTheme="minorHAnsi" w:hAnsiTheme="minorHAnsi" w:cstheme="minorHAnsi"/>
        </w:rPr>
        <w:t xml:space="preserve"> 27 AR 17/19 (2019) LG Berlin ECLI:</w:t>
      </w:r>
      <w:proofErr w:type="gramStart"/>
      <w:r w:rsidRPr="00956461">
        <w:rPr>
          <w:rFonts w:asciiTheme="minorHAnsi" w:hAnsiTheme="minorHAnsi" w:cstheme="minorHAnsi"/>
        </w:rPr>
        <w:t>DE:LGBE</w:t>
      </w:r>
      <w:proofErr w:type="gramEnd"/>
      <w:r w:rsidRPr="00956461">
        <w:rPr>
          <w:rFonts w:asciiTheme="minorHAnsi" w:hAnsiTheme="minorHAnsi" w:cstheme="minorHAnsi"/>
        </w:rPr>
        <w:t>:2019:0909.27AR17.19.00, concern</w:t>
      </w:r>
      <w:r w:rsidR="00435566" w:rsidRPr="00956461">
        <w:rPr>
          <w:rFonts w:asciiTheme="minorHAnsi" w:hAnsiTheme="minorHAnsi" w:cstheme="minorHAnsi"/>
        </w:rPr>
        <w:t xml:space="preserve">ed </w:t>
      </w:r>
      <w:r w:rsidRPr="00956461">
        <w:rPr>
          <w:rFonts w:asciiTheme="minorHAnsi" w:hAnsiTheme="minorHAnsi" w:cstheme="minorHAnsi"/>
        </w:rPr>
        <w:t xml:space="preserve">the hate speech directed at the Green Party politician Renate </w:t>
      </w:r>
      <w:proofErr w:type="spellStart"/>
      <w:r w:rsidRPr="00956461">
        <w:rPr>
          <w:rFonts w:asciiTheme="minorHAnsi" w:hAnsiTheme="minorHAnsi" w:cstheme="minorHAnsi"/>
        </w:rPr>
        <w:t>Künast</w:t>
      </w:r>
      <w:proofErr w:type="spellEnd"/>
      <w:r w:rsidRPr="00956461">
        <w:rPr>
          <w:rFonts w:asciiTheme="minorHAnsi" w:hAnsiTheme="minorHAnsi" w:cstheme="minorHAnsi"/>
        </w:rPr>
        <w:t xml:space="preserve"> on Facebook</w:t>
      </w:r>
      <w:r w:rsidR="00533902" w:rsidRPr="00956461">
        <w:rPr>
          <w:rFonts w:asciiTheme="minorHAnsi" w:hAnsiTheme="minorHAnsi" w:cstheme="minorHAnsi"/>
        </w:rPr>
        <w:t xml:space="preserve"> which were both personally insult</w:t>
      </w:r>
      <w:r w:rsidR="00435566" w:rsidRPr="00956461">
        <w:rPr>
          <w:rFonts w:asciiTheme="minorHAnsi" w:hAnsiTheme="minorHAnsi" w:cstheme="minorHAnsi"/>
        </w:rPr>
        <w:t>ing</w:t>
      </w:r>
      <w:r w:rsidR="00533902" w:rsidRPr="00956461">
        <w:rPr>
          <w:rFonts w:asciiTheme="minorHAnsi" w:hAnsiTheme="minorHAnsi" w:cstheme="minorHAnsi"/>
        </w:rPr>
        <w:t xml:space="preserve"> but also politically charged. </w:t>
      </w:r>
    </w:p>
  </w:footnote>
  <w:footnote w:id="137">
    <w:p w14:paraId="7559442C" w14:textId="179B2D58" w:rsidR="008A5DC9" w:rsidRPr="00956461" w:rsidRDefault="008A5DC9" w:rsidP="00C215EC">
      <w:pPr>
        <w:pStyle w:val="FootnoteText"/>
        <w:jc w:val="both"/>
        <w:rPr>
          <w:rFonts w:asciiTheme="minorHAnsi" w:hAnsiTheme="minorHAnsi" w:cstheme="minorHAnsi"/>
        </w:rPr>
      </w:pPr>
      <w:r w:rsidRPr="00956461">
        <w:rPr>
          <w:rStyle w:val="FootnoteReference"/>
          <w:rFonts w:asciiTheme="minorHAnsi" w:hAnsiTheme="minorHAnsi" w:cstheme="minorHAnsi"/>
        </w:rPr>
        <w:footnoteRef/>
      </w:r>
      <w:r w:rsidRPr="00956461">
        <w:rPr>
          <w:rFonts w:asciiTheme="minorHAnsi" w:hAnsiTheme="minorHAnsi" w:cstheme="minorHAnsi"/>
        </w:rPr>
        <w:t xml:space="preserve"> </w:t>
      </w:r>
      <w:r w:rsidRPr="00956461">
        <w:rPr>
          <w:rFonts w:asciiTheme="minorHAnsi" w:hAnsiTheme="minorHAnsi" w:cstheme="minorHAnsi"/>
          <w:i/>
          <w:iCs/>
        </w:rPr>
        <w:t xml:space="preserve">Savva </w:t>
      </w:r>
      <w:proofErr w:type="spellStart"/>
      <w:r w:rsidRPr="00956461">
        <w:rPr>
          <w:rFonts w:asciiTheme="minorHAnsi" w:hAnsiTheme="minorHAnsi" w:cstheme="minorHAnsi"/>
          <w:i/>
          <w:iCs/>
        </w:rPr>
        <w:t>Terentyev</w:t>
      </w:r>
      <w:proofErr w:type="spellEnd"/>
      <w:r w:rsidRPr="00956461">
        <w:rPr>
          <w:rFonts w:asciiTheme="minorHAnsi" w:hAnsiTheme="minorHAnsi" w:cstheme="minorHAnsi"/>
          <w:i/>
          <w:iCs/>
        </w:rPr>
        <w:t xml:space="preserve"> v Russia</w:t>
      </w:r>
      <w:r w:rsidRPr="00956461">
        <w:rPr>
          <w:rFonts w:asciiTheme="minorHAnsi" w:hAnsiTheme="minorHAnsi" w:cstheme="minorHAnsi"/>
        </w:rPr>
        <w:t xml:space="preserve"> 10692/09 [2018] ECHR 675, para 85; </w:t>
      </w:r>
      <w:proofErr w:type="spellStart"/>
      <w:r w:rsidRPr="00956461">
        <w:rPr>
          <w:rFonts w:asciiTheme="minorHAnsi" w:hAnsiTheme="minorHAnsi" w:cstheme="minorHAnsi"/>
          <w:i/>
          <w:iCs/>
        </w:rPr>
        <w:t>Altuğ</w:t>
      </w:r>
      <w:proofErr w:type="spellEnd"/>
      <w:r w:rsidRPr="00956461">
        <w:rPr>
          <w:rFonts w:asciiTheme="minorHAnsi" w:hAnsiTheme="minorHAnsi" w:cstheme="minorHAnsi"/>
          <w:i/>
          <w:iCs/>
        </w:rPr>
        <w:t xml:space="preserve"> </w:t>
      </w:r>
      <w:proofErr w:type="spellStart"/>
      <w:r w:rsidRPr="00956461">
        <w:rPr>
          <w:rFonts w:asciiTheme="minorHAnsi" w:hAnsiTheme="minorHAnsi" w:cstheme="minorHAnsi"/>
          <w:i/>
          <w:iCs/>
        </w:rPr>
        <w:t>Taner</w:t>
      </w:r>
      <w:proofErr w:type="spellEnd"/>
      <w:r w:rsidRPr="00956461">
        <w:rPr>
          <w:rFonts w:asciiTheme="minorHAnsi" w:hAnsiTheme="minorHAnsi" w:cstheme="minorHAnsi"/>
          <w:i/>
          <w:iCs/>
        </w:rPr>
        <w:t xml:space="preserve"> </w:t>
      </w:r>
      <w:proofErr w:type="spellStart"/>
      <w:r w:rsidRPr="00956461">
        <w:rPr>
          <w:rFonts w:asciiTheme="minorHAnsi" w:hAnsiTheme="minorHAnsi" w:cstheme="minorHAnsi"/>
          <w:i/>
          <w:iCs/>
        </w:rPr>
        <w:t>Akçam</w:t>
      </w:r>
      <w:proofErr w:type="spellEnd"/>
      <w:r w:rsidRPr="00956461">
        <w:rPr>
          <w:rFonts w:asciiTheme="minorHAnsi" w:hAnsiTheme="minorHAnsi" w:cstheme="minorHAnsi"/>
          <w:i/>
          <w:iCs/>
        </w:rPr>
        <w:t xml:space="preserve"> v Turkey</w:t>
      </w:r>
      <w:r w:rsidRPr="00956461">
        <w:rPr>
          <w:rFonts w:asciiTheme="minorHAnsi" w:hAnsiTheme="minorHAnsi" w:cstheme="minorHAnsi"/>
        </w:rPr>
        <w:t xml:space="preserve"> 27520/07 (2016) 62 EHRR 12, para</w:t>
      </w:r>
      <w:r w:rsidR="00533902" w:rsidRPr="00956461">
        <w:rPr>
          <w:rFonts w:asciiTheme="minorHAnsi" w:hAnsiTheme="minorHAnsi" w:cstheme="minorHAnsi"/>
        </w:rPr>
        <w:t xml:space="preserve"> 93-94</w:t>
      </w:r>
      <w:r w:rsidRPr="00956461">
        <w:rPr>
          <w:rFonts w:asciiTheme="minorHAnsi" w:hAnsiTheme="minorHAnsi" w:cstheme="minorHAnsi"/>
        </w:rPr>
        <w:t>.</w:t>
      </w:r>
    </w:p>
  </w:footnote>
  <w:footnote w:id="138">
    <w:p w14:paraId="234E9495" w14:textId="244DE8E7" w:rsidR="00917E67" w:rsidRPr="00956461" w:rsidRDefault="00917E67" w:rsidP="00C215EC">
      <w:pPr>
        <w:pStyle w:val="FootnoteText"/>
        <w:jc w:val="both"/>
        <w:rPr>
          <w:rFonts w:asciiTheme="minorHAnsi" w:hAnsiTheme="minorHAnsi" w:cstheme="minorHAnsi"/>
        </w:rPr>
      </w:pPr>
      <w:r w:rsidRPr="00956461">
        <w:rPr>
          <w:rStyle w:val="FootnoteReference"/>
          <w:rFonts w:asciiTheme="minorHAnsi" w:hAnsiTheme="minorHAnsi" w:cstheme="minorHAnsi"/>
        </w:rPr>
        <w:footnoteRef/>
      </w:r>
      <w:r w:rsidRPr="00956461">
        <w:rPr>
          <w:rFonts w:asciiTheme="minorHAnsi" w:hAnsiTheme="minorHAnsi" w:cstheme="minorHAnsi"/>
        </w:rPr>
        <w:t xml:space="preserve"> </w:t>
      </w:r>
      <w:r w:rsidR="00930C63" w:rsidRPr="00956461">
        <w:rPr>
          <w:rFonts w:asciiTheme="minorHAnsi" w:hAnsiTheme="minorHAnsi" w:cstheme="minorHAnsi"/>
        </w:rPr>
        <w:t>Section 3(</w:t>
      </w:r>
      <w:r w:rsidR="001862D8" w:rsidRPr="00956461">
        <w:rPr>
          <w:rFonts w:asciiTheme="minorHAnsi" w:hAnsiTheme="minorHAnsi" w:cstheme="minorHAnsi"/>
        </w:rPr>
        <w:t>4)</w:t>
      </w:r>
    </w:p>
  </w:footnote>
  <w:footnote w:id="139">
    <w:p w14:paraId="6950D63F" w14:textId="6EA7925D" w:rsidR="00917E67" w:rsidRPr="00C215EC" w:rsidRDefault="00917E67" w:rsidP="00C215EC">
      <w:pPr>
        <w:pStyle w:val="FootnoteText"/>
        <w:jc w:val="both"/>
        <w:rPr>
          <w:rFonts w:asciiTheme="minorHAnsi" w:hAnsiTheme="minorHAnsi" w:cstheme="minorHAnsi"/>
        </w:rPr>
      </w:pPr>
      <w:r w:rsidRPr="00956461">
        <w:rPr>
          <w:rStyle w:val="FootnoteReference"/>
          <w:rFonts w:asciiTheme="minorHAnsi" w:hAnsiTheme="minorHAnsi" w:cstheme="minorHAnsi"/>
        </w:rPr>
        <w:footnoteRef/>
      </w:r>
      <w:r w:rsidRPr="00956461">
        <w:rPr>
          <w:rFonts w:asciiTheme="minorHAnsi" w:hAnsiTheme="minorHAnsi" w:cstheme="minorHAnsi"/>
        </w:rPr>
        <w:t xml:space="preserve"> </w:t>
      </w:r>
      <w:r w:rsidR="006D1607" w:rsidRPr="00956461">
        <w:rPr>
          <w:rFonts w:asciiTheme="minorHAnsi" w:hAnsiTheme="minorHAnsi" w:cstheme="minorHAnsi"/>
        </w:rPr>
        <w:t>Eifert</w:t>
      </w:r>
      <w:r w:rsidR="006D1607" w:rsidRPr="00C215EC">
        <w:rPr>
          <w:rFonts w:asciiTheme="minorHAnsi" w:hAnsiTheme="minorHAnsi" w:cstheme="minorHAnsi"/>
        </w:rPr>
        <w:t xml:space="preserve"> above n </w:t>
      </w:r>
      <w:r w:rsidR="00533902" w:rsidRPr="00C215EC">
        <w:rPr>
          <w:rFonts w:asciiTheme="minorHAnsi" w:hAnsiTheme="minorHAnsi" w:cstheme="minorHAnsi"/>
        </w:rPr>
        <w:t>12</w:t>
      </w:r>
      <w:r w:rsidR="006D1607" w:rsidRPr="00C215EC">
        <w:rPr>
          <w:rFonts w:asciiTheme="minorHAnsi" w:hAnsiTheme="minorHAnsi" w:cstheme="minorHAnsi"/>
        </w:rPr>
        <w:t>, 1452ff</w:t>
      </w:r>
      <w:r w:rsidR="00293DBB" w:rsidRPr="00C215EC">
        <w:rPr>
          <w:rFonts w:asciiTheme="minorHAnsi" w:hAnsiTheme="minorHAnsi" w:cstheme="minorHAnsi"/>
        </w:rPr>
        <w:t xml:space="preserve">; </w:t>
      </w:r>
      <w:proofErr w:type="spellStart"/>
      <w:r w:rsidR="00293DBB" w:rsidRPr="00C215EC">
        <w:rPr>
          <w:rFonts w:asciiTheme="minorHAnsi" w:hAnsiTheme="minorHAnsi" w:cstheme="minorHAnsi"/>
        </w:rPr>
        <w:t>Tworek</w:t>
      </w:r>
      <w:proofErr w:type="spellEnd"/>
      <w:r w:rsidR="00293DBB" w:rsidRPr="00C215EC">
        <w:rPr>
          <w:rFonts w:asciiTheme="minorHAnsi" w:hAnsiTheme="minorHAnsi" w:cstheme="minorHAnsi"/>
        </w:rPr>
        <w:t xml:space="preserve"> above n 63, 8 (mentioning the suggestion of a ‘Clearing House’ </w:t>
      </w:r>
      <w:r w:rsidR="001049BC" w:rsidRPr="00C215EC">
        <w:rPr>
          <w:rFonts w:asciiTheme="minorHAnsi" w:hAnsiTheme="minorHAnsi" w:cstheme="minorHAnsi"/>
        </w:rPr>
        <w:t xml:space="preserve">for cases where users disagreed with the handling of the decision, or alternatively a ‘research repository’ with data from all platforms). </w:t>
      </w:r>
      <w:r w:rsidR="00293DBB" w:rsidRPr="00C215EC">
        <w:rPr>
          <w:rFonts w:asciiTheme="minorHAnsi" w:hAnsiTheme="minorHAnsi" w:cstheme="minorHAnsi"/>
        </w:rPr>
        <w:t xml:space="preserve"> </w:t>
      </w:r>
      <w:r w:rsidR="007B13E6">
        <w:rPr>
          <w:rFonts w:asciiTheme="minorHAnsi" w:hAnsiTheme="minorHAnsi" w:cstheme="minorHAnsi"/>
        </w:rPr>
        <w:t xml:space="preserve">   </w:t>
      </w:r>
    </w:p>
  </w:footnote>
  <w:footnote w:id="140">
    <w:p w14:paraId="0C54D004" w14:textId="4966C71E" w:rsidR="00917E67" w:rsidRPr="00C215EC" w:rsidRDefault="00917E67" w:rsidP="00C215EC">
      <w:pPr>
        <w:pStyle w:val="FootnoteText"/>
        <w:jc w:val="both"/>
        <w:rPr>
          <w:rFonts w:asciiTheme="minorHAnsi" w:hAnsiTheme="minorHAnsi" w:cstheme="minorHAnsi"/>
        </w:rPr>
      </w:pPr>
      <w:r w:rsidRPr="00C215EC">
        <w:rPr>
          <w:rStyle w:val="FootnoteReference"/>
          <w:rFonts w:asciiTheme="minorHAnsi" w:hAnsiTheme="minorHAnsi" w:cstheme="minorHAnsi"/>
        </w:rPr>
        <w:footnoteRef/>
      </w:r>
      <w:r w:rsidRPr="00C215EC">
        <w:rPr>
          <w:rFonts w:asciiTheme="minorHAnsi" w:hAnsiTheme="minorHAnsi" w:cstheme="minorHAnsi"/>
        </w:rPr>
        <w:t xml:space="preserve"> Section 3(2) </w:t>
      </w:r>
      <w:r w:rsidR="00533902" w:rsidRPr="00C215EC">
        <w:rPr>
          <w:rFonts w:asciiTheme="minorHAnsi" w:hAnsiTheme="minorHAnsi" w:cstheme="minorHAnsi"/>
        </w:rPr>
        <w:t xml:space="preserve">on </w:t>
      </w:r>
      <w:r w:rsidRPr="00C215EC">
        <w:rPr>
          <w:rFonts w:asciiTheme="minorHAnsi" w:hAnsiTheme="minorHAnsi" w:cstheme="minorHAnsi"/>
        </w:rPr>
        <w:t xml:space="preserve">the </w:t>
      </w:r>
      <w:r w:rsidR="007B13E6">
        <w:rPr>
          <w:rFonts w:asciiTheme="minorHAnsi" w:hAnsiTheme="minorHAnsi" w:cstheme="minorHAnsi"/>
        </w:rPr>
        <w:t>aggregat</w:t>
      </w:r>
      <w:r w:rsidR="00533902" w:rsidRPr="00C215EC">
        <w:rPr>
          <w:rFonts w:asciiTheme="minorHAnsi" w:hAnsiTheme="minorHAnsi" w:cstheme="minorHAnsi"/>
        </w:rPr>
        <w:t xml:space="preserve">e </w:t>
      </w:r>
      <w:r w:rsidRPr="00C215EC">
        <w:rPr>
          <w:rFonts w:asciiTheme="minorHAnsi" w:hAnsiTheme="minorHAnsi" w:cstheme="minorHAnsi"/>
        </w:rPr>
        <w:t>information to be</w:t>
      </w:r>
      <w:r w:rsidR="00533902" w:rsidRPr="00C215EC">
        <w:rPr>
          <w:rFonts w:asciiTheme="minorHAnsi" w:hAnsiTheme="minorHAnsi" w:cstheme="minorHAnsi"/>
        </w:rPr>
        <w:t xml:space="preserve"> included</w:t>
      </w:r>
      <w:r w:rsidRPr="00C215EC">
        <w:rPr>
          <w:rFonts w:asciiTheme="minorHAnsi" w:hAnsiTheme="minorHAnsi" w:cstheme="minorHAnsi"/>
        </w:rPr>
        <w:t xml:space="preserve"> in the biannual reports.</w:t>
      </w:r>
    </w:p>
  </w:footnote>
  <w:footnote w:id="141">
    <w:p w14:paraId="5646E99C" w14:textId="2576E08B" w:rsidR="006D1607" w:rsidRPr="00C215EC" w:rsidRDefault="006D1607" w:rsidP="00C215EC">
      <w:pPr>
        <w:pStyle w:val="FootnoteText"/>
        <w:jc w:val="both"/>
        <w:rPr>
          <w:rFonts w:asciiTheme="minorHAnsi" w:hAnsiTheme="minorHAnsi" w:cstheme="minorHAnsi"/>
        </w:rPr>
      </w:pPr>
      <w:r w:rsidRPr="00C215EC">
        <w:rPr>
          <w:rStyle w:val="FootnoteReference"/>
          <w:rFonts w:asciiTheme="minorHAnsi" w:hAnsiTheme="minorHAnsi" w:cstheme="minorHAnsi"/>
        </w:rPr>
        <w:footnoteRef/>
      </w:r>
      <w:r w:rsidRPr="00C215EC">
        <w:rPr>
          <w:rFonts w:asciiTheme="minorHAnsi" w:hAnsiTheme="minorHAnsi" w:cstheme="minorHAnsi"/>
        </w:rPr>
        <w:t xml:space="preserve"> </w:t>
      </w:r>
      <w:r w:rsidR="007A678D" w:rsidRPr="00C215EC">
        <w:rPr>
          <w:rFonts w:asciiTheme="minorHAnsi" w:hAnsiTheme="minorHAnsi" w:cstheme="minorHAnsi"/>
        </w:rPr>
        <w:t>For the affected parties see s</w:t>
      </w:r>
      <w:r w:rsidR="00D11548" w:rsidRPr="00C215EC">
        <w:rPr>
          <w:rFonts w:asciiTheme="minorHAnsi" w:hAnsiTheme="minorHAnsi" w:cstheme="minorHAnsi"/>
        </w:rPr>
        <w:t>.</w:t>
      </w:r>
      <w:r w:rsidRPr="00C215EC">
        <w:rPr>
          <w:rFonts w:asciiTheme="minorHAnsi" w:hAnsiTheme="minorHAnsi" w:cstheme="minorHAnsi"/>
        </w:rPr>
        <w:t>3(5)</w:t>
      </w:r>
      <w:r w:rsidR="007A678D" w:rsidRPr="00C215EC">
        <w:rPr>
          <w:rFonts w:asciiTheme="minorHAnsi" w:hAnsiTheme="minorHAnsi" w:cstheme="minorHAnsi"/>
        </w:rPr>
        <w:t>, and for</w:t>
      </w:r>
      <w:r w:rsidR="00533902" w:rsidRPr="00C215EC">
        <w:rPr>
          <w:rFonts w:asciiTheme="minorHAnsi" w:hAnsiTheme="minorHAnsi" w:cstheme="minorHAnsi"/>
        </w:rPr>
        <w:t xml:space="preserve"> the more ambiguous position of</w:t>
      </w:r>
      <w:r w:rsidR="007A678D" w:rsidRPr="00C215EC">
        <w:rPr>
          <w:rFonts w:asciiTheme="minorHAnsi" w:hAnsiTheme="minorHAnsi" w:cstheme="minorHAnsi"/>
        </w:rPr>
        <w:t xml:space="preserve"> the supervising authority, see s.4(1)2. and s.4a(3)</w:t>
      </w:r>
      <w:r w:rsidR="00FE0F25">
        <w:rPr>
          <w:rFonts w:asciiTheme="minorHAnsi" w:hAnsiTheme="minorHAnsi" w:cstheme="minorHAnsi"/>
        </w:rPr>
        <w:t xml:space="preserve"> and s.3(5) which allows the supervisory authority to follow the complaint procedure.</w:t>
      </w:r>
    </w:p>
  </w:footnote>
  <w:footnote w:id="142">
    <w:p w14:paraId="484C3BD7" w14:textId="2A680CB9" w:rsidR="00917E67" w:rsidRPr="00C215EC" w:rsidRDefault="00917E67" w:rsidP="00C215EC">
      <w:pPr>
        <w:pStyle w:val="FootnoteText"/>
        <w:jc w:val="both"/>
        <w:rPr>
          <w:rFonts w:asciiTheme="minorHAnsi" w:hAnsiTheme="minorHAnsi" w:cstheme="minorHAnsi"/>
        </w:rPr>
      </w:pPr>
      <w:r w:rsidRPr="00C215EC">
        <w:rPr>
          <w:rStyle w:val="FootnoteReference"/>
          <w:rFonts w:asciiTheme="minorHAnsi" w:hAnsiTheme="minorHAnsi" w:cstheme="minorHAnsi"/>
        </w:rPr>
        <w:footnoteRef/>
      </w:r>
      <w:r w:rsidRPr="00C215EC">
        <w:rPr>
          <w:rFonts w:asciiTheme="minorHAnsi" w:hAnsiTheme="minorHAnsi" w:cstheme="minorHAnsi"/>
        </w:rPr>
        <w:t xml:space="preserve"> Section </w:t>
      </w:r>
      <w:r w:rsidR="00283A8B">
        <w:rPr>
          <w:rFonts w:asciiTheme="minorHAnsi" w:hAnsiTheme="minorHAnsi" w:cstheme="minorHAnsi"/>
        </w:rPr>
        <w:t>3(2)</w:t>
      </w:r>
      <w:proofErr w:type="gramStart"/>
      <w:r w:rsidR="00283A8B">
        <w:rPr>
          <w:rFonts w:asciiTheme="minorHAnsi" w:hAnsiTheme="minorHAnsi" w:cstheme="minorHAnsi"/>
        </w:rPr>
        <w:t>3.b</w:t>
      </w:r>
      <w:proofErr w:type="gramEnd"/>
      <w:r w:rsidR="00283A8B">
        <w:rPr>
          <w:rFonts w:asciiTheme="minorHAnsi" w:hAnsiTheme="minorHAnsi" w:cstheme="minorHAnsi"/>
        </w:rPr>
        <w:t xml:space="preserve"> and </w:t>
      </w:r>
      <w:r w:rsidRPr="00C215EC">
        <w:rPr>
          <w:rFonts w:asciiTheme="minorHAnsi" w:hAnsiTheme="minorHAnsi" w:cstheme="minorHAnsi"/>
        </w:rPr>
        <w:t>3(</w:t>
      </w:r>
      <w:r w:rsidR="00283A8B">
        <w:rPr>
          <w:rFonts w:asciiTheme="minorHAnsi" w:hAnsiTheme="minorHAnsi" w:cstheme="minorHAnsi"/>
        </w:rPr>
        <w:t>6)-(</w:t>
      </w:r>
      <w:r w:rsidR="00283A8B" w:rsidRPr="00E84E21">
        <w:rPr>
          <w:rFonts w:asciiTheme="minorHAnsi" w:hAnsiTheme="minorHAnsi" w:cstheme="minorHAnsi"/>
        </w:rPr>
        <w:t>11)</w:t>
      </w:r>
      <w:r w:rsidR="00E84E21" w:rsidRPr="00E84E21">
        <w:rPr>
          <w:rFonts w:asciiTheme="minorHAnsi" w:hAnsiTheme="minorHAnsi" w:cstheme="minorHAnsi"/>
        </w:rPr>
        <w:t xml:space="preserve">; see also </w:t>
      </w:r>
      <w:proofErr w:type="spellStart"/>
      <w:r w:rsidR="00E84E21" w:rsidRPr="00E84E21">
        <w:rPr>
          <w:rFonts w:asciiTheme="minorHAnsi" w:hAnsiTheme="minorHAnsi" w:cstheme="minorHAnsi"/>
        </w:rPr>
        <w:t>Tworek</w:t>
      </w:r>
      <w:proofErr w:type="spellEnd"/>
      <w:r w:rsidR="00E84E21" w:rsidRPr="00E84E21">
        <w:rPr>
          <w:rFonts w:asciiTheme="minorHAnsi" w:hAnsiTheme="minorHAnsi" w:cstheme="minorHAnsi"/>
        </w:rPr>
        <w:t xml:space="preserve"> above n 63, 6 (o</w:t>
      </w:r>
      <w:r w:rsidR="00E84E21">
        <w:rPr>
          <w:rFonts w:asciiTheme="minorHAnsi" w:hAnsiTheme="minorHAnsi" w:cstheme="minorHAnsi"/>
        </w:rPr>
        <w:t>n low frequency of platforms seeking outside counsel)</w:t>
      </w:r>
      <w:r w:rsidR="00EB03EF">
        <w:rPr>
          <w:rFonts w:asciiTheme="minorHAnsi" w:hAnsiTheme="minorHAnsi" w:cstheme="minorHAnsi"/>
        </w:rPr>
        <w:t xml:space="preserve">; </w:t>
      </w:r>
      <w:proofErr w:type="spellStart"/>
      <w:r w:rsidR="00EB03EF">
        <w:rPr>
          <w:rFonts w:asciiTheme="minorHAnsi" w:hAnsiTheme="minorHAnsi" w:cstheme="minorHAnsi"/>
        </w:rPr>
        <w:t>Echikson</w:t>
      </w:r>
      <w:proofErr w:type="spellEnd"/>
      <w:r w:rsidR="00EB03EF">
        <w:rPr>
          <w:rFonts w:asciiTheme="minorHAnsi" w:hAnsiTheme="minorHAnsi" w:cstheme="minorHAnsi"/>
        </w:rPr>
        <w:t xml:space="preserve"> above n 63, 14f. </w:t>
      </w:r>
    </w:p>
  </w:footnote>
  <w:footnote w:id="143">
    <w:p w14:paraId="0C4930F0" w14:textId="3EA23A9A" w:rsidR="00C36263" w:rsidRPr="00C215EC" w:rsidRDefault="00C36263" w:rsidP="00C215EC">
      <w:pPr>
        <w:pStyle w:val="FootnoteText"/>
        <w:jc w:val="both"/>
        <w:rPr>
          <w:rFonts w:asciiTheme="minorHAnsi" w:hAnsiTheme="minorHAnsi" w:cstheme="minorHAnsi"/>
        </w:rPr>
      </w:pPr>
      <w:r w:rsidRPr="00C215EC">
        <w:rPr>
          <w:rStyle w:val="FootnoteReference"/>
          <w:rFonts w:asciiTheme="minorHAnsi" w:hAnsiTheme="minorHAnsi" w:cstheme="minorHAnsi"/>
        </w:rPr>
        <w:footnoteRef/>
      </w:r>
      <w:r w:rsidRPr="00C215EC">
        <w:rPr>
          <w:rFonts w:asciiTheme="minorHAnsi" w:hAnsiTheme="minorHAnsi" w:cstheme="minorHAnsi"/>
        </w:rPr>
        <w:t xml:space="preserve"> Contrast to pure self-regulation: Kate </w:t>
      </w:r>
      <w:proofErr w:type="spellStart"/>
      <w:r w:rsidRPr="00C215EC">
        <w:rPr>
          <w:rFonts w:asciiTheme="minorHAnsi" w:hAnsiTheme="minorHAnsi" w:cstheme="minorHAnsi"/>
        </w:rPr>
        <w:t>Klonick</w:t>
      </w:r>
      <w:proofErr w:type="spellEnd"/>
      <w:r w:rsidRPr="00C215EC">
        <w:rPr>
          <w:rFonts w:asciiTheme="minorHAnsi" w:hAnsiTheme="minorHAnsi" w:cstheme="minorHAnsi"/>
        </w:rPr>
        <w:t xml:space="preserve">, ‘The New Governors: The People, Rules and Process Governing Online Speech’ (2018) 131 </w:t>
      </w:r>
      <w:r w:rsidRPr="00C215EC">
        <w:rPr>
          <w:rFonts w:asciiTheme="minorHAnsi" w:hAnsiTheme="minorHAnsi" w:cstheme="minorHAnsi"/>
          <w:i/>
          <w:iCs/>
        </w:rPr>
        <w:t>Harvard Law Review</w:t>
      </w:r>
      <w:r w:rsidRPr="00C215EC">
        <w:rPr>
          <w:rFonts w:asciiTheme="minorHAnsi" w:hAnsiTheme="minorHAnsi" w:cstheme="minorHAnsi"/>
        </w:rPr>
        <w:t xml:space="preserve"> 158. </w:t>
      </w:r>
    </w:p>
  </w:footnote>
  <w:footnote w:id="144">
    <w:p w14:paraId="088501ED" w14:textId="7AD1E728" w:rsidR="00FF31A5" w:rsidRPr="00C215EC" w:rsidRDefault="00FF31A5" w:rsidP="00C215EC">
      <w:pPr>
        <w:pStyle w:val="FootnoteText"/>
        <w:jc w:val="both"/>
        <w:rPr>
          <w:rFonts w:asciiTheme="minorHAnsi" w:hAnsiTheme="minorHAnsi" w:cstheme="minorHAnsi"/>
        </w:rPr>
      </w:pPr>
      <w:r w:rsidRPr="00C215EC">
        <w:rPr>
          <w:rStyle w:val="FootnoteReference"/>
          <w:rFonts w:asciiTheme="minorHAnsi" w:hAnsiTheme="minorHAnsi" w:cstheme="minorHAnsi"/>
        </w:rPr>
        <w:footnoteRef/>
      </w:r>
      <w:r w:rsidR="00F55B88" w:rsidRPr="00C215EC">
        <w:rPr>
          <w:rFonts w:asciiTheme="minorHAnsi" w:hAnsiTheme="minorHAnsi" w:cstheme="minorHAnsi"/>
        </w:rPr>
        <w:t xml:space="preserve"> </w:t>
      </w:r>
      <w:r w:rsidR="00D11548" w:rsidRPr="00C215EC">
        <w:rPr>
          <w:rFonts w:asciiTheme="minorHAnsi" w:hAnsiTheme="minorHAnsi" w:cstheme="minorHAnsi"/>
        </w:rPr>
        <w:t xml:space="preserve">See Anu Bradford, </w:t>
      </w:r>
      <w:r w:rsidR="00D11548" w:rsidRPr="00C215EC">
        <w:rPr>
          <w:rStyle w:val="Emphasis"/>
          <w:rFonts w:asciiTheme="minorHAnsi" w:hAnsiTheme="minorHAnsi" w:cstheme="minorHAnsi"/>
        </w:rPr>
        <w:t>The Brussels Effect</w:t>
      </w:r>
      <w:r w:rsidR="00D11548" w:rsidRPr="00C215EC">
        <w:rPr>
          <w:rFonts w:asciiTheme="minorHAnsi" w:hAnsiTheme="minorHAnsi" w:cstheme="minorHAnsi"/>
          <w:i/>
          <w:iCs/>
        </w:rPr>
        <w:t xml:space="preserve">: How the European Union Rules the World </w:t>
      </w:r>
      <w:r w:rsidR="00D11548" w:rsidRPr="00C215EC">
        <w:rPr>
          <w:rFonts w:asciiTheme="minorHAnsi" w:hAnsiTheme="minorHAnsi" w:cstheme="minorHAnsi"/>
        </w:rPr>
        <w:t>(New York: OUP, 2020).</w:t>
      </w:r>
    </w:p>
  </w:footnote>
  <w:footnote w:id="145">
    <w:p w14:paraId="6FAD5C31" w14:textId="027FD451" w:rsidR="00046170" w:rsidRPr="00C215EC" w:rsidRDefault="00046170" w:rsidP="00C215EC">
      <w:pPr>
        <w:pStyle w:val="FootnoteText"/>
        <w:jc w:val="both"/>
        <w:rPr>
          <w:rFonts w:asciiTheme="minorHAnsi" w:hAnsiTheme="minorHAnsi" w:cstheme="minorHAnsi"/>
        </w:rPr>
      </w:pPr>
      <w:r w:rsidRPr="00C215EC">
        <w:rPr>
          <w:rStyle w:val="FootnoteReference"/>
          <w:rFonts w:asciiTheme="minorHAnsi" w:hAnsiTheme="minorHAnsi" w:cstheme="minorHAnsi"/>
        </w:rPr>
        <w:footnoteRef/>
      </w:r>
      <w:r w:rsidRPr="00C215EC">
        <w:rPr>
          <w:rFonts w:asciiTheme="minorHAnsi" w:hAnsiTheme="minorHAnsi" w:cstheme="minorHAnsi"/>
        </w:rPr>
        <w:t xml:space="preserve"> Eifert above n 12. </w:t>
      </w:r>
    </w:p>
  </w:footnote>
  <w:footnote w:id="146">
    <w:p w14:paraId="5AE36A8A" w14:textId="1A0A79BD" w:rsidR="00F55B88" w:rsidRPr="00C215EC" w:rsidRDefault="00F55B88" w:rsidP="00C215EC">
      <w:pPr>
        <w:pStyle w:val="FootnoteText"/>
        <w:jc w:val="both"/>
        <w:rPr>
          <w:rFonts w:asciiTheme="minorHAnsi" w:hAnsiTheme="minorHAnsi" w:cstheme="minorHAnsi"/>
        </w:rPr>
      </w:pPr>
      <w:r w:rsidRPr="00C215EC">
        <w:rPr>
          <w:rStyle w:val="FootnoteReference"/>
          <w:rFonts w:asciiTheme="minorHAnsi" w:hAnsiTheme="minorHAnsi" w:cstheme="minorHAnsi"/>
        </w:rPr>
        <w:footnoteRef/>
      </w:r>
      <w:r w:rsidRPr="00C215EC">
        <w:rPr>
          <w:rFonts w:asciiTheme="minorHAnsi" w:hAnsiTheme="minorHAnsi" w:cstheme="minorHAnsi"/>
        </w:rPr>
        <w:t xml:space="preserve"> </w:t>
      </w:r>
      <w:r w:rsidR="00605C58" w:rsidRPr="00C215EC">
        <w:rPr>
          <w:rFonts w:asciiTheme="minorHAnsi" w:hAnsiTheme="minorHAnsi" w:cstheme="minorHAnsi"/>
        </w:rPr>
        <w:t xml:space="preserve">This is also expressed as </w:t>
      </w:r>
      <w:r w:rsidR="00D11548" w:rsidRPr="00C215EC">
        <w:rPr>
          <w:rFonts w:asciiTheme="minorHAnsi" w:hAnsiTheme="minorHAnsi" w:cstheme="minorHAnsi"/>
        </w:rPr>
        <w:t>the</w:t>
      </w:r>
      <w:r w:rsidR="00605C58" w:rsidRPr="00C215EC">
        <w:rPr>
          <w:rFonts w:asciiTheme="minorHAnsi" w:hAnsiTheme="minorHAnsi" w:cstheme="minorHAnsi"/>
        </w:rPr>
        <w:t xml:space="preserve"> concern that authoritarian regimes may be inspired by the mechanism introduced by the law to use it for its own problematic purposes, which in fact occue4d when Russia copied parts of </w:t>
      </w:r>
      <w:proofErr w:type="gramStart"/>
      <w:r w:rsidR="00605C58" w:rsidRPr="00C215EC">
        <w:rPr>
          <w:rFonts w:asciiTheme="minorHAnsi" w:hAnsiTheme="minorHAnsi" w:cstheme="minorHAnsi"/>
        </w:rPr>
        <w:t>NetzDG  for</w:t>
      </w:r>
      <w:proofErr w:type="gramEnd"/>
      <w:r w:rsidR="00605C58" w:rsidRPr="00C215EC">
        <w:rPr>
          <w:rFonts w:asciiTheme="minorHAnsi" w:hAnsiTheme="minorHAnsi" w:cstheme="minorHAnsi"/>
        </w:rPr>
        <w:t xml:space="preserve"> its antis</w:t>
      </w:r>
      <w:r w:rsidR="00D11548" w:rsidRPr="00C215EC">
        <w:rPr>
          <w:rFonts w:asciiTheme="minorHAnsi" w:hAnsiTheme="minorHAnsi" w:cstheme="minorHAnsi"/>
        </w:rPr>
        <w:t>-terrorism law, s</w:t>
      </w:r>
      <w:r w:rsidR="00605C58" w:rsidRPr="00C215EC">
        <w:rPr>
          <w:rFonts w:asciiTheme="minorHAnsi" w:hAnsiTheme="minorHAnsi" w:cstheme="minorHAnsi"/>
        </w:rPr>
        <w:t xml:space="preserve">ee e.g. </w:t>
      </w:r>
      <w:proofErr w:type="spellStart"/>
      <w:r w:rsidR="00605C58" w:rsidRPr="00C215EC">
        <w:rPr>
          <w:rFonts w:asciiTheme="minorHAnsi" w:hAnsiTheme="minorHAnsi" w:cstheme="minorHAnsi"/>
        </w:rPr>
        <w:t>Tworek</w:t>
      </w:r>
      <w:proofErr w:type="spellEnd"/>
      <w:r w:rsidR="00605C58" w:rsidRPr="00C215EC">
        <w:rPr>
          <w:rFonts w:asciiTheme="minorHAnsi" w:hAnsiTheme="minorHAnsi" w:cstheme="minorHAnsi"/>
        </w:rPr>
        <w:t>, above 63, 4</w:t>
      </w:r>
      <w:r w:rsidR="00D11548" w:rsidRPr="00C215EC">
        <w:rPr>
          <w:rFonts w:asciiTheme="minorHAnsi" w:hAnsiTheme="minorHAnsi" w:cstheme="minorHAns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E509B"/>
    <w:multiLevelType w:val="hybridMultilevel"/>
    <w:tmpl w:val="3A567160"/>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9C1839"/>
    <w:multiLevelType w:val="multilevel"/>
    <w:tmpl w:val="F60E43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FA72822"/>
    <w:multiLevelType w:val="hybridMultilevel"/>
    <w:tmpl w:val="759ED3A6"/>
    <w:lvl w:ilvl="0" w:tplc="8470656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737EBA"/>
    <w:multiLevelType w:val="hybridMultilevel"/>
    <w:tmpl w:val="07186C8A"/>
    <w:lvl w:ilvl="0" w:tplc="4610281C">
      <w:start w:val="201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EC2518"/>
    <w:multiLevelType w:val="hybridMultilevel"/>
    <w:tmpl w:val="A6B86F0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C1A5124"/>
    <w:multiLevelType w:val="multilevel"/>
    <w:tmpl w:val="F60E43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EAC45BB"/>
    <w:multiLevelType w:val="multilevel"/>
    <w:tmpl w:val="F60E43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FBA2F01"/>
    <w:multiLevelType w:val="multilevel"/>
    <w:tmpl w:val="F60E43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4E15F7E"/>
    <w:multiLevelType w:val="hybridMultilevel"/>
    <w:tmpl w:val="418878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143169"/>
    <w:multiLevelType w:val="hybridMultilevel"/>
    <w:tmpl w:val="913C1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C063D3"/>
    <w:multiLevelType w:val="hybridMultilevel"/>
    <w:tmpl w:val="47FA8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72088E"/>
    <w:multiLevelType w:val="hybridMultilevel"/>
    <w:tmpl w:val="40B245CE"/>
    <w:lvl w:ilvl="0" w:tplc="4610281C">
      <w:start w:val="201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D2605F"/>
    <w:multiLevelType w:val="hybridMultilevel"/>
    <w:tmpl w:val="EF260B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7D9628D"/>
    <w:multiLevelType w:val="hybridMultilevel"/>
    <w:tmpl w:val="B90EF4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8950546"/>
    <w:multiLevelType w:val="multilevel"/>
    <w:tmpl w:val="F60E43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8FC099F"/>
    <w:multiLevelType w:val="hybridMultilevel"/>
    <w:tmpl w:val="619643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04E58D7"/>
    <w:multiLevelType w:val="hybridMultilevel"/>
    <w:tmpl w:val="F94A4E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62BA4DAB"/>
    <w:multiLevelType w:val="hybridMultilevel"/>
    <w:tmpl w:val="9D92811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5DE3099"/>
    <w:multiLevelType w:val="hybridMultilevel"/>
    <w:tmpl w:val="EF260B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1FE5E8E"/>
    <w:multiLevelType w:val="hybridMultilevel"/>
    <w:tmpl w:val="D6E6D764"/>
    <w:lvl w:ilvl="0" w:tplc="1F76705C">
      <w:start w:val="1"/>
      <w:numFmt w:val="decimal"/>
      <w:lvlText w:val="%1."/>
      <w:lvlJc w:val="left"/>
      <w:pPr>
        <w:ind w:left="720" w:hanging="360"/>
      </w:pPr>
      <w:rPr>
        <w:rFonts w:cstheme="minorBidi"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9"/>
  </w:num>
  <w:num w:numId="2">
    <w:abstractNumId w:val="10"/>
  </w:num>
  <w:num w:numId="3">
    <w:abstractNumId w:val="8"/>
  </w:num>
  <w:num w:numId="4">
    <w:abstractNumId w:val="4"/>
  </w:num>
  <w:num w:numId="5">
    <w:abstractNumId w:val="15"/>
  </w:num>
  <w:num w:numId="6">
    <w:abstractNumId w:val="17"/>
  </w:num>
  <w:num w:numId="7">
    <w:abstractNumId w:val="16"/>
  </w:num>
  <w:num w:numId="8">
    <w:abstractNumId w:val="13"/>
  </w:num>
  <w:num w:numId="9">
    <w:abstractNumId w:val="2"/>
  </w:num>
  <w:num w:numId="10">
    <w:abstractNumId w:val="18"/>
  </w:num>
  <w:num w:numId="11">
    <w:abstractNumId w:val="12"/>
  </w:num>
  <w:num w:numId="12">
    <w:abstractNumId w:val="0"/>
  </w:num>
  <w:num w:numId="13">
    <w:abstractNumId w:val="7"/>
  </w:num>
  <w:num w:numId="14">
    <w:abstractNumId w:val="14"/>
  </w:num>
  <w:num w:numId="15">
    <w:abstractNumId w:val="5"/>
  </w:num>
  <w:num w:numId="16">
    <w:abstractNumId w:val="1"/>
  </w:num>
  <w:num w:numId="17">
    <w:abstractNumId w:val="6"/>
  </w:num>
  <w:num w:numId="18">
    <w:abstractNumId w:val="9"/>
  </w:num>
  <w:num w:numId="19">
    <w:abstractNumId w:val="11"/>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DFF"/>
    <w:rsid w:val="000000D5"/>
    <w:rsid w:val="000005A3"/>
    <w:rsid w:val="000026F6"/>
    <w:rsid w:val="00003757"/>
    <w:rsid w:val="000037EF"/>
    <w:rsid w:val="00003E62"/>
    <w:rsid w:val="0000409C"/>
    <w:rsid w:val="00006D82"/>
    <w:rsid w:val="00013636"/>
    <w:rsid w:val="00013643"/>
    <w:rsid w:val="00014643"/>
    <w:rsid w:val="00015409"/>
    <w:rsid w:val="000155BA"/>
    <w:rsid w:val="00016B15"/>
    <w:rsid w:val="00020342"/>
    <w:rsid w:val="00021D86"/>
    <w:rsid w:val="0002202F"/>
    <w:rsid w:val="0002404A"/>
    <w:rsid w:val="000305BD"/>
    <w:rsid w:val="000324E2"/>
    <w:rsid w:val="0003363F"/>
    <w:rsid w:val="00041E06"/>
    <w:rsid w:val="00042378"/>
    <w:rsid w:val="0004445D"/>
    <w:rsid w:val="00046170"/>
    <w:rsid w:val="0005161D"/>
    <w:rsid w:val="00054AEA"/>
    <w:rsid w:val="00054BC7"/>
    <w:rsid w:val="00055444"/>
    <w:rsid w:val="00065360"/>
    <w:rsid w:val="00071CD9"/>
    <w:rsid w:val="0007582C"/>
    <w:rsid w:val="00082B12"/>
    <w:rsid w:val="00092BCF"/>
    <w:rsid w:val="000946CA"/>
    <w:rsid w:val="00096ED2"/>
    <w:rsid w:val="000A1EDD"/>
    <w:rsid w:val="000A49AB"/>
    <w:rsid w:val="000A69A9"/>
    <w:rsid w:val="000A7D3C"/>
    <w:rsid w:val="000B1A20"/>
    <w:rsid w:val="000B4072"/>
    <w:rsid w:val="000B4D78"/>
    <w:rsid w:val="000C05A3"/>
    <w:rsid w:val="000C4460"/>
    <w:rsid w:val="000D0593"/>
    <w:rsid w:val="000D4FA5"/>
    <w:rsid w:val="000D585F"/>
    <w:rsid w:val="000E499F"/>
    <w:rsid w:val="000E7D3C"/>
    <w:rsid w:val="00101FAF"/>
    <w:rsid w:val="0010441A"/>
    <w:rsid w:val="001049BC"/>
    <w:rsid w:val="00105BC3"/>
    <w:rsid w:val="001069C5"/>
    <w:rsid w:val="001079C3"/>
    <w:rsid w:val="001117A7"/>
    <w:rsid w:val="00127B13"/>
    <w:rsid w:val="00130DEC"/>
    <w:rsid w:val="00136ACF"/>
    <w:rsid w:val="00137469"/>
    <w:rsid w:val="00137BDF"/>
    <w:rsid w:val="00140C4B"/>
    <w:rsid w:val="00141264"/>
    <w:rsid w:val="00141FF5"/>
    <w:rsid w:val="0014636C"/>
    <w:rsid w:val="00146BDB"/>
    <w:rsid w:val="00150C12"/>
    <w:rsid w:val="001514CA"/>
    <w:rsid w:val="00161B0C"/>
    <w:rsid w:val="001664BF"/>
    <w:rsid w:val="00170C57"/>
    <w:rsid w:val="0017165F"/>
    <w:rsid w:val="00181A8D"/>
    <w:rsid w:val="00181BD6"/>
    <w:rsid w:val="00182671"/>
    <w:rsid w:val="00185D12"/>
    <w:rsid w:val="001862D8"/>
    <w:rsid w:val="00186ED8"/>
    <w:rsid w:val="0019098A"/>
    <w:rsid w:val="001917C4"/>
    <w:rsid w:val="00191C60"/>
    <w:rsid w:val="0019422C"/>
    <w:rsid w:val="0019484F"/>
    <w:rsid w:val="001A3B0F"/>
    <w:rsid w:val="001A71FF"/>
    <w:rsid w:val="001A7FAB"/>
    <w:rsid w:val="001B1208"/>
    <w:rsid w:val="001B6CA2"/>
    <w:rsid w:val="001B7A25"/>
    <w:rsid w:val="001B7F42"/>
    <w:rsid w:val="001C0EB5"/>
    <w:rsid w:val="001C1403"/>
    <w:rsid w:val="001C1E09"/>
    <w:rsid w:val="001C6A38"/>
    <w:rsid w:val="001D3623"/>
    <w:rsid w:val="001D4858"/>
    <w:rsid w:val="001D6F4C"/>
    <w:rsid w:val="001E081E"/>
    <w:rsid w:val="001E4DA2"/>
    <w:rsid w:val="001E7099"/>
    <w:rsid w:val="001F2FE1"/>
    <w:rsid w:val="001F74BF"/>
    <w:rsid w:val="002022B0"/>
    <w:rsid w:val="00205D10"/>
    <w:rsid w:val="00212109"/>
    <w:rsid w:val="00213F95"/>
    <w:rsid w:val="00214EF3"/>
    <w:rsid w:val="00215AF8"/>
    <w:rsid w:val="00216A90"/>
    <w:rsid w:val="002174C5"/>
    <w:rsid w:val="00221B49"/>
    <w:rsid w:val="00223BD4"/>
    <w:rsid w:val="002251B8"/>
    <w:rsid w:val="00226C80"/>
    <w:rsid w:val="00231E40"/>
    <w:rsid w:val="002367CC"/>
    <w:rsid w:val="00240115"/>
    <w:rsid w:val="00245147"/>
    <w:rsid w:val="002509D7"/>
    <w:rsid w:val="00254A39"/>
    <w:rsid w:val="00260A20"/>
    <w:rsid w:val="002660E6"/>
    <w:rsid w:val="002664CA"/>
    <w:rsid w:val="0026749A"/>
    <w:rsid w:val="00271BF4"/>
    <w:rsid w:val="00275F6F"/>
    <w:rsid w:val="00277385"/>
    <w:rsid w:val="00280435"/>
    <w:rsid w:val="00282E43"/>
    <w:rsid w:val="00283A8B"/>
    <w:rsid w:val="00285F7E"/>
    <w:rsid w:val="00287892"/>
    <w:rsid w:val="00292A3A"/>
    <w:rsid w:val="00293DBB"/>
    <w:rsid w:val="00296306"/>
    <w:rsid w:val="002A05B2"/>
    <w:rsid w:val="002A0626"/>
    <w:rsid w:val="002A1796"/>
    <w:rsid w:val="002A2F47"/>
    <w:rsid w:val="002A68E6"/>
    <w:rsid w:val="002B03E4"/>
    <w:rsid w:val="002B1DDE"/>
    <w:rsid w:val="002B62C0"/>
    <w:rsid w:val="002B6968"/>
    <w:rsid w:val="002C274C"/>
    <w:rsid w:val="002D090D"/>
    <w:rsid w:val="002D1778"/>
    <w:rsid w:val="002D2EE7"/>
    <w:rsid w:val="002D30F7"/>
    <w:rsid w:val="002D3E3E"/>
    <w:rsid w:val="002D7708"/>
    <w:rsid w:val="002D7FFD"/>
    <w:rsid w:val="002E2493"/>
    <w:rsid w:val="002F67D6"/>
    <w:rsid w:val="002F6942"/>
    <w:rsid w:val="002F7DC5"/>
    <w:rsid w:val="00301846"/>
    <w:rsid w:val="00301B9C"/>
    <w:rsid w:val="0030577E"/>
    <w:rsid w:val="003060E9"/>
    <w:rsid w:val="00312387"/>
    <w:rsid w:val="00312705"/>
    <w:rsid w:val="00316DF0"/>
    <w:rsid w:val="00321763"/>
    <w:rsid w:val="0033028E"/>
    <w:rsid w:val="00340743"/>
    <w:rsid w:val="0034475D"/>
    <w:rsid w:val="0034589B"/>
    <w:rsid w:val="00345AEB"/>
    <w:rsid w:val="00347F28"/>
    <w:rsid w:val="00352F2A"/>
    <w:rsid w:val="00356339"/>
    <w:rsid w:val="00357424"/>
    <w:rsid w:val="003625A9"/>
    <w:rsid w:val="00363A2D"/>
    <w:rsid w:val="003673C5"/>
    <w:rsid w:val="003712BF"/>
    <w:rsid w:val="003716DB"/>
    <w:rsid w:val="00372C61"/>
    <w:rsid w:val="00373ECD"/>
    <w:rsid w:val="00375990"/>
    <w:rsid w:val="00380AD8"/>
    <w:rsid w:val="003838F3"/>
    <w:rsid w:val="00383DB9"/>
    <w:rsid w:val="003869E6"/>
    <w:rsid w:val="0039241C"/>
    <w:rsid w:val="003928AD"/>
    <w:rsid w:val="00394EC5"/>
    <w:rsid w:val="003950C4"/>
    <w:rsid w:val="003957D0"/>
    <w:rsid w:val="00396B32"/>
    <w:rsid w:val="003A0C1F"/>
    <w:rsid w:val="003A2B52"/>
    <w:rsid w:val="003B4086"/>
    <w:rsid w:val="003B44D7"/>
    <w:rsid w:val="003B45A1"/>
    <w:rsid w:val="003B4C72"/>
    <w:rsid w:val="003B4FCE"/>
    <w:rsid w:val="003B7BDE"/>
    <w:rsid w:val="003C1AFA"/>
    <w:rsid w:val="003C3834"/>
    <w:rsid w:val="003C3BF0"/>
    <w:rsid w:val="003C3D49"/>
    <w:rsid w:val="003C7000"/>
    <w:rsid w:val="003D30F5"/>
    <w:rsid w:val="003D622A"/>
    <w:rsid w:val="003E0041"/>
    <w:rsid w:val="003E6547"/>
    <w:rsid w:val="003E6F82"/>
    <w:rsid w:val="00401399"/>
    <w:rsid w:val="0040386B"/>
    <w:rsid w:val="00407C3C"/>
    <w:rsid w:val="004128D7"/>
    <w:rsid w:val="00412E72"/>
    <w:rsid w:val="00415C90"/>
    <w:rsid w:val="004170F7"/>
    <w:rsid w:val="00417D75"/>
    <w:rsid w:val="0042044E"/>
    <w:rsid w:val="00420CB4"/>
    <w:rsid w:val="00425DFF"/>
    <w:rsid w:val="00427E90"/>
    <w:rsid w:val="004301BA"/>
    <w:rsid w:val="00430C41"/>
    <w:rsid w:val="00431052"/>
    <w:rsid w:val="00432975"/>
    <w:rsid w:val="0043385D"/>
    <w:rsid w:val="00435566"/>
    <w:rsid w:val="0043576B"/>
    <w:rsid w:val="00436AF7"/>
    <w:rsid w:val="004379D3"/>
    <w:rsid w:val="00440B91"/>
    <w:rsid w:val="00442B1D"/>
    <w:rsid w:val="00444C01"/>
    <w:rsid w:val="00447BF6"/>
    <w:rsid w:val="004547D6"/>
    <w:rsid w:val="00471F13"/>
    <w:rsid w:val="00475AC7"/>
    <w:rsid w:val="00477C91"/>
    <w:rsid w:val="00477DDC"/>
    <w:rsid w:val="00480EC4"/>
    <w:rsid w:val="004830DB"/>
    <w:rsid w:val="004847CD"/>
    <w:rsid w:val="00485187"/>
    <w:rsid w:val="004867F3"/>
    <w:rsid w:val="00490DBC"/>
    <w:rsid w:val="00495B49"/>
    <w:rsid w:val="00495DF7"/>
    <w:rsid w:val="0049669B"/>
    <w:rsid w:val="00497137"/>
    <w:rsid w:val="004A0467"/>
    <w:rsid w:val="004A65D8"/>
    <w:rsid w:val="004A6925"/>
    <w:rsid w:val="004A7B31"/>
    <w:rsid w:val="004B285F"/>
    <w:rsid w:val="004B3122"/>
    <w:rsid w:val="004B3E5E"/>
    <w:rsid w:val="004B61D6"/>
    <w:rsid w:val="004C658F"/>
    <w:rsid w:val="004D3D13"/>
    <w:rsid w:val="004D6D16"/>
    <w:rsid w:val="004E0147"/>
    <w:rsid w:val="004E2ED8"/>
    <w:rsid w:val="004E460E"/>
    <w:rsid w:val="004E52C9"/>
    <w:rsid w:val="004E7EB4"/>
    <w:rsid w:val="004E7FCF"/>
    <w:rsid w:val="004F1036"/>
    <w:rsid w:val="004F473E"/>
    <w:rsid w:val="00502159"/>
    <w:rsid w:val="00502B4C"/>
    <w:rsid w:val="0050727D"/>
    <w:rsid w:val="005179A6"/>
    <w:rsid w:val="0052006B"/>
    <w:rsid w:val="00520713"/>
    <w:rsid w:val="005208A0"/>
    <w:rsid w:val="00522717"/>
    <w:rsid w:val="00524A28"/>
    <w:rsid w:val="00527993"/>
    <w:rsid w:val="00530E78"/>
    <w:rsid w:val="00531BE6"/>
    <w:rsid w:val="005323B0"/>
    <w:rsid w:val="005330A7"/>
    <w:rsid w:val="00533902"/>
    <w:rsid w:val="00540A6F"/>
    <w:rsid w:val="005414B0"/>
    <w:rsid w:val="00544DEF"/>
    <w:rsid w:val="0055057B"/>
    <w:rsid w:val="00553B1C"/>
    <w:rsid w:val="0056170D"/>
    <w:rsid w:val="00565909"/>
    <w:rsid w:val="00565A58"/>
    <w:rsid w:val="00566FDD"/>
    <w:rsid w:val="00573F96"/>
    <w:rsid w:val="0057584E"/>
    <w:rsid w:val="00575BA4"/>
    <w:rsid w:val="00582789"/>
    <w:rsid w:val="0058455B"/>
    <w:rsid w:val="00584B32"/>
    <w:rsid w:val="00584CC8"/>
    <w:rsid w:val="00585820"/>
    <w:rsid w:val="0058654B"/>
    <w:rsid w:val="005873F6"/>
    <w:rsid w:val="005900A2"/>
    <w:rsid w:val="00594E6A"/>
    <w:rsid w:val="005A2677"/>
    <w:rsid w:val="005A506B"/>
    <w:rsid w:val="005A5D42"/>
    <w:rsid w:val="005B3E61"/>
    <w:rsid w:val="005C1DE5"/>
    <w:rsid w:val="005C22AB"/>
    <w:rsid w:val="005C25C3"/>
    <w:rsid w:val="005C3733"/>
    <w:rsid w:val="005C3C5D"/>
    <w:rsid w:val="005C3E17"/>
    <w:rsid w:val="005C6529"/>
    <w:rsid w:val="005D0609"/>
    <w:rsid w:val="005D23B9"/>
    <w:rsid w:val="005D4AE9"/>
    <w:rsid w:val="005D5519"/>
    <w:rsid w:val="005D62AC"/>
    <w:rsid w:val="005E3960"/>
    <w:rsid w:val="005E59C9"/>
    <w:rsid w:val="005F0228"/>
    <w:rsid w:val="005F0E10"/>
    <w:rsid w:val="005F1764"/>
    <w:rsid w:val="005F37EC"/>
    <w:rsid w:val="005F3D5A"/>
    <w:rsid w:val="00601B9C"/>
    <w:rsid w:val="00605C58"/>
    <w:rsid w:val="00607BB3"/>
    <w:rsid w:val="00612A83"/>
    <w:rsid w:val="00617F02"/>
    <w:rsid w:val="00620DC4"/>
    <w:rsid w:val="00623813"/>
    <w:rsid w:val="006326F2"/>
    <w:rsid w:val="00633698"/>
    <w:rsid w:val="00635F71"/>
    <w:rsid w:val="0064048A"/>
    <w:rsid w:val="006412F7"/>
    <w:rsid w:val="00642088"/>
    <w:rsid w:val="00642871"/>
    <w:rsid w:val="00643827"/>
    <w:rsid w:val="00643A4A"/>
    <w:rsid w:val="00644E40"/>
    <w:rsid w:val="00646A06"/>
    <w:rsid w:val="00650E82"/>
    <w:rsid w:val="0065313A"/>
    <w:rsid w:val="0065488B"/>
    <w:rsid w:val="00662947"/>
    <w:rsid w:val="00663A27"/>
    <w:rsid w:val="00667B3D"/>
    <w:rsid w:val="00673DF3"/>
    <w:rsid w:val="00674106"/>
    <w:rsid w:val="00674334"/>
    <w:rsid w:val="00675865"/>
    <w:rsid w:val="006773D7"/>
    <w:rsid w:val="0068078A"/>
    <w:rsid w:val="006825D1"/>
    <w:rsid w:val="0068291B"/>
    <w:rsid w:val="00684365"/>
    <w:rsid w:val="0068507E"/>
    <w:rsid w:val="0068729E"/>
    <w:rsid w:val="00695D6F"/>
    <w:rsid w:val="006B13C8"/>
    <w:rsid w:val="006B1C51"/>
    <w:rsid w:val="006B3647"/>
    <w:rsid w:val="006B4511"/>
    <w:rsid w:val="006B773B"/>
    <w:rsid w:val="006C19B6"/>
    <w:rsid w:val="006C1C19"/>
    <w:rsid w:val="006C24F2"/>
    <w:rsid w:val="006C2D07"/>
    <w:rsid w:val="006C4696"/>
    <w:rsid w:val="006C4B3D"/>
    <w:rsid w:val="006C54D3"/>
    <w:rsid w:val="006C6A71"/>
    <w:rsid w:val="006C7210"/>
    <w:rsid w:val="006C7383"/>
    <w:rsid w:val="006D1607"/>
    <w:rsid w:val="006D7DF2"/>
    <w:rsid w:val="006E1D5D"/>
    <w:rsid w:val="006E610E"/>
    <w:rsid w:val="006E6EDF"/>
    <w:rsid w:val="006E7786"/>
    <w:rsid w:val="006F138B"/>
    <w:rsid w:val="007003FD"/>
    <w:rsid w:val="0070109A"/>
    <w:rsid w:val="0070156C"/>
    <w:rsid w:val="00712549"/>
    <w:rsid w:val="00713DC3"/>
    <w:rsid w:val="00714296"/>
    <w:rsid w:val="00717AB7"/>
    <w:rsid w:val="0072049F"/>
    <w:rsid w:val="00720B0A"/>
    <w:rsid w:val="00720B4E"/>
    <w:rsid w:val="00725B3C"/>
    <w:rsid w:val="007264C4"/>
    <w:rsid w:val="007331FF"/>
    <w:rsid w:val="00734C61"/>
    <w:rsid w:val="00742D10"/>
    <w:rsid w:val="00743FEC"/>
    <w:rsid w:val="00747251"/>
    <w:rsid w:val="0075057E"/>
    <w:rsid w:val="0075563B"/>
    <w:rsid w:val="00761CA4"/>
    <w:rsid w:val="00765F07"/>
    <w:rsid w:val="00766F81"/>
    <w:rsid w:val="00774F4F"/>
    <w:rsid w:val="00775399"/>
    <w:rsid w:val="00777EDD"/>
    <w:rsid w:val="00780331"/>
    <w:rsid w:val="00780996"/>
    <w:rsid w:val="0078352C"/>
    <w:rsid w:val="00783D82"/>
    <w:rsid w:val="00787617"/>
    <w:rsid w:val="007971BD"/>
    <w:rsid w:val="007979B0"/>
    <w:rsid w:val="007A678D"/>
    <w:rsid w:val="007B13E6"/>
    <w:rsid w:val="007B2249"/>
    <w:rsid w:val="007B4B40"/>
    <w:rsid w:val="007B7932"/>
    <w:rsid w:val="007C03F5"/>
    <w:rsid w:val="007C0FA3"/>
    <w:rsid w:val="007C3CC9"/>
    <w:rsid w:val="007C3F3C"/>
    <w:rsid w:val="007C51CF"/>
    <w:rsid w:val="007D1AF1"/>
    <w:rsid w:val="007D1E3D"/>
    <w:rsid w:val="007D2997"/>
    <w:rsid w:val="007D3535"/>
    <w:rsid w:val="007D4FF9"/>
    <w:rsid w:val="007D6199"/>
    <w:rsid w:val="007E2CC0"/>
    <w:rsid w:val="007E4CA3"/>
    <w:rsid w:val="007F04CE"/>
    <w:rsid w:val="007F349F"/>
    <w:rsid w:val="007F678F"/>
    <w:rsid w:val="008044F2"/>
    <w:rsid w:val="00804DA8"/>
    <w:rsid w:val="008103B4"/>
    <w:rsid w:val="00812B27"/>
    <w:rsid w:val="00816939"/>
    <w:rsid w:val="00825B64"/>
    <w:rsid w:val="00830D46"/>
    <w:rsid w:val="00830F1E"/>
    <w:rsid w:val="00836CA1"/>
    <w:rsid w:val="0084081B"/>
    <w:rsid w:val="008508AD"/>
    <w:rsid w:val="00853816"/>
    <w:rsid w:val="008538EE"/>
    <w:rsid w:val="00862080"/>
    <w:rsid w:val="00865715"/>
    <w:rsid w:val="00866984"/>
    <w:rsid w:val="00870089"/>
    <w:rsid w:val="0087110E"/>
    <w:rsid w:val="00871D4D"/>
    <w:rsid w:val="00873C3A"/>
    <w:rsid w:val="008748A6"/>
    <w:rsid w:val="008754B9"/>
    <w:rsid w:val="00877D90"/>
    <w:rsid w:val="00881FA8"/>
    <w:rsid w:val="00884F37"/>
    <w:rsid w:val="00886592"/>
    <w:rsid w:val="00887C3B"/>
    <w:rsid w:val="00891092"/>
    <w:rsid w:val="00893A2E"/>
    <w:rsid w:val="008947BB"/>
    <w:rsid w:val="00895280"/>
    <w:rsid w:val="008964C0"/>
    <w:rsid w:val="008964E4"/>
    <w:rsid w:val="00896D08"/>
    <w:rsid w:val="008A1B29"/>
    <w:rsid w:val="008A5D6C"/>
    <w:rsid w:val="008A5DC9"/>
    <w:rsid w:val="008A6005"/>
    <w:rsid w:val="008B22A8"/>
    <w:rsid w:val="008B345F"/>
    <w:rsid w:val="008B379D"/>
    <w:rsid w:val="008B508D"/>
    <w:rsid w:val="008B55E0"/>
    <w:rsid w:val="008B5C07"/>
    <w:rsid w:val="008B5C0C"/>
    <w:rsid w:val="008B75BE"/>
    <w:rsid w:val="008C264D"/>
    <w:rsid w:val="008C27A8"/>
    <w:rsid w:val="008C357F"/>
    <w:rsid w:val="008C4876"/>
    <w:rsid w:val="008D76E0"/>
    <w:rsid w:val="008D7BD3"/>
    <w:rsid w:val="008E30AB"/>
    <w:rsid w:val="008E4C09"/>
    <w:rsid w:val="008E60B1"/>
    <w:rsid w:val="008F1FE6"/>
    <w:rsid w:val="00901418"/>
    <w:rsid w:val="0090190A"/>
    <w:rsid w:val="0090227B"/>
    <w:rsid w:val="009027D8"/>
    <w:rsid w:val="00903DE3"/>
    <w:rsid w:val="0090470D"/>
    <w:rsid w:val="00905228"/>
    <w:rsid w:val="00906F18"/>
    <w:rsid w:val="00910A75"/>
    <w:rsid w:val="00912490"/>
    <w:rsid w:val="009133C0"/>
    <w:rsid w:val="00914FDD"/>
    <w:rsid w:val="009174B6"/>
    <w:rsid w:val="00917E67"/>
    <w:rsid w:val="009215B9"/>
    <w:rsid w:val="00925506"/>
    <w:rsid w:val="0093039C"/>
    <w:rsid w:val="00930C63"/>
    <w:rsid w:val="00932B32"/>
    <w:rsid w:val="0093677B"/>
    <w:rsid w:val="009402CA"/>
    <w:rsid w:val="00943FE4"/>
    <w:rsid w:val="00945200"/>
    <w:rsid w:val="00945C32"/>
    <w:rsid w:val="00946EB9"/>
    <w:rsid w:val="009479CE"/>
    <w:rsid w:val="0095120B"/>
    <w:rsid w:val="00956461"/>
    <w:rsid w:val="00956EAF"/>
    <w:rsid w:val="00957AF0"/>
    <w:rsid w:val="0096329C"/>
    <w:rsid w:val="00964DBD"/>
    <w:rsid w:val="00965117"/>
    <w:rsid w:val="0097012B"/>
    <w:rsid w:val="009718D8"/>
    <w:rsid w:val="00972387"/>
    <w:rsid w:val="00972983"/>
    <w:rsid w:val="00973182"/>
    <w:rsid w:val="00977088"/>
    <w:rsid w:val="00983A93"/>
    <w:rsid w:val="00985C38"/>
    <w:rsid w:val="00991A35"/>
    <w:rsid w:val="00992FAF"/>
    <w:rsid w:val="0099406E"/>
    <w:rsid w:val="009A044B"/>
    <w:rsid w:val="009A0CA9"/>
    <w:rsid w:val="009A115A"/>
    <w:rsid w:val="009A1FFD"/>
    <w:rsid w:val="009A38BE"/>
    <w:rsid w:val="009B1FE4"/>
    <w:rsid w:val="009B7DF8"/>
    <w:rsid w:val="009C352A"/>
    <w:rsid w:val="009C4E08"/>
    <w:rsid w:val="009C76A9"/>
    <w:rsid w:val="009D167E"/>
    <w:rsid w:val="009D256F"/>
    <w:rsid w:val="009D3437"/>
    <w:rsid w:val="009D4013"/>
    <w:rsid w:val="009E11DA"/>
    <w:rsid w:val="009E1A4D"/>
    <w:rsid w:val="009E5E2A"/>
    <w:rsid w:val="009E76DB"/>
    <w:rsid w:val="009E7E38"/>
    <w:rsid w:val="009F2E4A"/>
    <w:rsid w:val="009F44E4"/>
    <w:rsid w:val="009F486A"/>
    <w:rsid w:val="009F5BD2"/>
    <w:rsid w:val="009F724E"/>
    <w:rsid w:val="00A03225"/>
    <w:rsid w:val="00A041C3"/>
    <w:rsid w:val="00A0696F"/>
    <w:rsid w:val="00A1011A"/>
    <w:rsid w:val="00A10893"/>
    <w:rsid w:val="00A143FA"/>
    <w:rsid w:val="00A16941"/>
    <w:rsid w:val="00A24A89"/>
    <w:rsid w:val="00A24B8D"/>
    <w:rsid w:val="00A2660C"/>
    <w:rsid w:val="00A31312"/>
    <w:rsid w:val="00A32563"/>
    <w:rsid w:val="00A33511"/>
    <w:rsid w:val="00A3605D"/>
    <w:rsid w:val="00A36AAF"/>
    <w:rsid w:val="00A37473"/>
    <w:rsid w:val="00A419A1"/>
    <w:rsid w:val="00A51669"/>
    <w:rsid w:val="00A536D0"/>
    <w:rsid w:val="00A616D4"/>
    <w:rsid w:val="00A63A9A"/>
    <w:rsid w:val="00A672E5"/>
    <w:rsid w:val="00A6772B"/>
    <w:rsid w:val="00A71A9F"/>
    <w:rsid w:val="00A71DB6"/>
    <w:rsid w:val="00A76137"/>
    <w:rsid w:val="00A8292F"/>
    <w:rsid w:val="00A900A8"/>
    <w:rsid w:val="00A913AD"/>
    <w:rsid w:val="00A97C75"/>
    <w:rsid w:val="00AA1458"/>
    <w:rsid w:val="00AA1B17"/>
    <w:rsid w:val="00AA3F8B"/>
    <w:rsid w:val="00AA4AF5"/>
    <w:rsid w:val="00AA553B"/>
    <w:rsid w:val="00AA63FA"/>
    <w:rsid w:val="00AA735B"/>
    <w:rsid w:val="00AB0DE5"/>
    <w:rsid w:val="00AC274C"/>
    <w:rsid w:val="00AC3859"/>
    <w:rsid w:val="00AC6AAB"/>
    <w:rsid w:val="00AC775A"/>
    <w:rsid w:val="00AD2484"/>
    <w:rsid w:val="00AD31D1"/>
    <w:rsid w:val="00AD50CC"/>
    <w:rsid w:val="00AD5F2D"/>
    <w:rsid w:val="00AD7991"/>
    <w:rsid w:val="00AE36A4"/>
    <w:rsid w:val="00AE75E0"/>
    <w:rsid w:val="00AE7C71"/>
    <w:rsid w:val="00AF2913"/>
    <w:rsid w:val="00AF5D55"/>
    <w:rsid w:val="00B037D2"/>
    <w:rsid w:val="00B04483"/>
    <w:rsid w:val="00B05CE7"/>
    <w:rsid w:val="00B10B30"/>
    <w:rsid w:val="00B12CB6"/>
    <w:rsid w:val="00B15D2E"/>
    <w:rsid w:val="00B16524"/>
    <w:rsid w:val="00B17A24"/>
    <w:rsid w:val="00B21382"/>
    <w:rsid w:val="00B2511E"/>
    <w:rsid w:val="00B25614"/>
    <w:rsid w:val="00B25C88"/>
    <w:rsid w:val="00B26E9F"/>
    <w:rsid w:val="00B3381B"/>
    <w:rsid w:val="00B40437"/>
    <w:rsid w:val="00B426CD"/>
    <w:rsid w:val="00B472F5"/>
    <w:rsid w:val="00B5135B"/>
    <w:rsid w:val="00B52315"/>
    <w:rsid w:val="00B5286B"/>
    <w:rsid w:val="00B54AEC"/>
    <w:rsid w:val="00B54FE2"/>
    <w:rsid w:val="00B635A6"/>
    <w:rsid w:val="00B65363"/>
    <w:rsid w:val="00B65A47"/>
    <w:rsid w:val="00B668C2"/>
    <w:rsid w:val="00B70259"/>
    <w:rsid w:val="00B714E9"/>
    <w:rsid w:val="00B73F10"/>
    <w:rsid w:val="00B87660"/>
    <w:rsid w:val="00B90E81"/>
    <w:rsid w:val="00B9346D"/>
    <w:rsid w:val="00BA1C9F"/>
    <w:rsid w:val="00BA3D8C"/>
    <w:rsid w:val="00BB14FB"/>
    <w:rsid w:val="00BB1552"/>
    <w:rsid w:val="00BB304F"/>
    <w:rsid w:val="00BB43E3"/>
    <w:rsid w:val="00BB683B"/>
    <w:rsid w:val="00BC0FD7"/>
    <w:rsid w:val="00BC1FE4"/>
    <w:rsid w:val="00BC4A04"/>
    <w:rsid w:val="00BC6EB5"/>
    <w:rsid w:val="00BC7955"/>
    <w:rsid w:val="00BD225E"/>
    <w:rsid w:val="00BD3869"/>
    <w:rsid w:val="00BD69BC"/>
    <w:rsid w:val="00BE2A18"/>
    <w:rsid w:val="00BE4B6A"/>
    <w:rsid w:val="00BE6406"/>
    <w:rsid w:val="00BF3206"/>
    <w:rsid w:val="00BF5422"/>
    <w:rsid w:val="00BF5F5F"/>
    <w:rsid w:val="00BF68EC"/>
    <w:rsid w:val="00C03E09"/>
    <w:rsid w:val="00C048F1"/>
    <w:rsid w:val="00C11744"/>
    <w:rsid w:val="00C215EC"/>
    <w:rsid w:val="00C21AD7"/>
    <w:rsid w:val="00C23037"/>
    <w:rsid w:val="00C2402C"/>
    <w:rsid w:val="00C246D3"/>
    <w:rsid w:val="00C26F7A"/>
    <w:rsid w:val="00C27E7C"/>
    <w:rsid w:val="00C30E6C"/>
    <w:rsid w:val="00C34B95"/>
    <w:rsid w:val="00C36263"/>
    <w:rsid w:val="00C36838"/>
    <w:rsid w:val="00C40013"/>
    <w:rsid w:val="00C41BCC"/>
    <w:rsid w:val="00C43450"/>
    <w:rsid w:val="00C441E7"/>
    <w:rsid w:val="00C443D4"/>
    <w:rsid w:val="00C44D89"/>
    <w:rsid w:val="00C4796B"/>
    <w:rsid w:val="00C51CCB"/>
    <w:rsid w:val="00C564C7"/>
    <w:rsid w:val="00C56D56"/>
    <w:rsid w:val="00C574D9"/>
    <w:rsid w:val="00C6480E"/>
    <w:rsid w:val="00C67C69"/>
    <w:rsid w:val="00C7063B"/>
    <w:rsid w:val="00C75506"/>
    <w:rsid w:val="00C75665"/>
    <w:rsid w:val="00C76237"/>
    <w:rsid w:val="00C82E09"/>
    <w:rsid w:val="00C83AC6"/>
    <w:rsid w:val="00C84285"/>
    <w:rsid w:val="00C8548C"/>
    <w:rsid w:val="00C8582E"/>
    <w:rsid w:val="00C90340"/>
    <w:rsid w:val="00C93606"/>
    <w:rsid w:val="00C95BFD"/>
    <w:rsid w:val="00C96BBF"/>
    <w:rsid w:val="00CB2156"/>
    <w:rsid w:val="00CB580B"/>
    <w:rsid w:val="00CB5FE7"/>
    <w:rsid w:val="00CB7952"/>
    <w:rsid w:val="00CC34E9"/>
    <w:rsid w:val="00CC4C47"/>
    <w:rsid w:val="00CC4FBE"/>
    <w:rsid w:val="00CD054D"/>
    <w:rsid w:val="00CD18C0"/>
    <w:rsid w:val="00CD1EE2"/>
    <w:rsid w:val="00CD2043"/>
    <w:rsid w:val="00CD5671"/>
    <w:rsid w:val="00CE5CD1"/>
    <w:rsid w:val="00CF2D41"/>
    <w:rsid w:val="00CF43AF"/>
    <w:rsid w:val="00CF497B"/>
    <w:rsid w:val="00CF7EEB"/>
    <w:rsid w:val="00D0273D"/>
    <w:rsid w:val="00D02DE3"/>
    <w:rsid w:val="00D02E07"/>
    <w:rsid w:val="00D04D42"/>
    <w:rsid w:val="00D05348"/>
    <w:rsid w:val="00D05F4C"/>
    <w:rsid w:val="00D11548"/>
    <w:rsid w:val="00D16D4D"/>
    <w:rsid w:val="00D20EEF"/>
    <w:rsid w:val="00D21613"/>
    <w:rsid w:val="00D227EA"/>
    <w:rsid w:val="00D235C5"/>
    <w:rsid w:val="00D254E0"/>
    <w:rsid w:val="00D2748C"/>
    <w:rsid w:val="00D3142B"/>
    <w:rsid w:val="00D32F77"/>
    <w:rsid w:val="00D332F4"/>
    <w:rsid w:val="00D33F06"/>
    <w:rsid w:val="00D34711"/>
    <w:rsid w:val="00D4622C"/>
    <w:rsid w:val="00D462A4"/>
    <w:rsid w:val="00D467AE"/>
    <w:rsid w:val="00D47A5D"/>
    <w:rsid w:val="00D47E97"/>
    <w:rsid w:val="00D51EEE"/>
    <w:rsid w:val="00D52F18"/>
    <w:rsid w:val="00D55754"/>
    <w:rsid w:val="00D64592"/>
    <w:rsid w:val="00D65523"/>
    <w:rsid w:val="00D66448"/>
    <w:rsid w:val="00D67E75"/>
    <w:rsid w:val="00D725A7"/>
    <w:rsid w:val="00D74559"/>
    <w:rsid w:val="00D756A7"/>
    <w:rsid w:val="00D767E6"/>
    <w:rsid w:val="00D77A35"/>
    <w:rsid w:val="00D83513"/>
    <w:rsid w:val="00D92A87"/>
    <w:rsid w:val="00DA45CD"/>
    <w:rsid w:val="00DA6DF4"/>
    <w:rsid w:val="00DA7167"/>
    <w:rsid w:val="00DB009B"/>
    <w:rsid w:val="00DB01D5"/>
    <w:rsid w:val="00DB03AC"/>
    <w:rsid w:val="00DB3DCA"/>
    <w:rsid w:val="00DB6A7B"/>
    <w:rsid w:val="00DC0493"/>
    <w:rsid w:val="00DC5569"/>
    <w:rsid w:val="00DD552F"/>
    <w:rsid w:val="00DD558B"/>
    <w:rsid w:val="00DD6B99"/>
    <w:rsid w:val="00DD7B4C"/>
    <w:rsid w:val="00DE2625"/>
    <w:rsid w:val="00DE3DE2"/>
    <w:rsid w:val="00DE46E8"/>
    <w:rsid w:val="00DF2DBD"/>
    <w:rsid w:val="00DF6271"/>
    <w:rsid w:val="00DF74AD"/>
    <w:rsid w:val="00E00CA4"/>
    <w:rsid w:val="00E01E6F"/>
    <w:rsid w:val="00E031EA"/>
    <w:rsid w:val="00E04689"/>
    <w:rsid w:val="00E11F41"/>
    <w:rsid w:val="00E159AB"/>
    <w:rsid w:val="00E15E94"/>
    <w:rsid w:val="00E16367"/>
    <w:rsid w:val="00E25BE4"/>
    <w:rsid w:val="00E27241"/>
    <w:rsid w:val="00E30D61"/>
    <w:rsid w:val="00E311D4"/>
    <w:rsid w:val="00E34C13"/>
    <w:rsid w:val="00E37005"/>
    <w:rsid w:val="00E47C18"/>
    <w:rsid w:val="00E5230C"/>
    <w:rsid w:val="00E52B3F"/>
    <w:rsid w:val="00E52D10"/>
    <w:rsid w:val="00E54854"/>
    <w:rsid w:val="00E54CD0"/>
    <w:rsid w:val="00E61B3F"/>
    <w:rsid w:val="00E64640"/>
    <w:rsid w:val="00E6495D"/>
    <w:rsid w:val="00E658D5"/>
    <w:rsid w:val="00E67141"/>
    <w:rsid w:val="00E714A6"/>
    <w:rsid w:val="00E7321E"/>
    <w:rsid w:val="00E771D2"/>
    <w:rsid w:val="00E82919"/>
    <w:rsid w:val="00E82F49"/>
    <w:rsid w:val="00E8482E"/>
    <w:rsid w:val="00E84B38"/>
    <w:rsid w:val="00E84E21"/>
    <w:rsid w:val="00E9436B"/>
    <w:rsid w:val="00E9454C"/>
    <w:rsid w:val="00E94D27"/>
    <w:rsid w:val="00E96EDD"/>
    <w:rsid w:val="00EA0FDB"/>
    <w:rsid w:val="00EA334D"/>
    <w:rsid w:val="00EA3F16"/>
    <w:rsid w:val="00EA5C3B"/>
    <w:rsid w:val="00EB03EF"/>
    <w:rsid w:val="00EB09C7"/>
    <w:rsid w:val="00EB0DD3"/>
    <w:rsid w:val="00EB16E1"/>
    <w:rsid w:val="00EB17F8"/>
    <w:rsid w:val="00EB1E29"/>
    <w:rsid w:val="00EB21D0"/>
    <w:rsid w:val="00EB24F3"/>
    <w:rsid w:val="00EB544F"/>
    <w:rsid w:val="00EC4B02"/>
    <w:rsid w:val="00EC7F42"/>
    <w:rsid w:val="00ED1A81"/>
    <w:rsid w:val="00ED7713"/>
    <w:rsid w:val="00EE09B5"/>
    <w:rsid w:val="00EE4DBF"/>
    <w:rsid w:val="00EE52F8"/>
    <w:rsid w:val="00EE7B46"/>
    <w:rsid w:val="00EF06E8"/>
    <w:rsid w:val="00EF1504"/>
    <w:rsid w:val="00EF1DF2"/>
    <w:rsid w:val="00EF231C"/>
    <w:rsid w:val="00EF3B6B"/>
    <w:rsid w:val="00EF3F56"/>
    <w:rsid w:val="00EF479D"/>
    <w:rsid w:val="00EF6A23"/>
    <w:rsid w:val="00F06D97"/>
    <w:rsid w:val="00F07766"/>
    <w:rsid w:val="00F108FC"/>
    <w:rsid w:val="00F113D9"/>
    <w:rsid w:val="00F15E80"/>
    <w:rsid w:val="00F16A96"/>
    <w:rsid w:val="00F173BE"/>
    <w:rsid w:val="00F27265"/>
    <w:rsid w:val="00F337BE"/>
    <w:rsid w:val="00F367FD"/>
    <w:rsid w:val="00F40DD9"/>
    <w:rsid w:val="00F4184A"/>
    <w:rsid w:val="00F418FF"/>
    <w:rsid w:val="00F433DD"/>
    <w:rsid w:val="00F436E6"/>
    <w:rsid w:val="00F44A68"/>
    <w:rsid w:val="00F44D4D"/>
    <w:rsid w:val="00F46EF7"/>
    <w:rsid w:val="00F55B88"/>
    <w:rsid w:val="00F60543"/>
    <w:rsid w:val="00F61306"/>
    <w:rsid w:val="00F62A1C"/>
    <w:rsid w:val="00F63535"/>
    <w:rsid w:val="00F638A9"/>
    <w:rsid w:val="00F63AAD"/>
    <w:rsid w:val="00F63EE1"/>
    <w:rsid w:val="00F650D1"/>
    <w:rsid w:val="00F721D9"/>
    <w:rsid w:val="00F73AAD"/>
    <w:rsid w:val="00F74310"/>
    <w:rsid w:val="00F8075F"/>
    <w:rsid w:val="00F844C2"/>
    <w:rsid w:val="00F90DC5"/>
    <w:rsid w:val="00F9663A"/>
    <w:rsid w:val="00F97699"/>
    <w:rsid w:val="00FA2071"/>
    <w:rsid w:val="00FA3475"/>
    <w:rsid w:val="00FA3541"/>
    <w:rsid w:val="00FA760D"/>
    <w:rsid w:val="00FB1D32"/>
    <w:rsid w:val="00FB2F15"/>
    <w:rsid w:val="00FC125C"/>
    <w:rsid w:val="00FC1E6E"/>
    <w:rsid w:val="00FC44E4"/>
    <w:rsid w:val="00FC626B"/>
    <w:rsid w:val="00FC7389"/>
    <w:rsid w:val="00FD02F2"/>
    <w:rsid w:val="00FD4110"/>
    <w:rsid w:val="00FE09D1"/>
    <w:rsid w:val="00FE0AD6"/>
    <w:rsid w:val="00FE0F25"/>
    <w:rsid w:val="00FE118B"/>
    <w:rsid w:val="00FE4AC2"/>
    <w:rsid w:val="00FE61BD"/>
    <w:rsid w:val="00FE71E5"/>
    <w:rsid w:val="00FE74D0"/>
    <w:rsid w:val="00FF2930"/>
    <w:rsid w:val="00FF31A5"/>
    <w:rsid w:val="00FF48E5"/>
    <w:rsid w:val="00FF62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BA6CD1"/>
  <w15:chartTrackingRefBased/>
  <w15:docId w15:val="{103374CD-7803-417A-9828-91542EAC1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230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5230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F43AF"/>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CF43AF"/>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CF43AF"/>
    <w:rPr>
      <w:vertAlign w:val="superscript"/>
    </w:rPr>
  </w:style>
  <w:style w:type="paragraph" w:styleId="Header">
    <w:name w:val="header"/>
    <w:basedOn w:val="Normal"/>
    <w:link w:val="HeaderChar"/>
    <w:uiPriority w:val="99"/>
    <w:unhideWhenUsed/>
    <w:rsid w:val="00FE74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74D0"/>
  </w:style>
  <w:style w:type="paragraph" w:styleId="Footer">
    <w:name w:val="footer"/>
    <w:basedOn w:val="Normal"/>
    <w:link w:val="FooterChar"/>
    <w:uiPriority w:val="99"/>
    <w:unhideWhenUsed/>
    <w:rsid w:val="00FE74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74D0"/>
  </w:style>
  <w:style w:type="paragraph" w:styleId="ListParagraph">
    <w:name w:val="List Paragraph"/>
    <w:basedOn w:val="Normal"/>
    <w:uiPriority w:val="34"/>
    <w:qFormat/>
    <w:rsid w:val="00D65523"/>
    <w:pPr>
      <w:ind w:left="720"/>
      <w:contextualSpacing/>
    </w:pPr>
  </w:style>
  <w:style w:type="paragraph" w:customStyle="1" w:styleId="Default">
    <w:name w:val="Default"/>
    <w:rsid w:val="00FE09D1"/>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67586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OC7">
    <w:name w:val="toc 7"/>
    <w:basedOn w:val="Normal"/>
    <w:next w:val="Normal"/>
    <w:autoRedefine/>
    <w:uiPriority w:val="39"/>
    <w:unhideWhenUsed/>
    <w:rsid w:val="00E16367"/>
    <w:pPr>
      <w:spacing w:after="0"/>
      <w:ind w:left="1320"/>
    </w:pPr>
    <w:rPr>
      <w:rFonts w:cstheme="minorHAnsi"/>
      <w:sz w:val="18"/>
      <w:szCs w:val="18"/>
    </w:rPr>
  </w:style>
  <w:style w:type="character" w:customStyle="1" w:styleId="Heading1Char">
    <w:name w:val="Heading 1 Char"/>
    <w:basedOn w:val="DefaultParagraphFont"/>
    <w:link w:val="Heading1"/>
    <w:uiPriority w:val="9"/>
    <w:rsid w:val="00E5230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5230C"/>
    <w:rPr>
      <w:rFonts w:asciiTheme="majorHAnsi" w:eastAsiaTheme="majorEastAsia" w:hAnsiTheme="majorHAnsi" w:cstheme="majorBidi"/>
      <w:color w:val="2E74B5" w:themeColor="accent1" w:themeShade="BF"/>
      <w:sz w:val="26"/>
      <w:szCs w:val="26"/>
    </w:rPr>
  </w:style>
  <w:style w:type="paragraph" w:styleId="TOC1">
    <w:name w:val="toc 1"/>
    <w:basedOn w:val="Normal"/>
    <w:next w:val="Normal"/>
    <w:autoRedefine/>
    <w:uiPriority w:val="39"/>
    <w:unhideWhenUsed/>
    <w:rsid w:val="00565909"/>
    <w:pPr>
      <w:spacing w:before="120" w:after="120"/>
    </w:pPr>
    <w:rPr>
      <w:rFonts w:cstheme="minorHAnsi"/>
      <w:b/>
      <w:bCs/>
      <w:caps/>
      <w:sz w:val="20"/>
      <w:szCs w:val="20"/>
    </w:rPr>
  </w:style>
  <w:style w:type="paragraph" w:styleId="TOC2">
    <w:name w:val="toc 2"/>
    <w:basedOn w:val="Normal"/>
    <w:next w:val="Normal"/>
    <w:autoRedefine/>
    <w:uiPriority w:val="39"/>
    <w:unhideWhenUsed/>
    <w:rsid w:val="00565909"/>
    <w:pPr>
      <w:spacing w:after="0"/>
      <w:ind w:left="220"/>
    </w:pPr>
    <w:rPr>
      <w:rFonts w:cstheme="minorHAnsi"/>
      <w:smallCaps/>
      <w:sz w:val="20"/>
      <w:szCs w:val="20"/>
    </w:rPr>
  </w:style>
  <w:style w:type="paragraph" w:styleId="TOC3">
    <w:name w:val="toc 3"/>
    <w:basedOn w:val="Normal"/>
    <w:next w:val="Normal"/>
    <w:autoRedefine/>
    <w:uiPriority w:val="39"/>
    <w:unhideWhenUsed/>
    <w:rsid w:val="00565909"/>
    <w:pPr>
      <w:spacing w:after="0"/>
      <w:ind w:left="440"/>
    </w:pPr>
    <w:rPr>
      <w:rFonts w:cstheme="minorHAnsi"/>
      <w:i/>
      <w:iCs/>
      <w:sz w:val="20"/>
      <w:szCs w:val="20"/>
    </w:rPr>
  </w:style>
  <w:style w:type="paragraph" w:styleId="TOC4">
    <w:name w:val="toc 4"/>
    <w:basedOn w:val="Normal"/>
    <w:next w:val="Normal"/>
    <w:autoRedefine/>
    <w:uiPriority w:val="39"/>
    <w:unhideWhenUsed/>
    <w:rsid w:val="00565909"/>
    <w:pPr>
      <w:spacing w:after="0"/>
      <w:ind w:left="660"/>
    </w:pPr>
    <w:rPr>
      <w:rFonts w:cstheme="minorHAnsi"/>
      <w:sz w:val="18"/>
      <w:szCs w:val="18"/>
    </w:rPr>
  </w:style>
  <w:style w:type="paragraph" w:styleId="TOC5">
    <w:name w:val="toc 5"/>
    <w:basedOn w:val="Normal"/>
    <w:next w:val="Normal"/>
    <w:autoRedefine/>
    <w:uiPriority w:val="39"/>
    <w:unhideWhenUsed/>
    <w:rsid w:val="00565909"/>
    <w:pPr>
      <w:spacing w:after="0"/>
      <w:ind w:left="880"/>
    </w:pPr>
    <w:rPr>
      <w:rFonts w:cstheme="minorHAnsi"/>
      <w:sz w:val="18"/>
      <w:szCs w:val="18"/>
    </w:rPr>
  </w:style>
  <w:style w:type="paragraph" w:styleId="TOC6">
    <w:name w:val="toc 6"/>
    <w:basedOn w:val="Normal"/>
    <w:next w:val="Normal"/>
    <w:autoRedefine/>
    <w:uiPriority w:val="39"/>
    <w:unhideWhenUsed/>
    <w:rsid w:val="00565909"/>
    <w:pPr>
      <w:spacing w:after="0"/>
      <w:ind w:left="1100"/>
    </w:pPr>
    <w:rPr>
      <w:rFonts w:cstheme="minorHAnsi"/>
      <w:sz w:val="18"/>
      <w:szCs w:val="18"/>
    </w:rPr>
  </w:style>
  <w:style w:type="paragraph" w:styleId="TOC8">
    <w:name w:val="toc 8"/>
    <w:basedOn w:val="Normal"/>
    <w:next w:val="Normal"/>
    <w:autoRedefine/>
    <w:uiPriority w:val="39"/>
    <w:unhideWhenUsed/>
    <w:rsid w:val="00565909"/>
    <w:pPr>
      <w:spacing w:after="0"/>
      <w:ind w:left="1540"/>
    </w:pPr>
    <w:rPr>
      <w:rFonts w:cstheme="minorHAnsi"/>
      <w:sz w:val="18"/>
      <w:szCs w:val="18"/>
    </w:rPr>
  </w:style>
  <w:style w:type="paragraph" w:styleId="TOC9">
    <w:name w:val="toc 9"/>
    <w:basedOn w:val="Normal"/>
    <w:next w:val="Normal"/>
    <w:autoRedefine/>
    <w:uiPriority w:val="39"/>
    <w:unhideWhenUsed/>
    <w:rsid w:val="00565909"/>
    <w:pPr>
      <w:spacing w:after="0"/>
      <w:ind w:left="1760"/>
    </w:pPr>
    <w:rPr>
      <w:rFonts w:cstheme="minorHAnsi"/>
      <w:sz w:val="18"/>
      <w:szCs w:val="18"/>
    </w:rPr>
  </w:style>
  <w:style w:type="character" w:styleId="Hyperlink">
    <w:name w:val="Hyperlink"/>
    <w:basedOn w:val="DefaultParagraphFont"/>
    <w:uiPriority w:val="99"/>
    <w:unhideWhenUsed/>
    <w:rsid w:val="00565909"/>
    <w:rPr>
      <w:color w:val="0563C1" w:themeColor="hyperlink"/>
      <w:u w:val="single"/>
    </w:rPr>
  </w:style>
  <w:style w:type="paragraph" w:styleId="BalloonText">
    <w:name w:val="Balloon Text"/>
    <w:basedOn w:val="Normal"/>
    <w:link w:val="BalloonTextChar"/>
    <w:uiPriority w:val="99"/>
    <w:semiHidden/>
    <w:unhideWhenUsed/>
    <w:rsid w:val="00F108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8FC"/>
    <w:rPr>
      <w:rFonts w:ascii="Segoe UI" w:hAnsi="Segoe UI" w:cs="Segoe UI"/>
      <w:sz w:val="18"/>
      <w:szCs w:val="18"/>
    </w:rPr>
  </w:style>
  <w:style w:type="character" w:customStyle="1" w:styleId="ref-overlay">
    <w:name w:val="ref-overlay"/>
    <w:basedOn w:val="DefaultParagraphFont"/>
    <w:rsid w:val="0000409C"/>
  </w:style>
  <w:style w:type="character" w:customStyle="1" w:styleId="markedcontent">
    <w:name w:val="markedcontent"/>
    <w:basedOn w:val="DefaultParagraphFont"/>
    <w:rsid w:val="00B5135B"/>
  </w:style>
  <w:style w:type="character" w:styleId="Emphasis">
    <w:name w:val="Emphasis"/>
    <w:basedOn w:val="DefaultParagraphFont"/>
    <w:uiPriority w:val="20"/>
    <w:qFormat/>
    <w:rsid w:val="00F436E6"/>
    <w:rPr>
      <w:i/>
      <w:iCs/>
    </w:rPr>
  </w:style>
  <w:style w:type="character" w:customStyle="1" w:styleId="hgkelc">
    <w:name w:val="hgkelc"/>
    <w:basedOn w:val="DefaultParagraphFont"/>
    <w:rsid w:val="00DB3DCA"/>
  </w:style>
  <w:style w:type="paragraph" w:styleId="CommentText">
    <w:name w:val="annotation text"/>
    <w:basedOn w:val="Normal"/>
    <w:link w:val="CommentTextChar"/>
    <w:uiPriority w:val="99"/>
    <w:unhideWhenUsed/>
    <w:rsid w:val="004D3D13"/>
    <w:pPr>
      <w:spacing w:after="20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4D3D13"/>
    <w:rPr>
      <w:rFonts w:ascii="Calibri" w:eastAsia="Calibri" w:hAnsi="Calibri" w:cs="Times New Roman"/>
      <w:sz w:val="20"/>
      <w:szCs w:val="20"/>
    </w:rPr>
  </w:style>
  <w:style w:type="character" w:customStyle="1" w:styleId="Date1">
    <w:name w:val="Date1"/>
    <w:basedOn w:val="DefaultParagraphFont"/>
    <w:rsid w:val="004D3D13"/>
  </w:style>
  <w:style w:type="character" w:customStyle="1" w:styleId="sb8d990e2">
    <w:name w:val="sb8d990e2"/>
    <w:basedOn w:val="DefaultParagraphFont"/>
    <w:rsid w:val="00C03E09"/>
  </w:style>
  <w:style w:type="character" w:styleId="CommentReference">
    <w:name w:val="annotation reference"/>
    <w:basedOn w:val="DefaultParagraphFont"/>
    <w:uiPriority w:val="99"/>
    <w:semiHidden/>
    <w:unhideWhenUsed/>
    <w:rsid w:val="003E6F82"/>
    <w:rPr>
      <w:sz w:val="16"/>
      <w:szCs w:val="16"/>
    </w:rPr>
  </w:style>
  <w:style w:type="paragraph" w:styleId="CommentSubject">
    <w:name w:val="annotation subject"/>
    <w:basedOn w:val="CommentText"/>
    <w:next w:val="CommentText"/>
    <w:link w:val="CommentSubjectChar"/>
    <w:uiPriority w:val="99"/>
    <w:semiHidden/>
    <w:unhideWhenUsed/>
    <w:rsid w:val="003E6F82"/>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E6F82"/>
    <w:rPr>
      <w:rFonts w:ascii="Calibri" w:eastAsia="Calibri" w:hAnsi="Calibri" w:cs="Times New Roman"/>
      <w:b/>
      <w:bCs/>
      <w:sz w:val="20"/>
      <w:szCs w:val="20"/>
    </w:rPr>
  </w:style>
  <w:style w:type="character" w:styleId="UnresolvedMention">
    <w:name w:val="Unresolved Mention"/>
    <w:basedOn w:val="DefaultParagraphFont"/>
    <w:uiPriority w:val="99"/>
    <w:semiHidden/>
    <w:unhideWhenUsed/>
    <w:rsid w:val="00566FDD"/>
    <w:rPr>
      <w:color w:val="605E5C"/>
      <w:shd w:val="clear" w:color="auto" w:fill="E1DFDD"/>
    </w:rPr>
  </w:style>
  <w:style w:type="character" w:customStyle="1" w:styleId="field-content">
    <w:name w:val="field-content"/>
    <w:basedOn w:val="DefaultParagraphFont"/>
    <w:rsid w:val="000A49AB"/>
  </w:style>
  <w:style w:type="paragraph" w:customStyle="1" w:styleId="liste1">
    <w:name w:val="liste1"/>
    <w:basedOn w:val="Normal"/>
    <w:rsid w:val="006773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light">
    <w:name w:val="highlight"/>
    <w:basedOn w:val="DefaultParagraphFont"/>
    <w:rsid w:val="001B7A25"/>
  </w:style>
  <w:style w:type="character" w:styleId="Strong">
    <w:name w:val="Strong"/>
    <w:basedOn w:val="DefaultParagraphFont"/>
    <w:uiPriority w:val="22"/>
    <w:qFormat/>
    <w:rsid w:val="0058654B"/>
    <w:rPr>
      <w:b/>
      <w:bCs/>
    </w:rPr>
  </w:style>
  <w:style w:type="character" w:customStyle="1" w:styleId="chapeau">
    <w:name w:val="chapeau"/>
    <w:basedOn w:val="DefaultParagraphFont"/>
    <w:rsid w:val="00046170"/>
  </w:style>
  <w:style w:type="character" w:customStyle="1" w:styleId="num">
    <w:name w:val="num"/>
    <w:basedOn w:val="DefaultParagraphFont"/>
    <w:rsid w:val="00046170"/>
  </w:style>
  <w:style w:type="character" w:customStyle="1" w:styleId="Date2">
    <w:name w:val="Date2"/>
    <w:basedOn w:val="DefaultParagraphFont"/>
    <w:rsid w:val="004D6D16"/>
  </w:style>
  <w:style w:type="character" w:customStyle="1" w:styleId="xmarkedcontent">
    <w:name w:val="x_markedcontent"/>
    <w:basedOn w:val="DefaultParagraphFont"/>
    <w:rsid w:val="00380A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6490">
      <w:bodyDiv w:val="1"/>
      <w:marLeft w:val="0"/>
      <w:marRight w:val="0"/>
      <w:marTop w:val="0"/>
      <w:marBottom w:val="0"/>
      <w:divBdr>
        <w:top w:val="none" w:sz="0" w:space="0" w:color="auto"/>
        <w:left w:val="none" w:sz="0" w:space="0" w:color="auto"/>
        <w:bottom w:val="none" w:sz="0" w:space="0" w:color="auto"/>
        <w:right w:val="none" w:sz="0" w:space="0" w:color="auto"/>
      </w:divBdr>
    </w:div>
    <w:div w:id="35544634">
      <w:bodyDiv w:val="1"/>
      <w:marLeft w:val="0"/>
      <w:marRight w:val="0"/>
      <w:marTop w:val="0"/>
      <w:marBottom w:val="0"/>
      <w:divBdr>
        <w:top w:val="none" w:sz="0" w:space="0" w:color="auto"/>
        <w:left w:val="none" w:sz="0" w:space="0" w:color="auto"/>
        <w:bottom w:val="none" w:sz="0" w:space="0" w:color="auto"/>
        <w:right w:val="none" w:sz="0" w:space="0" w:color="auto"/>
      </w:divBdr>
    </w:div>
    <w:div w:id="59595129">
      <w:bodyDiv w:val="1"/>
      <w:marLeft w:val="0"/>
      <w:marRight w:val="0"/>
      <w:marTop w:val="0"/>
      <w:marBottom w:val="0"/>
      <w:divBdr>
        <w:top w:val="none" w:sz="0" w:space="0" w:color="auto"/>
        <w:left w:val="none" w:sz="0" w:space="0" w:color="auto"/>
        <w:bottom w:val="none" w:sz="0" w:space="0" w:color="auto"/>
        <w:right w:val="none" w:sz="0" w:space="0" w:color="auto"/>
      </w:divBdr>
    </w:div>
    <w:div w:id="186070377">
      <w:bodyDiv w:val="1"/>
      <w:marLeft w:val="0"/>
      <w:marRight w:val="0"/>
      <w:marTop w:val="0"/>
      <w:marBottom w:val="0"/>
      <w:divBdr>
        <w:top w:val="none" w:sz="0" w:space="0" w:color="auto"/>
        <w:left w:val="none" w:sz="0" w:space="0" w:color="auto"/>
        <w:bottom w:val="none" w:sz="0" w:space="0" w:color="auto"/>
        <w:right w:val="none" w:sz="0" w:space="0" w:color="auto"/>
      </w:divBdr>
    </w:div>
    <w:div w:id="214195882">
      <w:bodyDiv w:val="1"/>
      <w:marLeft w:val="0"/>
      <w:marRight w:val="0"/>
      <w:marTop w:val="0"/>
      <w:marBottom w:val="0"/>
      <w:divBdr>
        <w:top w:val="none" w:sz="0" w:space="0" w:color="auto"/>
        <w:left w:val="none" w:sz="0" w:space="0" w:color="auto"/>
        <w:bottom w:val="none" w:sz="0" w:space="0" w:color="auto"/>
        <w:right w:val="none" w:sz="0" w:space="0" w:color="auto"/>
      </w:divBdr>
    </w:div>
    <w:div w:id="250048854">
      <w:bodyDiv w:val="1"/>
      <w:marLeft w:val="0"/>
      <w:marRight w:val="0"/>
      <w:marTop w:val="0"/>
      <w:marBottom w:val="0"/>
      <w:divBdr>
        <w:top w:val="none" w:sz="0" w:space="0" w:color="auto"/>
        <w:left w:val="none" w:sz="0" w:space="0" w:color="auto"/>
        <w:bottom w:val="none" w:sz="0" w:space="0" w:color="auto"/>
        <w:right w:val="none" w:sz="0" w:space="0" w:color="auto"/>
      </w:divBdr>
    </w:div>
    <w:div w:id="826633814">
      <w:bodyDiv w:val="1"/>
      <w:marLeft w:val="0"/>
      <w:marRight w:val="0"/>
      <w:marTop w:val="0"/>
      <w:marBottom w:val="0"/>
      <w:divBdr>
        <w:top w:val="none" w:sz="0" w:space="0" w:color="auto"/>
        <w:left w:val="none" w:sz="0" w:space="0" w:color="auto"/>
        <w:bottom w:val="none" w:sz="0" w:space="0" w:color="auto"/>
        <w:right w:val="none" w:sz="0" w:space="0" w:color="auto"/>
      </w:divBdr>
    </w:div>
    <w:div w:id="958224743">
      <w:bodyDiv w:val="1"/>
      <w:marLeft w:val="0"/>
      <w:marRight w:val="0"/>
      <w:marTop w:val="0"/>
      <w:marBottom w:val="0"/>
      <w:divBdr>
        <w:top w:val="none" w:sz="0" w:space="0" w:color="auto"/>
        <w:left w:val="none" w:sz="0" w:space="0" w:color="auto"/>
        <w:bottom w:val="none" w:sz="0" w:space="0" w:color="auto"/>
        <w:right w:val="none" w:sz="0" w:space="0" w:color="auto"/>
      </w:divBdr>
    </w:div>
    <w:div w:id="1174418688">
      <w:bodyDiv w:val="1"/>
      <w:marLeft w:val="0"/>
      <w:marRight w:val="0"/>
      <w:marTop w:val="0"/>
      <w:marBottom w:val="0"/>
      <w:divBdr>
        <w:top w:val="none" w:sz="0" w:space="0" w:color="auto"/>
        <w:left w:val="none" w:sz="0" w:space="0" w:color="auto"/>
        <w:bottom w:val="none" w:sz="0" w:space="0" w:color="auto"/>
        <w:right w:val="none" w:sz="0" w:space="0" w:color="auto"/>
      </w:divBdr>
      <w:divsChild>
        <w:div w:id="320158559">
          <w:marLeft w:val="0"/>
          <w:marRight w:val="0"/>
          <w:marTop w:val="0"/>
          <w:marBottom w:val="0"/>
          <w:divBdr>
            <w:top w:val="none" w:sz="0" w:space="0" w:color="auto"/>
            <w:left w:val="none" w:sz="0" w:space="0" w:color="auto"/>
            <w:bottom w:val="none" w:sz="0" w:space="0" w:color="auto"/>
            <w:right w:val="none" w:sz="0" w:space="0" w:color="auto"/>
          </w:divBdr>
          <w:divsChild>
            <w:div w:id="92939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5582">
      <w:bodyDiv w:val="1"/>
      <w:marLeft w:val="0"/>
      <w:marRight w:val="0"/>
      <w:marTop w:val="0"/>
      <w:marBottom w:val="0"/>
      <w:divBdr>
        <w:top w:val="none" w:sz="0" w:space="0" w:color="auto"/>
        <w:left w:val="none" w:sz="0" w:space="0" w:color="auto"/>
        <w:bottom w:val="none" w:sz="0" w:space="0" w:color="auto"/>
        <w:right w:val="none" w:sz="0" w:space="0" w:color="auto"/>
      </w:divBdr>
    </w:div>
    <w:div w:id="1411777495">
      <w:bodyDiv w:val="1"/>
      <w:marLeft w:val="0"/>
      <w:marRight w:val="0"/>
      <w:marTop w:val="0"/>
      <w:marBottom w:val="0"/>
      <w:divBdr>
        <w:top w:val="none" w:sz="0" w:space="0" w:color="auto"/>
        <w:left w:val="none" w:sz="0" w:space="0" w:color="auto"/>
        <w:bottom w:val="none" w:sz="0" w:space="0" w:color="auto"/>
        <w:right w:val="none" w:sz="0" w:space="0" w:color="auto"/>
      </w:divBdr>
    </w:div>
    <w:div w:id="1413156820">
      <w:bodyDiv w:val="1"/>
      <w:marLeft w:val="0"/>
      <w:marRight w:val="0"/>
      <w:marTop w:val="0"/>
      <w:marBottom w:val="0"/>
      <w:divBdr>
        <w:top w:val="none" w:sz="0" w:space="0" w:color="auto"/>
        <w:left w:val="none" w:sz="0" w:space="0" w:color="auto"/>
        <w:bottom w:val="none" w:sz="0" w:space="0" w:color="auto"/>
        <w:right w:val="none" w:sz="0" w:space="0" w:color="auto"/>
      </w:divBdr>
      <w:divsChild>
        <w:div w:id="1736006084">
          <w:marLeft w:val="0"/>
          <w:marRight w:val="0"/>
          <w:marTop w:val="0"/>
          <w:marBottom w:val="0"/>
          <w:divBdr>
            <w:top w:val="none" w:sz="0" w:space="0" w:color="auto"/>
            <w:left w:val="none" w:sz="0" w:space="0" w:color="auto"/>
            <w:bottom w:val="none" w:sz="0" w:space="0" w:color="auto"/>
            <w:right w:val="none" w:sz="0" w:space="0" w:color="auto"/>
          </w:divBdr>
        </w:div>
      </w:divsChild>
    </w:div>
    <w:div w:id="1446852809">
      <w:bodyDiv w:val="1"/>
      <w:marLeft w:val="0"/>
      <w:marRight w:val="0"/>
      <w:marTop w:val="0"/>
      <w:marBottom w:val="0"/>
      <w:divBdr>
        <w:top w:val="none" w:sz="0" w:space="0" w:color="auto"/>
        <w:left w:val="none" w:sz="0" w:space="0" w:color="auto"/>
        <w:bottom w:val="none" w:sz="0" w:space="0" w:color="auto"/>
        <w:right w:val="none" w:sz="0" w:space="0" w:color="auto"/>
      </w:divBdr>
    </w:div>
    <w:div w:id="1491285914">
      <w:bodyDiv w:val="1"/>
      <w:marLeft w:val="0"/>
      <w:marRight w:val="0"/>
      <w:marTop w:val="0"/>
      <w:marBottom w:val="0"/>
      <w:divBdr>
        <w:top w:val="none" w:sz="0" w:space="0" w:color="auto"/>
        <w:left w:val="none" w:sz="0" w:space="0" w:color="auto"/>
        <w:bottom w:val="none" w:sz="0" w:space="0" w:color="auto"/>
        <w:right w:val="none" w:sz="0" w:space="0" w:color="auto"/>
      </w:divBdr>
    </w:div>
    <w:div w:id="1642880078">
      <w:bodyDiv w:val="1"/>
      <w:marLeft w:val="0"/>
      <w:marRight w:val="0"/>
      <w:marTop w:val="0"/>
      <w:marBottom w:val="0"/>
      <w:divBdr>
        <w:top w:val="none" w:sz="0" w:space="0" w:color="auto"/>
        <w:left w:val="none" w:sz="0" w:space="0" w:color="auto"/>
        <w:bottom w:val="none" w:sz="0" w:space="0" w:color="auto"/>
        <w:right w:val="none" w:sz="0" w:space="0" w:color="auto"/>
      </w:divBdr>
    </w:div>
    <w:div w:id="1691026858">
      <w:bodyDiv w:val="1"/>
      <w:marLeft w:val="0"/>
      <w:marRight w:val="0"/>
      <w:marTop w:val="0"/>
      <w:marBottom w:val="0"/>
      <w:divBdr>
        <w:top w:val="none" w:sz="0" w:space="0" w:color="auto"/>
        <w:left w:val="none" w:sz="0" w:space="0" w:color="auto"/>
        <w:bottom w:val="none" w:sz="0" w:space="0" w:color="auto"/>
        <w:right w:val="none" w:sz="0" w:space="0" w:color="auto"/>
      </w:divBdr>
    </w:div>
    <w:div w:id="1761102574">
      <w:bodyDiv w:val="1"/>
      <w:marLeft w:val="0"/>
      <w:marRight w:val="0"/>
      <w:marTop w:val="0"/>
      <w:marBottom w:val="0"/>
      <w:divBdr>
        <w:top w:val="none" w:sz="0" w:space="0" w:color="auto"/>
        <w:left w:val="none" w:sz="0" w:space="0" w:color="auto"/>
        <w:bottom w:val="none" w:sz="0" w:space="0" w:color="auto"/>
        <w:right w:val="none" w:sz="0" w:space="0" w:color="auto"/>
      </w:divBdr>
    </w:div>
    <w:div w:id="1904943031">
      <w:bodyDiv w:val="1"/>
      <w:marLeft w:val="0"/>
      <w:marRight w:val="0"/>
      <w:marTop w:val="0"/>
      <w:marBottom w:val="0"/>
      <w:divBdr>
        <w:top w:val="none" w:sz="0" w:space="0" w:color="auto"/>
        <w:left w:val="none" w:sz="0" w:space="0" w:color="auto"/>
        <w:bottom w:val="none" w:sz="0" w:space="0" w:color="auto"/>
        <w:right w:val="none" w:sz="0" w:space="0" w:color="auto"/>
      </w:divBdr>
    </w:div>
    <w:div w:id="2016378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ohchr.org/Documents/Issues/Opinion/Legislation/OL-DEU-1-2017.pdf" TargetMode="External"/><Relationship Id="rId3" Type="http://schemas.openxmlformats.org/officeDocument/2006/relationships/hyperlink" Target="https://ec.europa.eu/info/policies/justice-and-fundamental-rights/combatting-discrimination/racism-and-xenophobia/eu-code-conduct-countering-illegal-hate-speech-online_en" TargetMode="External"/><Relationship Id="rId7" Type="http://schemas.openxmlformats.org/officeDocument/2006/relationships/hyperlink" Target="https://www.bundesjustizamt.de/DE/Presse/Archiv/2019/20190702_EN.html" TargetMode="External"/><Relationship Id="rId2" Type="http://schemas.openxmlformats.org/officeDocument/2006/relationships/hyperlink" Target="https://www.assemblee-nationale.fr/dyn/15/amendements/3649/CSPRINCREP/1770.pdf" TargetMode="External"/><Relationship Id="rId1" Type="http://schemas.openxmlformats.org/officeDocument/2006/relationships/hyperlink" Target="http://www.gesetze-im-internet.de/netzdg/NetzDG.pdf" TargetMode="External"/><Relationship Id="rId6" Type="http://schemas.openxmlformats.org/officeDocument/2006/relationships/hyperlink" Target="https://www.bundesjustizamt.de/DE/SharedDocs/Publikationen/NetzDG/Leitlinien_Geldbussen_de.pdf" TargetMode="External"/><Relationship Id="rId5" Type="http://schemas.openxmlformats.org/officeDocument/2006/relationships/hyperlink" Target="http://www.gesetze-im-internet.de/netzdg/BJNR335210017.html" TargetMode="External"/><Relationship Id="rId4" Type="http://schemas.openxmlformats.org/officeDocument/2006/relationships/hyperlink" Target="https://www.bmjv.de/DE/Themen/FokusThemen/NetzDG/NetzDG_nod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73034A-60C4-450D-90DE-2E8BB9DAA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1778</TotalTime>
  <Pages>1</Pages>
  <Words>8463</Words>
  <Characters>48245</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56595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Uta Kohl</dc:creator>
  <cp:keywords/>
  <dc:description/>
  <cp:lastModifiedBy>Uta Kohl</cp:lastModifiedBy>
  <cp:revision>45</cp:revision>
  <cp:lastPrinted>2022-02-12T14:41:00Z</cp:lastPrinted>
  <dcterms:created xsi:type="dcterms:W3CDTF">2022-01-30T20:03:00Z</dcterms:created>
  <dcterms:modified xsi:type="dcterms:W3CDTF">2022-02-12T14:57:00Z</dcterms:modified>
</cp:coreProperties>
</file>