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B5DBD8" w14:textId="77777777" w:rsidR="00FC2A41" w:rsidRDefault="00166212">
      <w:pPr>
        <w:pStyle w:val="RSCM01ReceivedAccepted"/>
      </w:pPr>
      <w:bookmarkStart w:id="0" w:name="_GoBack"/>
      <w:bookmarkEnd w:id="0"/>
      <w:r>
        <w:rPr>
          <w:noProof/>
          <w:lang w:eastAsia="zh-CN"/>
        </w:rPr>
        <mc:AlternateContent>
          <mc:Choice Requires="wps">
            <w:drawing>
              <wp:anchor distT="180340" distB="0" distL="114300" distR="114300" simplePos="0" relativeHeight="251660288" behindDoc="1" locked="1" layoutInCell="0" allowOverlap="0" wp14:anchorId="3616F7BE" wp14:editId="2A2AF61D">
                <wp:simplePos x="0" y="0"/>
                <wp:positionH relativeFrom="column">
                  <wp:posOffset>0</wp:posOffset>
                </wp:positionH>
                <wp:positionV relativeFrom="margin">
                  <wp:align>bottom</wp:align>
                </wp:positionV>
                <wp:extent cx="3159125" cy="1628140"/>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837" cy="1627909"/>
                        </a:xfrm>
                        <a:prstGeom prst="rect">
                          <a:avLst/>
                        </a:prstGeom>
                        <a:solidFill>
                          <a:srgbClr val="FFFFFF"/>
                        </a:solidFill>
                        <a:ln w="9525">
                          <a:noFill/>
                          <a:miter lim="800000"/>
                        </a:ln>
                      </wps:spPr>
                      <wps:txbx>
                        <w:txbxContent>
                          <w:p w14:paraId="48ABA33B" w14:textId="77777777" w:rsidR="00FC2A41" w:rsidRDefault="00166212">
                            <w:pPr>
                              <w:pStyle w:val="RSCF01FootnoteAuthorAddress"/>
                            </w:pPr>
                            <w:r>
                              <w:t>School of Chemistry and Biological Engineering, University of Science &amp; Technology Beijing, Beijing 100083, P. R. China.</w:t>
                            </w:r>
                          </w:p>
                          <w:p w14:paraId="7BA1DADB" w14:textId="77777777" w:rsidR="00FC2A41" w:rsidRDefault="00166212">
                            <w:pPr>
                              <w:pStyle w:val="RSCF01FootnoteAuthorAddress"/>
                            </w:pPr>
                            <w:r>
                              <w:t>Department of Electronics and Computer Science, University of Southampton, Southampton SO17 1BJ, United Kingdom.</w:t>
                            </w:r>
                          </w:p>
                          <w:p w14:paraId="0B560E41" w14:textId="77777777" w:rsidR="00FC2A41" w:rsidRDefault="00166212">
                            <w:pPr>
                              <w:pStyle w:val="RSCF01FootnoteAuthorAddress"/>
                            </w:pPr>
                            <w:r>
                              <w:t>State Key Laboratory of Power System, Department of Electrical Engineering, Tsinghua University, Beijing 100084, P. R. China.</w:t>
                            </w:r>
                          </w:p>
                          <w:p w14:paraId="7F6D8F7A" w14:textId="77777777" w:rsidR="00FC2A41" w:rsidRDefault="00166212">
                            <w:pPr>
                              <w:pStyle w:val="RSCF01FootnoteAuthorAddress"/>
                            </w:pPr>
                            <w:r>
                              <w:t>Beijing Advanced Innovation Center for Materials Genome Engineering, University of Science &amp; Technology Beijing, Beijing 100083, P. R. China</w:t>
                            </w:r>
                          </w:p>
                        </w:txbxContent>
                      </wps:txbx>
                      <wps:bodyPr rot="0" vert="horz" wrap="square" lIns="0" tIns="36000" rIns="0" bIns="36000" anchor="b" anchorCtr="0">
                        <a:spAutoFit/>
                      </wps:bodyPr>
                    </wps:wsp>
                  </a:graphicData>
                </a:graphic>
                <wp14:sizeRelH relativeFrom="page">
                  <wp14:pctWidth>0</wp14:pctWidth>
                </wp14:sizeRelH>
                <wp14:sizeRelV relativeFrom="margin">
                  <wp14:pctHeight>20000</wp14:pctHeight>
                </wp14:sizeRelV>
              </wp:anchor>
            </w:drawing>
          </mc:Choice>
          <mc:Fallback>
            <w:pict>
              <v:shapetype w14:anchorId="3616F7BE" id="_x0000_t202" coordsize="21600,21600" o:spt="202" path="m,l,21600r21600,l21600,xe">
                <v:stroke joinstyle="miter"/>
                <v:path gradientshapeok="t" o:connecttype="rect"/>
              </v:shapetype>
              <v:shape id="Text Box 2" o:spid="_x0000_s1026" type="#_x0000_t202" style="position:absolute;margin-left:0;margin-top:0;width:248.75pt;height:128.2pt;z-index:-251656192;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" o:allowincell="f" o:allowoverlap="f" stroked="f">
                <o:lock v:ext="edit" aspectratio="t"/>
                <v:textbox style="mso-fit-shape-to-text:t" inset="0,1mm,0,1mm">
                  <w:txbxContent>
                    <w:p w14:paraId="48ABA33B" w14:textId="77777777" w:rsidR="00FC2A41" w:rsidRDefault="00166212">
                      <w:pPr>
                        <w:pStyle w:val="RSCF01FootnoteAuthorAddress"/>
                      </w:pPr>
                      <w:r>
                        <w:t>School of Chemistry and Biological Engineering, University of Science &amp; Technology Beijing, Beijing 100083, P. R. China.</w:t>
                      </w:r>
                    </w:p>
                    <w:p w14:paraId="7BA1DADB" w14:textId="77777777" w:rsidR="00FC2A41" w:rsidRDefault="00166212">
                      <w:pPr>
                        <w:pStyle w:val="RSCF01FootnoteAuthorAddress"/>
                      </w:pPr>
                      <w:r>
                        <w:t>Department of Electronics and Computer Science, University of Southampton, Southampton SO17 1BJ, United Kingdom.</w:t>
                      </w:r>
                    </w:p>
                    <w:p w14:paraId="0B560E41" w14:textId="77777777" w:rsidR="00FC2A41" w:rsidRDefault="00166212">
                      <w:pPr>
                        <w:pStyle w:val="RSCF01FootnoteAuthorAddress"/>
                      </w:pPr>
                      <w:r>
                        <w:t>State Key Laboratory of Power System, Department of Electrical Engineering, Tsinghua University, Beijing 100084, P. R. China.</w:t>
                      </w:r>
                    </w:p>
                    <w:p w14:paraId="7F6D8F7A" w14:textId="77777777" w:rsidR="00FC2A41" w:rsidRDefault="00166212">
                      <w:pPr>
                        <w:pStyle w:val="RSCF01FootnoteAuthorAddress"/>
                      </w:pPr>
                      <w:r>
                        <w:t>Beijing Advanced Innovation Center for Materials Genome Engineering, University of Science &amp; Technology Beijing, Beijing 100083, P. R. China</w:t>
                      </w:r>
                    </w:p>
                  </w:txbxContent>
                </v:textbox>
                <w10:wrap type="topAndBottom" anchory="margin"/>
                <w10:anchorlock/>
              </v:shape>
            </w:pict>
          </mc:Fallback>
        </mc:AlternateContent>
      </w:r>
      <w:r>
        <w:t>Received 00th January 20xx,</w:t>
      </w:r>
    </w:p>
    <w:p w14:paraId="4FBFAB82" w14:textId="77777777" w:rsidR="00FC2A41" w:rsidRDefault="00166212">
      <w:pPr>
        <w:pStyle w:val="RSCM01ReceivedAccepted"/>
      </w:pPr>
      <w:r>
        <w:t>Accepted 00th January 20xx</w:t>
      </w:r>
    </w:p>
    <w:p w14:paraId="0723835B" w14:textId="77777777" w:rsidR="00FC2A41" w:rsidRDefault="00166212">
      <w:pPr>
        <w:pStyle w:val="RSCM02DOI"/>
      </w:pPr>
      <w:r>
        <w:t>DOI: 10.1039/x0xx00000x</w:t>
      </w:r>
    </w:p>
    <w:p w14:paraId="7872E776" w14:textId="77777777" w:rsidR="00FC2A41" w:rsidRDefault="00FC2A41">
      <w:pPr>
        <w:pStyle w:val="RSCM03Website"/>
      </w:pPr>
    </w:p>
    <w:p w14:paraId="6B269CEA" w14:textId="1D1E7C7E" w:rsidR="00FC2A41" w:rsidRPr="00CA46DB" w:rsidRDefault="00166212">
      <w:pPr>
        <w:pStyle w:val="RSCH01PaperTitle"/>
        <w:rPr>
          <w:rFonts w:cstheme="minorHAnsi"/>
          <w:color w:val="000000" w:themeColor="text1"/>
        </w:rPr>
      </w:pPr>
      <w:r>
        <w:rPr>
          <w:noProof/>
          <w:lang w:eastAsia="zh-CN"/>
        </w:rPr>
        <mc:AlternateContent>
          <mc:Choice Requires="wps">
            <w:drawing>
              <wp:anchor distT="0" distB="0" distL="114300" distR="114300" simplePos="0" relativeHeight="251683840" behindDoc="1" locked="0" layoutInCell="1" allowOverlap="1" wp14:anchorId="4D3071F4" wp14:editId="554A7CF6">
                <wp:simplePos x="0" y="0"/>
                <wp:positionH relativeFrom="column">
                  <wp:posOffset>6350</wp:posOffset>
                </wp:positionH>
                <wp:positionV relativeFrom="paragraph">
                  <wp:posOffset>922020</wp:posOffset>
                </wp:positionV>
                <wp:extent cx="6501130" cy="1680210"/>
                <wp:effectExtent l="0" t="0" r="1270" b="0"/>
                <wp:wrapTight wrapText="bothSides">
                  <wp:wrapPolygon edited="0">
                    <wp:start x="0" y="0"/>
                    <wp:lineTo x="0" y="21388"/>
                    <wp:lineTo x="21562" y="21388"/>
                    <wp:lineTo x="21562" y="0"/>
                    <wp:lineTo x="0" y="0"/>
                  </wp:wrapPolygon>
                </wp:wrapTight>
                <wp:docPr id="12" name="矩形 12"/>
                <wp:cNvGraphicFramePr/>
                <a:graphic xmlns:a="http://schemas.openxmlformats.org/drawingml/2006/main">
                  <a:graphicData uri="http://schemas.microsoft.com/office/word/2010/wordprocessingShape">
                    <wps:wsp>
                      <wps:cNvSpPr/>
                      <wps:spPr>
                        <a:xfrm>
                          <a:off x="0" y="0"/>
                          <a:ext cx="6501130" cy="1680210"/>
                        </a:xfrm>
                        <a:prstGeom prst="rect">
                          <a:avLst/>
                        </a:prstGeom>
                        <a:solidFill>
                          <a:srgbClr val="E6E2D6"/>
                        </a:solidFill>
                        <a:ln w="25400" cap="flat" cmpd="sng" algn="ctr">
                          <a:noFill/>
                          <a:prstDash val="solid"/>
                        </a:ln>
                        <a:effectLst/>
                      </wps:spPr>
                      <wps:txbx>
                        <w:txbxContent>
                          <w:p w14:paraId="3B86ECD6" w14:textId="77777777" w:rsidR="00FC2A41" w:rsidRDefault="00166212">
                            <w:pPr>
                              <w:spacing w:before="80" w:after="80" w:line="240" w:lineRule="exact"/>
                              <w:rPr>
                                <w:rFonts w:eastAsia="SimSun" w:cstheme="minorHAnsi"/>
                                <w:b/>
                                <w:bCs/>
                                <w:sz w:val="24"/>
                                <w:szCs w:val="24"/>
                                <w:lang w:val="en-US" w:eastAsia="zh-CN"/>
                              </w:rPr>
                            </w:pPr>
                            <w:r>
                              <w:rPr>
                                <w:rFonts w:eastAsia="SimSun" w:cstheme="minorHAnsi"/>
                                <w:b/>
                                <w:bCs/>
                                <w:color w:val="000000"/>
                                <w:sz w:val="18"/>
                                <w:szCs w:val="18"/>
                                <w:lang w:val="en-US" w:eastAsia="zh-CN"/>
                              </w:rPr>
                              <w:t>Broader context</w:t>
                            </w:r>
                          </w:p>
                          <w:p w14:paraId="751AE705" w14:textId="26DBC8AF" w:rsidR="00856AB8" w:rsidRPr="00CA46DB" w:rsidRDefault="00856AB8" w:rsidP="00856AB8">
                            <w:pPr>
                              <w:spacing w:line="260" w:lineRule="exact"/>
                              <w:jc w:val="both"/>
                              <w:rPr>
                                <w:rFonts w:cstheme="minorHAnsi"/>
                                <w:color w:val="000000" w:themeColor="text1"/>
                                <w:sz w:val="15"/>
                                <w:szCs w:val="15"/>
                                <w:lang w:val="en-US"/>
                              </w:rPr>
                            </w:pPr>
                            <w:r w:rsidRPr="00524629">
                              <w:rPr>
                                <w:rFonts w:cstheme="minorHAnsi"/>
                                <w:color w:val="000000" w:themeColor="text1"/>
                                <w:sz w:val="15"/>
                                <w:szCs w:val="15"/>
                              </w:rPr>
                              <w:t>To meet the demands of energy storage for advanced electroni</w:t>
                            </w:r>
                            <w:r w:rsidRPr="00CA46DB">
                              <w:rPr>
                                <w:rFonts w:cstheme="minorHAnsi"/>
                                <w:color w:val="000000" w:themeColor="text1"/>
                                <w:sz w:val="15"/>
                                <w:szCs w:val="15"/>
                              </w:rPr>
                              <w:t xml:space="preserve">cs and electrical systems in severe environment, dielectric materials with high thermotolerance are eagerly required to prepare capacitors. polyimide (PI) attracted lots of attention because of </w:t>
                            </w:r>
                            <w:r w:rsidRPr="00CA46DB">
                              <w:rPr>
                                <w:rFonts w:cstheme="minorHAnsi"/>
                                <w:color w:val="000000" w:themeColor="text1"/>
                                <w:sz w:val="15"/>
                                <w:szCs w:val="15"/>
                                <w:lang w:eastAsia="zh-CN"/>
                              </w:rPr>
                              <w:t>its</w:t>
                            </w:r>
                            <w:r w:rsidRPr="00CA46DB">
                              <w:rPr>
                                <w:rFonts w:cstheme="minorHAnsi"/>
                                <w:color w:val="000000" w:themeColor="text1"/>
                                <w:sz w:val="15"/>
                                <w:szCs w:val="15"/>
                              </w:rPr>
                              <w:t xml:space="preserve"> high breakdown strength, excellent heat-resistan</w:t>
                            </w:r>
                            <w:r w:rsidRPr="00CA46DB">
                              <w:rPr>
                                <w:rFonts w:cstheme="minorHAnsi" w:hint="eastAsia"/>
                                <w:color w:val="000000" w:themeColor="text1"/>
                                <w:sz w:val="15"/>
                                <w:szCs w:val="15"/>
                                <w:lang w:eastAsia="zh-CN"/>
                              </w:rPr>
                              <w:t>ce</w:t>
                            </w:r>
                            <w:r w:rsidRPr="00CA46DB">
                              <w:rPr>
                                <w:rFonts w:cstheme="minorHAnsi"/>
                                <w:color w:val="000000" w:themeColor="text1"/>
                                <w:sz w:val="15"/>
                                <w:szCs w:val="15"/>
                              </w:rPr>
                              <w:t xml:space="preserve">, simple synthesis process and easy designability of molecular structure, which makes it a great potential high-temperature dielectric material. Depending on the different applications, reactive monomers can be selected to provide groups with special functions (e.g. low </w:t>
                            </w:r>
                            <w:r w:rsidR="00AC6B5E" w:rsidRPr="00CA46DB">
                              <w:rPr>
                                <w:rFonts w:cstheme="minorHAnsi"/>
                                <w:color w:val="000000" w:themeColor="text1"/>
                                <w:sz w:val="15"/>
                                <w:szCs w:val="15"/>
                              </w:rPr>
                              <w:t>dielectric loss</w:t>
                            </w:r>
                            <w:r w:rsidRPr="00CA46DB">
                              <w:rPr>
                                <w:rFonts w:cstheme="minorHAnsi"/>
                                <w:color w:val="000000" w:themeColor="text1"/>
                                <w:sz w:val="15"/>
                                <w:szCs w:val="15"/>
                              </w:rPr>
                              <w:t xml:space="preserve">). Various </w:t>
                            </w:r>
                            <w:r w:rsidRPr="00CA46DB">
                              <w:rPr>
                                <w:rFonts w:cstheme="minorHAnsi"/>
                                <w:color w:val="000000" w:themeColor="text1"/>
                                <w:sz w:val="15"/>
                                <w:szCs w:val="15"/>
                                <w:lang w:eastAsia="zh-CN"/>
                              </w:rPr>
                              <w:t>n</w:t>
                            </w:r>
                            <w:r w:rsidRPr="00CA46DB">
                              <w:rPr>
                                <w:rFonts w:cstheme="minorHAnsi"/>
                                <w:color w:val="000000" w:themeColor="text1"/>
                                <w:sz w:val="15"/>
                                <w:szCs w:val="15"/>
                              </w:rPr>
                              <w:t>anofillers were also used to improve the dielectric properties of PI, together with the design engineering of nanofillers and multilayer structures in the PI matrix. Here</w:t>
                            </w:r>
                            <w:r w:rsidRPr="00CA46DB">
                              <w:rPr>
                                <w:rFonts w:cstheme="minorHAnsi" w:hint="eastAsia"/>
                                <w:color w:val="000000" w:themeColor="text1"/>
                                <w:sz w:val="15"/>
                                <w:szCs w:val="15"/>
                                <w:lang w:eastAsia="zh-CN"/>
                              </w:rPr>
                              <w:t>in</w:t>
                            </w:r>
                            <w:r w:rsidRPr="00CA46DB">
                              <w:rPr>
                                <w:rFonts w:cstheme="minorHAnsi"/>
                                <w:color w:val="000000" w:themeColor="text1"/>
                                <w:sz w:val="15"/>
                                <w:szCs w:val="15"/>
                              </w:rPr>
                              <w:t>, recent progress</w:t>
                            </w:r>
                            <w:r w:rsidRPr="00CA46DB">
                              <w:rPr>
                                <w:rFonts w:cstheme="minorHAnsi" w:hint="eastAsia"/>
                                <w:color w:val="000000" w:themeColor="text1"/>
                                <w:sz w:val="15"/>
                                <w:szCs w:val="15"/>
                                <w:lang w:eastAsia="zh-CN"/>
                              </w:rPr>
                              <w:t>es</w:t>
                            </w:r>
                            <w:r w:rsidRPr="00CA46DB">
                              <w:rPr>
                                <w:rFonts w:cstheme="minorHAnsi"/>
                                <w:color w:val="000000" w:themeColor="text1"/>
                                <w:sz w:val="15"/>
                                <w:szCs w:val="15"/>
                              </w:rPr>
                              <w:t xml:space="preserve"> in </w:t>
                            </w:r>
                            <w:r w:rsidRPr="00CA46DB">
                              <w:rPr>
                                <w:rFonts w:cstheme="minorHAnsi"/>
                                <w:color w:val="000000" w:themeColor="text1"/>
                                <w:sz w:val="15"/>
                                <w:szCs w:val="15"/>
                                <w:lang w:eastAsia="zh-CN"/>
                              </w:rPr>
                              <w:t>a</w:t>
                            </w:r>
                            <w:r w:rsidRPr="00CA46DB">
                              <w:rPr>
                                <w:rFonts w:cstheme="minorHAnsi"/>
                                <w:color w:val="000000" w:themeColor="text1"/>
                                <w:sz w:val="15"/>
                                <w:szCs w:val="15"/>
                              </w:rPr>
                              <w:t xml:space="preserve">ll-organic PI dielectrics and PI nanocomposites dielectrics </w:t>
                            </w:r>
                            <w:r w:rsidRPr="00CA46DB">
                              <w:rPr>
                                <w:rFonts w:cstheme="minorHAnsi" w:hint="eastAsia"/>
                                <w:color w:val="000000" w:themeColor="text1"/>
                                <w:sz w:val="15"/>
                                <w:szCs w:val="15"/>
                                <w:lang w:eastAsia="zh-CN"/>
                              </w:rPr>
                              <w:t>were</w:t>
                            </w:r>
                            <w:r w:rsidRPr="00CA46DB">
                              <w:rPr>
                                <w:rFonts w:cstheme="minorHAnsi"/>
                                <w:color w:val="000000" w:themeColor="text1"/>
                                <w:sz w:val="15"/>
                                <w:szCs w:val="15"/>
                                <w:lang w:eastAsia="zh-CN"/>
                              </w:rPr>
                              <w:t xml:space="preserve"> discussed</w:t>
                            </w:r>
                            <w:r w:rsidRPr="00CA46DB">
                              <w:rPr>
                                <w:rFonts w:cstheme="minorHAnsi"/>
                                <w:color w:val="000000" w:themeColor="text1"/>
                                <w:sz w:val="15"/>
                                <w:szCs w:val="15"/>
                              </w:rPr>
                              <w:t xml:space="preserve">. The </w:t>
                            </w:r>
                            <w:r w:rsidRPr="00CA46DB">
                              <w:rPr>
                                <w:rFonts w:cstheme="minorHAnsi" w:hint="eastAsia"/>
                                <w:color w:val="000000" w:themeColor="text1"/>
                                <w:sz w:val="15"/>
                                <w:szCs w:val="15"/>
                                <w:lang w:eastAsia="zh-CN"/>
                              </w:rPr>
                              <w:t>t</w:t>
                            </w:r>
                            <w:r w:rsidRPr="00CA46DB">
                              <w:rPr>
                                <w:rFonts w:cstheme="minorHAnsi"/>
                                <w:color w:val="000000" w:themeColor="text1"/>
                                <w:sz w:val="15"/>
                                <w:szCs w:val="15"/>
                              </w:rPr>
                              <w:t xml:space="preserve">echnological challenges and future developments for high temperature capacitor materials </w:t>
                            </w:r>
                            <w:r w:rsidRPr="00CA46DB">
                              <w:rPr>
                                <w:rFonts w:cstheme="minorHAnsi"/>
                                <w:color w:val="000000" w:themeColor="text1"/>
                                <w:sz w:val="15"/>
                                <w:szCs w:val="15"/>
                                <w:lang w:eastAsia="zh-CN"/>
                              </w:rPr>
                              <w:t>are</w:t>
                            </w:r>
                            <w:r w:rsidRPr="00CA46DB">
                              <w:rPr>
                                <w:rFonts w:cstheme="minorHAnsi"/>
                                <w:color w:val="000000" w:themeColor="text1"/>
                                <w:sz w:val="15"/>
                                <w:szCs w:val="15"/>
                              </w:rPr>
                              <w:t xml:space="preserve"> analy</w:t>
                            </w:r>
                            <w:r w:rsidRPr="00CA46DB">
                              <w:rPr>
                                <w:rFonts w:cstheme="minorHAnsi" w:hint="eastAsia"/>
                                <w:color w:val="000000" w:themeColor="text1"/>
                                <w:sz w:val="15"/>
                                <w:szCs w:val="15"/>
                                <w:lang w:eastAsia="zh-CN"/>
                              </w:rPr>
                              <w:t>s</w:t>
                            </w:r>
                            <w:r w:rsidRPr="00CA46DB">
                              <w:rPr>
                                <w:rFonts w:cstheme="minorHAnsi"/>
                                <w:color w:val="000000" w:themeColor="text1"/>
                                <w:sz w:val="15"/>
                                <w:szCs w:val="15"/>
                              </w:rPr>
                              <w:t xml:space="preserve">ed. This review will provide directions for the design and practical </w:t>
                            </w:r>
                            <w:r w:rsidR="00AC6B5E" w:rsidRPr="00AC6B5E">
                              <w:rPr>
                                <w:rFonts w:cstheme="minorHAnsi"/>
                                <w:color w:val="000000" w:themeColor="text1"/>
                                <w:sz w:val="15"/>
                                <w:szCs w:val="15"/>
                              </w:rPr>
                              <w:t>application</w:t>
                            </w:r>
                            <w:r w:rsidRPr="00CA46DB">
                              <w:rPr>
                                <w:rFonts w:cstheme="minorHAnsi"/>
                                <w:color w:val="000000" w:themeColor="text1"/>
                                <w:sz w:val="15"/>
                                <w:szCs w:val="15"/>
                              </w:rPr>
                              <w:t xml:space="preserve"> of high-temperature energy storage materials of dielectric capacitors.</w:t>
                            </w:r>
                          </w:p>
                          <w:p w14:paraId="1364E696" w14:textId="77777777" w:rsidR="00FC2A41" w:rsidRDefault="00FC2A4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4D3071F4" id="矩形 12" o:spid="_x0000_s1027" style="position:absolute;margin-left:.5pt;margin-top:72.6pt;width:511.9pt;height:132.3pt;z-index:-25163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" fillcolor="#e6e2d6" stroked="f" strokeweight="2pt">
                <v:textbox>
                  <w:txbxContent>
                    <w:p w14:paraId="3B86ECD6" w14:textId="77777777" w:rsidR="00FC2A41" w:rsidRDefault="00166212">
                      <w:pPr>
                        <w:spacing w:before="80" w:after="80" w:line="240" w:lineRule="exact"/>
                        <w:rPr>
                          <w:rFonts w:eastAsia="SimSun" w:cstheme="minorHAnsi"/>
                          <w:b/>
                          <w:bCs/>
                          <w:sz w:val="24"/>
                          <w:szCs w:val="24"/>
                          <w:lang w:val="en-US" w:eastAsia="zh-CN"/>
                        </w:rPr>
                      </w:pPr>
                      <w:r>
                        <w:rPr>
                          <w:rFonts w:eastAsia="SimSun" w:cstheme="minorHAnsi"/>
                          <w:b/>
                          <w:bCs/>
                          <w:color w:val="000000"/>
                          <w:sz w:val="18"/>
                          <w:szCs w:val="18"/>
                          <w:lang w:val="en-US" w:eastAsia="zh-CN"/>
                        </w:rPr>
                        <w:t>Broader context</w:t>
                      </w:r>
                    </w:p>
                    <w:p w14:paraId="751AE705" w14:textId="26DBC8AF" w:rsidR="00856AB8" w:rsidRPr="00CA46DB" w:rsidRDefault="00856AB8" w:rsidP="00856AB8">
                      <w:pPr>
                        <w:spacing w:line="260" w:lineRule="exact"/>
                        <w:jc w:val="both"/>
                        <w:rPr>
                          <w:rFonts w:cstheme="minorHAnsi"/>
                          <w:color w:val="000000" w:themeColor="text1"/>
                          <w:sz w:val="15"/>
                          <w:szCs w:val="15"/>
                          <w:lang w:val="en-US"/>
                        </w:rPr>
                      </w:pPr>
                      <w:r w:rsidRPr="00524629">
                        <w:rPr>
                          <w:rFonts w:cstheme="minorHAnsi"/>
                          <w:color w:val="000000" w:themeColor="text1"/>
                          <w:sz w:val="15"/>
                          <w:szCs w:val="15"/>
                        </w:rPr>
                        <w:t>To meet the demands of energy storage for advanced electroni</w:t>
                      </w:r>
                      <w:r w:rsidRPr="00CA46DB">
                        <w:rPr>
                          <w:rFonts w:cstheme="minorHAnsi"/>
                          <w:color w:val="000000" w:themeColor="text1"/>
                          <w:sz w:val="15"/>
                          <w:szCs w:val="15"/>
                        </w:rPr>
                        <w:t xml:space="preserve">cs and electrical systems in severe environment, dielectric materials with high thermotolerance are eagerly required to prepare capacitors. polyimide (PI) attracted lots of attention because of </w:t>
                      </w:r>
                      <w:r w:rsidRPr="00CA46DB">
                        <w:rPr>
                          <w:rFonts w:cstheme="minorHAnsi"/>
                          <w:color w:val="000000" w:themeColor="text1"/>
                          <w:sz w:val="15"/>
                          <w:szCs w:val="15"/>
                          <w:lang w:eastAsia="zh-CN"/>
                        </w:rPr>
                        <w:t>its</w:t>
                      </w:r>
                      <w:r w:rsidRPr="00CA46DB">
                        <w:rPr>
                          <w:rFonts w:cstheme="minorHAnsi"/>
                          <w:color w:val="000000" w:themeColor="text1"/>
                          <w:sz w:val="15"/>
                          <w:szCs w:val="15"/>
                        </w:rPr>
                        <w:t xml:space="preserve"> high breakdown strength, excellent heat-resistan</w:t>
                      </w:r>
                      <w:r w:rsidRPr="00CA46DB">
                        <w:rPr>
                          <w:rFonts w:cstheme="minorHAnsi" w:hint="eastAsia"/>
                          <w:color w:val="000000" w:themeColor="text1"/>
                          <w:sz w:val="15"/>
                          <w:szCs w:val="15"/>
                          <w:lang w:eastAsia="zh-CN"/>
                        </w:rPr>
                        <w:t>ce</w:t>
                      </w:r>
                      <w:r w:rsidRPr="00CA46DB">
                        <w:rPr>
                          <w:rFonts w:cstheme="minorHAnsi"/>
                          <w:color w:val="000000" w:themeColor="text1"/>
                          <w:sz w:val="15"/>
                          <w:szCs w:val="15"/>
                        </w:rPr>
                        <w:t xml:space="preserve">, simple synthesis process and easy designability of molecular structure, which makes it a great potential high-temperature dielectric material. Depending on the different applications, reactive monomers can be selected to provide groups with special functions (e.g. low </w:t>
                      </w:r>
                      <w:r w:rsidR="00AC6B5E" w:rsidRPr="00CA46DB">
                        <w:rPr>
                          <w:rFonts w:cstheme="minorHAnsi"/>
                          <w:color w:val="000000" w:themeColor="text1"/>
                          <w:sz w:val="15"/>
                          <w:szCs w:val="15"/>
                        </w:rPr>
                        <w:t>dielectric loss</w:t>
                      </w:r>
                      <w:r w:rsidRPr="00CA46DB">
                        <w:rPr>
                          <w:rFonts w:cstheme="minorHAnsi"/>
                          <w:color w:val="000000" w:themeColor="text1"/>
                          <w:sz w:val="15"/>
                          <w:szCs w:val="15"/>
                        </w:rPr>
                        <w:t xml:space="preserve">). Various </w:t>
                      </w:r>
                      <w:r w:rsidRPr="00CA46DB">
                        <w:rPr>
                          <w:rFonts w:cstheme="minorHAnsi"/>
                          <w:color w:val="000000" w:themeColor="text1"/>
                          <w:sz w:val="15"/>
                          <w:szCs w:val="15"/>
                          <w:lang w:eastAsia="zh-CN"/>
                        </w:rPr>
                        <w:t>n</w:t>
                      </w:r>
                      <w:r w:rsidRPr="00CA46DB">
                        <w:rPr>
                          <w:rFonts w:cstheme="minorHAnsi"/>
                          <w:color w:val="000000" w:themeColor="text1"/>
                          <w:sz w:val="15"/>
                          <w:szCs w:val="15"/>
                        </w:rPr>
                        <w:t>anofillers were also used to improve the dielectric properties of PI, together with the design engineering of nanofillers and multilayer structures in the PI matrix. Here</w:t>
                      </w:r>
                      <w:r w:rsidRPr="00CA46DB">
                        <w:rPr>
                          <w:rFonts w:cstheme="minorHAnsi" w:hint="eastAsia"/>
                          <w:color w:val="000000" w:themeColor="text1"/>
                          <w:sz w:val="15"/>
                          <w:szCs w:val="15"/>
                          <w:lang w:eastAsia="zh-CN"/>
                        </w:rPr>
                        <w:t>in</w:t>
                      </w:r>
                      <w:r w:rsidRPr="00CA46DB">
                        <w:rPr>
                          <w:rFonts w:cstheme="minorHAnsi"/>
                          <w:color w:val="000000" w:themeColor="text1"/>
                          <w:sz w:val="15"/>
                          <w:szCs w:val="15"/>
                        </w:rPr>
                        <w:t>, recent progress</w:t>
                      </w:r>
                      <w:r w:rsidRPr="00CA46DB">
                        <w:rPr>
                          <w:rFonts w:cstheme="minorHAnsi" w:hint="eastAsia"/>
                          <w:color w:val="000000" w:themeColor="text1"/>
                          <w:sz w:val="15"/>
                          <w:szCs w:val="15"/>
                          <w:lang w:eastAsia="zh-CN"/>
                        </w:rPr>
                        <w:t>es</w:t>
                      </w:r>
                      <w:r w:rsidRPr="00CA46DB">
                        <w:rPr>
                          <w:rFonts w:cstheme="minorHAnsi"/>
                          <w:color w:val="000000" w:themeColor="text1"/>
                          <w:sz w:val="15"/>
                          <w:szCs w:val="15"/>
                        </w:rPr>
                        <w:t xml:space="preserve"> in </w:t>
                      </w:r>
                      <w:r w:rsidRPr="00CA46DB">
                        <w:rPr>
                          <w:rFonts w:cstheme="minorHAnsi"/>
                          <w:color w:val="000000" w:themeColor="text1"/>
                          <w:sz w:val="15"/>
                          <w:szCs w:val="15"/>
                          <w:lang w:eastAsia="zh-CN"/>
                        </w:rPr>
                        <w:t>a</w:t>
                      </w:r>
                      <w:r w:rsidRPr="00CA46DB">
                        <w:rPr>
                          <w:rFonts w:cstheme="minorHAnsi"/>
                          <w:color w:val="000000" w:themeColor="text1"/>
                          <w:sz w:val="15"/>
                          <w:szCs w:val="15"/>
                        </w:rPr>
                        <w:t xml:space="preserve">ll-organic PI dielectrics and PI nanocomposites dielectrics </w:t>
                      </w:r>
                      <w:r w:rsidRPr="00CA46DB">
                        <w:rPr>
                          <w:rFonts w:cstheme="minorHAnsi" w:hint="eastAsia"/>
                          <w:color w:val="000000" w:themeColor="text1"/>
                          <w:sz w:val="15"/>
                          <w:szCs w:val="15"/>
                          <w:lang w:eastAsia="zh-CN"/>
                        </w:rPr>
                        <w:t>were</w:t>
                      </w:r>
                      <w:r w:rsidRPr="00CA46DB">
                        <w:rPr>
                          <w:rFonts w:cstheme="minorHAnsi"/>
                          <w:color w:val="000000" w:themeColor="text1"/>
                          <w:sz w:val="15"/>
                          <w:szCs w:val="15"/>
                          <w:lang w:eastAsia="zh-CN"/>
                        </w:rPr>
                        <w:t xml:space="preserve"> discussed</w:t>
                      </w:r>
                      <w:r w:rsidRPr="00CA46DB">
                        <w:rPr>
                          <w:rFonts w:cstheme="minorHAnsi"/>
                          <w:color w:val="000000" w:themeColor="text1"/>
                          <w:sz w:val="15"/>
                          <w:szCs w:val="15"/>
                        </w:rPr>
                        <w:t xml:space="preserve">. The </w:t>
                      </w:r>
                      <w:r w:rsidRPr="00CA46DB">
                        <w:rPr>
                          <w:rFonts w:cstheme="minorHAnsi" w:hint="eastAsia"/>
                          <w:color w:val="000000" w:themeColor="text1"/>
                          <w:sz w:val="15"/>
                          <w:szCs w:val="15"/>
                          <w:lang w:eastAsia="zh-CN"/>
                        </w:rPr>
                        <w:t>t</w:t>
                      </w:r>
                      <w:r w:rsidRPr="00CA46DB">
                        <w:rPr>
                          <w:rFonts w:cstheme="minorHAnsi"/>
                          <w:color w:val="000000" w:themeColor="text1"/>
                          <w:sz w:val="15"/>
                          <w:szCs w:val="15"/>
                        </w:rPr>
                        <w:t xml:space="preserve">echnological challenges and future developments for high temperature capacitor materials </w:t>
                      </w:r>
                      <w:r w:rsidRPr="00CA46DB">
                        <w:rPr>
                          <w:rFonts w:cstheme="minorHAnsi"/>
                          <w:color w:val="000000" w:themeColor="text1"/>
                          <w:sz w:val="15"/>
                          <w:szCs w:val="15"/>
                          <w:lang w:eastAsia="zh-CN"/>
                        </w:rPr>
                        <w:t>are</w:t>
                      </w:r>
                      <w:r w:rsidRPr="00CA46DB">
                        <w:rPr>
                          <w:rFonts w:cstheme="minorHAnsi"/>
                          <w:color w:val="000000" w:themeColor="text1"/>
                          <w:sz w:val="15"/>
                          <w:szCs w:val="15"/>
                        </w:rPr>
                        <w:t xml:space="preserve"> analy</w:t>
                      </w:r>
                      <w:r w:rsidRPr="00CA46DB">
                        <w:rPr>
                          <w:rFonts w:cstheme="minorHAnsi" w:hint="eastAsia"/>
                          <w:color w:val="000000" w:themeColor="text1"/>
                          <w:sz w:val="15"/>
                          <w:szCs w:val="15"/>
                          <w:lang w:eastAsia="zh-CN"/>
                        </w:rPr>
                        <w:t>s</w:t>
                      </w:r>
                      <w:r w:rsidRPr="00CA46DB">
                        <w:rPr>
                          <w:rFonts w:cstheme="minorHAnsi"/>
                          <w:color w:val="000000" w:themeColor="text1"/>
                          <w:sz w:val="15"/>
                          <w:szCs w:val="15"/>
                        </w:rPr>
                        <w:t xml:space="preserve">ed. This review will provide directions for the design and practical </w:t>
                      </w:r>
                      <w:r w:rsidR="00AC6B5E" w:rsidRPr="00AC6B5E">
                        <w:rPr>
                          <w:rFonts w:cstheme="minorHAnsi"/>
                          <w:color w:val="000000" w:themeColor="text1"/>
                          <w:sz w:val="15"/>
                          <w:szCs w:val="15"/>
                        </w:rPr>
                        <w:t>application</w:t>
                      </w:r>
                      <w:r w:rsidRPr="00CA46DB">
                        <w:rPr>
                          <w:rFonts w:cstheme="minorHAnsi"/>
                          <w:color w:val="000000" w:themeColor="text1"/>
                          <w:sz w:val="15"/>
                          <w:szCs w:val="15"/>
                        </w:rPr>
                        <w:t xml:space="preserve"> of high-temperature energy storage materials of dielectric capacitors.</w:t>
                      </w:r>
                    </w:p>
                    <w:p w14:paraId="1364E696" w14:textId="77777777" w:rsidR="00FC2A41" w:rsidRDefault="00FC2A41">
                      <w:pPr>
                        <w:jc w:val="center"/>
                      </w:pPr>
                    </w:p>
                  </w:txbxContent>
                </v:textbox>
                <w10:wrap type="tight"/>
              </v:rect>
            </w:pict>
          </mc:Fallback>
        </mc:AlternateContent>
      </w:r>
      <w:r>
        <w:br w:type="column"/>
      </w:r>
      <w:r w:rsidRPr="00CA46DB">
        <w:rPr>
          <w:rFonts w:cstheme="minorHAnsi"/>
          <w:color w:val="000000" w:themeColor="text1"/>
        </w:rPr>
        <w:t xml:space="preserve">High-Temperature Polyimide Dielectric Materials for Energy Storage: Theory, Design, Preparation and Properties </w:t>
      </w:r>
    </w:p>
    <w:p w14:paraId="435EB15F" w14:textId="77777777" w:rsidR="00FC2A41" w:rsidRPr="00CA46DB" w:rsidRDefault="00166212">
      <w:pPr>
        <w:pStyle w:val="RSCB01ARTAbstract"/>
        <w:rPr>
          <w:rFonts w:cstheme="minorHAnsi"/>
          <w:color w:val="000000" w:themeColor="text1"/>
          <w:sz w:val="20"/>
          <w:vertAlign w:val="superscript"/>
        </w:rPr>
      </w:pPr>
      <w:r w:rsidRPr="00CA46DB">
        <w:rPr>
          <w:rFonts w:cstheme="minorHAnsi"/>
          <w:color w:val="000000" w:themeColor="text1"/>
          <w:sz w:val="20"/>
        </w:rPr>
        <w:t>Xue-Jie Liu,</w:t>
      </w:r>
      <w:r w:rsidRPr="00CA46DB">
        <w:rPr>
          <w:rFonts w:cstheme="minorHAnsi"/>
          <w:color w:val="000000" w:themeColor="text1"/>
          <w:sz w:val="20"/>
          <w:vertAlign w:val="superscript"/>
        </w:rPr>
        <w:t>a</w:t>
      </w:r>
      <w:r w:rsidRPr="00CA46DB">
        <w:rPr>
          <w:rFonts w:cstheme="minorHAnsi"/>
          <w:color w:val="000000" w:themeColor="text1"/>
          <w:sz w:val="20"/>
        </w:rPr>
        <w:t xml:space="preserve"> Ming-Sheng Zheng</w:t>
      </w:r>
      <w:r w:rsidRPr="00CA46DB">
        <w:rPr>
          <w:rFonts w:cstheme="minorHAnsi"/>
          <w:color w:val="000000" w:themeColor="text1"/>
          <w:sz w:val="20"/>
          <w:lang w:eastAsia="zh-CN"/>
        </w:rPr>
        <w:t>,</w:t>
      </w:r>
      <w:r w:rsidRPr="00CA46DB">
        <w:rPr>
          <w:rFonts w:cstheme="minorHAnsi"/>
          <w:color w:val="000000" w:themeColor="text1"/>
          <w:sz w:val="20"/>
        </w:rPr>
        <w:t>*</w:t>
      </w:r>
      <w:r w:rsidRPr="00CA46DB">
        <w:rPr>
          <w:rFonts w:cstheme="minorHAnsi"/>
          <w:color w:val="000000" w:themeColor="text1"/>
          <w:sz w:val="20"/>
          <w:vertAlign w:val="superscript"/>
        </w:rPr>
        <w:t>a</w:t>
      </w:r>
      <w:r w:rsidRPr="00CA46DB">
        <w:rPr>
          <w:rFonts w:cstheme="minorHAnsi"/>
          <w:color w:val="000000" w:themeColor="text1"/>
          <w:sz w:val="20"/>
        </w:rPr>
        <w:t xml:space="preserve"> George Chen,</w:t>
      </w:r>
      <w:r w:rsidRPr="00CA46DB">
        <w:rPr>
          <w:rFonts w:cstheme="minorHAnsi"/>
          <w:color w:val="000000" w:themeColor="text1"/>
          <w:sz w:val="20"/>
          <w:vertAlign w:val="superscript"/>
        </w:rPr>
        <w:t>b</w:t>
      </w:r>
      <w:r w:rsidRPr="00CA46DB">
        <w:rPr>
          <w:rFonts w:cstheme="minorHAnsi"/>
          <w:color w:val="000000" w:themeColor="text1"/>
          <w:sz w:val="20"/>
        </w:rPr>
        <w:t xml:space="preserve"> Zhi-Min Dang</w:t>
      </w:r>
      <w:r w:rsidRPr="00CA46DB">
        <w:rPr>
          <w:rFonts w:cstheme="minorHAnsi"/>
          <w:color w:val="000000" w:themeColor="text1"/>
          <w:sz w:val="20"/>
          <w:vertAlign w:val="superscript"/>
        </w:rPr>
        <w:t xml:space="preserve"> </w:t>
      </w:r>
      <w:r w:rsidRPr="00CA46DB">
        <w:rPr>
          <w:rFonts w:cstheme="minorHAnsi"/>
          <w:color w:val="000000" w:themeColor="text1"/>
          <w:sz w:val="20"/>
        </w:rPr>
        <w:t>*</w:t>
      </w:r>
      <w:r w:rsidRPr="00CA46DB">
        <w:rPr>
          <w:rFonts w:cstheme="minorHAnsi"/>
          <w:color w:val="000000" w:themeColor="text1"/>
          <w:sz w:val="20"/>
          <w:vertAlign w:val="superscript"/>
        </w:rPr>
        <w:t>c</w:t>
      </w:r>
      <w:r w:rsidRPr="00CA46DB">
        <w:rPr>
          <w:rFonts w:cstheme="minorHAnsi"/>
          <w:color w:val="000000" w:themeColor="text1"/>
          <w:sz w:val="20"/>
        </w:rPr>
        <w:t xml:space="preserve"> and Jun-Wei Zha</w:t>
      </w:r>
      <w:r w:rsidRPr="00CA46DB">
        <w:rPr>
          <w:rFonts w:cstheme="minorHAnsi"/>
          <w:color w:val="000000" w:themeColor="text1"/>
          <w:sz w:val="20"/>
          <w:vertAlign w:val="superscript"/>
        </w:rPr>
        <w:t xml:space="preserve"> </w:t>
      </w:r>
      <w:r w:rsidRPr="00CA46DB">
        <w:rPr>
          <w:rFonts w:cstheme="minorHAnsi"/>
          <w:color w:val="000000" w:themeColor="text1"/>
          <w:sz w:val="20"/>
        </w:rPr>
        <w:t>*</w:t>
      </w:r>
      <w:r w:rsidRPr="00CA46DB">
        <w:rPr>
          <w:rFonts w:cstheme="minorHAnsi"/>
          <w:color w:val="000000" w:themeColor="text1"/>
          <w:sz w:val="20"/>
          <w:vertAlign w:val="superscript"/>
        </w:rPr>
        <w:t>a,d</w:t>
      </w:r>
    </w:p>
    <w:p w14:paraId="56BF7F6B" w14:textId="54657B31" w:rsidR="00FC2A41" w:rsidRPr="00CA46DB" w:rsidRDefault="00166212" w:rsidP="00D825A5">
      <w:pPr>
        <w:spacing w:line="240" w:lineRule="exact"/>
        <w:jc w:val="both"/>
        <w:rPr>
          <w:color w:val="000000" w:themeColor="text1"/>
          <w:lang w:eastAsia="zh-CN"/>
        </w:rPr>
      </w:pPr>
      <w:r w:rsidRPr="00CA46DB">
        <w:rPr>
          <w:rFonts w:cstheme="minorHAnsi"/>
          <w:color w:val="000000" w:themeColor="text1"/>
          <w:sz w:val="18"/>
          <w:szCs w:val="18"/>
        </w:rPr>
        <w:t xml:space="preserve">The high operating temperature of dielectric capacitors applied in electric vehicles, aerospace and underground exploration require dielectric materials with high temperature resistance and high </w:t>
      </w:r>
      <w:r w:rsidRPr="00CA46DB">
        <w:rPr>
          <w:rFonts w:cstheme="minorHAnsi" w:hint="eastAsia"/>
          <w:color w:val="000000" w:themeColor="text1"/>
          <w:sz w:val="18"/>
          <w:szCs w:val="18"/>
          <w:lang w:eastAsia="zh-CN"/>
        </w:rPr>
        <w:t>energy density</w:t>
      </w:r>
      <w:r w:rsidRPr="00CA46DB">
        <w:rPr>
          <w:rFonts w:cstheme="minorHAnsi"/>
          <w:color w:val="000000" w:themeColor="text1"/>
          <w:sz w:val="18"/>
          <w:szCs w:val="18"/>
        </w:rPr>
        <w:t xml:space="preserve">. Polyimide (PI) </w:t>
      </w:r>
      <w:bookmarkStart w:id="1" w:name="OLE_LINK3"/>
      <w:bookmarkStart w:id="2" w:name="OLE_LINK4"/>
      <w:r w:rsidRPr="00CA46DB">
        <w:rPr>
          <w:rFonts w:cstheme="minorHAnsi"/>
          <w:color w:val="000000" w:themeColor="text1"/>
          <w:sz w:val="18"/>
          <w:szCs w:val="18"/>
        </w:rPr>
        <w:t>turn</w:t>
      </w:r>
      <w:bookmarkEnd w:id="1"/>
      <w:bookmarkEnd w:id="2"/>
      <w:r w:rsidRPr="00CA46DB">
        <w:rPr>
          <w:rFonts w:cstheme="minorHAnsi"/>
          <w:color w:val="000000" w:themeColor="text1"/>
          <w:sz w:val="18"/>
          <w:szCs w:val="18"/>
        </w:rPr>
        <w:t>s out to be a potential dielectric material for capacitors applications at high temperature. In this review, the key parameters related to high temperature resistance and energy storage characteristics were introduced and recent developments in all-organic PI dielectrics and PI-matrix dielectric nanocomposites were discussed. Synthetic strategies of new functional PI via modification at the molecular level together with the design engineering of nanofillers and multilayer structures of PIs were also analy</w:t>
      </w:r>
      <w:r w:rsidRPr="00CA46DB">
        <w:rPr>
          <w:rFonts w:cstheme="minorHAnsi" w:hint="eastAsia"/>
          <w:color w:val="000000" w:themeColor="text1"/>
          <w:sz w:val="18"/>
          <w:szCs w:val="18"/>
          <w:lang w:eastAsia="zh-CN"/>
        </w:rPr>
        <w:t>s</w:t>
      </w:r>
      <w:r w:rsidRPr="00CA46DB">
        <w:rPr>
          <w:rFonts w:cstheme="minorHAnsi"/>
          <w:color w:val="000000" w:themeColor="text1"/>
          <w:sz w:val="18"/>
          <w:szCs w:val="18"/>
        </w:rPr>
        <w:t>ed. Finally, a systematic summary of the current challenges and future developments for capacitor materials used at high temperatures were presented</w:t>
      </w:r>
      <w:r w:rsidR="00EB55DC">
        <w:rPr>
          <w:rFonts w:cstheme="minorHAnsi" w:hint="eastAsia"/>
          <w:color w:val="000000" w:themeColor="text1"/>
          <w:sz w:val="18"/>
          <w:szCs w:val="18"/>
          <w:lang w:eastAsia="zh-CN"/>
        </w:rPr>
        <w:t>.</w:t>
      </w:r>
    </w:p>
    <w:p w14:paraId="0B880783" w14:textId="77777777" w:rsidR="00FC2A41" w:rsidRPr="00CA46DB" w:rsidRDefault="00FC2A41">
      <w:pPr>
        <w:pStyle w:val="RSCB01ARTAbstract"/>
        <w:rPr>
          <w:rFonts w:cstheme="minorHAnsi"/>
          <w:color w:val="000000" w:themeColor="text1"/>
          <w:lang w:eastAsia="zh-CN"/>
        </w:rPr>
        <w:sectPr w:rsidR="00FC2A41" w:rsidRPr="00CA46DB">
          <w:headerReference w:type="even" r:id="rId9"/>
          <w:headerReference w:type="default" r:id="rId10"/>
          <w:footerReference w:type="even" r:id="rId11"/>
          <w:footerReference w:type="default" r:id="rId12"/>
          <w:headerReference w:type="first" r:id="rId13"/>
          <w:footerReference w:type="first" r:id="rId14"/>
          <w:pgSz w:w="11907" w:h="16840"/>
          <w:pgMar w:top="1009" w:right="851" w:bottom="1758" w:left="851" w:header="851" w:footer="1049" w:gutter="0"/>
          <w:cols w:num="2" w:space="720" w:equalWidth="0">
            <w:col w:w="1985" w:space="227"/>
            <w:col w:w="7993"/>
          </w:cols>
          <w:titlePg/>
          <w:docGrid w:linePitch="360"/>
        </w:sectPr>
      </w:pPr>
    </w:p>
    <w:p w14:paraId="7C94E5AF" w14:textId="77777777" w:rsidR="00FC2A41" w:rsidRPr="00CA46DB" w:rsidRDefault="00166212">
      <w:pPr>
        <w:pStyle w:val="RSCB04AHeadingSection"/>
        <w:rPr>
          <w:rFonts w:cstheme="minorHAnsi"/>
          <w:color w:val="000000" w:themeColor="text1"/>
        </w:rPr>
      </w:pPr>
      <w:r w:rsidRPr="00CA46DB">
        <w:rPr>
          <w:rFonts w:cstheme="minorHAnsi"/>
          <w:color w:val="000000" w:themeColor="text1"/>
        </w:rPr>
        <w:t>1. Introduction</w:t>
      </w:r>
    </w:p>
    <w:p w14:paraId="773C5425" w14:textId="77777777" w:rsidR="00FC2A41" w:rsidRPr="00CA46DB" w:rsidRDefault="00166212">
      <w:pPr>
        <w:tabs>
          <w:tab w:val="left" w:pos="3462"/>
        </w:tabs>
        <w:spacing w:after="0" w:line="240" w:lineRule="exact"/>
        <w:jc w:val="both"/>
        <w:rPr>
          <w:rFonts w:cstheme="minorHAnsi"/>
          <w:color w:val="000000" w:themeColor="text1"/>
          <w:sz w:val="18"/>
          <w:szCs w:val="18"/>
          <w:vertAlign w:val="superscript"/>
        </w:rPr>
      </w:pPr>
      <w:r w:rsidRPr="00CA46DB">
        <w:rPr>
          <w:rFonts w:cstheme="minorHAnsi"/>
          <w:color w:val="000000" w:themeColor="text1"/>
          <w:sz w:val="18"/>
          <w:szCs w:val="18"/>
        </w:rPr>
        <w:t>Dielectric materials are well known as the key component of dielectric capacitors. Compared with supercapacitors and lithium-ion batteries, dielectric capacitors store and release energy through local dipole cyclization, which enables rapid charge and discharge rates (high power density).</w:t>
      </w:r>
      <w:r w:rsidRPr="00CA46DB">
        <w:rPr>
          <w:rFonts w:cstheme="minorHAnsi"/>
          <w:color w:val="000000" w:themeColor="text1"/>
          <w:sz w:val="18"/>
          <w:szCs w:val="18"/>
          <w:vertAlign w:val="superscript"/>
        </w:rPr>
        <w:t>1,2</w:t>
      </w:r>
      <w:r w:rsidRPr="00CA46DB">
        <w:rPr>
          <w:rFonts w:cstheme="minorHAnsi"/>
          <w:color w:val="000000" w:themeColor="text1"/>
          <w:sz w:val="18"/>
          <w:szCs w:val="18"/>
        </w:rPr>
        <w:t xml:space="preserve"> Biaxially oriented polypropylene (BOPP) films have been widely used as dielectric films in capacitors. However, the maximum operating temperature of BOPP is lower than 105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due to the inferior melting point (~ 165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In addition, the dielectric loss (tan</w:t>
      </w:r>
      <w:r w:rsidRPr="00CA46DB">
        <w:rPr>
          <w:rFonts w:cstheme="minorHAnsi"/>
          <w:i/>
          <w:iCs/>
          <w:color w:val="000000" w:themeColor="text1"/>
          <w:sz w:val="18"/>
          <w:szCs w:val="18"/>
        </w:rPr>
        <w:t>δ</w:t>
      </w:r>
      <w:r w:rsidRPr="00CA46DB">
        <w:rPr>
          <w:rFonts w:cstheme="minorHAnsi"/>
          <w:color w:val="000000" w:themeColor="text1"/>
          <w:sz w:val="18"/>
          <w:szCs w:val="18"/>
        </w:rPr>
        <w:t xml:space="preserve">) rises sharply and the charge-discharge efficiency (η) decreases accordingly above 80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w:t>
      </w:r>
      <w:r w:rsidRPr="00CA46DB">
        <w:rPr>
          <w:rFonts w:cstheme="minorHAnsi"/>
          <w:color w:val="000000" w:themeColor="text1"/>
          <w:sz w:val="18"/>
          <w:szCs w:val="18"/>
          <w:vertAlign w:val="superscript"/>
        </w:rPr>
        <w:t>3-5</w:t>
      </w:r>
      <w:r w:rsidRPr="00CA46DB">
        <w:rPr>
          <w:rFonts w:cstheme="minorHAnsi"/>
          <w:color w:val="000000" w:themeColor="text1"/>
          <w:sz w:val="18"/>
          <w:szCs w:val="18"/>
        </w:rPr>
        <w:t xml:space="preserve"> While the maximum operating temperature of other capacitor films such as poly(ethylene-terephthalate) (PET), polycarbonate (PC) and polystyrene (PS) </w:t>
      </w:r>
      <w:r w:rsidRPr="00CA46DB">
        <w:rPr>
          <w:rFonts w:cstheme="minorHAnsi"/>
          <w:i/>
          <w:iCs/>
          <w:color w:val="000000" w:themeColor="text1"/>
          <w:sz w:val="18"/>
          <w:szCs w:val="18"/>
        </w:rPr>
        <w:t>etc</w:t>
      </w:r>
      <w:r w:rsidRPr="00CA46DB">
        <w:rPr>
          <w:rFonts w:cstheme="minorHAnsi"/>
          <w:color w:val="000000" w:themeColor="text1"/>
          <w:sz w:val="18"/>
          <w:szCs w:val="18"/>
        </w:rPr>
        <w:t xml:space="preserve">. were also limited to 125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w:t>
      </w:r>
      <w:r w:rsidRPr="00CA46DB">
        <w:rPr>
          <w:rFonts w:cstheme="minorHAnsi"/>
          <w:color w:val="000000" w:themeColor="text1"/>
          <w:sz w:val="18"/>
          <w:szCs w:val="18"/>
          <w:vertAlign w:val="superscript"/>
        </w:rPr>
        <w:t>6</w:t>
      </w:r>
      <w:r w:rsidRPr="00CA46DB">
        <w:rPr>
          <w:rFonts w:cstheme="minorHAnsi"/>
          <w:color w:val="000000" w:themeColor="text1"/>
          <w:sz w:val="18"/>
          <w:szCs w:val="18"/>
        </w:rPr>
        <w:t xml:space="preserve"> Therefore, no commercial capacitor films can meet the growing demand for high temperature (&gt; 125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applications. As a result, to meet the demands of energy storage in high temperature conditions, extra cooling systems are required to maintain a low operating temperature of BOPP film capacitors, which led to low energy utilization efficiency, large weight/volume of the power system and high costs of production and operation.</w:t>
      </w:r>
      <w:r w:rsidRPr="00CA46DB">
        <w:rPr>
          <w:rFonts w:cstheme="minorHAnsi"/>
          <w:color w:val="000000" w:themeColor="text1"/>
          <w:sz w:val="18"/>
          <w:szCs w:val="18"/>
          <w:vertAlign w:val="superscript"/>
        </w:rPr>
        <w:t>7</w:t>
      </w:r>
      <w:r w:rsidRPr="00CA46DB">
        <w:rPr>
          <w:rFonts w:cstheme="minorHAnsi"/>
          <w:color w:val="000000" w:themeColor="text1"/>
          <w:sz w:val="18"/>
          <w:szCs w:val="18"/>
        </w:rPr>
        <w:t xml:space="preserve"> To achieve better performances at high operating temperature, capacitors require higher energy density and more excellent temperature resistance.</w:t>
      </w:r>
      <w:r w:rsidRPr="00CA46DB">
        <w:rPr>
          <w:rFonts w:cstheme="minorHAnsi"/>
          <w:color w:val="000000" w:themeColor="text1"/>
          <w:sz w:val="18"/>
          <w:szCs w:val="18"/>
          <w:vertAlign w:val="superscript"/>
        </w:rPr>
        <w:t>8</w:t>
      </w:r>
    </w:p>
    <w:p w14:paraId="60750D18" w14:textId="77777777" w:rsidR="00FC2A41" w:rsidRPr="00CA46DB" w:rsidRDefault="00166212">
      <w:pPr>
        <w:tabs>
          <w:tab w:val="left" w:pos="3462"/>
        </w:tabs>
        <w:spacing w:after="0" w:line="240" w:lineRule="exact"/>
        <w:ind w:firstLineChars="200" w:firstLine="360"/>
        <w:jc w:val="both"/>
        <w:rPr>
          <w:rFonts w:cstheme="minorHAnsi"/>
          <w:color w:val="000000" w:themeColor="text1"/>
          <w:sz w:val="18"/>
          <w:szCs w:val="18"/>
        </w:rPr>
      </w:pPr>
      <w:r w:rsidRPr="00CA46DB">
        <w:rPr>
          <w:rFonts w:cstheme="minorHAnsi"/>
          <w:color w:val="000000" w:themeColor="text1"/>
          <w:sz w:val="18"/>
          <w:szCs w:val="18"/>
        </w:rPr>
        <w:t>Many dielectric materials have been developed for high temperature capacitor applications, but each has its limitations. Ceramic film capacitors have some of the smallest specific volumes and are particularly suitable for microelectronic systems, mobile platforms and miniaturized power devices.</w:t>
      </w:r>
      <w:r w:rsidRPr="00CA46DB">
        <w:rPr>
          <w:rFonts w:cstheme="minorHAnsi"/>
          <w:color w:val="000000" w:themeColor="text1"/>
          <w:sz w:val="18"/>
          <w:szCs w:val="18"/>
          <w:vertAlign w:val="superscript"/>
        </w:rPr>
        <w:t>9</w:t>
      </w:r>
      <w:r w:rsidRPr="00CA46DB">
        <w:rPr>
          <w:rFonts w:cstheme="minorHAnsi"/>
          <w:color w:val="000000" w:themeColor="text1"/>
          <w:sz w:val="18"/>
          <w:szCs w:val="18"/>
        </w:rPr>
        <w:t xml:space="preserve"> Generally, ceramics could endure high temperature and show a high dielectric permittivity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but their low breakdown strength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and poor flexibility limit their applications in energy storge field.</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Dielectric polymer have been the preferred materials for capacitors due to their excellent electrical properties and the ease of customizing continuous large-area films with micron thickness.</w:t>
      </w:r>
      <w:r w:rsidRPr="00CA46DB">
        <w:rPr>
          <w:rFonts w:cstheme="minorHAnsi"/>
          <w:color w:val="000000" w:themeColor="text1"/>
          <w:sz w:val="18"/>
          <w:szCs w:val="18"/>
          <w:vertAlign w:val="superscript"/>
        </w:rPr>
        <w:t>10</w:t>
      </w:r>
      <w:r w:rsidRPr="00CA46DB">
        <w:rPr>
          <w:rFonts w:cstheme="minorHAnsi"/>
          <w:color w:val="000000" w:themeColor="text1"/>
          <w:sz w:val="18"/>
          <w:szCs w:val="18"/>
        </w:rPr>
        <w:t xml:space="preserve"> Various polymer dielectrics that are stable at high temperature have been </w:t>
      </w:r>
      <w:bookmarkStart w:id="3" w:name="OLE_LINK5"/>
      <w:r w:rsidRPr="00CA46DB">
        <w:rPr>
          <w:rFonts w:cstheme="minorHAnsi"/>
          <w:b/>
          <w:bCs/>
          <w:color w:val="000000" w:themeColor="text1"/>
          <w:sz w:val="18"/>
          <w:szCs w:val="18"/>
          <w:lang w:eastAsia="zh-Hans"/>
        </w:rPr>
        <w:t>Table 1</w:t>
      </w:r>
      <w:bookmarkEnd w:id="3"/>
      <w:r w:rsidRPr="00CA46DB">
        <w:rPr>
          <w:rFonts w:cstheme="minorHAnsi"/>
          <w:color w:val="000000" w:themeColor="text1"/>
          <w:sz w:val="18"/>
          <w:szCs w:val="18"/>
          <w:lang w:eastAsia="zh-Hans"/>
        </w:rPr>
        <w:t xml:space="preserve">. </w:t>
      </w:r>
      <w:r w:rsidRPr="00CA46DB">
        <w:rPr>
          <w:rFonts w:cstheme="minorHAnsi"/>
          <w:color w:val="000000" w:themeColor="text1"/>
          <w:sz w:val="18"/>
          <w:szCs w:val="18"/>
          <w:lang w:eastAsia="zh-Hans"/>
        </w:rPr>
        <w:lastRenderedPageBreak/>
        <w:t xml:space="preserve">The energy storage performance of advanced dielectric materials in high temperatures </w:t>
      </w:r>
      <w:r w:rsidRPr="00CA46DB">
        <w:rPr>
          <w:rFonts w:cstheme="minorHAnsi"/>
          <w:color w:val="000000" w:themeColor="text1"/>
          <w:sz w:val="18"/>
          <w:szCs w:val="18"/>
          <w:vertAlign w:val="superscript"/>
          <w:lang w:eastAsia="zh-Hans"/>
        </w:rPr>
        <w:t>12</w:t>
      </w:r>
      <w:r w:rsidRPr="00CA46DB">
        <w:rPr>
          <w:rFonts w:cstheme="minorHAnsi"/>
          <w:color w:val="000000" w:themeColor="text1"/>
          <w:sz w:val="18"/>
          <w:szCs w:val="18"/>
        </w:rPr>
        <w:t xml:space="preserve"> </w:t>
      </w:r>
    </w:p>
    <w:tbl>
      <w:tblPr>
        <w:tblStyle w:val="TableGrid"/>
        <w:tblpPr w:leftFromText="180" w:rightFromText="180" w:vertAnchor="text" w:horzAnchor="margin" w:tblpY="63"/>
        <w:tblOverlap w:val="never"/>
        <w:tblW w:w="0" w:type="auto"/>
        <w:tblLayout w:type="fixed"/>
        <w:tblLook w:val="04A0" w:firstRow="1" w:lastRow="0" w:firstColumn="1" w:lastColumn="0" w:noHBand="0" w:noVBand="1"/>
      </w:tblPr>
      <w:tblGrid>
        <w:gridCol w:w="1312"/>
        <w:gridCol w:w="685"/>
        <w:gridCol w:w="684"/>
        <w:gridCol w:w="623"/>
        <w:gridCol w:w="777"/>
        <w:gridCol w:w="908"/>
      </w:tblGrid>
      <w:tr w:rsidR="00CA46DB" w:rsidRPr="00CA46DB" w14:paraId="25DE29B6" w14:textId="77777777" w:rsidTr="00D825A5">
        <w:tc>
          <w:tcPr>
            <w:tcW w:w="1312" w:type="dxa"/>
            <w:tcBorders>
              <w:left w:val="nil"/>
              <w:right w:val="nil"/>
            </w:tcBorders>
            <w:vAlign w:val="center"/>
          </w:tcPr>
          <w:p w14:paraId="05844317" w14:textId="77777777" w:rsidR="00FC2A41" w:rsidRPr="00CA46DB" w:rsidRDefault="00166212">
            <w:pPr>
              <w:spacing w:after="0" w:line="240" w:lineRule="atLeast"/>
              <w:jc w:val="center"/>
              <w:rPr>
                <w:rFonts w:cstheme="minorHAnsi"/>
                <w:color w:val="000000" w:themeColor="text1"/>
                <w:sz w:val="18"/>
                <w:szCs w:val="18"/>
              </w:rPr>
            </w:pPr>
            <w:r w:rsidRPr="00CA46DB">
              <w:rPr>
                <w:rFonts w:cstheme="minorHAnsi"/>
                <w:color w:val="000000" w:themeColor="text1"/>
                <w:sz w:val="18"/>
                <w:szCs w:val="18"/>
              </w:rPr>
              <w:t>Polymer</w:t>
            </w:r>
          </w:p>
        </w:tc>
        <w:tc>
          <w:tcPr>
            <w:tcW w:w="685" w:type="dxa"/>
            <w:tcBorders>
              <w:left w:val="nil"/>
              <w:right w:val="nil"/>
            </w:tcBorders>
            <w:vAlign w:val="center"/>
          </w:tcPr>
          <w:p w14:paraId="3E0E7603" w14:textId="77777777" w:rsidR="00FC2A41" w:rsidRPr="00CA46DB" w:rsidRDefault="00166212">
            <w:pPr>
              <w:spacing w:after="0" w:line="240" w:lineRule="atLeast"/>
              <w:ind w:firstLineChars="50" w:firstLine="90"/>
              <w:jc w:val="center"/>
              <w:rPr>
                <w:rFonts w:cstheme="minorHAnsi"/>
                <w:color w:val="000000" w:themeColor="text1"/>
                <w:sz w:val="18"/>
                <w:szCs w:val="18"/>
                <w:lang w:eastAsia="zh-Hans"/>
              </w:rPr>
            </w:pPr>
            <w:r w:rsidRPr="00CA46DB">
              <w:rPr>
                <w:rFonts w:cstheme="minorHAnsi"/>
                <w:color w:val="000000" w:themeColor="text1"/>
                <w:sz w:val="18"/>
                <w:szCs w:val="18"/>
                <w:lang w:eastAsia="zh-Hans"/>
              </w:rPr>
              <w:t>PC</w:t>
            </w:r>
          </w:p>
        </w:tc>
        <w:tc>
          <w:tcPr>
            <w:tcW w:w="684" w:type="dxa"/>
            <w:tcBorders>
              <w:left w:val="nil"/>
              <w:right w:val="nil"/>
            </w:tcBorders>
            <w:vAlign w:val="center"/>
          </w:tcPr>
          <w:p w14:paraId="4BD234D2" w14:textId="77777777" w:rsidR="00FC2A41" w:rsidRPr="00CA46DB" w:rsidRDefault="00166212">
            <w:pPr>
              <w:spacing w:after="0" w:line="240" w:lineRule="atLeast"/>
              <w:jc w:val="center"/>
              <w:rPr>
                <w:rFonts w:cstheme="minorHAnsi"/>
                <w:color w:val="000000" w:themeColor="text1"/>
                <w:sz w:val="18"/>
                <w:szCs w:val="18"/>
              </w:rPr>
            </w:pPr>
            <w:r w:rsidRPr="00CA46DB">
              <w:rPr>
                <w:rFonts w:cstheme="minorHAnsi"/>
                <w:color w:val="000000" w:themeColor="text1"/>
                <w:sz w:val="18"/>
                <w:szCs w:val="18"/>
              </w:rPr>
              <w:t>PEEK</w:t>
            </w:r>
          </w:p>
        </w:tc>
        <w:tc>
          <w:tcPr>
            <w:tcW w:w="623" w:type="dxa"/>
            <w:tcBorders>
              <w:left w:val="nil"/>
              <w:right w:val="nil"/>
            </w:tcBorders>
            <w:vAlign w:val="center"/>
          </w:tcPr>
          <w:p w14:paraId="5A412D0F" w14:textId="77777777" w:rsidR="00FC2A41" w:rsidRPr="00CA46DB" w:rsidRDefault="00166212">
            <w:pPr>
              <w:spacing w:after="0" w:line="240" w:lineRule="atLeast"/>
              <w:jc w:val="center"/>
              <w:rPr>
                <w:rFonts w:cstheme="minorHAnsi"/>
                <w:color w:val="000000" w:themeColor="text1"/>
                <w:sz w:val="18"/>
                <w:szCs w:val="18"/>
              </w:rPr>
            </w:pPr>
            <w:r w:rsidRPr="00CA46DB">
              <w:rPr>
                <w:rFonts w:cstheme="minorHAnsi"/>
                <w:color w:val="000000" w:themeColor="text1"/>
                <w:sz w:val="18"/>
                <w:szCs w:val="18"/>
              </w:rPr>
              <w:t>PEI</w:t>
            </w:r>
          </w:p>
        </w:tc>
        <w:tc>
          <w:tcPr>
            <w:tcW w:w="777" w:type="dxa"/>
            <w:tcBorders>
              <w:left w:val="nil"/>
              <w:right w:val="nil"/>
            </w:tcBorders>
            <w:vAlign w:val="center"/>
          </w:tcPr>
          <w:p w14:paraId="116A9150" w14:textId="77777777" w:rsidR="00FC2A41" w:rsidRPr="00CA46DB" w:rsidRDefault="00166212">
            <w:pPr>
              <w:spacing w:after="0" w:line="240" w:lineRule="atLeast"/>
              <w:jc w:val="center"/>
              <w:rPr>
                <w:rFonts w:cstheme="minorHAnsi"/>
                <w:color w:val="000000" w:themeColor="text1"/>
                <w:sz w:val="18"/>
                <w:szCs w:val="18"/>
              </w:rPr>
            </w:pPr>
            <w:r w:rsidRPr="00CA46DB">
              <w:rPr>
                <w:rFonts w:cstheme="minorHAnsi"/>
                <w:color w:val="000000" w:themeColor="text1"/>
                <w:sz w:val="18"/>
                <w:szCs w:val="18"/>
              </w:rPr>
              <w:t>FPE</w:t>
            </w:r>
          </w:p>
        </w:tc>
        <w:tc>
          <w:tcPr>
            <w:tcW w:w="908" w:type="dxa"/>
            <w:tcBorders>
              <w:left w:val="nil"/>
              <w:right w:val="nil"/>
            </w:tcBorders>
            <w:vAlign w:val="center"/>
          </w:tcPr>
          <w:p w14:paraId="40555D04" w14:textId="1234B6A2" w:rsidR="00FC2A41" w:rsidRPr="00CA46DB" w:rsidRDefault="00166212">
            <w:pPr>
              <w:spacing w:after="0" w:line="240" w:lineRule="atLeast"/>
              <w:jc w:val="center"/>
              <w:rPr>
                <w:rFonts w:cstheme="minorHAnsi"/>
                <w:color w:val="000000" w:themeColor="text1"/>
                <w:sz w:val="18"/>
                <w:szCs w:val="18"/>
              </w:rPr>
            </w:pPr>
            <w:r w:rsidRPr="00CA46DB">
              <w:rPr>
                <w:rFonts w:cstheme="minorHAnsi"/>
                <w:color w:val="000000" w:themeColor="text1"/>
                <w:sz w:val="18"/>
                <w:szCs w:val="18"/>
              </w:rPr>
              <w:t xml:space="preserve">PI </w:t>
            </w:r>
          </w:p>
        </w:tc>
      </w:tr>
      <w:tr w:rsidR="00CA46DB" w:rsidRPr="00CA46DB" w14:paraId="7B16BFA1" w14:textId="77777777" w:rsidTr="00D825A5">
        <w:tc>
          <w:tcPr>
            <w:tcW w:w="1312" w:type="dxa"/>
            <w:tcBorders>
              <w:top w:val="nil"/>
              <w:left w:val="nil"/>
              <w:bottom w:val="nil"/>
              <w:right w:val="nil"/>
            </w:tcBorders>
            <w:vAlign w:val="center"/>
          </w:tcPr>
          <w:p w14:paraId="56F2FAFD" w14:textId="77777777" w:rsidR="00FC2A41" w:rsidRPr="00CA46DB" w:rsidRDefault="00166212">
            <w:pPr>
              <w:spacing w:after="0" w:line="240" w:lineRule="atLeast"/>
              <w:jc w:val="center"/>
              <w:rPr>
                <w:rFonts w:cstheme="minorHAnsi"/>
                <w:color w:val="000000" w:themeColor="text1"/>
                <w:sz w:val="18"/>
                <w:szCs w:val="18"/>
                <w:lang w:eastAsia="zh-Hans"/>
              </w:rPr>
            </w:pPr>
            <w:r w:rsidRPr="00CA46DB">
              <w:rPr>
                <w:rFonts w:cstheme="minorHAnsi"/>
                <w:i/>
                <w:iCs/>
                <w:color w:val="000000" w:themeColor="text1"/>
                <w:sz w:val="18"/>
                <w:szCs w:val="18"/>
                <w:lang w:eastAsia="zh-Hans"/>
              </w:rPr>
              <w:t>U</w:t>
            </w:r>
            <w:r w:rsidRPr="00CA46DB">
              <w:rPr>
                <w:rFonts w:cstheme="minorHAnsi"/>
                <w:color w:val="000000" w:themeColor="text1"/>
                <w:sz w:val="18"/>
                <w:szCs w:val="18"/>
                <w:vertAlign w:val="subscript"/>
                <w:lang w:eastAsia="zh-Hans"/>
              </w:rPr>
              <w:t>e</w:t>
            </w:r>
            <w:r w:rsidRPr="00CA46DB">
              <w:rPr>
                <w:rFonts w:cstheme="minorHAnsi"/>
                <w:color w:val="000000" w:themeColor="text1"/>
                <w:sz w:val="18"/>
                <w:szCs w:val="18"/>
                <w:lang w:eastAsia="zh-Hans"/>
              </w:rPr>
              <w:t xml:space="preserve"> (</w:t>
            </w:r>
            <w:r w:rsidRPr="00CA46DB">
              <w:rPr>
                <w:rFonts w:cstheme="minorHAnsi"/>
                <w:color w:val="000000" w:themeColor="text1"/>
                <w:sz w:val="18"/>
                <w:szCs w:val="18"/>
              </w:rPr>
              <w:t>J·cm</w:t>
            </w:r>
            <w:r w:rsidRPr="00CA46DB">
              <w:rPr>
                <w:rFonts w:cstheme="minorHAnsi"/>
                <w:color w:val="000000" w:themeColor="text1"/>
                <w:sz w:val="18"/>
                <w:szCs w:val="18"/>
                <w:vertAlign w:val="superscript"/>
              </w:rPr>
              <w:t>−3</w:t>
            </w:r>
            <w:r w:rsidRPr="00CA46DB">
              <w:rPr>
                <w:rFonts w:cstheme="minorHAnsi"/>
                <w:color w:val="000000" w:themeColor="text1"/>
                <w:sz w:val="18"/>
                <w:szCs w:val="18"/>
                <w:lang w:eastAsia="zh-Hans"/>
              </w:rPr>
              <w:t>)</w:t>
            </w:r>
          </w:p>
        </w:tc>
        <w:tc>
          <w:tcPr>
            <w:tcW w:w="685" w:type="dxa"/>
            <w:tcBorders>
              <w:top w:val="nil"/>
              <w:left w:val="nil"/>
              <w:bottom w:val="nil"/>
              <w:right w:val="nil"/>
            </w:tcBorders>
            <w:vAlign w:val="center"/>
          </w:tcPr>
          <w:p w14:paraId="4293ADE0" w14:textId="77777777" w:rsidR="00FC2A41" w:rsidRPr="00CA46DB" w:rsidRDefault="00166212">
            <w:pPr>
              <w:spacing w:after="0" w:line="240" w:lineRule="atLeast"/>
              <w:jc w:val="center"/>
              <w:rPr>
                <w:rFonts w:cstheme="minorHAnsi"/>
                <w:color w:val="000000" w:themeColor="text1"/>
                <w:sz w:val="18"/>
                <w:szCs w:val="18"/>
                <w:lang w:eastAsia="zh-Hans"/>
              </w:rPr>
            </w:pPr>
            <w:r w:rsidRPr="00CA46DB">
              <w:rPr>
                <w:rFonts w:cstheme="minorHAnsi"/>
                <w:color w:val="000000" w:themeColor="text1"/>
                <w:sz w:val="18"/>
                <w:szCs w:val="18"/>
              </w:rPr>
              <w:t xml:space="preserve">~ </w:t>
            </w:r>
            <w:r w:rsidRPr="00CA46DB">
              <w:rPr>
                <w:rFonts w:cstheme="minorHAnsi"/>
                <w:color w:val="000000" w:themeColor="text1"/>
                <w:sz w:val="18"/>
                <w:szCs w:val="18"/>
                <w:lang w:eastAsia="zh-Hans"/>
              </w:rPr>
              <w:t>0.85</w:t>
            </w:r>
          </w:p>
        </w:tc>
        <w:tc>
          <w:tcPr>
            <w:tcW w:w="684" w:type="dxa"/>
            <w:tcBorders>
              <w:top w:val="nil"/>
              <w:left w:val="nil"/>
              <w:bottom w:val="nil"/>
              <w:right w:val="nil"/>
            </w:tcBorders>
            <w:vAlign w:val="center"/>
          </w:tcPr>
          <w:p w14:paraId="36824EC8" w14:textId="77777777" w:rsidR="00FC2A41" w:rsidRPr="00CA46DB" w:rsidRDefault="00166212">
            <w:pPr>
              <w:spacing w:after="0" w:line="240" w:lineRule="atLeast"/>
              <w:jc w:val="center"/>
              <w:rPr>
                <w:rFonts w:cstheme="minorHAnsi"/>
                <w:color w:val="000000" w:themeColor="text1"/>
                <w:sz w:val="18"/>
                <w:szCs w:val="18"/>
              </w:rPr>
            </w:pPr>
            <w:r w:rsidRPr="00CA46DB">
              <w:rPr>
                <w:rFonts w:cstheme="minorHAnsi"/>
                <w:color w:val="000000" w:themeColor="text1"/>
                <w:sz w:val="18"/>
                <w:szCs w:val="18"/>
              </w:rPr>
              <w:t xml:space="preserve">~ </w:t>
            </w:r>
            <w:r w:rsidRPr="00CA46DB">
              <w:rPr>
                <w:rFonts w:cstheme="minorHAnsi"/>
                <w:color w:val="000000" w:themeColor="text1"/>
                <w:sz w:val="18"/>
                <w:szCs w:val="18"/>
                <w:lang w:eastAsia="zh-Hans"/>
              </w:rPr>
              <w:t>0.53</w:t>
            </w:r>
          </w:p>
        </w:tc>
        <w:tc>
          <w:tcPr>
            <w:tcW w:w="623" w:type="dxa"/>
            <w:tcBorders>
              <w:top w:val="nil"/>
              <w:left w:val="nil"/>
              <w:bottom w:val="nil"/>
              <w:right w:val="nil"/>
            </w:tcBorders>
            <w:vAlign w:val="center"/>
          </w:tcPr>
          <w:p w14:paraId="4015116B" w14:textId="77777777" w:rsidR="00FC2A41" w:rsidRPr="00CA46DB" w:rsidRDefault="00166212">
            <w:pPr>
              <w:spacing w:after="0" w:line="240" w:lineRule="atLeast"/>
              <w:jc w:val="center"/>
              <w:rPr>
                <w:rFonts w:cstheme="minorHAnsi"/>
                <w:color w:val="000000" w:themeColor="text1"/>
                <w:sz w:val="18"/>
                <w:szCs w:val="18"/>
              </w:rPr>
            </w:pPr>
            <w:r w:rsidRPr="00CA46DB">
              <w:rPr>
                <w:rFonts w:cstheme="minorHAnsi"/>
                <w:color w:val="000000" w:themeColor="text1"/>
                <w:sz w:val="18"/>
                <w:szCs w:val="18"/>
              </w:rPr>
              <w:t xml:space="preserve">~ </w:t>
            </w:r>
            <w:r w:rsidRPr="00CA46DB">
              <w:rPr>
                <w:rFonts w:cstheme="minorHAnsi"/>
                <w:color w:val="000000" w:themeColor="text1"/>
                <w:sz w:val="18"/>
                <w:szCs w:val="18"/>
                <w:lang w:eastAsia="zh-Hans"/>
              </w:rPr>
              <w:t>1.1</w:t>
            </w:r>
          </w:p>
        </w:tc>
        <w:tc>
          <w:tcPr>
            <w:tcW w:w="777" w:type="dxa"/>
            <w:tcBorders>
              <w:top w:val="nil"/>
              <w:left w:val="nil"/>
              <w:bottom w:val="nil"/>
              <w:right w:val="nil"/>
            </w:tcBorders>
            <w:vAlign w:val="center"/>
          </w:tcPr>
          <w:p w14:paraId="034A09A5" w14:textId="77777777" w:rsidR="00FC2A41" w:rsidRPr="00CA46DB" w:rsidRDefault="00166212">
            <w:pPr>
              <w:spacing w:after="0" w:line="240" w:lineRule="atLeast"/>
              <w:jc w:val="center"/>
              <w:rPr>
                <w:rFonts w:cstheme="minorHAnsi"/>
                <w:color w:val="000000" w:themeColor="text1"/>
                <w:sz w:val="18"/>
                <w:szCs w:val="18"/>
              </w:rPr>
            </w:pPr>
            <w:r w:rsidRPr="00CA46DB">
              <w:rPr>
                <w:rFonts w:cstheme="minorHAnsi"/>
                <w:color w:val="000000" w:themeColor="text1"/>
                <w:sz w:val="18"/>
                <w:szCs w:val="18"/>
              </w:rPr>
              <w:t xml:space="preserve">~ </w:t>
            </w:r>
            <w:r w:rsidRPr="00CA46DB">
              <w:rPr>
                <w:rFonts w:cstheme="minorHAnsi"/>
                <w:color w:val="000000" w:themeColor="text1"/>
                <w:sz w:val="18"/>
                <w:szCs w:val="18"/>
                <w:lang w:eastAsia="zh-Hans"/>
              </w:rPr>
              <w:t>0.08</w:t>
            </w:r>
          </w:p>
        </w:tc>
        <w:tc>
          <w:tcPr>
            <w:tcW w:w="908" w:type="dxa"/>
            <w:tcBorders>
              <w:top w:val="nil"/>
              <w:left w:val="nil"/>
              <w:bottom w:val="nil"/>
              <w:right w:val="nil"/>
            </w:tcBorders>
            <w:vAlign w:val="center"/>
          </w:tcPr>
          <w:p w14:paraId="4A60B544" w14:textId="77777777" w:rsidR="00FC2A41" w:rsidRPr="00CA46DB" w:rsidRDefault="00166212">
            <w:pPr>
              <w:spacing w:after="0" w:line="240" w:lineRule="atLeast"/>
              <w:jc w:val="center"/>
              <w:rPr>
                <w:rFonts w:cstheme="minorHAnsi"/>
                <w:color w:val="000000" w:themeColor="text1"/>
                <w:sz w:val="18"/>
                <w:szCs w:val="18"/>
              </w:rPr>
            </w:pPr>
            <w:r w:rsidRPr="00CA46DB">
              <w:rPr>
                <w:rFonts w:cstheme="minorHAnsi"/>
                <w:color w:val="000000" w:themeColor="text1"/>
                <w:sz w:val="18"/>
                <w:szCs w:val="18"/>
              </w:rPr>
              <w:t xml:space="preserve">~ </w:t>
            </w:r>
            <w:r w:rsidRPr="00CA46DB">
              <w:rPr>
                <w:rFonts w:cstheme="minorHAnsi"/>
                <w:color w:val="000000" w:themeColor="text1"/>
                <w:sz w:val="18"/>
                <w:szCs w:val="18"/>
                <w:lang w:eastAsia="zh-Hans"/>
              </w:rPr>
              <w:t>0.18</w:t>
            </w:r>
          </w:p>
        </w:tc>
      </w:tr>
      <w:tr w:rsidR="00CA46DB" w:rsidRPr="00CA46DB" w14:paraId="10115345" w14:textId="77777777" w:rsidTr="00D825A5">
        <w:tc>
          <w:tcPr>
            <w:tcW w:w="1312" w:type="dxa"/>
            <w:tcBorders>
              <w:top w:val="nil"/>
              <w:left w:val="nil"/>
              <w:right w:val="nil"/>
            </w:tcBorders>
            <w:vAlign w:val="center"/>
          </w:tcPr>
          <w:p w14:paraId="32C270BC" w14:textId="0B4F2358" w:rsidR="00FC2A41" w:rsidRPr="00CA46DB" w:rsidRDefault="00166212">
            <w:pPr>
              <w:spacing w:beforeLines="50" w:before="120" w:after="0" w:line="180" w:lineRule="atLeast"/>
              <w:jc w:val="center"/>
              <w:rPr>
                <w:rFonts w:cstheme="minorHAnsi"/>
                <w:color w:val="000000" w:themeColor="text1"/>
                <w:sz w:val="18"/>
                <w:szCs w:val="18"/>
                <w:lang w:eastAsia="zh-Hans"/>
              </w:rPr>
            </w:pPr>
            <w:r w:rsidRPr="00CA46DB">
              <w:rPr>
                <w:rFonts w:cstheme="minorHAnsi"/>
                <w:color w:val="000000" w:themeColor="text1"/>
                <w:sz w:val="18"/>
                <w:szCs w:val="18"/>
                <w:lang w:eastAsia="zh-Hans"/>
              </w:rPr>
              <w:t>Maximum</w:t>
            </w:r>
            <w:r w:rsidRPr="00CA46DB">
              <w:rPr>
                <w:rFonts w:cstheme="minorHAnsi" w:hint="eastAsia"/>
                <w:color w:val="000000" w:themeColor="text1"/>
                <w:sz w:val="18"/>
                <w:szCs w:val="18"/>
                <w:lang w:val="en-US" w:eastAsia="zh-CN"/>
              </w:rPr>
              <w:t xml:space="preserve"> o</w:t>
            </w:r>
            <w:r w:rsidRPr="00CA46DB">
              <w:rPr>
                <w:rFonts w:cstheme="minorHAnsi"/>
                <w:color w:val="000000" w:themeColor="text1"/>
                <w:sz w:val="18"/>
                <w:szCs w:val="18"/>
                <w:lang w:eastAsia="zh-Hans"/>
              </w:rPr>
              <w:t>perating temperature (</w:t>
            </w:r>
            <w:r w:rsidRPr="00CA46DB">
              <w:rPr>
                <w:rFonts w:ascii="Cambria Math" w:hAnsi="Cambria Math" w:cs="Cambria Math"/>
                <w:color w:val="000000" w:themeColor="text1"/>
                <w:sz w:val="18"/>
                <w:szCs w:val="18"/>
              </w:rPr>
              <w:t>℃</w:t>
            </w:r>
            <w:r w:rsidRPr="00CA46DB">
              <w:rPr>
                <w:rFonts w:cstheme="minorHAnsi"/>
                <w:color w:val="000000" w:themeColor="text1"/>
                <w:sz w:val="18"/>
                <w:szCs w:val="18"/>
                <w:lang w:eastAsia="zh-Hans"/>
              </w:rPr>
              <w:t>)</w:t>
            </w:r>
          </w:p>
        </w:tc>
        <w:tc>
          <w:tcPr>
            <w:tcW w:w="685" w:type="dxa"/>
            <w:tcBorders>
              <w:top w:val="nil"/>
              <w:left w:val="nil"/>
              <w:right w:val="nil"/>
            </w:tcBorders>
            <w:vAlign w:val="center"/>
          </w:tcPr>
          <w:p w14:paraId="686BAFD7" w14:textId="77777777" w:rsidR="00FC2A41" w:rsidRPr="00CA46DB" w:rsidRDefault="00166212">
            <w:pPr>
              <w:spacing w:after="0" w:line="240" w:lineRule="atLeast"/>
              <w:jc w:val="center"/>
              <w:rPr>
                <w:rFonts w:cstheme="minorHAnsi"/>
                <w:color w:val="000000" w:themeColor="text1"/>
                <w:sz w:val="18"/>
                <w:szCs w:val="18"/>
              </w:rPr>
            </w:pPr>
            <w:r w:rsidRPr="00CA46DB">
              <w:rPr>
                <w:rFonts w:cstheme="minorHAnsi"/>
                <w:color w:val="000000" w:themeColor="text1"/>
                <w:sz w:val="18"/>
                <w:szCs w:val="18"/>
              </w:rPr>
              <w:t>150</w:t>
            </w:r>
          </w:p>
        </w:tc>
        <w:tc>
          <w:tcPr>
            <w:tcW w:w="684" w:type="dxa"/>
            <w:tcBorders>
              <w:top w:val="nil"/>
              <w:left w:val="nil"/>
              <w:right w:val="nil"/>
            </w:tcBorders>
            <w:vAlign w:val="center"/>
          </w:tcPr>
          <w:p w14:paraId="0645B941" w14:textId="77777777" w:rsidR="00FC2A41" w:rsidRPr="00CA46DB" w:rsidRDefault="00166212">
            <w:pPr>
              <w:spacing w:after="0" w:line="240" w:lineRule="atLeast"/>
              <w:jc w:val="center"/>
              <w:rPr>
                <w:rFonts w:cstheme="minorHAnsi"/>
                <w:color w:val="000000" w:themeColor="text1"/>
                <w:sz w:val="18"/>
                <w:szCs w:val="18"/>
              </w:rPr>
            </w:pPr>
            <w:r w:rsidRPr="00CA46DB">
              <w:rPr>
                <w:rFonts w:cstheme="minorHAnsi"/>
                <w:color w:val="000000" w:themeColor="text1"/>
                <w:sz w:val="18"/>
                <w:szCs w:val="18"/>
              </w:rPr>
              <w:t>150</w:t>
            </w:r>
          </w:p>
        </w:tc>
        <w:tc>
          <w:tcPr>
            <w:tcW w:w="623" w:type="dxa"/>
            <w:tcBorders>
              <w:top w:val="nil"/>
              <w:left w:val="nil"/>
              <w:right w:val="nil"/>
            </w:tcBorders>
            <w:vAlign w:val="center"/>
          </w:tcPr>
          <w:p w14:paraId="3BE0A68A" w14:textId="77777777" w:rsidR="00FC2A41" w:rsidRPr="00CA46DB" w:rsidRDefault="00166212">
            <w:pPr>
              <w:spacing w:after="0" w:line="240" w:lineRule="atLeast"/>
              <w:jc w:val="center"/>
              <w:rPr>
                <w:rFonts w:cstheme="minorHAnsi"/>
                <w:color w:val="000000" w:themeColor="text1"/>
                <w:sz w:val="18"/>
                <w:szCs w:val="18"/>
              </w:rPr>
            </w:pPr>
            <w:r w:rsidRPr="00CA46DB">
              <w:rPr>
                <w:rFonts w:cstheme="minorHAnsi"/>
                <w:color w:val="000000" w:themeColor="text1"/>
                <w:sz w:val="18"/>
                <w:szCs w:val="18"/>
              </w:rPr>
              <w:t>200</w:t>
            </w:r>
          </w:p>
        </w:tc>
        <w:tc>
          <w:tcPr>
            <w:tcW w:w="777" w:type="dxa"/>
            <w:tcBorders>
              <w:top w:val="nil"/>
              <w:left w:val="nil"/>
              <w:right w:val="nil"/>
            </w:tcBorders>
            <w:vAlign w:val="center"/>
          </w:tcPr>
          <w:p w14:paraId="3461D141" w14:textId="77777777" w:rsidR="00FC2A41" w:rsidRPr="00CA46DB" w:rsidRDefault="00166212">
            <w:pPr>
              <w:spacing w:after="0" w:line="240" w:lineRule="atLeast"/>
              <w:jc w:val="center"/>
              <w:rPr>
                <w:rFonts w:cstheme="minorHAnsi"/>
                <w:color w:val="000000" w:themeColor="text1"/>
                <w:sz w:val="18"/>
                <w:szCs w:val="18"/>
              </w:rPr>
            </w:pPr>
            <w:r w:rsidRPr="00CA46DB">
              <w:rPr>
                <w:rFonts w:cstheme="minorHAnsi"/>
                <w:color w:val="000000" w:themeColor="text1"/>
                <w:sz w:val="18"/>
                <w:szCs w:val="18"/>
              </w:rPr>
              <w:t>250</w:t>
            </w:r>
          </w:p>
        </w:tc>
        <w:tc>
          <w:tcPr>
            <w:tcW w:w="908" w:type="dxa"/>
            <w:tcBorders>
              <w:top w:val="nil"/>
              <w:left w:val="nil"/>
              <w:right w:val="nil"/>
            </w:tcBorders>
            <w:vAlign w:val="center"/>
          </w:tcPr>
          <w:p w14:paraId="27A56B47" w14:textId="77777777" w:rsidR="00FC2A41" w:rsidRPr="00CA46DB" w:rsidRDefault="00166212">
            <w:pPr>
              <w:spacing w:after="0" w:line="240" w:lineRule="atLeast"/>
              <w:jc w:val="center"/>
              <w:rPr>
                <w:rFonts w:cstheme="minorHAnsi"/>
                <w:color w:val="000000" w:themeColor="text1"/>
                <w:sz w:val="18"/>
                <w:szCs w:val="18"/>
              </w:rPr>
            </w:pPr>
            <w:r w:rsidRPr="00CA46DB">
              <w:rPr>
                <w:rFonts w:cstheme="minorHAnsi"/>
                <w:color w:val="000000" w:themeColor="text1"/>
                <w:sz w:val="18"/>
                <w:szCs w:val="18"/>
              </w:rPr>
              <w:t>250</w:t>
            </w:r>
          </w:p>
        </w:tc>
      </w:tr>
    </w:tbl>
    <w:p w14:paraId="03B434B1" w14:textId="77777777" w:rsidR="00FC2A41" w:rsidRPr="00CA46DB" w:rsidRDefault="00FC2A41">
      <w:pPr>
        <w:tabs>
          <w:tab w:val="left" w:pos="3462"/>
        </w:tabs>
        <w:spacing w:after="0" w:line="240" w:lineRule="exact"/>
        <w:jc w:val="both"/>
        <w:rPr>
          <w:rFonts w:cstheme="minorHAnsi"/>
          <w:color w:val="000000" w:themeColor="text1"/>
          <w:sz w:val="18"/>
          <w:szCs w:val="18"/>
        </w:rPr>
      </w:pPr>
    </w:p>
    <w:p w14:paraId="33562DBD" w14:textId="760BAD2C" w:rsidR="00FC2A41" w:rsidRPr="00CA46DB" w:rsidRDefault="00166212">
      <w:pPr>
        <w:tabs>
          <w:tab w:val="left" w:pos="3462"/>
        </w:tabs>
        <w:spacing w:after="0" w:line="240" w:lineRule="exact"/>
        <w:jc w:val="both"/>
        <w:rPr>
          <w:rFonts w:cstheme="minorHAnsi"/>
          <w:color w:val="000000" w:themeColor="text1"/>
          <w:sz w:val="18"/>
          <w:szCs w:val="18"/>
        </w:rPr>
      </w:pPr>
      <w:r w:rsidRPr="00CA46DB">
        <w:rPr>
          <w:rFonts w:cstheme="minorHAnsi"/>
          <w:color w:val="000000" w:themeColor="text1"/>
          <w:sz w:val="18"/>
          <w:szCs w:val="18"/>
        </w:rPr>
        <w:t>developed such as polyetheretherketone (PEEK), fluorene polyester (FPE) and polyimide (PI), which exhi</w:t>
      </w:r>
      <w:r w:rsidRPr="00CA46DB">
        <w:rPr>
          <w:rFonts w:cstheme="minorHAnsi" w:hint="eastAsia"/>
          <w:color w:val="000000" w:themeColor="text1"/>
          <w:sz w:val="18"/>
          <w:szCs w:val="18"/>
          <w:lang w:eastAsia="zh-CN"/>
        </w:rPr>
        <w:t>bi</w:t>
      </w:r>
      <w:r w:rsidRPr="00CA46DB">
        <w:rPr>
          <w:rFonts w:cstheme="minorHAnsi"/>
          <w:color w:val="000000" w:themeColor="text1"/>
          <w:sz w:val="18"/>
          <w:szCs w:val="18"/>
        </w:rPr>
        <w:t>t higher working temperature (&gt; 125</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as shown in Table 1. Most high-temperature polymers had a high degree of aromaticity or fused-ring heterocyclic structures, the presence of thermally stable rigid imide rings was one of the factors in the selection of PI as a candidate of high-temperature dielectric material.</w:t>
      </w:r>
      <w:r w:rsidRPr="00CA46DB">
        <w:rPr>
          <w:rFonts w:cstheme="minorHAnsi"/>
          <w:color w:val="000000" w:themeColor="text1"/>
          <w:sz w:val="18"/>
          <w:szCs w:val="18"/>
          <w:vertAlign w:val="superscript"/>
        </w:rPr>
        <w:t>11.12</w:t>
      </w:r>
      <w:r w:rsidRPr="00CA46DB">
        <w:rPr>
          <w:rFonts w:cstheme="minorHAnsi"/>
          <w:color w:val="000000" w:themeColor="text1"/>
          <w:sz w:val="18"/>
          <w:szCs w:val="18"/>
        </w:rPr>
        <w:t xml:space="preserve"> </w:t>
      </w:r>
      <w:bookmarkStart w:id="4" w:name="OLE_LINK28"/>
      <w:r w:rsidRPr="00CA46DB">
        <w:rPr>
          <w:rFonts w:cstheme="minorHAnsi"/>
          <w:color w:val="000000" w:themeColor="text1"/>
          <w:sz w:val="18"/>
          <w:szCs w:val="18"/>
        </w:rPr>
        <w:t xml:space="preserve">Ma et al. used high-throughput density functional theory (DFT) to identify polymers that have the potential to be applied to capacitors. Among 267 polymers with unique and reasonable structures, </w:t>
      </w:r>
      <w:r w:rsidRPr="00CA46DB">
        <w:rPr>
          <w:rFonts w:cstheme="minorHAnsi"/>
          <w:color w:val="000000" w:themeColor="text1"/>
          <w:sz w:val="18"/>
          <w:szCs w:val="18"/>
          <w:lang w:eastAsia="zh-Hans"/>
        </w:rPr>
        <w:t>PI</w:t>
      </w:r>
      <w:r w:rsidRPr="00CA46DB">
        <w:rPr>
          <w:rFonts w:cstheme="minorHAnsi"/>
          <w:color w:val="000000" w:themeColor="text1"/>
          <w:sz w:val="18"/>
          <w:szCs w:val="18"/>
        </w:rPr>
        <w:t xml:space="preserve">s were selected for </w:t>
      </w:r>
      <w:r w:rsidRPr="00CA46DB">
        <w:rPr>
          <w:rFonts w:cstheme="minorHAnsi" w:hint="eastAsia"/>
          <w:color w:val="000000" w:themeColor="text1"/>
          <w:sz w:val="18"/>
          <w:szCs w:val="18"/>
          <w:lang w:val="en-US" w:eastAsia="zh-CN"/>
        </w:rPr>
        <w:t xml:space="preserve">further </w:t>
      </w:r>
      <w:r w:rsidRPr="00CA46DB">
        <w:rPr>
          <w:rFonts w:cstheme="minorHAnsi"/>
          <w:color w:val="000000" w:themeColor="text1"/>
          <w:sz w:val="18"/>
          <w:szCs w:val="18"/>
        </w:rPr>
        <w:t xml:space="preserve">research because of </w:t>
      </w:r>
      <w:r w:rsidRPr="00CA46DB">
        <w:rPr>
          <w:rFonts w:cstheme="minorHAnsi" w:hint="eastAsia"/>
          <w:color w:val="000000" w:themeColor="text1"/>
          <w:sz w:val="18"/>
          <w:szCs w:val="18"/>
          <w:lang w:eastAsia="zh-CN"/>
        </w:rPr>
        <w:t>the</w:t>
      </w:r>
      <w:r w:rsidRPr="00CA46DB">
        <w:rPr>
          <w:rFonts w:cstheme="minorHAnsi"/>
          <w:color w:val="000000" w:themeColor="text1"/>
          <w:sz w:val="18"/>
          <w:szCs w:val="18"/>
          <w:lang w:eastAsia="zh-CN"/>
        </w:rPr>
        <w:t xml:space="preserve"> </w:t>
      </w:r>
      <w:r w:rsidRPr="00CA46DB">
        <w:rPr>
          <w:rFonts w:cstheme="minorHAnsi"/>
          <w:color w:val="000000" w:themeColor="text1"/>
          <w:sz w:val="18"/>
          <w:szCs w:val="18"/>
        </w:rPr>
        <w:t>high dielectric permittivity and wide band gap. In addition to the advantages of good flexibility and ease of mass preparation commonly found in polymers, the synthesis of PI offer</w:t>
      </w:r>
      <w:r w:rsidRPr="00CA46DB">
        <w:rPr>
          <w:rFonts w:cstheme="minorHAnsi" w:hint="eastAsia"/>
          <w:color w:val="000000" w:themeColor="text1"/>
          <w:sz w:val="18"/>
          <w:szCs w:val="18"/>
          <w:lang w:val="en-US" w:eastAsia="zh-CN"/>
        </w:rPr>
        <w:t>ed</w:t>
      </w:r>
      <w:r w:rsidRPr="00CA46DB">
        <w:rPr>
          <w:rFonts w:cstheme="minorHAnsi"/>
          <w:color w:val="000000" w:themeColor="text1"/>
          <w:sz w:val="18"/>
          <w:szCs w:val="18"/>
        </w:rPr>
        <w:t xml:space="preserve"> excellent discretion in fabrication process.</w:t>
      </w:r>
      <w:bookmarkEnd w:id="4"/>
      <w:r w:rsidRPr="00CA46DB">
        <w:rPr>
          <w:rFonts w:cstheme="minorHAnsi"/>
          <w:color w:val="000000" w:themeColor="text1"/>
          <w:sz w:val="18"/>
          <w:szCs w:val="18"/>
        </w:rPr>
        <w:t xml:space="preserve"> Depending on the application, reactive monomers could be selected to provide groups with special functions (</w:t>
      </w:r>
      <w:r w:rsidRPr="00CA46DB">
        <w:rPr>
          <w:rFonts w:cstheme="minorHAnsi"/>
          <w:i/>
          <w:iCs/>
          <w:color w:val="000000" w:themeColor="text1"/>
          <w:sz w:val="18"/>
          <w:szCs w:val="18"/>
        </w:rPr>
        <w:t>e.g</w:t>
      </w:r>
      <w:r w:rsidRPr="00CA46DB">
        <w:rPr>
          <w:rFonts w:cstheme="minorHAnsi"/>
          <w:color w:val="000000" w:themeColor="text1"/>
          <w:sz w:val="18"/>
          <w:szCs w:val="18"/>
        </w:rPr>
        <w:t xml:space="preserve">. high thermal stability, low </w:t>
      </w:r>
      <w:r w:rsidRPr="00CA46DB">
        <w:rPr>
          <w:rFonts w:eastAsia="楷体-简" w:cstheme="minorHAnsi"/>
          <w:color w:val="000000" w:themeColor="text1"/>
          <w:sz w:val="18"/>
          <w:szCs w:val="18"/>
        </w:rPr>
        <w:t>tan</w:t>
      </w:r>
      <w:r w:rsidRPr="00CA46DB">
        <w:rPr>
          <w:rFonts w:eastAsia="楷体-简" w:cstheme="minorHAnsi"/>
          <w:i/>
          <w:iCs/>
          <w:color w:val="000000" w:themeColor="text1"/>
          <w:sz w:val="18"/>
          <w:szCs w:val="18"/>
        </w:rPr>
        <w:t>δ</w:t>
      </w:r>
      <w:r w:rsidRPr="00CA46DB">
        <w:rPr>
          <w:rFonts w:cstheme="minorHAnsi"/>
          <w:color w:val="000000" w:themeColor="text1"/>
          <w:sz w:val="18"/>
          <w:szCs w:val="18"/>
        </w:rPr>
        <w:t>) during the prep</w:t>
      </w:r>
      <w:r w:rsidRPr="00CA46DB">
        <w:rPr>
          <w:rFonts w:cstheme="minorHAnsi" w:hint="eastAsia"/>
          <w:color w:val="000000" w:themeColor="text1"/>
          <w:sz w:val="18"/>
          <w:szCs w:val="18"/>
          <w:lang w:eastAsia="zh-CN"/>
        </w:rPr>
        <w:t>a</w:t>
      </w:r>
      <w:r w:rsidRPr="00CA46DB">
        <w:rPr>
          <w:rFonts w:cstheme="minorHAnsi"/>
          <w:color w:val="000000" w:themeColor="text1"/>
          <w:sz w:val="18"/>
          <w:szCs w:val="18"/>
        </w:rPr>
        <w:t xml:space="preserve">ration of PIs. Thus, the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of PI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 xml:space="preserve">r </w:t>
      </w:r>
      <w:r w:rsidRPr="00CA46DB">
        <w:rPr>
          <w:rFonts w:cstheme="minorHAnsi"/>
          <w:color w:val="000000" w:themeColor="text1"/>
          <w:sz w:val="18"/>
          <w:szCs w:val="18"/>
        </w:rPr>
        <w:t>= 3−5) was promoted by rational design of molecular structure.</w:t>
      </w:r>
      <w:r w:rsidRPr="00CA46DB">
        <w:rPr>
          <w:rFonts w:cstheme="minorHAnsi"/>
          <w:color w:val="000000" w:themeColor="text1"/>
          <w:sz w:val="18"/>
          <w:szCs w:val="18"/>
          <w:vertAlign w:val="superscript"/>
        </w:rPr>
        <w:t>13-16</w:t>
      </w:r>
      <w:r w:rsidRPr="00CA46DB">
        <w:rPr>
          <w:rFonts w:cstheme="minorHAnsi"/>
          <w:color w:val="000000" w:themeColor="text1"/>
          <w:sz w:val="18"/>
          <w:szCs w:val="18"/>
        </w:rPr>
        <w:t xml:space="preserve"> </w:t>
      </w:r>
      <w:r w:rsidRPr="00CA46DB">
        <w:rPr>
          <w:rFonts w:cstheme="minorHAnsi" w:hint="eastAsia"/>
          <w:color w:val="000000" w:themeColor="text1"/>
          <w:sz w:val="18"/>
          <w:szCs w:val="18"/>
          <w:lang w:eastAsia="zh-CN"/>
        </w:rPr>
        <w:t>Moreover</w:t>
      </w:r>
      <w:r w:rsidRPr="00CA46DB">
        <w:rPr>
          <w:rFonts w:cstheme="minorHAnsi"/>
          <w:color w:val="000000" w:themeColor="text1"/>
          <w:sz w:val="18"/>
          <w:szCs w:val="18"/>
        </w:rPr>
        <w:t xml:space="preserve">, the development of multiphase materials based on PI is a promising </w:t>
      </w:r>
      <w:r w:rsidRPr="00CA46DB">
        <w:rPr>
          <w:rFonts w:cstheme="minorHAnsi" w:hint="eastAsia"/>
          <w:color w:val="000000" w:themeColor="text1"/>
          <w:sz w:val="18"/>
          <w:szCs w:val="18"/>
          <w:lang w:eastAsia="zh-CN"/>
        </w:rPr>
        <w:t>method</w:t>
      </w:r>
      <w:r w:rsidRPr="00CA46DB">
        <w:rPr>
          <w:rFonts w:cstheme="minorHAnsi"/>
          <w:color w:val="000000" w:themeColor="text1"/>
          <w:sz w:val="18"/>
          <w:szCs w:val="18"/>
        </w:rPr>
        <w:t>. For example, the dielectric properties of PI can be improved by introducing ceramic nanofillers (</w:t>
      </w:r>
      <w:r w:rsidRPr="00CA46DB">
        <w:rPr>
          <w:rFonts w:cstheme="minorHAnsi"/>
          <w:i/>
          <w:iCs/>
          <w:color w:val="000000" w:themeColor="text1"/>
          <w:sz w:val="18"/>
          <w:szCs w:val="18"/>
        </w:rPr>
        <w:t>e.g.</w:t>
      </w:r>
      <w:r w:rsidRPr="00CA46DB">
        <w:rPr>
          <w:rFonts w:cstheme="minorHAnsi"/>
          <w:color w:val="000000" w:themeColor="text1"/>
          <w:sz w:val="18"/>
          <w:szCs w:val="18"/>
        </w:rPr>
        <w:t xml:space="preserve"> Al</w:t>
      </w:r>
      <w:r w:rsidRPr="00CA46DB">
        <w:rPr>
          <w:rFonts w:cstheme="minorHAnsi"/>
          <w:color w:val="000000" w:themeColor="text1"/>
          <w:sz w:val="18"/>
          <w:szCs w:val="18"/>
          <w:vertAlign w:val="subscript"/>
        </w:rPr>
        <w:t>2</w:t>
      </w:r>
      <w:r w:rsidRPr="00CA46DB">
        <w:rPr>
          <w:rFonts w:cstheme="minorHAnsi"/>
          <w:color w:val="000000" w:themeColor="text1"/>
          <w:sz w:val="18"/>
          <w:szCs w:val="18"/>
        </w:rPr>
        <w:t>O</w:t>
      </w:r>
      <w:r w:rsidRPr="00CA46DB">
        <w:rPr>
          <w:rFonts w:cstheme="minorHAnsi"/>
          <w:color w:val="000000" w:themeColor="text1"/>
          <w:sz w:val="18"/>
          <w:szCs w:val="18"/>
          <w:vertAlign w:val="subscript"/>
        </w:rPr>
        <w:t>3</w:t>
      </w:r>
      <w:r w:rsidRPr="00CA46DB">
        <w:rPr>
          <w:rFonts w:cstheme="minorHAnsi"/>
          <w:color w:val="000000" w:themeColor="text1"/>
          <w:sz w:val="18"/>
          <w:szCs w:val="18"/>
        </w:rPr>
        <w:t>,</w:t>
      </w:r>
      <w:r w:rsidRPr="00CA46DB">
        <w:rPr>
          <w:rFonts w:cstheme="minorHAnsi"/>
          <w:color w:val="000000" w:themeColor="text1"/>
          <w:sz w:val="18"/>
          <w:szCs w:val="18"/>
          <w:vertAlign w:val="superscript"/>
        </w:rPr>
        <w:t>17,18</w:t>
      </w:r>
      <w:r w:rsidRPr="00CA46DB">
        <w:rPr>
          <w:rFonts w:cstheme="minorHAnsi"/>
          <w:color w:val="000000" w:themeColor="text1"/>
          <w:sz w:val="18"/>
          <w:szCs w:val="18"/>
        </w:rPr>
        <w:t xml:space="preserve"> TiO</w:t>
      </w:r>
      <w:r w:rsidRPr="00CA46DB">
        <w:rPr>
          <w:rFonts w:cstheme="minorHAnsi"/>
          <w:color w:val="000000" w:themeColor="text1"/>
          <w:sz w:val="18"/>
          <w:szCs w:val="18"/>
          <w:vertAlign w:val="subscript"/>
        </w:rPr>
        <w:t>2</w:t>
      </w:r>
      <w:r w:rsidRPr="00CA46DB">
        <w:rPr>
          <w:rFonts w:cstheme="minorHAnsi"/>
          <w:color w:val="000000" w:themeColor="text1"/>
          <w:sz w:val="18"/>
          <w:szCs w:val="18"/>
        </w:rPr>
        <w:t>,</w:t>
      </w:r>
      <w:r w:rsidRPr="00CA46DB">
        <w:rPr>
          <w:rFonts w:cstheme="minorHAnsi"/>
          <w:color w:val="000000" w:themeColor="text1"/>
          <w:sz w:val="18"/>
          <w:szCs w:val="18"/>
          <w:vertAlign w:val="superscript"/>
        </w:rPr>
        <w:t>19−23</w:t>
      </w:r>
      <w:r w:rsidRPr="00CA46DB">
        <w:rPr>
          <w:rFonts w:cstheme="minorHAnsi"/>
          <w:color w:val="000000" w:themeColor="text1"/>
          <w:sz w:val="18"/>
          <w:szCs w:val="18"/>
        </w:rPr>
        <w:t xml:space="preserve"> CaCu</w:t>
      </w:r>
      <w:r w:rsidRPr="00CA46DB">
        <w:rPr>
          <w:rFonts w:cstheme="minorHAnsi"/>
          <w:color w:val="000000" w:themeColor="text1"/>
          <w:sz w:val="18"/>
          <w:szCs w:val="18"/>
          <w:vertAlign w:val="subscript"/>
        </w:rPr>
        <w:t>3</w:t>
      </w:r>
      <w:r w:rsidRPr="00CA46DB">
        <w:rPr>
          <w:rFonts w:cstheme="minorHAnsi"/>
          <w:color w:val="000000" w:themeColor="text1"/>
          <w:sz w:val="18"/>
          <w:szCs w:val="18"/>
        </w:rPr>
        <w:t>Ti</w:t>
      </w:r>
      <w:r w:rsidRPr="00CA46DB">
        <w:rPr>
          <w:rFonts w:cstheme="minorHAnsi"/>
          <w:color w:val="000000" w:themeColor="text1"/>
          <w:sz w:val="18"/>
          <w:szCs w:val="18"/>
          <w:vertAlign w:val="subscript"/>
        </w:rPr>
        <w:t>4</w:t>
      </w:r>
      <w:r w:rsidRPr="00CA46DB">
        <w:rPr>
          <w:rFonts w:cstheme="minorHAnsi"/>
          <w:color w:val="000000" w:themeColor="text1"/>
          <w:sz w:val="18"/>
          <w:szCs w:val="18"/>
        </w:rPr>
        <w:t>O</w:t>
      </w:r>
      <w:r w:rsidRPr="00CA46DB">
        <w:rPr>
          <w:rFonts w:cstheme="minorHAnsi"/>
          <w:color w:val="000000" w:themeColor="text1"/>
          <w:sz w:val="18"/>
          <w:szCs w:val="18"/>
          <w:vertAlign w:val="subscript"/>
        </w:rPr>
        <w:t>12</w:t>
      </w:r>
      <w:r w:rsidRPr="00CA46DB">
        <w:rPr>
          <w:rFonts w:cstheme="minorHAnsi"/>
          <w:color w:val="000000" w:themeColor="text1"/>
          <w:sz w:val="18"/>
          <w:szCs w:val="18"/>
        </w:rPr>
        <w:t>,</w:t>
      </w:r>
      <w:r w:rsidRPr="00CA46DB">
        <w:rPr>
          <w:rFonts w:cstheme="minorHAnsi"/>
          <w:color w:val="000000" w:themeColor="text1"/>
          <w:sz w:val="18"/>
          <w:szCs w:val="18"/>
          <w:vertAlign w:val="superscript"/>
        </w:rPr>
        <w:t>24−27</w:t>
      </w:r>
      <w:r w:rsidRPr="00CA46DB">
        <w:rPr>
          <w:rFonts w:cstheme="minorHAnsi"/>
          <w:color w:val="000000" w:themeColor="text1"/>
          <w:sz w:val="18"/>
          <w:szCs w:val="18"/>
        </w:rPr>
        <w:t xml:space="preserve"> and BaTiO</w:t>
      </w:r>
      <w:r w:rsidRPr="00CA46DB">
        <w:rPr>
          <w:rFonts w:cstheme="minorHAnsi"/>
          <w:color w:val="000000" w:themeColor="text1"/>
          <w:sz w:val="18"/>
          <w:szCs w:val="18"/>
          <w:vertAlign w:val="subscript"/>
        </w:rPr>
        <w:t>3</w:t>
      </w:r>
      <w:r w:rsidRPr="00CA46DB">
        <w:rPr>
          <w:rFonts w:cstheme="minorHAnsi"/>
          <w:color w:val="000000" w:themeColor="text1"/>
          <w:sz w:val="18"/>
          <w:szCs w:val="18"/>
        </w:rPr>
        <w:t xml:space="preserve"> </w:t>
      </w:r>
      <w:r w:rsidRPr="00CA46DB">
        <w:rPr>
          <w:rFonts w:cstheme="minorHAnsi"/>
          <w:color w:val="000000" w:themeColor="text1"/>
          <w:sz w:val="18"/>
          <w:szCs w:val="18"/>
          <w:vertAlign w:val="superscript"/>
        </w:rPr>
        <w:t>28−31</w:t>
      </w:r>
      <w:r w:rsidRPr="00CA46DB">
        <w:rPr>
          <w:rFonts w:cstheme="minorHAnsi"/>
          <w:color w:val="000000" w:themeColor="text1"/>
          <w:sz w:val="18"/>
          <w:szCs w:val="18"/>
        </w:rPr>
        <w:t>) and conductive nanofillers (</w:t>
      </w:r>
      <w:r w:rsidRPr="00CA46DB">
        <w:rPr>
          <w:rFonts w:cstheme="minorHAnsi"/>
          <w:i/>
          <w:iCs/>
          <w:color w:val="000000" w:themeColor="text1"/>
          <w:sz w:val="18"/>
          <w:szCs w:val="18"/>
        </w:rPr>
        <w:t>e.g.</w:t>
      </w:r>
      <w:r w:rsidRPr="00CA46DB">
        <w:rPr>
          <w:rFonts w:cstheme="minorHAnsi"/>
          <w:color w:val="000000" w:themeColor="text1"/>
          <w:sz w:val="18"/>
          <w:szCs w:val="18"/>
        </w:rPr>
        <w:t xml:space="preserve"> graphene,</w:t>
      </w:r>
      <w:r w:rsidRPr="00CA46DB">
        <w:rPr>
          <w:rFonts w:cstheme="minorHAnsi"/>
          <w:color w:val="000000" w:themeColor="text1"/>
          <w:sz w:val="18"/>
          <w:szCs w:val="18"/>
          <w:vertAlign w:val="superscript"/>
        </w:rPr>
        <w:t>32,33</w:t>
      </w:r>
      <w:r w:rsidRPr="00CA46DB">
        <w:rPr>
          <w:rFonts w:cstheme="minorHAnsi"/>
          <w:color w:val="000000" w:themeColor="text1"/>
          <w:sz w:val="18"/>
          <w:szCs w:val="18"/>
        </w:rPr>
        <w:t xml:space="preserve"> carbon nanotubes (CNT) </w:t>
      </w:r>
      <w:r w:rsidRPr="00CA46DB">
        <w:rPr>
          <w:rFonts w:cstheme="minorHAnsi"/>
          <w:color w:val="000000" w:themeColor="text1"/>
          <w:sz w:val="18"/>
          <w:szCs w:val="18"/>
          <w:vertAlign w:val="superscript"/>
        </w:rPr>
        <w:t>34−36</w:t>
      </w:r>
      <w:r w:rsidRPr="00CA46DB">
        <w:rPr>
          <w:rFonts w:cstheme="minorHAnsi"/>
          <w:color w:val="000000" w:themeColor="text1"/>
          <w:sz w:val="18"/>
          <w:szCs w:val="18"/>
        </w:rPr>
        <w:t>)</w:t>
      </w:r>
    </w:p>
    <w:p w14:paraId="0C25716C" w14:textId="444530D0" w:rsidR="00FC2A41" w:rsidRPr="00CA46DB" w:rsidRDefault="00166212">
      <w:pPr>
        <w:spacing w:after="0" w:line="240" w:lineRule="exact"/>
        <w:ind w:firstLineChars="200" w:firstLine="360"/>
        <w:jc w:val="both"/>
        <w:rPr>
          <w:rFonts w:eastAsia="SimSun" w:cstheme="minorHAnsi"/>
          <w:color w:val="000000" w:themeColor="text1"/>
          <w:sz w:val="18"/>
          <w:szCs w:val="18"/>
        </w:rPr>
      </w:pPr>
      <w:r w:rsidRPr="00CA46DB">
        <w:rPr>
          <w:rFonts w:cstheme="minorHAnsi"/>
          <w:color w:val="000000" w:themeColor="text1"/>
          <w:sz w:val="18"/>
          <w:szCs w:val="18"/>
        </w:rPr>
        <w:t xml:space="preserve">There are many reviews for film materials with high energy density at normal temperature for capacitors such as ceramic </w:t>
      </w:r>
      <w:r w:rsidRPr="00CA46DB">
        <w:rPr>
          <w:rFonts w:cstheme="minorHAnsi"/>
          <w:color w:val="000000" w:themeColor="text1"/>
          <w:sz w:val="18"/>
          <w:szCs w:val="18"/>
        </w:rPr>
        <w:br w:type="column"/>
        <w:t>dielectrics,</w:t>
      </w:r>
      <w:r w:rsidRPr="00CA46DB">
        <w:rPr>
          <w:rFonts w:cstheme="minorHAnsi"/>
          <w:color w:val="000000" w:themeColor="text1"/>
          <w:sz w:val="18"/>
          <w:szCs w:val="18"/>
          <w:vertAlign w:val="superscript"/>
        </w:rPr>
        <w:t>9, 37</w:t>
      </w:r>
      <w:r w:rsidRPr="00CA46DB">
        <w:rPr>
          <w:rFonts w:cstheme="minorHAnsi"/>
          <w:color w:val="000000" w:themeColor="text1"/>
          <w:sz w:val="18"/>
          <w:szCs w:val="18"/>
        </w:rPr>
        <w:t>polymer dielectrics</w:t>
      </w:r>
      <w:r w:rsidRPr="00CA46DB">
        <w:rPr>
          <w:rFonts w:cstheme="minorHAnsi"/>
          <w:color w:val="000000" w:themeColor="text1"/>
          <w:sz w:val="18"/>
          <w:szCs w:val="18"/>
          <w:vertAlign w:val="superscript"/>
        </w:rPr>
        <w:t>38,39</w:t>
      </w:r>
      <w:r w:rsidRPr="00CA46DB">
        <w:rPr>
          <w:rFonts w:cstheme="minorHAnsi"/>
          <w:color w:val="000000" w:themeColor="text1"/>
          <w:sz w:val="18"/>
          <w:szCs w:val="18"/>
        </w:rPr>
        <w:t xml:space="preserve"> and nanocomposite dielectrics </w:t>
      </w:r>
      <w:r w:rsidRPr="00CA46DB">
        <w:rPr>
          <w:rFonts w:cstheme="minorHAnsi"/>
          <w:color w:val="000000" w:themeColor="text1"/>
          <w:sz w:val="18"/>
          <w:szCs w:val="18"/>
          <w:vertAlign w:val="superscript"/>
        </w:rPr>
        <w:t>2,10,40−46</w:t>
      </w:r>
      <w:r w:rsidRPr="00CA46DB">
        <w:rPr>
          <w:rFonts w:cstheme="minorHAnsi"/>
          <w:color w:val="000000" w:themeColor="text1"/>
          <w:sz w:val="18"/>
          <w:szCs w:val="18"/>
        </w:rPr>
        <w:t>. Similarly, reviews of high-temperature capacitors were also available.</w:t>
      </w:r>
      <w:r w:rsidRPr="00CA46DB">
        <w:rPr>
          <w:rFonts w:cstheme="minorHAnsi"/>
          <w:color w:val="000000" w:themeColor="text1"/>
          <w:sz w:val="18"/>
          <w:szCs w:val="18"/>
          <w:vertAlign w:val="superscript"/>
        </w:rPr>
        <w:t>3,8,11,47−49</w:t>
      </w:r>
      <w:r w:rsidRPr="00CA46DB">
        <w:rPr>
          <w:rFonts w:cstheme="minorHAnsi"/>
          <w:color w:val="000000" w:themeColor="text1"/>
          <w:sz w:val="18"/>
          <w:szCs w:val="18"/>
        </w:rPr>
        <w:t xml:space="preserve"> However, publications concerning the use of PI for energy storage applications at elevated temperature were not widely available. Developments in the properties of PI are expected to find applications in the various fields requiring high-temperature energy storage, such as oil exploration, power grid, electric vehicles, aircraft, wind turbine generators and electronic circuits </w:t>
      </w:r>
      <w:r w:rsidRPr="00CA46DB">
        <w:rPr>
          <w:rFonts w:cstheme="minorHAnsi"/>
          <w:i/>
          <w:iCs/>
          <w:color w:val="000000" w:themeColor="text1"/>
          <w:sz w:val="18"/>
          <w:szCs w:val="18"/>
        </w:rPr>
        <w:t>etc.</w:t>
      </w:r>
      <w:r w:rsidRPr="00CA46DB">
        <w:rPr>
          <w:rFonts w:cstheme="minorHAnsi"/>
          <w:color w:val="000000" w:themeColor="text1"/>
          <w:sz w:val="18"/>
          <w:szCs w:val="18"/>
        </w:rPr>
        <w:t>, as shown in Fig. 1. The factors affecting the high-temperature energy storage properties of dielectric polymers including thermosetting aromatic polyimides and thermoplastic aromatic polyimides (such as polyetherimide, PEI) and their nanocomposites were analy</w:t>
      </w:r>
      <w:r w:rsidRPr="00CA46DB">
        <w:rPr>
          <w:rFonts w:cstheme="minorHAnsi" w:hint="eastAsia"/>
          <w:color w:val="000000" w:themeColor="text1"/>
          <w:sz w:val="18"/>
          <w:szCs w:val="18"/>
          <w:lang w:eastAsia="zh-CN"/>
        </w:rPr>
        <w:t>s</w:t>
      </w:r>
      <w:r w:rsidRPr="00CA46DB">
        <w:rPr>
          <w:rFonts w:cstheme="minorHAnsi"/>
          <w:color w:val="000000" w:themeColor="text1"/>
          <w:sz w:val="18"/>
          <w:szCs w:val="18"/>
        </w:rPr>
        <w:t>ed. Moreover, the microstructure and interface properties of these materials, and the internal relationship between these factors and high-temperature dielectric properties were explored. This review will provide meaningful guidance of the molecular and structure design, prep</w:t>
      </w:r>
      <w:r w:rsidRPr="00CA46DB">
        <w:rPr>
          <w:rFonts w:cstheme="minorHAnsi" w:hint="eastAsia"/>
          <w:color w:val="000000" w:themeColor="text1"/>
          <w:sz w:val="18"/>
          <w:szCs w:val="18"/>
          <w:lang w:eastAsia="zh-CN"/>
        </w:rPr>
        <w:t>a</w:t>
      </w:r>
      <w:r w:rsidRPr="00CA46DB">
        <w:rPr>
          <w:rFonts w:cstheme="minorHAnsi"/>
          <w:color w:val="000000" w:themeColor="text1"/>
          <w:sz w:val="18"/>
          <w:szCs w:val="18"/>
        </w:rPr>
        <w:t>ration process and practical use of PI capacitor materials for high temperature applications.</w:t>
      </w:r>
    </w:p>
    <w:p w14:paraId="137CF3D6" w14:textId="77777777" w:rsidR="00FC2A41" w:rsidRPr="00CA46DB" w:rsidRDefault="00166212">
      <w:pPr>
        <w:pStyle w:val="RSCB06BHeadingSub-Section"/>
        <w:spacing w:before="400" w:line="240" w:lineRule="auto"/>
        <w:rPr>
          <w:rFonts w:cstheme="minorHAnsi"/>
          <w:color w:val="000000" w:themeColor="text1"/>
          <w:sz w:val="24"/>
        </w:rPr>
      </w:pPr>
      <w:r w:rsidRPr="00CA46DB">
        <w:rPr>
          <w:rFonts w:cstheme="minorHAnsi"/>
          <w:color w:val="000000" w:themeColor="text1"/>
          <w:sz w:val="24"/>
        </w:rPr>
        <w:t>2. Basic parameters of high temperature capacitor materials</w:t>
      </w:r>
    </w:p>
    <w:p w14:paraId="3BA303AD" w14:textId="29E2E10A" w:rsidR="00FC2A41" w:rsidRPr="00645B5E" w:rsidRDefault="00166212">
      <w:pPr>
        <w:pStyle w:val="RSCB08CHeadingIn-line"/>
        <w:spacing w:after="80" w:line="240" w:lineRule="exact"/>
        <w:rPr>
          <w:rFonts w:cstheme="minorHAnsi"/>
          <w:color w:val="000000" w:themeColor="text1"/>
          <w:lang w:val="en-US" w:eastAsia="zh-CN"/>
        </w:rPr>
      </w:pPr>
      <w:r w:rsidRPr="00CA46DB">
        <w:rPr>
          <w:rFonts w:cstheme="minorHAnsi"/>
          <w:color w:val="000000" w:themeColor="text1"/>
        </w:rPr>
        <w:t xml:space="preserve">2.1 Energy </w:t>
      </w:r>
      <w:r w:rsidRPr="00CA46DB">
        <w:rPr>
          <w:rFonts w:cstheme="minorHAnsi" w:hint="eastAsia"/>
          <w:color w:val="000000" w:themeColor="text1"/>
          <w:lang w:val="en-US" w:eastAsia="zh-CN"/>
        </w:rPr>
        <w:t>stor</w:t>
      </w:r>
      <w:r w:rsidRPr="00645B5E">
        <w:rPr>
          <w:rFonts w:cstheme="minorHAnsi" w:hint="eastAsia"/>
          <w:color w:val="000000" w:themeColor="text1"/>
          <w:lang w:val="en-US" w:eastAsia="zh-CN"/>
        </w:rPr>
        <w:t>age</w:t>
      </w:r>
      <w:r w:rsidR="00645B5E" w:rsidRPr="00645B5E">
        <w:rPr>
          <w:rFonts w:cstheme="minorHAnsi"/>
          <w:color w:val="000000" w:themeColor="text1"/>
          <w:lang w:val="en-US" w:eastAsia="zh-CN"/>
        </w:rPr>
        <w:t xml:space="preserve"> </w:t>
      </w:r>
      <w:r w:rsidR="00AC6B5E" w:rsidRPr="00AC6B5E">
        <w:rPr>
          <w:rFonts w:cstheme="minorHAnsi"/>
          <w:color w:val="000000" w:themeColor="text1"/>
          <w:lang w:val="en-US" w:eastAsia="zh-CN"/>
        </w:rPr>
        <w:t>performance</w:t>
      </w:r>
    </w:p>
    <w:p w14:paraId="77D0E0C1" w14:textId="6D0E9ED2" w:rsidR="00FC2A41" w:rsidRPr="00CA46DB" w:rsidRDefault="00166212">
      <w:pPr>
        <w:spacing w:after="0" w:line="240" w:lineRule="exact"/>
        <w:jc w:val="both"/>
        <w:rPr>
          <w:rFonts w:cstheme="minorHAnsi"/>
          <w:color w:val="000000" w:themeColor="text1"/>
          <w:sz w:val="18"/>
          <w:szCs w:val="18"/>
        </w:rPr>
      </w:pPr>
      <w:r w:rsidRPr="00CA46DB">
        <w:rPr>
          <w:rFonts w:eastAsia="SimSun" w:cstheme="minorHAnsi"/>
          <w:color w:val="000000" w:themeColor="text1"/>
          <w:sz w:val="18"/>
          <w:szCs w:val="18"/>
        </w:rPr>
        <w:t>Generally, the energy storage density (</w:t>
      </w:r>
      <w:r w:rsidRPr="00CA46DB">
        <w:rPr>
          <w:rFonts w:eastAsia="SimSun" w:cstheme="minorHAnsi"/>
          <w:i/>
          <w:iCs/>
          <w:color w:val="000000" w:themeColor="text1"/>
          <w:sz w:val="18"/>
          <w:szCs w:val="18"/>
        </w:rPr>
        <w:t>U</w:t>
      </w:r>
      <w:r w:rsidRPr="00CA46DB">
        <w:rPr>
          <w:rFonts w:eastAsia="SimSun" w:cstheme="minorHAnsi"/>
          <w:color w:val="000000" w:themeColor="text1"/>
          <w:sz w:val="18"/>
          <w:szCs w:val="18"/>
        </w:rPr>
        <w:t>) of the dielectric capacitor can be given by Equation 1:</w:t>
      </w:r>
      <w:r w:rsidRPr="00CA46DB">
        <w:rPr>
          <w:rFonts w:cstheme="minorHAnsi"/>
          <w:color w:val="000000" w:themeColor="text1"/>
          <w:sz w:val="18"/>
          <w:szCs w:val="18"/>
        </w:rPr>
        <w:t xml:space="preserve"> </w:t>
      </w:r>
    </w:p>
    <w:p w14:paraId="234B554F" w14:textId="77777777" w:rsidR="00FC2A41" w:rsidRPr="00CA46DB" w:rsidRDefault="00166212">
      <w:pPr>
        <w:spacing w:before="200" w:line="240" w:lineRule="exact"/>
        <w:jc w:val="right"/>
        <w:rPr>
          <w:rFonts w:eastAsia="SimSun" w:cstheme="minorHAnsi"/>
          <w:color w:val="000000" w:themeColor="text1"/>
          <w:sz w:val="18"/>
          <w:szCs w:val="18"/>
          <w:lang w:eastAsia="zh-CN"/>
        </w:rPr>
      </w:pPr>
      <w:r w:rsidRPr="00CA46DB">
        <w:rPr>
          <w:rFonts w:cstheme="minorHAnsi"/>
          <w:i/>
          <w:iCs/>
          <w:color w:val="000000" w:themeColor="text1"/>
          <w:sz w:val="18"/>
          <w:szCs w:val="18"/>
        </w:rPr>
        <w:t>U</w:t>
      </w:r>
      <w:r w:rsidRPr="00CA46DB">
        <w:rPr>
          <w:rFonts w:eastAsia="SimSun" w:cstheme="minorHAnsi"/>
          <w:i/>
          <w:iCs/>
          <w:color w:val="000000" w:themeColor="text1"/>
          <w:sz w:val="18"/>
          <w:szCs w:val="18"/>
        </w:rPr>
        <w:t xml:space="preserve"> </w:t>
      </w:r>
      <m:oMath>
        <m:r>
          <w:rPr>
            <w:rFonts w:ascii="Cambria Math" w:hAnsi="Cambria Math" w:cstheme="minorHAnsi"/>
            <w:color w:val="000000" w:themeColor="text1"/>
            <w:sz w:val="18"/>
            <w:szCs w:val="18"/>
          </w:rPr>
          <m:t>=</m:t>
        </m:r>
        <m:nary>
          <m:naryPr>
            <m:limLoc m:val="undOvr"/>
            <m:subHide m:val="1"/>
            <m:supHide m:val="1"/>
            <m:ctrlPr>
              <w:rPr>
                <w:rFonts w:ascii="Cambria Math" w:hAnsi="Cambria Math" w:cstheme="minorHAnsi"/>
                <w:i/>
                <w:iCs/>
                <w:color w:val="000000" w:themeColor="text1"/>
                <w:sz w:val="18"/>
                <w:szCs w:val="18"/>
              </w:rPr>
            </m:ctrlPr>
          </m:naryPr>
          <m:sub/>
          <m:sup/>
          <m:e>
            <m:r>
              <w:rPr>
                <w:rFonts w:ascii="Cambria Math" w:hAnsi="Cambria Math" w:cstheme="minorHAnsi"/>
                <w:color w:val="000000" w:themeColor="text1"/>
                <w:sz w:val="18"/>
                <w:szCs w:val="18"/>
              </w:rPr>
              <m:t>E dD</m:t>
            </m:r>
          </m:e>
        </m:nary>
      </m:oMath>
      <w:r w:rsidRPr="00CA46DB">
        <w:rPr>
          <w:rFonts w:eastAsia="SimSun" w:cstheme="minorHAnsi"/>
          <w:i/>
          <w:iCs/>
          <w:color w:val="000000" w:themeColor="text1"/>
          <w:sz w:val="18"/>
          <w:szCs w:val="18"/>
          <w:lang w:eastAsia="zh-CN"/>
        </w:rPr>
        <w:t xml:space="preserve"> </w:t>
      </w:r>
      <w:r w:rsidRPr="00CA46DB">
        <w:rPr>
          <w:rFonts w:eastAsia="SimSun" w:cstheme="minorHAnsi"/>
          <w:color w:val="000000" w:themeColor="text1"/>
          <w:sz w:val="18"/>
          <w:szCs w:val="18"/>
          <w:lang w:eastAsia="zh-CN"/>
        </w:rPr>
        <w:t xml:space="preserve">                                             (1)</w:t>
      </w:r>
    </w:p>
    <w:p w14:paraId="1C1481A8" w14:textId="77777777" w:rsidR="00FC2A41" w:rsidRPr="00CA46DB" w:rsidRDefault="00166212">
      <w:pPr>
        <w:spacing w:after="0" w:line="240" w:lineRule="exact"/>
        <w:jc w:val="both"/>
        <w:rPr>
          <w:rFonts w:eastAsia="SimSun" w:cstheme="minorHAnsi"/>
          <w:color w:val="000000" w:themeColor="text1"/>
          <w:sz w:val="18"/>
          <w:szCs w:val="18"/>
        </w:rPr>
      </w:pPr>
      <w:r w:rsidRPr="00CA46DB">
        <w:rPr>
          <w:rFonts w:eastAsia="SimSun" w:cstheme="minorHAnsi"/>
          <w:color w:val="000000" w:themeColor="text1"/>
          <w:sz w:val="18"/>
          <w:szCs w:val="18"/>
        </w:rPr>
        <w:t xml:space="preserve">where </w:t>
      </w:r>
      <w:r w:rsidRPr="00CA46DB">
        <w:rPr>
          <w:rFonts w:eastAsia="SimSun" w:cstheme="minorHAnsi"/>
          <w:i/>
          <w:iCs/>
          <w:color w:val="000000" w:themeColor="text1"/>
          <w:sz w:val="18"/>
          <w:szCs w:val="18"/>
        </w:rPr>
        <w:t>E</w:t>
      </w:r>
      <w:r w:rsidRPr="00CA46DB">
        <w:rPr>
          <w:rFonts w:eastAsia="SimSun" w:cstheme="minorHAnsi"/>
          <w:color w:val="000000" w:themeColor="text1"/>
          <w:sz w:val="18"/>
          <w:szCs w:val="18"/>
        </w:rPr>
        <w:t xml:space="preserve"> is the applied electric field and </w:t>
      </w:r>
      <w:r w:rsidRPr="00CA46DB">
        <w:rPr>
          <w:rFonts w:eastAsia="SimSun" w:cstheme="minorHAnsi"/>
          <w:i/>
          <w:iCs/>
          <w:color w:val="000000" w:themeColor="text1"/>
          <w:sz w:val="18"/>
          <w:szCs w:val="18"/>
        </w:rPr>
        <w:t>D</w:t>
      </w:r>
      <w:r w:rsidRPr="00CA46DB">
        <w:rPr>
          <w:rFonts w:eastAsia="SimSun" w:cstheme="minorHAnsi"/>
          <w:color w:val="000000" w:themeColor="text1"/>
          <w:sz w:val="18"/>
          <w:szCs w:val="18"/>
        </w:rPr>
        <w:t xml:space="preserve"> represents the dielectric displacement. The discharge energy density (</w:t>
      </w:r>
      <w:r w:rsidRPr="00CA46DB">
        <w:rPr>
          <w:rFonts w:cstheme="minorHAnsi"/>
          <w:i/>
          <w:iCs/>
          <w:color w:val="000000" w:themeColor="text1"/>
          <w:sz w:val="18"/>
          <w:szCs w:val="18"/>
        </w:rPr>
        <w:t>U</w:t>
      </w:r>
      <w:r w:rsidRPr="00CA46DB">
        <w:rPr>
          <w:rFonts w:cstheme="minorHAnsi"/>
          <w:i/>
          <w:iCs/>
          <w:color w:val="000000" w:themeColor="text1"/>
          <w:sz w:val="18"/>
          <w:szCs w:val="18"/>
          <w:vertAlign w:val="subscript"/>
        </w:rPr>
        <w:t>e</w:t>
      </w:r>
      <w:r w:rsidRPr="00CA46DB">
        <w:rPr>
          <w:rFonts w:eastAsia="SimSun" w:cstheme="minorHAnsi"/>
          <w:color w:val="000000" w:themeColor="text1"/>
          <w:sz w:val="18"/>
          <w:szCs w:val="18"/>
        </w:rPr>
        <w:t xml:space="preserve">) is more important than the stored energy density in practical applications. </w:t>
      </w:r>
      <w:r w:rsidRPr="00CA46DB">
        <w:rPr>
          <w:rFonts w:eastAsia="SimSun" w:cstheme="minorHAnsi" w:hint="eastAsia"/>
          <w:color w:val="000000" w:themeColor="text1"/>
          <w:sz w:val="18"/>
          <w:szCs w:val="18"/>
          <w:lang w:eastAsia="zh-CN"/>
        </w:rPr>
        <w:t>T</w:t>
      </w:r>
      <w:r w:rsidRPr="00CA46DB">
        <w:rPr>
          <w:rFonts w:eastAsia="SimSun" w:cstheme="minorHAnsi"/>
          <w:color w:val="000000" w:themeColor="text1"/>
          <w:sz w:val="18"/>
          <w:szCs w:val="18"/>
        </w:rPr>
        <w:t>he η is also a basic performance parameter to evaluate capacitors as shown in Equation 2:</w:t>
      </w:r>
    </w:p>
    <w:p w14:paraId="59BEC838" w14:textId="77777777" w:rsidR="00FC2A41" w:rsidRPr="00CA46DB" w:rsidRDefault="00FC2A41">
      <w:pPr>
        <w:tabs>
          <w:tab w:val="left" w:pos="3462"/>
        </w:tabs>
        <w:spacing w:after="0" w:line="240" w:lineRule="exact"/>
        <w:jc w:val="both"/>
        <w:rPr>
          <w:rFonts w:eastAsia="SimSun" w:cstheme="minorHAnsi"/>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p>
    <w:p w14:paraId="07140369" w14:textId="1719E29A" w:rsidR="00FC2A41" w:rsidRPr="00E90C85" w:rsidRDefault="00CC2AE4">
      <w:pPr>
        <w:spacing w:after="0" w:line="240" w:lineRule="exact"/>
        <w:jc w:val="both"/>
        <w:rPr>
          <w:rFonts w:cstheme="minorHAnsi"/>
          <w:color w:val="000000" w:themeColor="text1"/>
          <w:sz w:val="18"/>
          <w:szCs w:val="18"/>
        </w:rPr>
      </w:pPr>
      <w:r w:rsidRPr="00CA46DB">
        <w:rPr>
          <w:rFonts w:cstheme="minorHAnsi"/>
          <w:noProof/>
          <w:color w:val="000000" w:themeColor="text1"/>
          <w:lang w:eastAsia="zh-CN"/>
        </w:rPr>
        <mc:AlternateContent>
          <mc:Choice Requires="wpg">
            <w:drawing>
              <wp:inline distT="0" distB="0" distL="0" distR="0" wp14:anchorId="5716E58B" wp14:editId="62CDD407">
                <wp:extent cx="6480175" cy="10795"/>
                <wp:effectExtent l="0" t="0" r="0" b="1905"/>
                <wp:docPr id="10" name="Group 4178"/>
                <wp:cNvGraphicFramePr/>
                <a:graphic xmlns:a="http://schemas.openxmlformats.org/drawingml/2006/main">
                  <a:graphicData uri="http://schemas.microsoft.com/office/word/2010/wordprocessingGroup">
                    <wpg:wgp>
                      <wpg:cNvGrpSpPr/>
                      <wpg:grpSpPr>
                        <a:xfrm>
                          <a:off x="0" y="0"/>
                          <a:ext cx="6480175" cy="10795"/>
                          <a:chOff x="0" y="0"/>
                          <a:chExt cx="6692405" cy="18974"/>
                        </a:xfrm>
                      </wpg:grpSpPr>
                      <wps:wsp>
                        <wps:cNvPr id="15" name="Shape 4839"/>
                        <wps:cNvSpPr/>
                        <wps:spPr>
                          <a:xfrm>
                            <a:off x="0" y="0"/>
                            <a:ext cx="6692405" cy="18974"/>
                          </a:xfrm>
                          <a:custGeom>
                            <a:avLst/>
                            <a:gdLst/>
                            <a:ahLst/>
                            <a:cxnLst/>
                            <a:rect l="0" t="0" r="0" b="0"/>
                            <a:pathLst>
                              <a:path w="6692405" h="18974">
                                <a:moveTo>
                                  <a:pt x="0" y="0"/>
                                </a:moveTo>
                                <a:lnTo>
                                  <a:pt x="6692405" y="0"/>
                                </a:lnTo>
                                <a:lnTo>
                                  <a:pt x="6692405" y="18974"/>
                                </a:lnTo>
                                <a:lnTo>
                                  <a:pt x="0" y="18974"/>
                                </a:lnTo>
                                <a:lnTo>
                                  <a:pt x="0" y="0"/>
                                </a:lnTo>
                              </a:path>
                            </a:pathLst>
                          </a:custGeom>
                          <a:ln w="0" cap="flat">
                            <a:miter lim="127000"/>
                          </a:ln>
                        </wps:spPr>
                        <wps:style>
                          <a:lnRef idx="0">
                            <a:srgbClr val="000000">
                              <a:alpha val="0"/>
                            </a:srgbClr>
                          </a:lnRef>
                          <a:fillRef idx="1">
                            <a:srgbClr val="DED9C9"/>
                          </a:fillRef>
                          <a:effectRef idx="0">
                            <a:scrgbClr r="0" g="0" b="0"/>
                          </a:effectRef>
                          <a:fontRef idx="none"/>
                        </wps:style>
                        <wps:bodyPr/>
                      </wps:wsp>
                    </wpg:wgp>
                  </a:graphicData>
                </a:graphic>
              </wp:inline>
            </w:drawing>
          </mc:Choice>
          <mc:Fallback>
            <w:pict>
              <v:group w14:anchorId="2AC06D86" id="Group 4178" o:spid="_x0000_s1026" style="width:510.25pt;height:.85pt;mso-position-horizontal-relative:char;mso-position-vertical-relative:line" coordsize="6692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">
                <v:shape id="Shape 4839" o:spid="_x0000_s1027" style="position:absolute;width:66924;height:189;visibility:visible;mso-wrap-style:square;v-text-anchor:top" coordsize="6692405,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" path="m,l6692405,r,18974l,18974,,e" fillcolor="#ded9c9" stroked="f" strokeweight="0">
                  <v:stroke miterlimit="83231f" joinstyle="miter"/>
                  <v:path arrowok="t" textboxrect="0,0,6692405,18974"/>
                </v:shape>
                <w10:anchorlock/>
              </v:group>
            </w:pict>
          </mc:Fallback>
        </mc:AlternateContent>
      </w:r>
      <w:r w:rsidR="00E90C85" w:rsidRPr="00CA46DB">
        <w:rPr>
          <w:rFonts w:cstheme="minorHAnsi"/>
          <w:noProof/>
          <w:color w:val="000000" w:themeColor="text1"/>
          <w:sz w:val="18"/>
          <w:szCs w:val="18"/>
          <w:lang w:eastAsia="zh-CN"/>
        </w:rPr>
        <w:drawing>
          <wp:anchor distT="0" distB="0" distL="114300" distR="114300" simplePos="0" relativeHeight="251662336" behindDoc="1" locked="0" layoutInCell="1" allowOverlap="1" wp14:anchorId="566336B1" wp14:editId="7741DA48">
            <wp:simplePos x="0" y="0"/>
            <wp:positionH relativeFrom="column">
              <wp:posOffset>1428115</wp:posOffset>
            </wp:positionH>
            <wp:positionV relativeFrom="page">
              <wp:posOffset>6329045</wp:posOffset>
            </wp:positionV>
            <wp:extent cx="3634105" cy="2802890"/>
            <wp:effectExtent l="0" t="0" r="0" b="3810"/>
            <wp:wrapTight wrapText="bothSides">
              <wp:wrapPolygon edited="1">
                <wp:start x="-8826" y="0"/>
                <wp:lineTo x="-8965" y="21953"/>
                <wp:lineTo x="30803" y="22022"/>
                <wp:lineTo x="30618" y="0"/>
                <wp:lineTo x="-8826" y="0"/>
              </wp:wrapPolygon>
            </wp:wrapTight>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4105" cy="2802890"/>
                    </a:xfrm>
                    <a:prstGeom prst="rect">
                      <a:avLst/>
                    </a:prstGeom>
                  </pic:spPr>
                </pic:pic>
              </a:graphicData>
            </a:graphic>
            <wp14:sizeRelH relativeFrom="margin">
              <wp14:pctWidth>0</wp14:pctWidth>
            </wp14:sizeRelH>
            <wp14:sizeRelV relativeFrom="margin">
              <wp14:pctHeight>0</wp14:pctHeight>
            </wp14:sizeRelV>
          </wp:anchor>
        </w:drawing>
      </w:r>
    </w:p>
    <w:p w14:paraId="67651497" w14:textId="77777777" w:rsidR="00107BBA" w:rsidRDefault="00107BBA" w:rsidP="007E1F4A">
      <w:pPr>
        <w:spacing w:after="0" w:line="240" w:lineRule="exact"/>
        <w:rPr>
          <w:rFonts w:cstheme="minorHAnsi"/>
          <w:color w:val="000000" w:themeColor="text1"/>
          <w:sz w:val="18"/>
          <w:szCs w:val="18"/>
        </w:rPr>
        <w:sectPr w:rsidR="00107BBA">
          <w:type w:val="continuous"/>
          <w:pgSz w:w="11907" w:h="16840"/>
          <w:pgMar w:top="1009" w:right="851" w:bottom="1758" w:left="851" w:header="851" w:footer="1049" w:gutter="0"/>
          <w:cols w:space="227"/>
          <w:docGrid w:linePitch="360"/>
        </w:sectPr>
      </w:pPr>
    </w:p>
    <w:p w14:paraId="4323A864" w14:textId="5D2BA41C" w:rsidR="007E1F4A" w:rsidRPr="00107BBA" w:rsidRDefault="00107BBA" w:rsidP="00107BBA">
      <w:pPr>
        <w:spacing w:after="0" w:line="240" w:lineRule="exact"/>
        <w:jc w:val="both"/>
        <w:rPr>
          <w:rFonts w:eastAsia="SimSun" w:cstheme="minorHAnsi"/>
          <w:color w:val="000000" w:themeColor="text1"/>
          <w:sz w:val="18"/>
          <w:szCs w:val="18"/>
        </w:rPr>
      </w:pPr>
      <w:r w:rsidRPr="00CA46DB">
        <w:rPr>
          <w:rFonts w:cstheme="minorHAnsi"/>
          <w:color w:val="000000" w:themeColor="text1"/>
          <w:sz w:val="18"/>
          <w:szCs w:val="18"/>
        </w:rPr>
        <w:t>Fig. 1. Structures and future applications of the PI-matrix for dielectric capacitors</w:t>
      </w:r>
      <w:r w:rsidRPr="00CA46DB">
        <w:rPr>
          <w:rFonts w:eastAsia="SimSun" w:cstheme="minorHAnsi"/>
          <w:color w:val="000000" w:themeColor="text1"/>
          <w:sz w:val="18"/>
          <w:szCs w:val="18"/>
        </w:rPr>
        <w:t>.</w:t>
      </w:r>
    </w:p>
    <w:p w14:paraId="779A8990" w14:textId="77777777" w:rsidR="00107BBA" w:rsidRDefault="00107BBA" w:rsidP="007E1F4A">
      <w:pPr>
        <w:spacing w:after="0" w:line="240" w:lineRule="exact"/>
        <w:jc w:val="both"/>
        <w:rPr>
          <w:rFonts w:cstheme="minorHAnsi"/>
          <w:color w:val="000000" w:themeColor="text1"/>
          <w:sz w:val="18"/>
          <w:szCs w:val="18"/>
        </w:rPr>
        <w:sectPr w:rsidR="00107BBA" w:rsidSect="00107BBA">
          <w:type w:val="continuous"/>
          <w:pgSz w:w="11907" w:h="16840"/>
          <w:pgMar w:top="1009" w:right="851" w:bottom="1758" w:left="851" w:header="851" w:footer="1049" w:gutter="0"/>
          <w:cols w:space="227"/>
          <w:docGrid w:linePitch="360"/>
        </w:sectPr>
      </w:pPr>
    </w:p>
    <w:p w14:paraId="3CBB4C23" w14:textId="77777777" w:rsidR="00FC2A41" w:rsidRPr="00CA46DB" w:rsidRDefault="00FC2A41">
      <w:pPr>
        <w:spacing w:before="200" w:line="240" w:lineRule="exact"/>
        <w:jc w:val="center"/>
        <w:rPr>
          <w:rFonts w:eastAsia="SimSun"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7864A198" w14:textId="77777777" w:rsidR="00FC2A41" w:rsidRPr="00CA46DB" w:rsidRDefault="00166212">
      <w:pPr>
        <w:spacing w:after="0" w:line="240" w:lineRule="exact"/>
        <w:jc w:val="both"/>
        <w:rPr>
          <w:rFonts w:eastAsia="SimSun" w:cstheme="minorHAnsi"/>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r w:rsidRPr="00CA46DB">
        <w:rPr>
          <w:rFonts w:eastAsia="SimSun" w:cstheme="minorHAnsi"/>
          <w:color w:val="000000" w:themeColor="text1"/>
          <w:sz w:val="18"/>
          <w:szCs w:val="18"/>
        </w:rPr>
        <w:lastRenderedPageBreak/>
        <w:br w:type="column"/>
      </w:r>
    </w:p>
    <w:p w14:paraId="47983DFA" w14:textId="77777777" w:rsidR="00FC2A41" w:rsidRPr="00CA46DB" w:rsidRDefault="00166212">
      <w:pPr>
        <w:spacing w:before="200" w:line="240" w:lineRule="exact"/>
        <w:jc w:val="right"/>
        <w:rPr>
          <w:rFonts w:eastAsia="SimSun" w:cstheme="minorHAnsi"/>
          <w:color w:val="000000" w:themeColor="text1"/>
          <w:sz w:val="18"/>
          <w:szCs w:val="18"/>
          <w:lang w:eastAsia="zh-CN"/>
        </w:rPr>
      </w:pPr>
      <w:r w:rsidRPr="00CA46DB">
        <w:rPr>
          <w:rFonts w:eastAsia="SimSun" w:cstheme="minorHAnsi"/>
          <w:color w:val="000000" w:themeColor="text1"/>
          <w:sz w:val="18"/>
          <w:szCs w:val="18"/>
        </w:rPr>
        <w:t xml:space="preserve">η </w:t>
      </w:r>
      <m:oMath>
        <m:r>
          <w:rPr>
            <w:rFonts w:ascii="Cambria Math" w:eastAsia="SimSun" w:hAnsi="Cambria Math" w:cstheme="minorHAnsi"/>
            <w:color w:val="000000" w:themeColor="text1"/>
            <w:sz w:val="18"/>
            <w:szCs w:val="18"/>
          </w:rPr>
          <m:t>=</m:t>
        </m:r>
        <m:f>
          <m:fPr>
            <m:ctrlPr>
              <w:rPr>
                <w:rFonts w:ascii="Cambria Math" w:eastAsia="SimSun" w:hAnsi="Cambria Math" w:cstheme="minorHAnsi"/>
                <w:i/>
                <w:color w:val="000000" w:themeColor="text1"/>
                <w:sz w:val="18"/>
                <w:szCs w:val="18"/>
              </w:rPr>
            </m:ctrlPr>
          </m:fPr>
          <m:num>
            <m:sSub>
              <m:sSubPr>
                <m:ctrlPr>
                  <w:rPr>
                    <w:rFonts w:ascii="Cambria Math" w:eastAsia="SimSun" w:hAnsi="Cambria Math" w:cstheme="minorHAnsi"/>
                    <w:i/>
                    <w:color w:val="000000" w:themeColor="text1"/>
                    <w:sz w:val="18"/>
                    <w:szCs w:val="18"/>
                  </w:rPr>
                </m:ctrlPr>
              </m:sSubPr>
              <m:e>
                <m:r>
                  <w:rPr>
                    <w:rFonts w:ascii="Cambria Math" w:eastAsia="SimSun" w:hAnsi="Cambria Math" w:cstheme="minorHAnsi"/>
                    <w:color w:val="000000" w:themeColor="text1"/>
                    <w:sz w:val="18"/>
                    <w:szCs w:val="18"/>
                  </w:rPr>
                  <m:t>U</m:t>
                </m:r>
              </m:e>
              <m:sub>
                <m:r>
                  <w:rPr>
                    <w:rFonts w:ascii="Cambria Math" w:eastAsia="SimSun" w:hAnsi="Cambria Math" w:cstheme="minorHAnsi"/>
                    <w:color w:val="000000" w:themeColor="text1"/>
                    <w:sz w:val="18"/>
                    <w:szCs w:val="18"/>
                  </w:rPr>
                  <m:t>e</m:t>
                </m:r>
              </m:sub>
            </m:sSub>
          </m:num>
          <m:den>
            <m:r>
              <w:rPr>
                <w:rFonts w:ascii="Cambria Math" w:eastAsia="SimSun" w:hAnsi="Cambria Math" w:cstheme="minorHAnsi"/>
                <w:color w:val="000000" w:themeColor="text1"/>
                <w:sz w:val="18"/>
                <w:szCs w:val="18"/>
              </w:rPr>
              <m:t>U</m:t>
            </m:r>
          </m:den>
        </m:f>
      </m:oMath>
      <w:r w:rsidRPr="00CA46DB">
        <w:rPr>
          <w:rFonts w:eastAsia="SimSun" w:cstheme="minorHAnsi"/>
          <w:color w:val="000000" w:themeColor="text1"/>
          <w:sz w:val="18"/>
          <w:szCs w:val="18"/>
          <w:lang w:eastAsia="zh-CN"/>
        </w:rPr>
        <w:t xml:space="preserve">                                                   (2)</w:t>
      </w:r>
    </w:p>
    <w:p w14:paraId="368E801B" w14:textId="77777777" w:rsidR="00FC2A41" w:rsidRPr="00CA46DB" w:rsidRDefault="00166212">
      <w:pPr>
        <w:spacing w:line="240" w:lineRule="exact"/>
        <w:jc w:val="both"/>
        <w:rPr>
          <w:rFonts w:eastAsia="SimSun" w:cstheme="minorHAnsi"/>
          <w:color w:val="000000" w:themeColor="text1"/>
          <w:sz w:val="18"/>
          <w:szCs w:val="18"/>
        </w:rPr>
      </w:pPr>
      <w:r w:rsidRPr="00CA46DB">
        <w:rPr>
          <w:rFonts w:eastAsia="SimSun" w:cstheme="minorHAnsi"/>
          <w:color w:val="000000" w:themeColor="text1"/>
          <w:sz w:val="18"/>
          <w:szCs w:val="18"/>
        </w:rPr>
        <w:t>The relationship between the electrical displacement (</w:t>
      </w:r>
      <w:r w:rsidRPr="00CA46DB">
        <w:rPr>
          <w:rFonts w:eastAsia="SimSun" w:cstheme="minorHAnsi"/>
          <w:i/>
          <w:iCs/>
          <w:color w:val="000000" w:themeColor="text1"/>
          <w:sz w:val="18"/>
          <w:szCs w:val="18"/>
        </w:rPr>
        <w:t>D</w:t>
      </w:r>
      <w:r w:rsidRPr="00CA46DB">
        <w:rPr>
          <w:rFonts w:eastAsia="SimSun" w:cstheme="minorHAnsi"/>
          <w:color w:val="000000" w:themeColor="text1"/>
          <w:sz w:val="18"/>
          <w:szCs w:val="18"/>
        </w:rPr>
        <w:t>) and the applied electric field (</w:t>
      </w:r>
      <w:r w:rsidRPr="00CA46DB">
        <w:rPr>
          <w:rFonts w:eastAsia="SimSun" w:cstheme="minorHAnsi"/>
          <w:i/>
          <w:iCs/>
          <w:color w:val="000000" w:themeColor="text1"/>
          <w:sz w:val="18"/>
          <w:szCs w:val="18"/>
        </w:rPr>
        <w:t>E</w:t>
      </w:r>
      <w:r w:rsidRPr="00CA46DB">
        <w:rPr>
          <w:rFonts w:eastAsia="SimSun" w:cstheme="minorHAnsi"/>
          <w:color w:val="000000" w:themeColor="text1"/>
          <w:sz w:val="18"/>
          <w:szCs w:val="18"/>
        </w:rPr>
        <w:t>) can be expressed by Equation 3:</w:t>
      </w:r>
    </w:p>
    <w:p w14:paraId="13D54EF3" w14:textId="77777777" w:rsidR="00FC2A41" w:rsidRPr="00CA46DB" w:rsidRDefault="00166212">
      <w:pPr>
        <w:spacing w:line="240" w:lineRule="exact"/>
        <w:jc w:val="right"/>
        <w:rPr>
          <w:rFonts w:eastAsia="SimSun" w:cstheme="minorHAnsi"/>
          <w:color w:val="000000" w:themeColor="text1"/>
          <w:sz w:val="18"/>
          <w:szCs w:val="18"/>
        </w:rPr>
      </w:pPr>
      <w:bookmarkStart w:id="5" w:name="OLE_LINK19"/>
      <w:bookmarkStart w:id="6" w:name="OLE_LINK20"/>
      <m:oMath>
        <m:r>
          <w:rPr>
            <w:rFonts w:ascii="Cambria Math" w:eastAsia="SimSun" w:hAnsi="Cambria Math" w:cstheme="minorHAnsi"/>
            <w:color w:val="000000" w:themeColor="text1"/>
            <w:sz w:val="18"/>
            <w:szCs w:val="18"/>
          </w:rPr>
          <m:t>D</m:t>
        </m:r>
        <m:r>
          <w:rPr>
            <w:rFonts w:ascii="Cambria Math" w:hAnsi="Cambria Math" w:cstheme="minorHAnsi"/>
            <w:color w:val="000000" w:themeColor="text1"/>
            <w:sz w:val="18"/>
            <w:szCs w:val="18"/>
          </w:rPr>
          <m:t>=</m:t>
        </m:r>
        <m:sSub>
          <m:sSubPr>
            <m:ctrlPr>
              <w:rPr>
                <w:rFonts w:ascii="Cambria Math" w:hAnsi="Cambria Math" w:cstheme="minorHAnsi"/>
                <w:i/>
                <w:iCs/>
                <w:color w:val="000000" w:themeColor="text1"/>
                <w:sz w:val="18"/>
                <w:szCs w:val="18"/>
              </w:rPr>
            </m:ctrlPr>
          </m:sSubPr>
          <m:e>
            <m:r>
              <w:rPr>
                <w:rFonts w:ascii="Cambria Math" w:hAnsi="Cambria Math" w:cstheme="minorHAnsi"/>
                <w:color w:val="000000" w:themeColor="text1"/>
                <w:sz w:val="18"/>
                <w:szCs w:val="18"/>
              </w:rPr>
              <m:t>ε</m:t>
            </m:r>
          </m:e>
          <m:sub>
            <m:r>
              <w:rPr>
                <w:rFonts w:ascii="Cambria Math" w:hAnsi="Cambria Math" w:cstheme="minorHAnsi"/>
                <w:color w:val="000000" w:themeColor="text1"/>
                <w:sz w:val="18"/>
                <w:szCs w:val="18"/>
              </w:rPr>
              <m:t>0</m:t>
            </m:r>
          </m:sub>
        </m:sSub>
        <m:sSub>
          <m:sSubPr>
            <m:ctrlPr>
              <w:rPr>
                <w:rFonts w:ascii="Cambria Math" w:hAnsi="Cambria Math" w:cstheme="minorHAnsi"/>
                <w:i/>
                <w:iCs/>
                <w:color w:val="000000" w:themeColor="text1"/>
                <w:sz w:val="18"/>
                <w:szCs w:val="18"/>
              </w:rPr>
            </m:ctrlPr>
          </m:sSubPr>
          <m:e>
            <m:r>
              <w:rPr>
                <w:rFonts w:ascii="Cambria Math" w:hAnsi="Cambria Math" w:cstheme="minorHAnsi"/>
                <w:color w:val="000000" w:themeColor="text1"/>
                <w:sz w:val="18"/>
                <w:szCs w:val="18"/>
              </w:rPr>
              <m:t>ε</m:t>
            </m:r>
          </m:e>
          <m:sub>
            <m:r>
              <w:rPr>
                <w:rFonts w:ascii="Cambria Math" w:hAnsi="Cambria Math" w:cstheme="minorHAnsi"/>
                <w:color w:val="000000" w:themeColor="text1"/>
                <w:sz w:val="18"/>
                <w:szCs w:val="18"/>
              </w:rPr>
              <m:t>r</m:t>
            </m:r>
          </m:sub>
        </m:sSub>
        <m:r>
          <w:rPr>
            <w:rFonts w:ascii="Cambria Math" w:hAnsi="Cambria Math" w:cstheme="minorHAnsi"/>
            <w:color w:val="000000" w:themeColor="text1"/>
            <w:sz w:val="18"/>
            <w:szCs w:val="18"/>
          </w:rPr>
          <m:t>E</m:t>
        </m:r>
      </m:oMath>
      <w:r w:rsidRPr="00CA46DB">
        <w:rPr>
          <w:rFonts w:eastAsia="SimSun" w:cstheme="minorHAnsi"/>
          <w:color w:val="000000" w:themeColor="text1"/>
          <w:sz w:val="18"/>
          <w:szCs w:val="18"/>
        </w:rPr>
        <w:tab/>
      </w:r>
      <w:bookmarkEnd w:id="5"/>
      <w:bookmarkEnd w:id="6"/>
      <w:r w:rsidRPr="00CA46DB">
        <w:rPr>
          <w:rFonts w:eastAsia="SimSun" w:cstheme="minorHAnsi"/>
          <w:color w:val="000000" w:themeColor="text1"/>
          <w:sz w:val="18"/>
          <w:szCs w:val="18"/>
        </w:rPr>
        <w:tab/>
        <w:t xml:space="preserve">    </w:t>
      </w:r>
      <w:r w:rsidRPr="00CA46DB">
        <w:rPr>
          <w:rFonts w:eastAsia="SimSun" w:cstheme="minorHAnsi"/>
          <w:color w:val="000000" w:themeColor="text1"/>
          <w:sz w:val="18"/>
          <w:szCs w:val="18"/>
        </w:rPr>
        <w:tab/>
      </w:r>
      <w:r w:rsidRPr="00CA46DB">
        <w:rPr>
          <w:rFonts w:eastAsia="SimSun" w:cstheme="minorHAnsi"/>
          <w:color w:val="000000" w:themeColor="text1"/>
          <w:sz w:val="18"/>
          <w:szCs w:val="18"/>
        </w:rPr>
        <w:tab/>
      </w:r>
      <w:r w:rsidRPr="00CA46DB">
        <w:rPr>
          <w:rFonts w:eastAsia="SimSun" w:cstheme="minorHAnsi"/>
          <w:color w:val="000000" w:themeColor="text1"/>
          <w:sz w:val="18"/>
          <w:szCs w:val="18"/>
        </w:rPr>
        <w:tab/>
      </w:r>
      <w:r w:rsidRPr="00CA46DB">
        <w:rPr>
          <w:rFonts w:eastAsia="SimSun" w:cstheme="minorHAnsi"/>
          <w:color w:val="000000" w:themeColor="text1"/>
          <w:sz w:val="18"/>
          <w:szCs w:val="18"/>
        </w:rPr>
        <w:tab/>
      </w:r>
      <w:r w:rsidRPr="00CA46DB">
        <w:rPr>
          <w:rFonts w:eastAsia="SimSun" w:cstheme="minorHAnsi"/>
          <w:color w:val="000000" w:themeColor="text1"/>
          <w:sz w:val="18"/>
          <w:szCs w:val="18"/>
        </w:rPr>
        <w:tab/>
      </w:r>
      <w:r w:rsidRPr="00CA46DB">
        <w:rPr>
          <w:rFonts w:eastAsia="SimSun" w:cstheme="minorHAnsi"/>
          <w:color w:val="000000" w:themeColor="text1"/>
          <w:sz w:val="18"/>
          <w:szCs w:val="18"/>
        </w:rPr>
        <w:tab/>
        <w:t>(3)</w:t>
      </w:r>
    </w:p>
    <w:p w14:paraId="79426A29" w14:textId="77777777" w:rsidR="00FC2A41" w:rsidRPr="00CA46DB" w:rsidRDefault="00166212">
      <w:pPr>
        <w:spacing w:line="240" w:lineRule="exact"/>
        <w:jc w:val="both"/>
        <w:rPr>
          <w:rFonts w:eastAsia="SimSun" w:cstheme="minorHAnsi"/>
          <w:color w:val="000000" w:themeColor="text1"/>
          <w:sz w:val="18"/>
          <w:szCs w:val="18"/>
        </w:rPr>
      </w:pPr>
      <w:r w:rsidRPr="00CA46DB">
        <w:rPr>
          <w:rFonts w:eastAsia="SimSun" w:cstheme="minorHAnsi"/>
          <w:color w:val="000000" w:themeColor="text1"/>
          <w:sz w:val="18"/>
          <w:szCs w:val="18"/>
        </w:rPr>
        <w:t xml:space="preserve">where </w:t>
      </w:r>
      <w:r w:rsidRPr="00CA46DB">
        <w:rPr>
          <w:rFonts w:eastAsia="SimSun" w:cstheme="minorHAnsi"/>
          <w:i/>
          <w:iCs/>
          <w:color w:val="000000" w:themeColor="text1"/>
          <w:sz w:val="18"/>
          <w:szCs w:val="18"/>
        </w:rPr>
        <w:t>ε</w:t>
      </w:r>
      <w:r w:rsidRPr="00CA46DB">
        <w:rPr>
          <w:rFonts w:eastAsia="SimSun" w:cstheme="minorHAnsi"/>
          <w:i/>
          <w:iCs/>
          <w:color w:val="000000" w:themeColor="text1"/>
          <w:sz w:val="18"/>
          <w:szCs w:val="18"/>
          <w:vertAlign w:val="subscript"/>
        </w:rPr>
        <w:t>0</w:t>
      </w:r>
      <w:r w:rsidRPr="00CA46DB">
        <w:rPr>
          <w:rFonts w:eastAsia="SimSun" w:cstheme="minorHAnsi"/>
          <w:color w:val="000000" w:themeColor="text1"/>
          <w:sz w:val="18"/>
          <w:szCs w:val="18"/>
        </w:rPr>
        <w:t xml:space="preserve"> (8.85×10</w:t>
      </w:r>
      <w:r w:rsidRPr="00CA46DB">
        <w:rPr>
          <w:rFonts w:cstheme="minorHAnsi"/>
          <w:color w:val="000000" w:themeColor="text1"/>
          <w:sz w:val="18"/>
          <w:szCs w:val="18"/>
          <w:vertAlign w:val="superscript"/>
        </w:rPr>
        <w:t>−</w:t>
      </w:r>
      <w:r w:rsidRPr="00CA46DB">
        <w:rPr>
          <w:rFonts w:eastAsia="SimSun" w:cstheme="minorHAnsi"/>
          <w:color w:val="000000" w:themeColor="text1"/>
          <w:sz w:val="18"/>
          <w:szCs w:val="18"/>
          <w:vertAlign w:val="superscript"/>
        </w:rPr>
        <w:t>12</w:t>
      </w:r>
      <w:r w:rsidRPr="00CA46DB">
        <w:rPr>
          <w:rFonts w:eastAsia="SimSun" w:cstheme="minorHAnsi"/>
          <w:color w:val="000000" w:themeColor="text1"/>
          <w:sz w:val="18"/>
          <w:szCs w:val="18"/>
        </w:rPr>
        <w:t xml:space="preserve"> F·m</w:t>
      </w:r>
      <w:r w:rsidRPr="00CA46DB">
        <w:rPr>
          <w:rFonts w:cstheme="minorHAnsi"/>
          <w:color w:val="000000" w:themeColor="text1"/>
          <w:sz w:val="18"/>
          <w:szCs w:val="18"/>
          <w:vertAlign w:val="superscript"/>
        </w:rPr>
        <w:t>−</w:t>
      </w:r>
      <w:r w:rsidRPr="00CA46DB">
        <w:rPr>
          <w:rFonts w:eastAsia="SimSun" w:cstheme="minorHAnsi"/>
          <w:color w:val="000000" w:themeColor="text1"/>
          <w:sz w:val="18"/>
          <w:szCs w:val="18"/>
          <w:vertAlign w:val="superscript"/>
        </w:rPr>
        <w:t>1</w:t>
      </w:r>
      <w:r w:rsidRPr="00CA46DB">
        <w:rPr>
          <w:rFonts w:eastAsia="SimSun" w:cstheme="minorHAnsi"/>
          <w:color w:val="000000" w:themeColor="text1"/>
          <w:sz w:val="18"/>
          <w:szCs w:val="18"/>
        </w:rPr>
        <w:t xml:space="preserve">) is the vacuum dielectric constant. Because </w:t>
      </w:r>
      <m:oMath>
        <m:sSub>
          <m:sSubPr>
            <m:ctrlPr>
              <w:rPr>
                <w:rFonts w:ascii="Cambria Math" w:hAnsi="Cambria Math" w:cstheme="minorHAnsi"/>
                <w:i/>
                <w:iCs/>
                <w:color w:val="000000" w:themeColor="text1"/>
                <w:sz w:val="18"/>
                <w:szCs w:val="18"/>
              </w:rPr>
            </m:ctrlPr>
          </m:sSubPr>
          <m:e>
            <m:r>
              <w:rPr>
                <w:rFonts w:ascii="Cambria Math" w:hAnsi="Cambria Math" w:cstheme="minorHAnsi"/>
                <w:color w:val="000000" w:themeColor="text1"/>
                <w:sz w:val="18"/>
                <w:szCs w:val="18"/>
              </w:rPr>
              <m:t>ε</m:t>
            </m:r>
          </m:e>
          <m:sub>
            <m:r>
              <w:rPr>
                <w:rFonts w:ascii="Cambria Math" w:hAnsi="Cambria Math" w:cstheme="minorHAnsi"/>
                <w:color w:val="000000" w:themeColor="text1"/>
                <w:sz w:val="18"/>
                <w:szCs w:val="18"/>
              </w:rPr>
              <m:t>r</m:t>
            </m:r>
          </m:sub>
        </m:sSub>
      </m:oMath>
      <w:r w:rsidRPr="00CA46DB">
        <w:rPr>
          <w:rFonts w:eastAsia="SimSun" w:cstheme="minorHAnsi"/>
          <w:color w:val="000000" w:themeColor="text1"/>
          <w:sz w:val="18"/>
          <w:szCs w:val="18"/>
        </w:rPr>
        <w:t xml:space="preserve"> remains constant under the changing electric field for linear dielectrics (e.g. PI), </w:t>
      </w:r>
      <w:r w:rsidRPr="00CA46DB">
        <w:rPr>
          <w:rFonts w:cstheme="minorHAnsi"/>
          <w:i/>
          <w:iCs/>
          <w:color w:val="000000" w:themeColor="text1"/>
          <w:sz w:val="18"/>
          <w:szCs w:val="18"/>
        </w:rPr>
        <w:t>U</w:t>
      </w:r>
      <w:r w:rsidRPr="00CA46DB">
        <w:rPr>
          <w:rFonts w:cstheme="minorHAnsi"/>
          <w:i/>
          <w:iCs/>
          <w:color w:val="000000" w:themeColor="text1"/>
          <w:sz w:val="18"/>
          <w:szCs w:val="18"/>
          <w:vertAlign w:val="subscript"/>
        </w:rPr>
        <w:t>e</w:t>
      </w:r>
      <w:r w:rsidRPr="00CA46DB">
        <w:rPr>
          <w:rFonts w:eastAsia="SimSun" w:cstheme="minorHAnsi"/>
          <w:color w:val="000000" w:themeColor="text1"/>
          <w:sz w:val="18"/>
          <w:szCs w:val="18"/>
        </w:rPr>
        <w:t xml:space="preserve"> can be described as follows:</w:t>
      </w:r>
    </w:p>
    <w:p w14:paraId="03EF9558" w14:textId="77777777" w:rsidR="00FC2A41" w:rsidRPr="00CA46DB" w:rsidRDefault="00166212">
      <w:pPr>
        <w:spacing w:line="240" w:lineRule="exact"/>
        <w:jc w:val="right"/>
        <w:rPr>
          <w:rFonts w:cstheme="minorHAnsi"/>
          <w:color w:val="000000" w:themeColor="text1"/>
          <w:sz w:val="18"/>
          <w:szCs w:val="18"/>
        </w:rPr>
      </w:pPr>
      <w:r w:rsidRPr="00CA46DB">
        <w:rPr>
          <w:rFonts w:cstheme="minorHAnsi"/>
          <w:i/>
          <w:iCs/>
          <w:color w:val="000000" w:themeColor="text1"/>
          <w:sz w:val="18"/>
          <w:szCs w:val="18"/>
        </w:rPr>
        <w:t>U</w:t>
      </w:r>
      <w:r w:rsidRPr="00CA46DB">
        <w:rPr>
          <w:rFonts w:cstheme="minorHAnsi"/>
          <w:i/>
          <w:iCs/>
          <w:color w:val="000000" w:themeColor="text1"/>
          <w:sz w:val="18"/>
          <w:szCs w:val="18"/>
          <w:vertAlign w:val="subscript"/>
        </w:rPr>
        <w:t>e</w:t>
      </w:r>
      <w:r w:rsidRPr="00CA46DB">
        <w:rPr>
          <w:rFonts w:cstheme="minorHAnsi"/>
          <w:color w:val="000000" w:themeColor="text1"/>
          <w:sz w:val="18"/>
          <w:szCs w:val="18"/>
        </w:rPr>
        <w:t xml:space="preserve"> </w:t>
      </w:r>
      <m:oMath>
        <m:r>
          <w:rPr>
            <w:rFonts w:ascii="Cambria Math" w:hAnsi="Cambria Math" w:cstheme="minorHAnsi"/>
            <w:color w:val="000000" w:themeColor="text1"/>
            <w:sz w:val="18"/>
            <w:szCs w:val="18"/>
          </w:rPr>
          <m:t>=</m:t>
        </m:r>
        <m:f>
          <m:fPr>
            <m:ctrlPr>
              <w:rPr>
                <w:rFonts w:ascii="Cambria Math" w:hAnsi="Cambria Math" w:cstheme="minorHAnsi"/>
                <w:i/>
                <w:color w:val="000000" w:themeColor="text1"/>
                <w:sz w:val="18"/>
                <w:szCs w:val="18"/>
              </w:rPr>
            </m:ctrlPr>
          </m:fPr>
          <m:num>
            <m:r>
              <w:rPr>
                <w:rFonts w:ascii="Cambria Math" w:hAnsi="Cambria Math" w:cstheme="minorHAnsi"/>
                <w:color w:val="000000" w:themeColor="text1"/>
                <w:sz w:val="18"/>
                <w:szCs w:val="18"/>
              </w:rPr>
              <m:t>1</m:t>
            </m:r>
          </m:num>
          <m:den>
            <m:r>
              <w:rPr>
                <w:rFonts w:ascii="Cambria Math" w:hAnsi="Cambria Math" w:cstheme="minorHAnsi"/>
                <w:color w:val="000000" w:themeColor="text1"/>
                <w:sz w:val="18"/>
                <w:szCs w:val="18"/>
              </w:rPr>
              <m:t>2</m:t>
            </m:r>
          </m:den>
        </m:f>
      </m:oMath>
      <w:r w:rsidRPr="00CA46DB">
        <w:rPr>
          <w:rFonts w:cstheme="minorHAnsi"/>
          <w:color w:val="000000" w:themeColor="text1"/>
          <w:sz w:val="18"/>
          <w:szCs w:val="18"/>
        </w:rPr>
        <w:t xml:space="preserve"> </w:t>
      </w:r>
      <w:r w:rsidRPr="00CA46DB">
        <w:rPr>
          <w:rFonts w:cstheme="minorHAnsi"/>
          <w:i/>
          <w:iCs/>
          <w:color w:val="000000" w:themeColor="text1"/>
          <w:sz w:val="18"/>
          <w:szCs w:val="18"/>
        </w:rPr>
        <w:t>DE</w:t>
      </w:r>
      <w:r w:rsidRPr="00CA46DB">
        <w:rPr>
          <w:rFonts w:cstheme="minorHAnsi"/>
          <w:color w:val="000000" w:themeColor="text1"/>
          <w:sz w:val="18"/>
          <w:szCs w:val="18"/>
        </w:rPr>
        <w:t xml:space="preserve"> </w:t>
      </w:r>
      <m:oMath>
        <m:r>
          <w:rPr>
            <w:rFonts w:ascii="Cambria Math" w:hAnsi="Cambria Math" w:cstheme="minorHAnsi"/>
            <w:color w:val="000000" w:themeColor="text1"/>
            <w:sz w:val="18"/>
            <w:szCs w:val="18"/>
          </w:rPr>
          <m:t>=</m:t>
        </m:r>
        <m:f>
          <m:fPr>
            <m:ctrlPr>
              <w:rPr>
                <w:rFonts w:ascii="Cambria Math" w:hAnsi="Cambria Math" w:cstheme="minorHAnsi"/>
                <w:i/>
                <w:color w:val="000000" w:themeColor="text1"/>
                <w:sz w:val="18"/>
                <w:szCs w:val="18"/>
              </w:rPr>
            </m:ctrlPr>
          </m:fPr>
          <m:num>
            <m:r>
              <w:rPr>
                <w:rFonts w:ascii="Cambria Math" w:hAnsi="Cambria Math" w:cstheme="minorHAnsi"/>
                <w:color w:val="000000" w:themeColor="text1"/>
                <w:sz w:val="18"/>
                <w:szCs w:val="18"/>
              </w:rPr>
              <m:t>1</m:t>
            </m:r>
          </m:num>
          <m:den>
            <m:r>
              <w:rPr>
                <w:rFonts w:ascii="Cambria Math" w:hAnsi="Cambria Math" w:cstheme="minorHAnsi"/>
                <w:color w:val="000000" w:themeColor="text1"/>
                <w:sz w:val="18"/>
                <w:szCs w:val="18"/>
              </w:rPr>
              <m:t>2</m:t>
            </m:r>
          </m:den>
        </m:f>
        <m:sSub>
          <m:sSubPr>
            <m:ctrlPr>
              <w:rPr>
                <w:rFonts w:ascii="Cambria Math" w:hAnsi="Cambria Math" w:cstheme="minorHAnsi"/>
                <w:i/>
                <w:color w:val="000000" w:themeColor="text1"/>
                <w:sz w:val="18"/>
                <w:szCs w:val="18"/>
              </w:rPr>
            </m:ctrlPr>
          </m:sSubPr>
          <m:e>
            <m:r>
              <w:rPr>
                <w:rFonts w:ascii="Cambria Math" w:hAnsi="Cambria Math" w:cstheme="minorHAnsi"/>
                <w:color w:val="000000" w:themeColor="text1"/>
                <w:sz w:val="18"/>
                <w:szCs w:val="18"/>
              </w:rPr>
              <m:t>ε</m:t>
            </m:r>
          </m:e>
          <m:sub>
            <m:r>
              <w:rPr>
                <w:rFonts w:ascii="Cambria Math" w:hAnsi="Cambria Math" w:cstheme="minorHAnsi"/>
                <w:color w:val="000000" w:themeColor="text1"/>
                <w:sz w:val="18"/>
                <w:szCs w:val="18"/>
              </w:rPr>
              <m:t>0</m:t>
            </m:r>
          </m:sub>
        </m:sSub>
        <m:sSub>
          <m:sSubPr>
            <m:ctrlPr>
              <w:rPr>
                <w:rFonts w:ascii="Cambria Math" w:hAnsi="Cambria Math" w:cstheme="minorHAnsi"/>
                <w:i/>
                <w:color w:val="000000" w:themeColor="text1"/>
                <w:sz w:val="18"/>
                <w:szCs w:val="18"/>
              </w:rPr>
            </m:ctrlPr>
          </m:sSubPr>
          <m:e>
            <m:r>
              <w:rPr>
                <w:rFonts w:ascii="Cambria Math" w:hAnsi="Cambria Math" w:cstheme="minorHAnsi"/>
                <w:color w:val="000000" w:themeColor="text1"/>
                <w:sz w:val="18"/>
                <w:szCs w:val="18"/>
              </w:rPr>
              <m:t>ε</m:t>
            </m:r>
          </m:e>
          <m:sub>
            <m:r>
              <w:rPr>
                <w:rFonts w:ascii="Cambria Math" w:hAnsi="Cambria Math" w:cstheme="minorHAnsi"/>
                <w:color w:val="000000" w:themeColor="text1"/>
                <w:sz w:val="18"/>
                <w:szCs w:val="18"/>
              </w:rPr>
              <m:t>r</m:t>
            </m:r>
          </m:sub>
        </m:sSub>
      </m:oMath>
      <w:r w:rsidRPr="00CA46DB">
        <w:rPr>
          <w:rFonts w:eastAsia="SimSun" w:cstheme="minorHAnsi"/>
          <w:i/>
          <w:iCs/>
          <w:color w:val="000000" w:themeColor="text1"/>
          <w:sz w:val="18"/>
          <w:szCs w:val="18"/>
        </w:rPr>
        <w:t>E</w:t>
      </w:r>
      <w:r w:rsidRPr="00CA46DB">
        <w:rPr>
          <w:rFonts w:eastAsia="SimSun" w:cstheme="minorHAnsi"/>
          <w:i/>
          <w:iCs/>
          <w:color w:val="000000" w:themeColor="text1"/>
          <w:sz w:val="18"/>
          <w:szCs w:val="18"/>
          <w:vertAlign w:val="subscript"/>
        </w:rPr>
        <w:t>b</w:t>
      </w:r>
      <w:r w:rsidRPr="00CA46DB">
        <w:rPr>
          <w:rFonts w:eastAsia="SimSun" w:cstheme="minorHAnsi"/>
          <w:color w:val="000000" w:themeColor="text1"/>
          <w:sz w:val="18"/>
          <w:szCs w:val="18"/>
          <w:vertAlign w:val="superscript"/>
        </w:rPr>
        <w:t>2</w:t>
      </w:r>
      <w:r w:rsidRPr="00CA46DB">
        <w:rPr>
          <w:rFonts w:eastAsia="SimSun" w:cstheme="minorHAnsi"/>
          <w:color w:val="000000" w:themeColor="text1"/>
          <w:sz w:val="18"/>
          <w:szCs w:val="18"/>
        </w:rPr>
        <w:tab/>
        <w:t xml:space="preserve">     </w:t>
      </w:r>
      <w:r w:rsidRPr="00CA46DB">
        <w:rPr>
          <w:rFonts w:cstheme="minorHAnsi"/>
          <w:color w:val="000000" w:themeColor="text1"/>
          <w:sz w:val="18"/>
          <w:szCs w:val="18"/>
        </w:rPr>
        <w:tab/>
      </w:r>
      <w:r w:rsidRPr="00CA46DB">
        <w:rPr>
          <w:rFonts w:cstheme="minorHAnsi"/>
          <w:color w:val="000000" w:themeColor="text1"/>
          <w:sz w:val="18"/>
          <w:szCs w:val="18"/>
        </w:rPr>
        <w:tab/>
      </w:r>
      <w:r w:rsidRPr="00CA46DB">
        <w:rPr>
          <w:rFonts w:cstheme="minorHAnsi"/>
          <w:color w:val="000000" w:themeColor="text1"/>
          <w:sz w:val="18"/>
          <w:szCs w:val="18"/>
        </w:rPr>
        <w:tab/>
      </w:r>
      <w:r w:rsidRPr="00CA46DB">
        <w:rPr>
          <w:rFonts w:cstheme="minorHAnsi"/>
          <w:color w:val="000000" w:themeColor="text1"/>
          <w:sz w:val="18"/>
          <w:szCs w:val="18"/>
        </w:rPr>
        <w:tab/>
      </w:r>
      <w:r w:rsidRPr="00CA46DB">
        <w:rPr>
          <w:rFonts w:cstheme="minorHAnsi"/>
          <w:color w:val="000000" w:themeColor="text1"/>
          <w:sz w:val="18"/>
          <w:szCs w:val="18"/>
        </w:rPr>
        <w:tab/>
        <w:t>(4)</w:t>
      </w:r>
    </w:p>
    <w:p w14:paraId="1940FA8F" w14:textId="77777777" w:rsidR="00FC2A41" w:rsidRPr="00CA46DB" w:rsidRDefault="00166212">
      <w:pPr>
        <w:spacing w:after="0" w:line="240" w:lineRule="exact"/>
        <w:jc w:val="both"/>
        <w:rPr>
          <w:rFonts w:cstheme="minorHAnsi"/>
          <w:color w:val="000000" w:themeColor="text1"/>
          <w:sz w:val="18"/>
          <w:szCs w:val="18"/>
        </w:rPr>
      </w:pPr>
      <w:r w:rsidRPr="00CA46DB">
        <w:rPr>
          <w:rFonts w:cstheme="minorHAnsi"/>
          <w:color w:val="000000" w:themeColor="text1"/>
          <w:sz w:val="18"/>
          <w:szCs w:val="18"/>
        </w:rPr>
        <w:t xml:space="preserve">It can be seen from the Equation 4 that both </w:t>
      </w:r>
      <w:r w:rsidRPr="00CA46DB">
        <w:rPr>
          <w:rFonts w:cstheme="minorHAnsi"/>
          <w:i/>
          <w:color w:val="000000" w:themeColor="text1"/>
          <w:sz w:val="18"/>
          <w:szCs w:val="18"/>
        </w:rPr>
        <w:t>ε</w:t>
      </w:r>
      <w:r w:rsidRPr="00CA46DB">
        <w:rPr>
          <w:rFonts w:cstheme="minorHAnsi"/>
          <w:color w:val="000000" w:themeColor="text1"/>
          <w:sz w:val="18"/>
          <w:szCs w:val="18"/>
          <w:vertAlign w:val="subscript"/>
        </w:rPr>
        <w:t xml:space="preserve">r </w:t>
      </w:r>
      <w:r w:rsidRPr="00CA46DB">
        <w:rPr>
          <w:rFonts w:cstheme="minorHAnsi"/>
          <w:color w:val="000000" w:themeColor="text1"/>
          <w:sz w:val="18"/>
          <w:szCs w:val="18"/>
        </w:rPr>
        <w:t xml:space="preserve">and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xml:space="preserve"> are the key factors for the improvement of </w:t>
      </w:r>
      <w:r w:rsidRPr="00CA46DB">
        <w:rPr>
          <w:rFonts w:cstheme="minorHAnsi"/>
          <w:i/>
          <w:iCs/>
          <w:color w:val="000000" w:themeColor="text1"/>
          <w:sz w:val="18"/>
          <w:szCs w:val="18"/>
        </w:rPr>
        <w:t>U</w:t>
      </w:r>
      <w:r w:rsidRPr="00CA46DB">
        <w:rPr>
          <w:rFonts w:cstheme="minorHAnsi"/>
          <w:i/>
          <w:iCs/>
          <w:color w:val="000000" w:themeColor="text1"/>
          <w:sz w:val="18"/>
          <w:szCs w:val="18"/>
          <w:vertAlign w:val="subscript"/>
        </w:rPr>
        <w:t>e</w:t>
      </w:r>
      <w:r w:rsidRPr="00CA46DB">
        <w:rPr>
          <w:rFonts w:cstheme="minorHAnsi"/>
          <w:color w:val="000000" w:themeColor="text1"/>
          <w:sz w:val="18"/>
          <w:szCs w:val="18"/>
        </w:rPr>
        <w:t xml:space="preserve">. And how to achieve a higher </w:t>
      </w:r>
      <w:r w:rsidRPr="00CA46DB">
        <w:rPr>
          <w:rFonts w:cstheme="minorHAnsi"/>
          <w:i/>
          <w:iCs/>
          <w:color w:val="000000" w:themeColor="text1"/>
          <w:sz w:val="18"/>
          <w:szCs w:val="18"/>
        </w:rPr>
        <w:t>U</w:t>
      </w:r>
      <w:r w:rsidRPr="00CA46DB">
        <w:rPr>
          <w:rFonts w:cstheme="minorHAnsi"/>
          <w:i/>
          <w:iCs/>
          <w:color w:val="000000" w:themeColor="text1"/>
          <w:sz w:val="18"/>
          <w:szCs w:val="18"/>
          <w:vertAlign w:val="subscript"/>
        </w:rPr>
        <w:t>e</w:t>
      </w:r>
      <w:r w:rsidRPr="00CA46DB">
        <w:rPr>
          <w:rFonts w:cstheme="minorHAnsi"/>
          <w:i/>
          <w:iCs/>
          <w:color w:val="000000" w:themeColor="text1"/>
          <w:sz w:val="18"/>
          <w:szCs w:val="18"/>
        </w:rPr>
        <w:t xml:space="preserve"> </w:t>
      </w:r>
      <w:r w:rsidRPr="00CA46DB">
        <w:rPr>
          <w:rFonts w:cstheme="minorHAnsi"/>
          <w:color w:val="000000" w:themeColor="text1"/>
          <w:sz w:val="18"/>
          <w:szCs w:val="18"/>
        </w:rPr>
        <w:t>in high temperature conditions is the main issue discussed in this work.</w:t>
      </w:r>
    </w:p>
    <w:p w14:paraId="6CD8EC28" w14:textId="77777777" w:rsidR="00FC2A41" w:rsidRPr="00CA46DB" w:rsidRDefault="00166212">
      <w:pPr>
        <w:spacing w:after="0" w:line="240" w:lineRule="exact"/>
        <w:ind w:firstLineChars="200" w:firstLine="361"/>
        <w:jc w:val="both"/>
        <w:rPr>
          <w:rFonts w:cstheme="minorHAnsi"/>
          <w:b/>
          <w:bCs/>
          <w:color w:val="000000" w:themeColor="text1"/>
          <w:sz w:val="18"/>
          <w:szCs w:val="18"/>
        </w:rPr>
      </w:pPr>
      <w:r w:rsidRPr="00CA46DB">
        <w:rPr>
          <w:rFonts w:cstheme="minorHAnsi"/>
          <w:b/>
          <w:bCs/>
          <w:color w:val="000000" w:themeColor="text1"/>
          <w:sz w:val="18"/>
          <w:szCs w:val="18"/>
        </w:rPr>
        <w:t xml:space="preserve">2.1.1. </w:t>
      </w:r>
      <w:r w:rsidRPr="00CA46DB">
        <w:rPr>
          <w:rFonts w:eastAsia="SimSun" w:cstheme="minorHAnsi"/>
          <w:b/>
          <w:bCs/>
          <w:color w:val="000000" w:themeColor="text1"/>
          <w:sz w:val="18"/>
          <w:szCs w:val="18"/>
        </w:rPr>
        <w:t xml:space="preserve">Dielectric permittivity and </w:t>
      </w:r>
      <w:r w:rsidRPr="00CA46DB">
        <w:rPr>
          <w:rFonts w:eastAsia="SimSun" w:cstheme="minorHAnsi"/>
          <w:b/>
          <w:bCs/>
          <w:color w:val="000000" w:themeColor="text1"/>
          <w:sz w:val="18"/>
          <w:szCs w:val="18"/>
          <w:lang w:eastAsia="zh-Hans"/>
        </w:rPr>
        <w:t xml:space="preserve">dielectric loss </w:t>
      </w:r>
      <w:r w:rsidRPr="00CA46DB">
        <w:rPr>
          <w:rFonts w:eastAsia="SimSun" w:cstheme="minorHAnsi"/>
          <w:b/>
          <w:bCs/>
          <w:color w:val="000000" w:themeColor="text1"/>
          <w:sz w:val="18"/>
          <w:szCs w:val="18"/>
        </w:rPr>
        <w:t>(tan</w:t>
      </w:r>
      <w:r w:rsidRPr="00CA46DB">
        <w:rPr>
          <w:rFonts w:eastAsia="SimSun" w:cstheme="minorHAnsi"/>
          <w:b/>
          <w:bCs/>
          <w:i/>
          <w:iCs/>
          <w:color w:val="000000" w:themeColor="text1"/>
          <w:sz w:val="18"/>
          <w:szCs w:val="18"/>
        </w:rPr>
        <w:t>δ</w:t>
      </w:r>
      <w:r w:rsidRPr="00CA46DB">
        <w:rPr>
          <w:rFonts w:eastAsia="SimSun" w:cstheme="minorHAnsi"/>
          <w:b/>
          <w:bCs/>
          <w:color w:val="000000" w:themeColor="text1"/>
          <w:sz w:val="18"/>
          <w:szCs w:val="18"/>
        </w:rPr>
        <w:t>)</w:t>
      </w:r>
      <w:r w:rsidRPr="00CA46DB">
        <w:rPr>
          <w:rFonts w:cstheme="minorHAnsi"/>
          <w:b/>
          <w:bCs/>
          <w:color w:val="000000" w:themeColor="text1"/>
          <w:sz w:val="18"/>
          <w:szCs w:val="18"/>
          <w:lang w:eastAsia="zh-CN"/>
        </w:rPr>
        <w:t xml:space="preserve">. </w:t>
      </w:r>
      <w:r w:rsidRPr="00CA46DB">
        <w:rPr>
          <w:rFonts w:cstheme="minorHAnsi"/>
          <w:color w:val="000000" w:themeColor="text1"/>
          <w:sz w:val="18"/>
          <w:szCs w:val="18"/>
        </w:rPr>
        <w:t xml:space="preserve">Dielectric properties are related to the polarization mechanism. The principle of energy storage and release arises from the polarization and depolarization process within the dielectric materials. </w:t>
      </w:r>
      <w:r w:rsidRPr="00CA46DB">
        <w:rPr>
          <w:rFonts w:eastAsia="SimSun" w:cstheme="minorHAnsi"/>
          <w:color w:val="000000" w:themeColor="text1"/>
          <w:sz w:val="18"/>
          <w:szCs w:val="18"/>
        </w:rPr>
        <w:t>Polarization (</w:t>
      </w:r>
      <w:r w:rsidRPr="00CA46DB">
        <w:rPr>
          <w:rFonts w:eastAsia="SimSun" w:cstheme="minorHAnsi"/>
          <w:i/>
          <w:iCs/>
          <w:color w:val="000000" w:themeColor="text1"/>
          <w:sz w:val="18"/>
          <w:szCs w:val="18"/>
        </w:rPr>
        <w:t>P</w:t>
      </w:r>
      <w:r w:rsidRPr="00CA46DB">
        <w:rPr>
          <w:rFonts w:eastAsia="SimSun" w:cstheme="minorHAnsi"/>
          <w:color w:val="000000" w:themeColor="text1"/>
          <w:sz w:val="18"/>
          <w:szCs w:val="18"/>
        </w:rPr>
        <w:t xml:space="preserve">) is defined as the total dipole moments in a dielectric per unit volume and related to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eastAsia="SimSun" w:cstheme="minorHAnsi"/>
          <w:color w:val="000000" w:themeColor="text1"/>
          <w:sz w:val="18"/>
          <w:szCs w:val="18"/>
        </w:rPr>
        <w:t xml:space="preserve"> under a homogeneous applied field</w:t>
      </w:r>
      <w:r w:rsidRPr="00CA46DB">
        <w:rPr>
          <w:rFonts w:cstheme="minorHAnsi"/>
          <w:color w:val="000000" w:themeColor="text1"/>
          <w:sz w:val="18"/>
          <w:szCs w:val="18"/>
        </w:rPr>
        <w:t>, which is shown as follow:</w:t>
      </w:r>
      <w:r w:rsidRPr="00CA46DB">
        <w:rPr>
          <w:rFonts w:cstheme="minorHAnsi"/>
          <w:color w:val="000000" w:themeColor="text1"/>
          <w:sz w:val="18"/>
          <w:szCs w:val="18"/>
          <w:vertAlign w:val="superscript"/>
        </w:rPr>
        <w:t>41</w:t>
      </w:r>
    </w:p>
    <w:p w14:paraId="58E89AD0" w14:textId="77777777" w:rsidR="00FC2A41" w:rsidRPr="00CA46DB" w:rsidRDefault="00166212">
      <w:pPr>
        <w:tabs>
          <w:tab w:val="left" w:pos="2890"/>
        </w:tabs>
        <w:spacing w:after="0" w:line="240" w:lineRule="exact"/>
        <w:jc w:val="right"/>
        <w:rPr>
          <w:rFonts w:eastAsia="SimSun" w:cstheme="minorHAnsi"/>
          <w:color w:val="000000" w:themeColor="text1"/>
          <w:sz w:val="18"/>
          <w:szCs w:val="18"/>
        </w:rPr>
      </w:pPr>
      <m:oMath>
        <m:r>
          <w:rPr>
            <w:rFonts w:ascii="Cambria Math" w:eastAsia="SimSun" w:hAnsi="Cambria Math" w:cstheme="minorHAnsi"/>
            <w:color w:val="000000" w:themeColor="text1"/>
            <w:sz w:val="18"/>
            <w:szCs w:val="18"/>
          </w:rPr>
          <m:t>P</m:t>
        </m:r>
        <m:r>
          <w:rPr>
            <w:rFonts w:ascii="Cambria Math" w:hAnsi="Cambria Math" w:cstheme="minorHAnsi"/>
            <w:color w:val="000000" w:themeColor="text1"/>
            <w:sz w:val="18"/>
            <w:szCs w:val="18"/>
          </w:rPr>
          <m:t>=(</m:t>
        </m:r>
        <m:sSub>
          <m:sSubPr>
            <m:ctrlPr>
              <w:rPr>
                <w:rFonts w:ascii="Cambria Math" w:hAnsi="Cambria Math" w:cstheme="minorHAnsi"/>
                <w:i/>
                <w:iCs/>
                <w:color w:val="000000" w:themeColor="text1"/>
                <w:sz w:val="18"/>
                <w:szCs w:val="18"/>
              </w:rPr>
            </m:ctrlPr>
          </m:sSubPr>
          <m:e>
            <m:r>
              <w:rPr>
                <w:rFonts w:ascii="Cambria Math" w:hAnsi="Cambria Math" w:cstheme="minorHAnsi"/>
                <w:color w:val="000000" w:themeColor="text1"/>
                <w:sz w:val="18"/>
                <w:szCs w:val="18"/>
              </w:rPr>
              <m:t>ε</m:t>
            </m:r>
          </m:e>
          <m:sub>
            <m:r>
              <w:rPr>
                <w:rFonts w:ascii="Cambria Math" w:hAnsi="Cambria Math" w:cstheme="minorHAnsi"/>
                <w:color w:val="000000" w:themeColor="text1"/>
                <w:sz w:val="18"/>
                <w:szCs w:val="18"/>
              </w:rPr>
              <m:t>r</m:t>
            </m:r>
          </m:sub>
        </m:sSub>
        <m:r>
          <w:rPr>
            <w:rFonts w:ascii="Cambria Math" w:hAnsi="Cambria Math" w:cstheme="minorHAnsi"/>
            <w:color w:val="000000" w:themeColor="text1"/>
            <w:sz w:val="18"/>
            <w:szCs w:val="18"/>
          </w:rPr>
          <m:t>-1)</m:t>
        </m:r>
        <m:sSub>
          <m:sSubPr>
            <m:ctrlPr>
              <w:rPr>
                <w:rFonts w:ascii="Cambria Math" w:hAnsi="Cambria Math" w:cstheme="minorHAnsi"/>
                <w:i/>
                <w:iCs/>
                <w:color w:val="000000" w:themeColor="text1"/>
                <w:sz w:val="18"/>
                <w:szCs w:val="18"/>
              </w:rPr>
            </m:ctrlPr>
          </m:sSubPr>
          <m:e>
            <m:r>
              <w:rPr>
                <w:rFonts w:ascii="Cambria Math" w:hAnsi="Cambria Math" w:cstheme="minorHAnsi"/>
                <w:color w:val="000000" w:themeColor="text1"/>
                <w:sz w:val="18"/>
                <w:szCs w:val="18"/>
              </w:rPr>
              <m:t>ε</m:t>
            </m:r>
          </m:e>
          <m:sub>
            <m:r>
              <w:rPr>
                <w:rFonts w:ascii="Cambria Math" w:hAnsi="Cambria Math" w:cstheme="minorHAnsi"/>
                <w:color w:val="000000" w:themeColor="text1"/>
                <w:sz w:val="18"/>
                <w:szCs w:val="18"/>
              </w:rPr>
              <m:t>0</m:t>
            </m:r>
          </m:sub>
        </m:sSub>
        <m:r>
          <w:rPr>
            <w:rFonts w:ascii="Cambria Math" w:hAnsi="Cambria Math" w:cstheme="minorHAnsi"/>
            <w:color w:val="000000" w:themeColor="text1"/>
            <w:sz w:val="18"/>
            <w:szCs w:val="18"/>
          </w:rPr>
          <m:t>E</m:t>
        </m:r>
      </m:oMath>
      <w:r w:rsidRPr="00CA46DB">
        <w:rPr>
          <w:rFonts w:cstheme="minorHAnsi"/>
          <w:color w:val="000000" w:themeColor="text1"/>
          <w:sz w:val="18"/>
          <w:szCs w:val="18"/>
        </w:rPr>
        <w:t xml:space="preserve">                                       </w:t>
      </w:r>
      <w:r w:rsidRPr="00CA46DB">
        <w:rPr>
          <w:rFonts w:eastAsia="SimSun" w:cstheme="minorHAnsi"/>
          <w:color w:val="000000" w:themeColor="text1"/>
          <w:sz w:val="18"/>
          <w:szCs w:val="18"/>
        </w:rPr>
        <w:t xml:space="preserve"> (5)</w:t>
      </w:r>
    </w:p>
    <w:p w14:paraId="6E880722" w14:textId="63A5C9FB" w:rsidR="00FC2A41" w:rsidRPr="00CA46DB" w:rsidRDefault="00166212">
      <w:pPr>
        <w:spacing w:after="0" w:line="240" w:lineRule="exact"/>
        <w:jc w:val="both"/>
        <w:rPr>
          <w:rFonts w:cstheme="minorHAnsi"/>
          <w:color w:val="000000" w:themeColor="text1"/>
          <w:sz w:val="18"/>
          <w:szCs w:val="18"/>
        </w:rPr>
      </w:pPr>
      <w:r w:rsidRPr="00CA46DB">
        <w:rPr>
          <w:rFonts w:eastAsia="SimSun" w:cstheme="minorHAnsi"/>
          <w:color w:val="000000" w:themeColor="text1"/>
          <w:sz w:val="18"/>
          <w:szCs w:val="18"/>
        </w:rPr>
        <w:t>The macro-polarization of dielectric materials under an electric field is essentially the sum contributions of the various micro-polarization mechanisms, including electronic polarization (</w:t>
      </w:r>
      <w:r w:rsidRPr="00CA46DB">
        <w:rPr>
          <w:rFonts w:eastAsia="SimSun" w:cstheme="minorHAnsi"/>
          <w:i/>
          <w:iCs/>
          <w:color w:val="000000" w:themeColor="text1"/>
          <w:sz w:val="18"/>
          <w:szCs w:val="18"/>
        </w:rPr>
        <w:t>P</w:t>
      </w:r>
      <w:r w:rsidRPr="00CA46DB">
        <w:rPr>
          <w:rFonts w:eastAsia="SimSun" w:cstheme="minorHAnsi"/>
          <w:color w:val="000000" w:themeColor="text1"/>
          <w:sz w:val="18"/>
          <w:szCs w:val="18"/>
          <w:vertAlign w:val="subscript"/>
        </w:rPr>
        <w:t>e</w:t>
      </w:r>
      <w:r w:rsidRPr="00CA46DB">
        <w:rPr>
          <w:rFonts w:eastAsia="SimSun" w:cstheme="minorHAnsi"/>
          <w:color w:val="000000" w:themeColor="text1"/>
          <w:sz w:val="18"/>
          <w:szCs w:val="18"/>
        </w:rPr>
        <w:t>), ionic polarization (</w:t>
      </w:r>
      <w:r w:rsidRPr="00CA46DB">
        <w:rPr>
          <w:rFonts w:eastAsia="SimSun" w:cstheme="minorHAnsi"/>
          <w:i/>
          <w:iCs/>
          <w:color w:val="000000" w:themeColor="text1"/>
          <w:sz w:val="18"/>
          <w:szCs w:val="18"/>
        </w:rPr>
        <w:t>P</w:t>
      </w:r>
      <w:r w:rsidRPr="00CA46DB">
        <w:rPr>
          <w:rFonts w:eastAsia="SimSun" w:cstheme="minorHAnsi"/>
          <w:color w:val="000000" w:themeColor="text1"/>
          <w:sz w:val="18"/>
          <w:szCs w:val="18"/>
          <w:vertAlign w:val="subscript"/>
        </w:rPr>
        <w:t>i</w:t>
      </w:r>
      <w:r w:rsidRPr="00CA46DB">
        <w:rPr>
          <w:rFonts w:eastAsia="SimSun" w:cstheme="minorHAnsi"/>
          <w:color w:val="000000" w:themeColor="text1"/>
          <w:sz w:val="18"/>
          <w:szCs w:val="18"/>
        </w:rPr>
        <w:t>), dipolar polarization (</w:t>
      </w:r>
      <w:r w:rsidRPr="00CA46DB">
        <w:rPr>
          <w:rFonts w:eastAsia="SimSun" w:cstheme="minorHAnsi"/>
          <w:i/>
          <w:iCs/>
          <w:color w:val="000000" w:themeColor="text1"/>
          <w:sz w:val="18"/>
          <w:szCs w:val="18"/>
        </w:rPr>
        <w:t>P</w:t>
      </w:r>
      <w:r w:rsidRPr="00CA46DB">
        <w:rPr>
          <w:rFonts w:eastAsia="SimSun" w:cstheme="minorHAnsi"/>
          <w:color w:val="000000" w:themeColor="text1"/>
          <w:sz w:val="18"/>
          <w:szCs w:val="18"/>
          <w:vertAlign w:val="subscript"/>
        </w:rPr>
        <w:t>d</w:t>
      </w:r>
      <w:r w:rsidRPr="00CA46DB">
        <w:rPr>
          <w:rFonts w:eastAsia="SimSun" w:cstheme="minorHAnsi"/>
          <w:color w:val="000000" w:themeColor="text1"/>
          <w:sz w:val="18"/>
          <w:szCs w:val="18"/>
        </w:rPr>
        <w:t>), and interfacial polarization (</w:t>
      </w:r>
      <w:r w:rsidRPr="00CA46DB">
        <w:rPr>
          <w:rFonts w:eastAsia="SimSun" w:cstheme="minorHAnsi"/>
          <w:i/>
          <w:iCs/>
          <w:color w:val="000000" w:themeColor="text1"/>
          <w:sz w:val="18"/>
          <w:szCs w:val="18"/>
        </w:rPr>
        <w:t>P</w:t>
      </w:r>
      <w:r w:rsidRPr="00CA46DB">
        <w:rPr>
          <w:rFonts w:eastAsia="SimSun" w:cstheme="minorHAnsi"/>
          <w:color w:val="000000" w:themeColor="text1"/>
          <w:sz w:val="18"/>
          <w:szCs w:val="18"/>
          <w:vertAlign w:val="subscript"/>
        </w:rPr>
        <w:t>int</w:t>
      </w:r>
      <w:r w:rsidRPr="00CA46DB">
        <w:rPr>
          <w:rFonts w:eastAsia="SimSun" w:cstheme="minorHAnsi"/>
          <w:color w:val="000000" w:themeColor="text1"/>
          <w:sz w:val="18"/>
          <w:szCs w:val="18"/>
        </w:rPr>
        <w:t>). These polarizations can be divided into the resonance and relaxation regimes as shown in Fig. 2</w:t>
      </w:r>
      <w:r w:rsidRPr="00CA46DB">
        <w:rPr>
          <w:rFonts w:cstheme="minorHAnsi"/>
          <w:color w:val="000000" w:themeColor="text1"/>
          <w:sz w:val="18"/>
          <w:szCs w:val="18"/>
        </w:rPr>
        <w:t>,</w:t>
      </w:r>
      <w:r w:rsidRPr="00CA46DB">
        <w:rPr>
          <w:rFonts w:cstheme="minorHAnsi"/>
          <w:color w:val="000000" w:themeColor="text1"/>
          <w:sz w:val="18"/>
          <w:szCs w:val="18"/>
          <w:vertAlign w:val="superscript"/>
        </w:rPr>
        <w:t xml:space="preserve"> 41,43</w:t>
      </w:r>
      <w:r w:rsidRPr="00CA46DB">
        <w:rPr>
          <w:rFonts w:cstheme="minorHAnsi"/>
          <w:color w:val="000000" w:themeColor="text1"/>
          <w:sz w:val="18"/>
          <w:szCs w:val="18"/>
        </w:rPr>
        <w:t xml:space="preserve"> which will be introduced briefly.</w:t>
      </w:r>
      <w:r w:rsidR="00561DA0" w:rsidRPr="00561DA0">
        <w:rPr>
          <w:rFonts w:cstheme="minorHAnsi"/>
          <w:noProof/>
          <w:color w:val="000000" w:themeColor="text1"/>
        </w:rPr>
        <w:t xml:space="preserve"> </w:t>
      </w:r>
    </w:p>
    <w:p w14:paraId="7386A0EE" w14:textId="3E2638C5" w:rsidR="00FC2A41" w:rsidRPr="00CA46DB" w:rsidRDefault="00166212">
      <w:pPr>
        <w:tabs>
          <w:tab w:val="left" w:pos="3462"/>
        </w:tabs>
        <w:spacing w:after="0" w:line="240" w:lineRule="exact"/>
        <w:ind w:firstLineChars="150" w:firstLine="270"/>
        <w:jc w:val="both"/>
        <w:rPr>
          <w:rFonts w:eastAsia="SimSun" w:cstheme="minorHAnsi"/>
          <w:color w:val="000000" w:themeColor="text1"/>
          <w:sz w:val="18"/>
          <w:szCs w:val="18"/>
        </w:rPr>
      </w:pPr>
      <w:r w:rsidRPr="00CA46DB">
        <w:rPr>
          <w:rFonts w:eastAsia="SimSun" w:cstheme="minorHAnsi"/>
          <w:color w:val="000000" w:themeColor="text1"/>
          <w:sz w:val="18"/>
          <w:szCs w:val="18"/>
        </w:rPr>
        <w:t>The positive and negative charge centers of the atom coincide</w:t>
      </w:r>
      <w:bookmarkStart w:id="7" w:name="OLE_LINK27"/>
      <w:r w:rsidRPr="00CA46DB">
        <w:rPr>
          <w:rFonts w:eastAsia="SimSun" w:cstheme="minorHAnsi"/>
          <w:color w:val="000000" w:themeColor="text1"/>
          <w:sz w:val="18"/>
          <w:szCs w:val="18"/>
        </w:rPr>
        <w:t xml:space="preserve"> in the absence of an external electric field. </w:t>
      </w:r>
      <w:bookmarkEnd w:id="7"/>
      <w:r w:rsidRPr="00CA46DB">
        <w:rPr>
          <w:rFonts w:eastAsia="SimSun" w:cstheme="minorHAnsi"/>
          <w:color w:val="000000" w:themeColor="text1"/>
          <w:sz w:val="18"/>
          <w:szCs w:val="18"/>
        </w:rPr>
        <w:t xml:space="preserve">The displacement of the electron distribution in the presence of an applied electric field </w:t>
      </w:r>
      <w:r w:rsidRPr="00CA46DB">
        <w:rPr>
          <w:rFonts w:eastAsia="SimSun" w:cstheme="minorHAnsi"/>
          <w:color w:val="000000" w:themeColor="text1"/>
          <w:sz w:val="18"/>
          <w:szCs w:val="18"/>
        </w:rPr>
        <w:br w:type="column"/>
      </w:r>
      <w:r w:rsidRPr="00CA46DB">
        <w:rPr>
          <w:rFonts w:eastAsia="SimSun" w:cstheme="minorHAnsi"/>
          <w:color w:val="000000" w:themeColor="text1"/>
          <w:sz w:val="18"/>
          <w:szCs w:val="18"/>
        </w:rPr>
        <w:t>induces a dipole moment referred to as electronic polarization. The dipole moments of electronic polarization are very small, which occurs in all dielectrics.</w:t>
      </w:r>
    </w:p>
    <w:p w14:paraId="0ED8B4CA" w14:textId="77777777" w:rsidR="00FC2A41" w:rsidRPr="00CA46DB" w:rsidRDefault="00166212">
      <w:pPr>
        <w:tabs>
          <w:tab w:val="left" w:pos="3462"/>
        </w:tabs>
        <w:spacing w:after="0" w:line="240" w:lineRule="exact"/>
        <w:ind w:firstLineChars="200" w:firstLine="360"/>
        <w:jc w:val="both"/>
        <w:rPr>
          <w:rFonts w:eastAsia="SimSun" w:cstheme="minorHAnsi"/>
          <w:color w:val="000000" w:themeColor="text1"/>
          <w:sz w:val="18"/>
          <w:szCs w:val="18"/>
        </w:rPr>
      </w:pPr>
      <w:r w:rsidRPr="00CA46DB">
        <w:rPr>
          <w:rFonts w:eastAsia="SimSun" w:cstheme="minorHAnsi"/>
          <w:color w:val="000000" w:themeColor="text1"/>
          <w:sz w:val="18"/>
          <w:szCs w:val="18"/>
        </w:rPr>
        <w:t xml:space="preserve">The dipole moments generated by cations and anions in materials are neutralized in the absence of an external electric field. When an external electric field is applied, the anions and cations move in opposite directions resulting in polarization, referred to as ionic polarization. The dipole moments of ionic polarization are larger, which can give the material higher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eastAsia="SimSun" w:cstheme="minorHAnsi"/>
          <w:color w:val="000000" w:themeColor="text1"/>
          <w:sz w:val="18"/>
          <w:szCs w:val="18"/>
        </w:rPr>
        <w:t>. This polarization is common in ceramic materials such as barium titanate (BaTiO</w:t>
      </w:r>
      <w:r w:rsidRPr="00CA46DB">
        <w:rPr>
          <w:rFonts w:eastAsia="SimSun" w:cstheme="minorHAnsi"/>
          <w:color w:val="000000" w:themeColor="text1"/>
          <w:sz w:val="18"/>
          <w:szCs w:val="18"/>
          <w:vertAlign w:val="subscript"/>
        </w:rPr>
        <w:t>3</w:t>
      </w:r>
      <w:r w:rsidRPr="00CA46DB">
        <w:rPr>
          <w:rFonts w:eastAsia="SimSun" w:cstheme="minorHAnsi"/>
          <w:color w:val="000000" w:themeColor="text1"/>
          <w:sz w:val="18"/>
          <w:szCs w:val="18"/>
        </w:rPr>
        <w:t xml:space="preserve">). </w:t>
      </w:r>
    </w:p>
    <w:p w14:paraId="2A9C5345" w14:textId="77777777" w:rsidR="00FC2A41" w:rsidRPr="00CA46DB" w:rsidRDefault="00166212">
      <w:pPr>
        <w:tabs>
          <w:tab w:val="left" w:pos="3462"/>
        </w:tabs>
        <w:spacing w:after="0" w:line="240" w:lineRule="exact"/>
        <w:ind w:firstLineChars="200" w:firstLine="360"/>
        <w:jc w:val="both"/>
        <w:rPr>
          <w:rFonts w:eastAsia="SimSun" w:cstheme="minorHAnsi"/>
          <w:color w:val="000000" w:themeColor="text1"/>
          <w:sz w:val="18"/>
          <w:szCs w:val="18"/>
        </w:rPr>
      </w:pPr>
      <w:r w:rsidRPr="00CA46DB">
        <w:rPr>
          <w:rFonts w:eastAsia="SimSun" w:cstheme="minorHAnsi"/>
          <w:color w:val="000000" w:themeColor="text1"/>
          <w:sz w:val="18"/>
          <w:szCs w:val="18"/>
        </w:rPr>
        <w:t>Dipolar polarization results from molecules or molecular chains, which usually own inherent dipole moments. When there is no applied electric field, these dipole moments are randomly oriented. When an external electric field is applied, the molecules or molecular chains tend to distribute parallel to the direction of the electric field, thereby exhibiting macroscopic polarization. For polymers, the dipolar polarization depends on the presence of polar groups and the geometry of the polymer chains.</w:t>
      </w:r>
      <w:r w:rsidRPr="00CA46DB">
        <w:rPr>
          <w:rFonts w:cstheme="minorHAnsi"/>
          <w:color w:val="000000" w:themeColor="text1"/>
          <w:sz w:val="18"/>
          <w:szCs w:val="18"/>
          <w:vertAlign w:val="superscript"/>
        </w:rPr>
        <w:t>41</w:t>
      </w:r>
    </w:p>
    <w:p w14:paraId="4A334626" w14:textId="77777777" w:rsidR="00FC2A41" w:rsidRPr="00CA46DB" w:rsidRDefault="00166212">
      <w:pPr>
        <w:tabs>
          <w:tab w:val="left" w:pos="3462"/>
        </w:tabs>
        <w:spacing w:after="0" w:line="240" w:lineRule="exact"/>
        <w:ind w:firstLineChars="200" w:firstLine="360"/>
        <w:jc w:val="both"/>
        <w:rPr>
          <w:rFonts w:eastAsia="SimSun" w:cstheme="minorHAnsi"/>
          <w:color w:val="000000" w:themeColor="text1"/>
          <w:sz w:val="18"/>
          <w:szCs w:val="18"/>
        </w:rPr>
      </w:pPr>
      <w:r w:rsidRPr="00CA46DB">
        <w:rPr>
          <w:rFonts w:eastAsia="SimSun" w:cstheme="minorHAnsi"/>
          <w:color w:val="000000" w:themeColor="text1"/>
          <w:sz w:val="18"/>
          <w:szCs w:val="18"/>
        </w:rPr>
        <w:t>Interfacial polarization is mainly related to the differences in the electrical characteristics of the constituent phases. When there is no external electric field, space charges distribute uniformly exhibiting non-polarization. While space charges accumulate in an applied electric field at the interface resulting in interfacial polarization.</w:t>
      </w:r>
    </w:p>
    <w:p w14:paraId="2C16EF9B" w14:textId="0D4BF9F8" w:rsidR="00FC2A41" w:rsidRDefault="00166212">
      <w:pPr>
        <w:tabs>
          <w:tab w:val="left" w:pos="3462"/>
        </w:tabs>
        <w:spacing w:after="0" w:line="240" w:lineRule="exact"/>
        <w:ind w:firstLineChars="200" w:firstLine="360"/>
        <w:jc w:val="both"/>
        <w:rPr>
          <w:rFonts w:eastAsia="SimSun" w:cstheme="minorHAnsi"/>
          <w:color w:val="000000" w:themeColor="text1"/>
          <w:sz w:val="18"/>
          <w:szCs w:val="18"/>
        </w:rPr>
      </w:pPr>
      <w:r w:rsidRPr="00CA46DB">
        <w:rPr>
          <w:rFonts w:eastAsia="SimSun" w:cstheme="minorHAnsi"/>
          <w:color w:val="000000" w:themeColor="text1"/>
          <w:sz w:val="18"/>
          <w:szCs w:val="18"/>
        </w:rPr>
        <w:t>PI has high electron mobility arising from the conjugated system of benzene rings and the lone pairs of electrons on the O and N of the imide rings, which will lead to the generation of electron polarization. However, the high-</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eastAsia="SimSun" w:cstheme="minorHAnsi"/>
          <w:color w:val="000000" w:themeColor="text1"/>
          <w:sz w:val="18"/>
          <w:szCs w:val="18"/>
        </w:rPr>
        <w:t xml:space="preserve"> of PI is mainly contributed by dipolar polarization of their polar groups. Tong et al. analy</w:t>
      </w:r>
      <w:r w:rsidRPr="00CA46DB">
        <w:rPr>
          <w:rFonts w:eastAsia="SimSun" w:cstheme="minorHAnsi" w:hint="eastAsia"/>
          <w:color w:val="000000" w:themeColor="text1"/>
          <w:sz w:val="18"/>
          <w:szCs w:val="18"/>
          <w:lang w:eastAsia="zh-CN"/>
        </w:rPr>
        <w:t>s</w:t>
      </w:r>
      <w:r w:rsidRPr="00CA46DB">
        <w:rPr>
          <w:rFonts w:eastAsia="SimSun" w:cstheme="minorHAnsi"/>
          <w:color w:val="000000" w:themeColor="text1"/>
          <w:sz w:val="18"/>
          <w:szCs w:val="18"/>
        </w:rPr>
        <w:t xml:space="preserve">ed the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eastAsia="SimSun" w:cstheme="minorHAnsi"/>
          <w:color w:val="000000" w:themeColor="text1"/>
          <w:sz w:val="18"/>
          <w:szCs w:val="18"/>
        </w:rPr>
        <w:t xml:space="preserve"> of PIs with different structures as a function of temperature. As the operating temperature increases, only a slight change in the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eastAsia="SimSun" w:cstheme="minorHAnsi"/>
          <w:color w:val="000000" w:themeColor="text1"/>
          <w:sz w:val="18"/>
          <w:szCs w:val="18"/>
        </w:rPr>
        <w:t xml:space="preserve"> of PI is observed.</w:t>
      </w:r>
      <w:r w:rsidRPr="00CA46DB">
        <w:rPr>
          <w:rFonts w:eastAsia="SimSun" w:cstheme="minorHAnsi"/>
          <w:color w:val="000000" w:themeColor="text1"/>
          <w:sz w:val="18"/>
          <w:szCs w:val="18"/>
          <w:vertAlign w:val="superscript"/>
        </w:rPr>
        <w:t>50,51</w:t>
      </w:r>
      <w:r w:rsidRPr="00CA46DB">
        <w:rPr>
          <w:rFonts w:eastAsia="SimSun" w:cstheme="minorHAnsi"/>
          <w:color w:val="000000" w:themeColor="text1"/>
          <w:sz w:val="18"/>
          <w:szCs w:val="18"/>
        </w:rPr>
        <w:t xml:space="preserve"> Moreover, it should be noted that the high glass transition temperature (</w:t>
      </w:r>
      <w:r w:rsidRPr="00CA46DB">
        <w:rPr>
          <w:rFonts w:eastAsia="SimSun" w:cstheme="minorHAnsi"/>
          <w:i/>
          <w:iCs/>
          <w:color w:val="000000" w:themeColor="text1"/>
          <w:sz w:val="18"/>
          <w:szCs w:val="18"/>
        </w:rPr>
        <w:t>T</w:t>
      </w:r>
      <w:r w:rsidRPr="00CA46DB">
        <w:rPr>
          <w:rFonts w:eastAsia="SimSun" w:cstheme="minorHAnsi"/>
          <w:color w:val="000000" w:themeColor="text1"/>
          <w:sz w:val="18"/>
          <w:szCs w:val="18"/>
          <w:vertAlign w:val="subscript"/>
        </w:rPr>
        <w:t>g</w:t>
      </w:r>
      <w:r w:rsidRPr="00CA46DB">
        <w:rPr>
          <w:rFonts w:eastAsia="SimSun" w:cstheme="minorHAnsi"/>
          <w:color w:val="000000" w:themeColor="text1"/>
          <w:sz w:val="18"/>
          <w:szCs w:val="18"/>
        </w:rPr>
        <w:t xml:space="preserve">) of PIs (usually higher than 200 </w:t>
      </w:r>
      <w:r w:rsidRPr="00CA46DB">
        <w:rPr>
          <w:rFonts w:ascii="Cambria Math" w:hAnsi="Cambria Math" w:cs="Cambria Math"/>
          <w:color w:val="000000" w:themeColor="text1"/>
          <w:sz w:val="18"/>
          <w:szCs w:val="18"/>
        </w:rPr>
        <w:t>℃</w:t>
      </w:r>
      <w:r w:rsidRPr="00CA46DB">
        <w:rPr>
          <w:rFonts w:eastAsia="SimSun" w:cstheme="minorHAnsi"/>
          <w:color w:val="000000" w:themeColor="text1"/>
          <w:sz w:val="18"/>
          <w:szCs w:val="18"/>
        </w:rPr>
        <w:t>) restricts the movement of the molecular chain</w:t>
      </w:r>
      <w:r w:rsidRPr="00CA46DB">
        <w:rPr>
          <w:rFonts w:eastAsia="SimSun" w:cstheme="minorHAnsi"/>
          <w:color w:val="000000" w:themeColor="text1"/>
          <w:sz w:val="18"/>
          <w:szCs w:val="18"/>
          <w:lang w:eastAsia="zh-Hans"/>
        </w:rPr>
        <w:t>s</w:t>
      </w:r>
      <w:r w:rsidRPr="00CA46DB">
        <w:rPr>
          <w:rFonts w:eastAsia="SimSun" w:cstheme="minorHAnsi"/>
          <w:color w:val="000000" w:themeColor="text1"/>
          <w:sz w:val="18"/>
          <w:szCs w:val="18"/>
        </w:rPr>
        <w:t>, which endows PIs high thermal stability dielectric characteristics in a wide temperature range.</w:t>
      </w:r>
    </w:p>
    <w:p w14:paraId="22C7F5C7" w14:textId="77777777" w:rsidR="00CC2AE4" w:rsidRDefault="00CC2AE4" w:rsidP="00CC2AE4">
      <w:pPr>
        <w:tabs>
          <w:tab w:val="left" w:pos="3462"/>
        </w:tabs>
        <w:spacing w:after="0" w:line="240" w:lineRule="exact"/>
        <w:jc w:val="both"/>
        <w:rPr>
          <w:rFonts w:eastAsia="SimSun" w:cstheme="minorHAnsi"/>
          <w:color w:val="000000" w:themeColor="text1"/>
          <w:sz w:val="18"/>
          <w:szCs w:val="18"/>
        </w:rPr>
        <w:sectPr w:rsidR="00CC2AE4">
          <w:type w:val="continuous"/>
          <w:pgSz w:w="11907" w:h="16840"/>
          <w:pgMar w:top="1009" w:right="851" w:bottom="1758" w:left="851" w:header="851" w:footer="1049" w:gutter="0"/>
          <w:cols w:num="2" w:space="227"/>
          <w:docGrid w:linePitch="360"/>
        </w:sectPr>
      </w:pPr>
    </w:p>
    <w:p w14:paraId="36C16860" w14:textId="0E1B40F7" w:rsidR="00CC2AE4" w:rsidRPr="00CA46DB" w:rsidRDefault="00CC2AE4" w:rsidP="00CC2AE4">
      <w:pPr>
        <w:tabs>
          <w:tab w:val="left" w:pos="3462"/>
        </w:tabs>
        <w:spacing w:after="0" w:line="240" w:lineRule="exact"/>
        <w:jc w:val="both"/>
        <w:rPr>
          <w:rFonts w:eastAsia="SimSun" w:cstheme="minorHAnsi"/>
          <w:color w:val="000000" w:themeColor="text1"/>
          <w:sz w:val="18"/>
          <w:szCs w:val="18"/>
        </w:rPr>
      </w:pPr>
      <w:r w:rsidRPr="00CA46DB">
        <w:rPr>
          <w:rFonts w:cstheme="minorHAnsi"/>
          <w:noProof/>
          <w:color w:val="000000" w:themeColor="text1"/>
          <w:lang w:eastAsia="zh-CN"/>
        </w:rPr>
        <mc:AlternateContent>
          <mc:Choice Requires="wpg">
            <w:drawing>
              <wp:inline distT="0" distB="0" distL="0" distR="0" wp14:anchorId="4697FB07" wp14:editId="3930844D">
                <wp:extent cx="6480175" cy="10795"/>
                <wp:effectExtent l="0" t="0" r="0" b="1905"/>
                <wp:docPr id="46" name="Group 4178"/>
                <wp:cNvGraphicFramePr/>
                <a:graphic xmlns:a="http://schemas.openxmlformats.org/drawingml/2006/main">
                  <a:graphicData uri="http://schemas.microsoft.com/office/word/2010/wordprocessingGroup">
                    <wpg:wgp>
                      <wpg:cNvGrpSpPr/>
                      <wpg:grpSpPr>
                        <a:xfrm>
                          <a:off x="0" y="0"/>
                          <a:ext cx="6480175" cy="10795"/>
                          <a:chOff x="0" y="0"/>
                          <a:chExt cx="6692405" cy="18974"/>
                        </a:xfrm>
                      </wpg:grpSpPr>
                      <wps:wsp>
                        <wps:cNvPr id="49" name="Shape 4839"/>
                        <wps:cNvSpPr/>
                        <wps:spPr>
                          <a:xfrm>
                            <a:off x="0" y="0"/>
                            <a:ext cx="6692405" cy="18974"/>
                          </a:xfrm>
                          <a:custGeom>
                            <a:avLst/>
                            <a:gdLst/>
                            <a:ahLst/>
                            <a:cxnLst/>
                            <a:rect l="0" t="0" r="0" b="0"/>
                            <a:pathLst>
                              <a:path w="6692405" h="18974">
                                <a:moveTo>
                                  <a:pt x="0" y="0"/>
                                </a:moveTo>
                                <a:lnTo>
                                  <a:pt x="6692405" y="0"/>
                                </a:lnTo>
                                <a:lnTo>
                                  <a:pt x="6692405" y="18974"/>
                                </a:lnTo>
                                <a:lnTo>
                                  <a:pt x="0" y="18974"/>
                                </a:lnTo>
                                <a:lnTo>
                                  <a:pt x="0" y="0"/>
                                </a:lnTo>
                              </a:path>
                            </a:pathLst>
                          </a:custGeom>
                          <a:ln w="0" cap="flat">
                            <a:miter lim="127000"/>
                          </a:ln>
                        </wps:spPr>
                        <wps:style>
                          <a:lnRef idx="0">
                            <a:srgbClr val="000000">
                              <a:alpha val="0"/>
                            </a:srgbClr>
                          </a:lnRef>
                          <a:fillRef idx="1">
                            <a:srgbClr val="DED9C9"/>
                          </a:fillRef>
                          <a:effectRef idx="0">
                            <a:scrgbClr r="0" g="0" b="0"/>
                          </a:effectRef>
                          <a:fontRef idx="none"/>
                        </wps:style>
                        <wps:bodyPr/>
                      </wps:wsp>
                    </wpg:wgp>
                  </a:graphicData>
                </a:graphic>
              </wp:inline>
            </w:drawing>
          </mc:Choice>
          <mc:Fallback>
            <w:pict>
              <v:group w14:anchorId="73734225" id="Group 4178" o:spid="_x0000_s1026" style="width:510.25pt;height:.85pt;mso-position-horizontal-relative:char;mso-position-vertical-relative:line" coordsize="6692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">
                <v:shape id="Shape 4839" o:spid="_x0000_s1027" style="position:absolute;width:66924;height:189;visibility:visible;mso-wrap-style:square;v-text-anchor:top" coordsize="6692405,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" path="m,l6692405,r,18974l,18974,,e" fillcolor="#ded9c9" stroked="f" strokeweight="0">
                  <v:stroke miterlimit="83231f" joinstyle="miter"/>
                  <v:path arrowok="t" textboxrect="0,0,6692405,18974"/>
                </v:shape>
                <w10:anchorlock/>
              </v:group>
            </w:pict>
          </mc:Fallback>
        </mc:AlternateContent>
      </w:r>
    </w:p>
    <w:p w14:paraId="6471E592" w14:textId="77777777" w:rsidR="00423A7B" w:rsidRDefault="00423A7B" w:rsidP="00CC2AE4">
      <w:pPr>
        <w:tabs>
          <w:tab w:val="left" w:pos="3462"/>
        </w:tabs>
        <w:spacing w:after="0" w:line="240" w:lineRule="exact"/>
        <w:jc w:val="both"/>
        <w:rPr>
          <w:rFonts w:eastAsia="SimSun" w:cstheme="minorHAnsi"/>
          <w:color w:val="000000" w:themeColor="text1"/>
          <w:sz w:val="18"/>
          <w:szCs w:val="18"/>
        </w:rPr>
        <w:sectPr w:rsidR="00423A7B" w:rsidSect="00CC2AE4">
          <w:type w:val="continuous"/>
          <w:pgSz w:w="11907" w:h="16840"/>
          <w:pgMar w:top="1009" w:right="851" w:bottom="1758" w:left="851" w:header="851" w:footer="1049" w:gutter="0"/>
          <w:cols w:space="227"/>
          <w:docGrid w:linePitch="360"/>
        </w:sectPr>
      </w:pPr>
    </w:p>
    <w:p w14:paraId="06F2D1F2" w14:textId="2DC35121" w:rsidR="00285706" w:rsidRPr="00CA46DB" w:rsidRDefault="00CC2AE4" w:rsidP="00561DA0">
      <w:pPr>
        <w:tabs>
          <w:tab w:val="left" w:pos="3462"/>
        </w:tabs>
        <w:spacing w:after="0" w:line="240" w:lineRule="exact"/>
        <w:jc w:val="both"/>
        <w:rPr>
          <w:rFonts w:eastAsia="SimSun" w:cstheme="minorHAnsi"/>
          <w:color w:val="000000" w:themeColor="text1"/>
          <w:sz w:val="18"/>
          <w:szCs w:val="18"/>
        </w:rPr>
        <w:sectPr w:rsidR="00285706" w:rsidRPr="00CA46DB" w:rsidSect="00423A7B">
          <w:type w:val="continuous"/>
          <w:pgSz w:w="11907" w:h="16840"/>
          <w:pgMar w:top="1009" w:right="851" w:bottom="1758" w:left="851" w:header="851" w:footer="1049" w:gutter="0"/>
          <w:cols w:space="227"/>
          <w:docGrid w:linePitch="360"/>
        </w:sectPr>
      </w:pPr>
      <w:r w:rsidRPr="00CA46DB">
        <w:rPr>
          <w:rFonts w:eastAsia="SimSun" w:cstheme="minorHAnsi"/>
          <w:noProof/>
          <w:color w:val="000000" w:themeColor="text1"/>
          <w:sz w:val="18"/>
          <w:szCs w:val="18"/>
          <w:lang w:eastAsia="zh-CN"/>
        </w:rPr>
        <w:drawing>
          <wp:anchor distT="0" distB="0" distL="114300" distR="114300" simplePos="0" relativeHeight="251663360" behindDoc="1" locked="0" layoutInCell="1" allowOverlap="1" wp14:anchorId="2EB3CD9F" wp14:editId="0B3BE992">
            <wp:simplePos x="0" y="0"/>
            <wp:positionH relativeFrom="column">
              <wp:posOffset>1239520</wp:posOffset>
            </wp:positionH>
            <wp:positionV relativeFrom="page">
              <wp:posOffset>6711657</wp:posOffset>
            </wp:positionV>
            <wp:extent cx="4423410" cy="2462530"/>
            <wp:effectExtent l="0" t="0" r="0" b="1270"/>
            <wp:wrapTight wrapText="bothSides">
              <wp:wrapPolygon edited="1">
                <wp:start x="-5839" y="0"/>
                <wp:lineTo x="-6259" y="21600"/>
                <wp:lineTo x="26175" y="21600"/>
                <wp:lineTo x="26022" y="0"/>
                <wp:lineTo x="-5839" y="0"/>
              </wp:wrapPolygon>
            </wp:wrapTight>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23410" cy="2462530"/>
                    </a:xfrm>
                    <a:prstGeom prst="rect">
                      <a:avLst/>
                    </a:prstGeom>
                  </pic:spPr>
                </pic:pic>
              </a:graphicData>
            </a:graphic>
            <wp14:sizeRelH relativeFrom="margin">
              <wp14:pctWidth>0</wp14:pctWidth>
            </wp14:sizeRelH>
            <wp14:sizeRelV relativeFrom="margin">
              <wp14:pctHeight>0</wp14:pctHeight>
            </wp14:sizeRelV>
          </wp:anchor>
        </w:drawing>
      </w:r>
    </w:p>
    <w:p w14:paraId="6AB608A6" w14:textId="0035DF47" w:rsidR="00FC2A41" w:rsidRPr="00CA46DB" w:rsidRDefault="00FC2A41">
      <w:pPr>
        <w:spacing w:after="0" w:line="240" w:lineRule="exact"/>
        <w:jc w:val="both"/>
        <w:rPr>
          <w:rFonts w:eastAsia="SimSun" w:cstheme="minorHAnsi"/>
          <w:color w:val="000000" w:themeColor="text1"/>
          <w:sz w:val="18"/>
          <w:szCs w:val="18"/>
          <w:lang w:eastAsia="zh-CN"/>
        </w:rPr>
        <w:sectPr w:rsidR="00FC2A41" w:rsidRPr="00CA46DB">
          <w:type w:val="continuous"/>
          <w:pgSz w:w="11907" w:h="16840"/>
          <w:pgMar w:top="1009" w:right="851" w:bottom="1758" w:left="851" w:header="851" w:footer="1049" w:gutter="0"/>
          <w:cols w:space="227"/>
          <w:docGrid w:linePitch="360"/>
        </w:sectPr>
      </w:pPr>
    </w:p>
    <w:p w14:paraId="6476C5F5" w14:textId="2DABDFBC" w:rsidR="00FC2A41" w:rsidRPr="00CA46DB" w:rsidRDefault="00166212">
      <w:pPr>
        <w:spacing w:after="0" w:line="240" w:lineRule="exact"/>
        <w:jc w:val="both"/>
        <w:rPr>
          <w:rFonts w:cstheme="minorHAnsi"/>
          <w:color w:val="000000" w:themeColor="text1"/>
          <w:sz w:val="18"/>
          <w:szCs w:val="18"/>
        </w:rPr>
      </w:pPr>
      <w:r w:rsidRPr="00CA46DB">
        <w:rPr>
          <w:rFonts w:eastAsia="SimSun" w:cstheme="minorHAnsi"/>
          <w:color w:val="000000" w:themeColor="text1"/>
          <w:sz w:val="18"/>
          <w:szCs w:val="18"/>
          <w:lang w:eastAsia="zh-CN"/>
        </w:rPr>
        <w:t>F</w:t>
      </w:r>
      <w:r w:rsidRPr="00CA46DB">
        <w:rPr>
          <w:rFonts w:eastAsia="SimSun" w:cstheme="minorHAnsi"/>
          <w:color w:val="000000" w:themeColor="text1"/>
          <w:sz w:val="18"/>
          <w:szCs w:val="18"/>
        </w:rPr>
        <w:t>ig. 2. Four types of polarizations and their frequency dependencies: interfacial polarization, dipolar polarization, ionic polarization and electronic polarization</w:t>
      </w:r>
      <w:r w:rsidRPr="00CA46DB">
        <w:rPr>
          <w:rFonts w:eastAsia="SimSun" w:cstheme="minorHAnsi"/>
          <w:color w:val="000000" w:themeColor="text1"/>
          <w:sz w:val="18"/>
          <w:szCs w:val="18"/>
          <w:lang w:eastAsia="zh-CN"/>
        </w:rPr>
        <w:t>.</w:t>
      </w:r>
      <w:r w:rsidRPr="00CA46DB">
        <w:rPr>
          <w:rFonts w:cstheme="minorHAnsi"/>
          <w:color w:val="000000" w:themeColor="text1"/>
          <w:sz w:val="18"/>
          <w:szCs w:val="18"/>
        </w:rPr>
        <w:t xml:space="preserve"> </w:t>
      </w:r>
    </w:p>
    <w:p w14:paraId="3B95394C" w14:textId="77777777" w:rsidR="00FC2A41" w:rsidRPr="00CA46DB" w:rsidRDefault="00FC2A41">
      <w:pPr>
        <w:tabs>
          <w:tab w:val="left" w:pos="3462"/>
        </w:tabs>
        <w:spacing w:after="0" w:line="240" w:lineRule="exact"/>
        <w:ind w:firstLineChars="200" w:firstLine="360"/>
        <w:jc w:val="both"/>
        <w:rPr>
          <w:rFonts w:eastAsia="楷体-简"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66C3E4A9" w14:textId="62CA3B4C" w:rsidR="00FC2A41" w:rsidRPr="00CA46DB" w:rsidRDefault="00166212" w:rsidP="00561DA0">
      <w:pPr>
        <w:tabs>
          <w:tab w:val="left" w:pos="3462"/>
        </w:tabs>
        <w:spacing w:after="0" w:line="240" w:lineRule="exact"/>
        <w:ind w:firstLineChars="200" w:firstLine="360"/>
        <w:jc w:val="both"/>
        <w:rPr>
          <w:rFonts w:eastAsia="SimSun" w:cstheme="minorHAnsi"/>
          <w:color w:val="000000" w:themeColor="text1"/>
          <w:sz w:val="18"/>
          <w:szCs w:val="18"/>
        </w:rPr>
      </w:pPr>
      <w:r w:rsidRPr="00CA46DB">
        <w:rPr>
          <w:rFonts w:eastAsia="楷体-简" w:cstheme="minorHAnsi"/>
          <w:color w:val="000000" w:themeColor="text1"/>
          <w:sz w:val="18"/>
          <w:szCs w:val="18"/>
        </w:rPr>
        <w:br w:type="column"/>
      </w:r>
      <w:r w:rsidR="00561DA0">
        <w:rPr>
          <w:rFonts w:eastAsia="楷体-简" w:cstheme="minorHAnsi"/>
          <w:color w:val="000000" w:themeColor="text1"/>
          <w:sz w:val="18"/>
          <w:szCs w:val="18"/>
        </w:rPr>
        <w:br w:type="column"/>
      </w:r>
      <w:r w:rsidRPr="00CA46DB">
        <w:rPr>
          <w:rFonts w:eastAsia="楷体-简" w:cstheme="minorHAnsi"/>
          <w:color w:val="000000" w:themeColor="text1"/>
          <w:sz w:val="18"/>
          <w:szCs w:val="18"/>
        </w:rPr>
        <w:lastRenderedPageBreak/>
        <w:t xml:space="preserve">The </w:t>
      </w:r>
      <w:r w:rsidRPr="00CA46DB">
        <w:rPr>
          <w:rFonts w:cstheme="minorHAnsi"/>
          <w:color w:val="000000" w:themeColor="text1"/>
          <w:sz w:val="18"/>
          <w:szCs w:val="18"/>
        </w:rPr>
        <w:t>tan</w:t>
      </w:r>
      <w:r w:rsidRPr="00CA46DB">
        <w:rPr>
          <w:rFonts w:cstheme="minorHAnsi"/>
          <w:i/>
          <w:iCs/>
          <w:color w:val="000000" w:themeColor="text1"/>
          <w:sz w:val="18"/>
          <w:szCs w:val="18"/>
        </w:rPr>
        <w:t>δ</w:t>
      </w:r>
      <w:r w:rsidRPr="00CA46DB">
        <w:rPr>
          <w:rFonts w:eastAsia="楷体-简" w:cstheme="minorHAnsi"/>
          <w:color w:val="000000" w:themeColor="text1"/>
          <w:sz w:val="18"/>
          <w:szCs w:val="18"/>
        </w:rPr>
        <w:t xml:space="preserve"> </w:t>
      </w:r>
      <w:r w:rsidRPr="00CA46DB">
        <w:rPr>
          <w:rFonts w:eastAsia="SimSun" w:cstheme="minorHAnsi"/>
          <w:color w:val="000000" w:themeColor="text1"/>
          <w:sz w:val="18"/>
          <w:szCs w:val="18"/>
        </w:rPr>
        <w:t>is a measure of the rate of energy loss during polarization and depolarization of dielectric materials.</w:t>
      </w:r>
      <w:r w:rsidRPr="00CA46DB">
        <w:rPr>
          <w:rFonts w:cstheme="minorHAnsi"/>
          <w:color w:val="000000" w:themeColor="text1"/>
          <w:sz w:val="18"/>
          <w:szCs w:val="18"/>
          <w:vertAlign w:val="superscript"/>
        </w:rPr>
        <w:t>47</w:t>
      </w:r>
      <w:r w:rsidRPr="00CA46DB">
        <w:rPr>
          <w:rFonts w:eastAsia="SimSun" w:cstheme="minorHAnsi"/>
          <w:color w:val="000000" w:themeColor="text1"/>
          <w:sz w:val="18"/>
          <w:szCs w:val="18"/>
        </w:rPr>
        <w:t xml:space="preserve"> </w:t>
      </w:r>
      <w:r w:rsidRPr="00CA46DB">
        <w:rPr>
          <w:rFonts w:eastAsia="SimSun" w:cstheme="minorHAnsi"/>
          <w:color w:val="000000" w:themeColor="text1"/>
          <w:sz w:val="18"/>
          <w:szCs w:val="18"/>
          <w:lang w:eastAsia="zh-Hans"/>
        </w:rPr>
        <w:t xml:space="preserve">The </w:t>
      </w:r>
      <w:r w:rsidRPr="00CA46DB">
        <w:rPr>
          <w:rFonts w:cstheme="minorHAnsi"/>
          <w:color w:val="000000" w:themeColor="text1"/>
          <w:sz w:val="18"/>
          <w:szCs w:val="18"/>
        </w:rPr>
        <w:t>tan</w:t>
      </w:r>
      <w:r w:rsidRPr="00CA46DB">
        <w:rPr>
          <w:rFonts w:cstheme="minorHAnsi"/>
          <w:i/>
          <w:iCs/>
          <w:color w:val="000000" w:themeColor="text1"/>
          <w:sz w:val="18"/>
          <w:szCs w:val="18"/>
        </w:rPr>
        <w:t>δ</w:t>
      </w:r>
      <w:r w:rsidRPr="00CA46DB">
        <w:rPr>
          <w:rFonts w:eastAsia="SimSun" w:cstheme="minorHAnsi"/>
          <w:color w:val="000000" w:themeColor="text1"/>
          <w:sz w:val="18"/>
          <w:szCs w:val="18"/>
        </w:rPr>
        <w:t xml:space="preserve"> mainly comes from polarization and electrical conduction. As shown in Fig.2, electronic polarization and ionic polarization generally depend on the band gap of the polymer, and their loss peaks occur at high frequency range (infrared and UV light level).</w:t>
      </w:r>
      <w:r w:rsidRPr="00CA46DB">
        <w:rPr>
          <w:rFonts w:cstheme="minorHAnsi"/>
          <w:color w:val="000000" w:themeColor="text1"/>
          <w:sz w:val="18"/>
          <w:szCs w:val="18"/>
          <w:vertAlign w:val="superscript"/>
        </w:rPr>
        <w:t>41</w:t>
      </w:r>
      <w:r w:rsidRPr="00CA46DB">
        <w:rPr>
          <w:rFonts w:eastAsia="SimSun" w:cstheme="minorHAnsi"/>
          <w:color w:val="000000" w:themeColor="text1"/>
          <w:sz w:val="18"/>
          <w:szCs w:val="18"/>
        </w:rPr>
        <w:t xml:space="preserve"> Dipolar polarization loss presents at lower frequency (radio level), and the loss peak of interfacial polarization occurs at lowest frequency range (power level). PI is a linear dielectric with a low </w:t>
      </w:r>
      <w:r w:rsidRPr="00CA46DB">
        <w:rPr>
          <w:rFonts w:cstheme="minorHAnsi"/>
          <w:color w:val="000000" w:themeColor="text1"/>
          <w:sz w:val="18"/>
          <w:szCs w:val="18"/>
        </w:rPr>
        <w:t>tan</w:t>
      </w:r>
      <w:r w:rsidRPr="00CA46DB">
        <w:rPr>
          <w:rFonts w:cstheme="minorHAnsi"/>
          <w:i/>
          <w:iCs/>
          <w:color w:val="000000" w:themeColor="text1"/>
          <w:sz w:val="18"/>
          <w:szCs w:val="18"/>
        </w:rPr>
        <w:t>δ</w:t>
      </w:r>
      <w:r w:rsidRPr="00CA46DB">
        <w:rPr>
          <w:rFonts w:eastAsia="SimSun" w:cstheme="minorHAnsi"/>
          <w:color w:val="000000" w:themeColor="text1"/>
          <w:sz w:val="18"/>
          <w:szCs w:val="18"/>
        </w:rPr>
        <w:t xml:space="preserve">. However, the promotion strategies of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 xml:space="preserve">r </w:t>
      </w:r>
      <w:r w:rsidRPr="00CA46DB">
        <w:rPr>
          <w:rFonts w:cstheme="minorHAnsi"/>
          <w:color w:val="000000" w:themeColor="text1"/>
          <w:sz w:val="18"/>
          <w:szCs w:val="18"/>
        </w:rPr>
        <w:t>usually bring higher tan</w:t>
      </w:r>
      <w:r w:rsidRPr="00CA46DB">
        <w:rPr>
          <w:rFonts w:cstheme="minorHAnsi"/>
          <w:i/>
          <w:iCs/>
          <w:color w:val="000000" w:themeColor="text1"/>
          <w:sz w:val="18"/>
          <w:szCs w:val="18"/>
        </w:rPr>
        <w:t>δ</w:t>
      </w:r>
      <w:r w:rsidRPr="00CA46DB">
        <w:rPr>
          <w:rFonts w:eastAsia="SimSun" w:cstheme="minorHAnsi"/>
          <w:color w:val="000000" w:themeColor="text1"/>
          <w:sz w:val="18"/>
          <w:szCs w:val="18"/>
        </w:rPr>
        <w:t>. Thus</w:t>
      </w:r>
      <w:r w:rsidRPr="00CA46DB">
        <w:rPr>
          <w:rFonts w:eastAsia="SimSun" w:cstheme="minorHAnsi" w:hint="eastAsia"/>
          <w:color w:val="000000" w:themeColor="text1"/>
          <w:sz w:val="18"/>
          <w:szCs w:val="18"/>
          <w:lang w:eastAsia="zh-CN"/>
        </w:rPr>
        <w:t>,</w:t>
      </w:r>
      <w:r w:rsidRPr="00CA46DB">
        <w:rPr>
          <w:rFonts w:eastAsia="SimSun" w:cstheme="minorHAnsi"/>
          <w:color w:val="000000" w:themeColor="text1"/>
          <w:sz w:val="18"/>
          <w:szCs w:val="18"/>
          <w:lang w:eastAsia="zh-CN"/>
        </w:rPr>
        <w:t xml:space="preserve"> </w:t>
      </w:r>
      <w:r w:rsidRPr="00CA46DB">
        <w:rPr>
          <w:rFonts w:eastAsia="SimSun" w:cstheme="minorHAnsi"/>
          <w:color w:val="000000" w:themeColor="text1"/>
          <w:sz w:val="18"/>
          <w:szCs w:val="18"/>
        </w:rPr>
        <w:t xml:space="preserve">systematic consideration of molecular/structure design according the polarization mechanisms are necessary to improve the dielectric loss of PIs. </w:t>
      </w:r>
    </w:p>
    <w:p w14:paraId="04280F40" w14:textId="31841455" w:rsidR="00FC2A41" w:rsidRPr="00CA46DB" w:rsidRDefault="00166212">
      <w:pPr>
        <w:tabs>
          <w:tab w:val="left" w:pos="3462"/>
        </w:tabs>
        <w:spacing w:after="0" w:line="240" w:lineRule="exact"/>
        <w:ind w:firstLineChars="200" w:firstLine="361"/>
        <w:jc w:val="both"/>
        <w:rPr>
          <w:rFonts w:eastAsia="SimSun" w:cstheme="minorHAnsi"/>
          <w:b/>
          <w:bCs/>
          <w:color w:val="000000" w:themeColor="text1"/>
          <w:sz w:val="18"/>
          <w:szCs w:val="18"/>
        </w:rPr>
      </w:pPr>
      <w:r w:rsidRPr="00CA46DB">
        <w:rPr>
          <w:rFonts w:eastAsia="SimSun" w:cstheme="minorHAnsi"/>
          <w:b/>
          <w:bCs/>
          <w:color w:val="000000" w:themeColor="text1"/>
          <w:sz w:val="18"/>
          <w:szCs w:val="18"/>
        </w:rPr>
        <w:t>2.1.2 Electrical conduction and mechanisms</w:t>
      </w:r>
      <w:r w:rsidRPr="00CA46DB">
        <w:rPr>
          <w:rFonts w:eastAsia="SimSun" w:cstheme="minorHAnsi"/>
          <w:b/>
          <w:bCs/>
          <w:color w:val="000000" w:themeColor="text1"/>
          <w:sz w:val="18"/>
          <w:szCs w:val="18"/>
          <w:lang w:eastAsia="zh-CN"/>
        </w:rPr>
        <w:t xml:space="preserve">. </w:t>
      </w:r>
      <w:r w:rsidRPr="00CA46DB">
        <w:rPr>
          <w:rFonts w:eastAsia="SimSun" w:cstheme="minorHAnsi"/>
          <w:color w:val="000000" w:themeColor="text1"/>
          <w:sz w:val="18"/>
          <w:szCs w:val="18"/>
        </w:rPr>
        <w:t xml:space="preserve">Charge carriers in dielectric </w:t>
      </w:r>
      <w:r w:rsidRPr="00CA46DB">
        <w:rPr>
          <w:rFonts w:eastAsia="SimSun" w:cstheme="minorHAnsi"/>
          <w:color w:val="000000" w:themeColor="text1"/>
          <w:sz w:val="18"/>
          <w:szCs w:val="18"/>
          <w:lang w:eastAsia="zh-Hans"/>
        </w:rPr>
        <w:t>material</w:t>
      </w:r>
      <w:r w:rsidRPr="00CA46DB">
        <w:rPr>
          <w:rFonts w:eastAsia="SimSun" w:cstheme="minorHAnsi"/>
          <w:color w:val="000000" w:themeColor="text1"/>
          <w:sz w:val="18"/>
          <w:szCs w:val="18"/>
        </w:rPr>
        <w:t>s will move directionally as the leakage current in the presence of an electric field. The magnitude of the conduction current is determined by the nature of the dielectric itself</w:t>
      </w:r>
      <w:r w:rsidRPr="00CA46DB">
        <w:rPr>
          <w:rFonts w:eastAsia="SimSun" w:cstheme="minorHAnsi" w:hint="eastAsia"/>
          <w:color w:val="000000" w:themeColor="text1"/>
          <w:sz w:val="18"/>
          <w:szCs w:val="18"/>
          <w:lang w:eastAsia="zh-CN"/>
        </w:rPr>
        <w:t>.</w:t>
      </w:r>
      <w:r w:rsidRPr="00CA46DB">
        <w:rPr>
          <w:rFonts w:eastAsia="SimSun" w:cstheme="minorHAnsi"/>
          <w:color w:val="000000" w:themeColor="text1"/>
          <w:sz w:val="18"/>
          <w:szCs w:val="18"/>
        </w:rPr>
        <w:t xml:space="preserve"> </w:t>
      </w:r>
      <w:r w:rsidRPr="00CA46DB">
        <w:rPr>
          <w:rFonts w:eastAsia="SimSun" w:cstheme="minorHAnsi" w:hint="eastAsia"/>
          <w:color w:val="000000" w:themeColor="text1"/>
          <w:sz w:val="18"/>
          <w:szCs w:val="18"/>
          <w:lang w:eastAsia="zh-CN"/>
        </w:rPr>
        <w:t>A</w:t>
      </w:r>
      <w:r w:rsidRPr="00CA46DB">
        <w:rPr>
          <w:rFonts w:eastAsia="SimSun" w:cstheme="minorHAnsi"/>
          <w:color w:val="000000" w:themeColor="text1"/>
          <w:sz w:val="18"/>
          <w:szCs w:val="18"/>
        </w:rPr>
        <w:t>nd the conduction current consumed in the form of heat lead</w:t>
      </w:r>
      <w:r w:rsidRPr="00CA46DB">
        <w:rPr>
          <w:rFonts w:eastAsia="SimSun" w:cstheme="minorHAnsi" w:hint="eastAsia"/>
          <w:color w:val="000000" w:themeColor="text1"/>
          <w:sz w:val="18"/>
          <w:szCs w:val="18"/>
          <w:lang w:eastAsia="zh-CN"/>
        </w:rPr>
        <w:t>ing</w:t>
      </w:r>
      <w:r w:rsidRPr="00CA46DB">
        <w:rPr>
          <w:rFonts w:eastAsia="SimSun" w:cstheme="minorHAnsi"/>
          <w:color w:val="000000" w:themeColor="text1"/>
          <w:sz w:val="18"/>
          <w:szCs w:val="18"/>
        </w:rPr>
        <w:t xml:space="preserve"> to conduction loss. </w:t>
      </w:r>
      <w:r w:rsidRPr="00CA46DB">
        <w:rPr>
          <w:rFonts w:eastAsia="SimSun" w:cstheme="minorHAnsi" w:hint="eastAsia"/>
          <w:color w:val="000000" w:themeColor="text1"/>
          <w:sz w:val="18"/>
          <w:szCs w:val="18"/>
          <w:lang w:eastAsia="zh-CN"/>
        </w:rPr>
        <w:t>F</w:t>
      </w:r>
      <w:r w:rsidRPr="00CA46DB">
        <w:rPr>
          <w:rFonts w:eastAsia="SimSun" w:cstheme="minorHAnsi"/>
          <w:color w:val="000000" w:themeColor="text1"/>
          <w:sz w:val="18"/>
          <w:szCs w:val="18"/>
        </w:rPr>
        <w:t xml:space="preserve">urthermore, the fraction of energy dissipation will enlarge </w:t>
      </w:r>
      <w:r w:rsidRPr="00CA46DB">
        <w:rPr>
          <w:rFonts w:eastAsia="SimSun" w:cstheme="minorHAnsi" w:hint="eastAsia"/>
          <w:color w:val="000000" w:themeColor="text1"/>
          <w:sz w:val="18"/>
          <w:szCs w:val="18"/>
          <w:lang w:val="en-US" w:eastAsia="zh-CN"/>
        </w:rPr>
        <w:t xml:space="preserve">as a function of </w:t>
      </w:r>
      <w:r w:rsidRPr="00CA46DB">
        <w:rPr>
          <w:rFonts w:eastAsia="SimSun" w:cstheme="minorHAnsi"/>
          <w:color w:val="000000" w:themeColor="text1"/>
          <w:sz w:val="18"/>
          <w:szCs w:val="18"/>
        </w:rPr>
        <w:t>the increasing temperature and electric field, which not only significantly reduces the charge-discharge efficiency, but also inevitably generates heat and causes thermal instability. Thus, suppressing the high-temperature conduction loss of the dielectrics has become a key means to improve the high-temperature energy storage performances.</w:t>
      </w:r>
    </w:p>
    <w:p w14:paraId="0FDDB44A" w14:textId="77777777" w:rsidR="00FC2A41" w:rsidRPr="00CA46DB" w:rsidRDefault="00166212">
      <w:pPr>
        <w:tabs>
          <w:tab w:val="left" w:pos="3462"/>
        </w:tabs>
        <w:spacing w:after="0" w:line="240" w:lineRule="exact"/>
        <w:ind w:firstLineChars="200" w:firstLine="360"/>
        <w:jc w:val="both"/>
        <w:rPr>
          <w:rFonts w:eastAsia="SimSun" w:cstheme="minorHAnsi"/>
          <w:color w:val="000000" w:themeColor="text1"/>
          <w:sz w:val="18"/>
          <w:szCs w:val="18"/>
          <w:lang w:eastAsia="zh-Hans"/>
        </w:rPr>
      </w:pPr>
      <w:r w:rsidRPr="00CA46DB">
        <w:rPr>
          <w:rFonts w:eastAsia="SimSun" w:cstheme="minorHAnsi"/>
          <w:color w:val="000000" w:themeColor="text1"/>
          <w:sz w:val="18"/>
          <w:szCs w:val="18"/>
        </w:rPr>
        <w:t>An ideal dielectric material under an electric field should exhibit high insulation and low conductivity. However, due to the combined effect of multiple conduction mechanisms, the current through the dielectric layer becomes larger when a stronger electric field is applied. According to the source of current, the conduction mechanism of the dielectrics can be divided into two types.</w:t>
      </w:r>
      <w:r w:rsidRPr="00CA46DB">
        <w:rPr>
          <w:rFonts w:eastAsia="SimSun" w:cstheme="minorHAnsi"/>
          <w:color w:val="000000" w:themeColor="text1"/>
          <w:sz w:val="18"/>
          <w:szCs w:val="18"/>
          <w:vertAlign w:val="superscript"/>
        </w:rPr>
        <w:t>52</w:t>
      </w:r>
      <w:r w:rsidRPr="00CA46DB">
        <w:rPr>
          <w:rFonts w:eastAsia="SimSun" w:cstheme="minorHAnsi"/>
          <w:color w:val="000000" w:themeColor="text1"/>
          <w:sz w:val="18"/>
          <w:szCs w:val="18"/>
        </w:rPr>
        <w:t xml:space="preserve"> The conduction mechanisms that depend on the electrical properties at the electrode-dielectric contact are called the electrode-limited conduction mechanisms, including Schottky emission, Fowler-Nordheim tunneling, direct tunneling, and thermionic-field emission. The bulk-limited conduction mechanisms only depend on the properties of the dielectric itself, including Poole-Frenkel emission, hopping conduction, ohmic conduction, space-charge-limited conduction, ionic conduction, </w:t>
      </w:r>
      <w:r w:rsidRPr="00CA46DB">
        <w:rPr>
          <w:rFonts w:eastAsia="SimSun" w:cstheme="minorHAnsi"/>
          <w:i/>
          <w:iCs/>
          <w:color w:val="000000" w:themeColor="text1"/>
          <w:sz w:val="18"/>
          <w:szCs w:val="18"/>
        </w:rPr>
        <w:t>etc</w:t>
      </w:r>
      <w:r w:rsidRPr="00CA46DB">
        <w:rPr>
          <w:rFonts w:eastAsia="SimSun" w:cstheme="minorHAnsi"/>
          <w:color w:val="000000" w:themeColor="text1"/>
          <w:sz w:val="18"/>
          <w:szCs w:val="18"/>
        </w:rPr>
        <w:t>.</w:t>
      </w:r>
    </w:p>
    <w:p w14:paraId="475A2A89" w14:textId="592942D4" w:rsidR="00FC2A41" w:rsidRPr="00CA46DB" w:rsidRDefault="00166212">
      <w:pPr>
        <w:tabs>
          <w:tab w:val="left" w:pos="3462"/>
        </w:tabs>
        <w:spacing w:after="0" w:line="240" w:lineRule="exact"/>
        <w:ind w:firstLineChars="200" w:firstLine="360"/>
        <w:jc w:val="both"/>
        <w:rPr>
          <w:rFonts w:eastAsia="SimSun" w:cstheme="minorHAnsi"/>
          <w:color w:val="000000" w:themeColor="text1"/>
          <w:sz w:val="18"/>
          <w:szCs w:val="18"/>
          <w:lang w:eastAsia="zh-Hans"/>
        </w:rPr>
      </w:pPr>
      <w:r w:rsidRPr="00CA46DB">
        <w:rPr>
          <w:rFonts w:eastAsia="SimSun" w:cstheme="minorHAnsi"/>
          <w:color w:val="000000" w:themeColor="text1"/>
          <w:sz w:val="18"/>
          <w:szCs w:val="18"/>
          <w:lang w:eastAsia="zh-Hans"/>
        </w:rPr>
        <w:br w:type="column"/>
      </w:r>
      <w:r w:rsidRPr="00CA46DB">
        <w:rPr>
          <w:rFonts w:eastAsia="SimSun" w:cstheme="minorHAnsi"/>
          <w:color w:val="000000" w:themeColor="text1"/>
          <w:sz w:val="18"/>
          <w:szCs w:val="18"/>
          <w:lang w:eastAsia="zh-Hans"/>
        </w:rPr>
        <w:t xml:space="preserve">Schottky emission, Poole-Frenkel emission and </w:t>
      </w:r>
      <w:r w:rsidRPr="00CA46DB">
        <w:rPr>
          <w:rFonts w:eastAsia="SimSun" w:cstheme="minorHAnsi"/>
          <w:color w:val="000000" w:themeColor="text1"/>
          <w:sz w:val="18"/>
          <w:szCs w:val="18"/>
        </w:rPr>
        <w:t>hopping</w:t>
      </w:r>
      <w:r w:rsidRPr="00CA46DB">
        <w:rPr>
          <w:rFonts w:eastAsia="SimSun" w:cstheme="minorHAnsi"/>
          <w:color w:val="000000" w:themeColor="text1"/>
          <w:sz w:val="18"/>
          <w:szCs w:val="18"/>
          <w:lang w:eastAsia="zh-Hans"/>
        </w:rPr>
        <w:t xml:space="preserve"> conduction play a dominant role at high temperature</w:t>
      </w:r>
      <w:r w:rsidRPr="00CA46DB">
        <w:rPr>
          <w:rFonts w:eastAsia="SimSun" w:cstheme="minorHAnsi"/>
          <w:color w:val="000000" w:themeColor="text1"/>
          <w:sz w:val="18"/>
          <w:szCs w:val="18"/>
        </w:rPr>
        <w:t xml:space="preserve"> condition</w:t>
      </w:r>
      <w:r w:rsidRPr="00CA46DB">
        <w:rPr>
          <w:rFonts w:eastAsia="SimSun" w:cstheme="minorHAnsi"/>
          <w:color w:val="000000" w:themeColor="text1"/>
          <w:sz w:val="18"/>
          <w:szCs w:val="18"/>
          <w:lang w:eastAsia="zh-Hans"/>
        </w:rPr>
        <w:t xml:space="preserve">. </w:t>
      </w:r>
      <w:r w:rsidRPr="00CA46DB">
        <w:rPr>
          <w:rFonts w:eastAsia="SimSun" w:cstheme="minorHAnsi" w:hint="eastAsia"/>
          <w:color w:val="000000" w:themeColor="text1"/>
          <w:sz w:val="18"/>
          <w:szCs w:val="18"/>
          <w:lang w:eastAsia="zh-CN"/>
        </w:rPr>
        <w:t>As</w:t>
      </w:r>
      <w:r w:rsidRPr="00CA46DB">
        <w:rPr>
          <w:rFonts w:eastAsia="SimSun" w:cstheme="minorHAnsi"/>
          <w:color w:val="000000" w:themeColor="text1"/>
          <w:sz w:val="18"/>
          <w:szCs w:val="18"/>
          <w:lang w:eastAsia="zh-CN"/>
        </w:rPr>
        <w:t xml:space="preserve"> </w:t>
      </w:r>
      <w:r w:rsidRPr="00CA46DB">
        <w:rPr>
          <w:rFonts w:eastAsia="SimSun" w:cstheme="minorHAnsi"/>
          <w:color w:val="000000" w:themeColor="text1"/>
          <w:sz w:val="18"/>
          <w:szCs w:val="18"/>
          <w:lang w:eastAsia="zh-Hans"/>
        </w:rPr>
        <w:t xml:space="preserve">shown in Fig. 3(a), Schottky emission describes the mechanism by which electrons in metal electrodes obtain sufficient energy from thermal activation to overcome the energy barrier at the metal/dielectric interface and </w:t>
      </w:r>
      <w:r w:rsidRPr="00CA46DB">
        <w:rPr>
          <w:rFonts w:eastAsia="SimSun" w:cstheme="minorHAnsi"/>
          <w:color w:val="000000" w:themeColor="text1"/>
          <w:sz w:val="18"/>
          <w:szCs w:val="18"/>
        </w:rPr>
        <w:t>be</w:t>
      </w:r>
      <w:r w:rsidRPr="00CA46DB">
        <w:rPr>
          <w:rFonts w:eastAsia="SimSun" w:cstheme="minorHAnsi"/>
          <w:color w:val="000000" w:themeColor="text1"/>
          <w:sz w:val="18"/>
          <w:szCs w:val="18"/>
          <w:lang w:eastAsia="zh-Hans"/>
        </w:rPr>
        <w:t xml:space="preserve"> injected into the dielectrics to participate in the formation of conduction current. Poole-Frenkel (P-F) emission is sometimes called internal Schottky emission, that is, the thermal excitation of electrons can be emitted from the trap into the conduction band of the dielectrics </w:t>
      </w:r>
      <w:r w:rsidR="00AC6B5E">
        <w:rPr>
          <w:rFonts w:eastAsia="SimSun" w:cstheme="minorHAnsi" w:hint="eastAsia"/>
          <w:color w:val="000000" w:themeColor="text1"/>
          <w:sz w:val="18"/>
          <w:szCs w:val="18"/>
          <w:lang w:eastAsia="zh-CN"/>
        </w:rPr>
        <w:t>as</w:t>
      </w:r>
      <w:r w:rsidR="00AC6B5E">
        <w:rPr>
          <w:rFonts w:eastAsia="SimSun" w:cstheme="minorHAnsi"/>
          <w:color w:val="000000" w:themeColor="text1"/>
          <w:sz w:val="18"/>
          <w:szCs w:val="18"/>
          <w:lang w:eastAsia="zh-CN"/>
        </w:rPr>
        <w:t xml:space="preserve"> </w:t>
      </w:r>
      <w:r w:rsidRPr="00CA46DB">
        <w:rPr>
          <w:rFonts w:eastAsia="SimSun" w:cstheme="minorHAnsi"/>
          <w:color w:val="000000" w:themeColor="text1"/>
          <w:sz w:val="18"/>
          <w:szCs w:val="18"/>
          <w:lang w:eastAsia="zh-Hans"/>
        </w:rPr>
        <w:t xml:space="preserve">shown in Fig. 3(b). The Coulomb potential energy of the electron in the trapping center can be reduced by the applied electric field. The reduction in potential energy </w:t>
      </w:r>
      <w:r w:rsidRPr="00CA46DB">
        <w:rPr>
          <w:rFonts w:eastAsia="SimSun" w:cstheme="minorHAnsi"/>
          <w:color w:val="000000" w:themeColor="text1"/>
          <w:sz w:val="18"/>
          <w:szCs w:val="18"/>
        </w:rPr>
        <w:t xml:space="preserve">will </w:t>
      </w:r>
      <w:r w:rsidRPr="00CA46DB">
        <w:rPr>
          <w:rFonts w:eastAsia="SimSun" w:cstheme="minorHAnsi"/>
          <w:color w:val="000000" w:themeColor="text1"/>
          <w:sz w:val="18"/>
          <w:szCs w:val="18"/>
          <w:lang w:eastAsia="zh-Hans"/>
        </w:rPr>
        <w:t xml:space="preserve">increase the possibility of electrons being thermally excited out of the trap and entering the conduction band of the dielectrics. Hopping conduction is the tunneling effect in which electrons trapped in a dielectric film "hopping" from one trap site to another </w:t>
      </w:r>
      <w:r w:rsidR="00AC6B5E">
        <w:rPr>
          <w:rFonts w:eastAsia="SimSun" w:cstheme="minorHAnsi"/>
          <w:color w:val="000000" w:themeColor="text1"/>
          <w:sz w:val="18"/>
          <w:szCs w:val="18"/>
          <w:lang w:eastAsia="zh-Hans"/>
        </w:rPr>
        <w:t xml:space="preserve">as </w:t>
      </w:r>
      <w:r w:rsidRPr="00CA46DB">
        <w:rPr>
          <w:rFonts w:eastAsia="SimSun" w:cstheme="minorHAnsi"/>
          <w:color w:val="000000" w:themeColor="text1"/>
          <w:sz w:val="18"/>
          <w:szCs w:val="18"/>
          <w:lang w:eastAsia="zh-Hans"/>
        </w:rPr>
        <w:t xml:space="preserve">shown in Fig. 3(c). P-F emission corresponds to the thermionic effect, and hopping conduction corresponds to the tunnel effect. In P-F emission, through the thermionic mechanism, carriers can overcome the trap barrier. In hopping conduction, even if the carrier energy is lower than the maximum energy of the barrier between the two trapping sites, carriers can still transit using the tunneling mechanism. </w:t>
      </w:r>
    </w:p>
    <w:p w14:paraId="691EB7B0" w14:textId="77777777" w:rsidR="00FC2A41" w:rsidRPr="00CA46DB" w:rsidRDefault="00166212">
      <w:pPr>
        <w:tabs>
          <w:tab w:val="left" w:pos="3462"/>
        </w:tabs>
        <w:spacing w:after="0" w:line="240" w:lineRule="exact"/>
        <w:ind w:firstLineChars="200" w:firstLine="360"/>
        <w:jc w:val="both"/>
        <w:rPr>
          <w:rFonts w:eastAsia="SimSun" w:cstheme="minorHAnsi"/>
          <w:color w:val="000000" w:themeColor="text1"/>
          <w:sz w:val="18"/>
          <w:szCs w:val="18"/>
          <w:lang w:eastAsia="zh-Hans"/>
        </w:rPr>
      </w:pPr>
      <w:r w:rsidRPr="00CA46DB">
        <w:rPr>
          <w:rFonts w:eastAsia="SimSun" w:cstheme="minorHAnsi"/>
          <w:color w:val="000000" w:themeColor="text1"/>
          <w:sz w:val="18"/>
          <w:szCs w:val="18"/>
          <w:lang w:eastAsia="zh-Hans"/>
        </w:rPr>
        <w:t>When the temperature is higher than a certain threshold, the continuous increase</w:t>
      </w:r>
      <w:r w:rsidRPr="00CA46DB">
        <w:rPr>
          <w:rFonts w:eastAsia="SimSun" w:cstheme="minorHAnsi"/>
          <w:color w:val="000000" w:themeColor="text1"/>
          <w:sz w:val="18"/>
          <w:szCs w:val="18"/>
        </w:rPr>
        <w:t>d temperature</w:t>
      </w:r>
      <w:r w:rsidRPr="00CA46DB">
        <w:rPr>
          <w:rFonts w:eastAsia="SimSun" w:cstheme="minorHAnsi"/>
          <w:color w:val="000000" w:themeColor="text1"/>
          <w:sz w:val="18"/>
          <w:szCs w:val="18"/>
          <w:lang w:eastAsia="zh-Hans"/>
        </w:rPr>
        <w:t xml:space="preserve"> will cause the internal current of the polymer dielectrics to increase exponentially.</w:t>
      </w:r>
      <w:r w:rsidRPr="00CA46DB">
        <w:rPr>
          <w:rFonts w:eastAsia="SimSun" w:cstheme="minorHAnsi"/>
          <w:color w:val="000000" w:themeColor="text1"/>
          <w:sz w:val="18"/>
          <w:szCs w:val="18"/>
          <w:vertAlign w:val="superscript"/>
          <w:lang w:eastAsia="zh-Hans"/>
        </w:rPr>
        <w:t>53</w:t>
      </w:r>
      <w:r w:rsidRPr="00CA46DB">
        <w:rPr>
          <w:rFonts w:eastAsia="SimSun" w:cstheme="minorHAnsi"/>
          <w:color w:val="000000" w:themeColor="text1"/>
          <w:sz w:val="18"/>
          <w:szCs w:val="18"/>
          <w:lang w:eastAsia="zh-Hans"/>
        </w:rPr>
        <w:t xml:space="preserve"> It can be said that high temperature has a significant destructive effect on dielectrics. The conduction loss in the dielectrics </w:t>
      </w:r>
      <w:r w:rsidRPr="00CA46DB">
        <w:rPr>
          <w:rFonts w:eastAsia="SimSun" w:cstheme="minorHAnsi"/>
          <w:color w:val="000000" w:themeColor="text1"/>
          <w:sz w:val="18"/>
          <w:szCs w:val="18"/>
        </w:rPr>
        <w:t>will</w:t>
      </w:r>
      <w:r w:rsidRPr="00CA46DB">
        <w:rPr>
          <w:rFonts w:eastAsia="SimSun" w:cstheme="minorHAnsi"/>
          <w:color w:val="000000" w:themeColor="text1"/>
          <w:sz w:val="18"/>
          <w:szCs w:val="18"/>
          <w:lang w:eastAsia="zh-Hans"/>
        </w:rPr>
        <w:t xml:space="preserve"> be effectively suppressed by taking appropriate measures, such as the increase of the potential barrier at the electrode/dielectric to inhibit charge injection,</w:t>
      </w:r>
      <w:r w:rsidRPr="00CA46DB">
        <w:rPr>
          <w:rFonts w:eastAsia="SimSun" w:cstheme="minorHAnsi"/>
          <w:color w:val="000000" w:themeColor="text1"/>
          <w:sz w:val="18"/>
          <w:szCs w:val="18"/>
        </w:rPr>
        <w:t xml:space="preserve"> </w:t>
      </w:r>
      <w:r w:rsidRPr="00CA46DB">
        <w:rPr>
          <w:rFonts w:eastAsia="SimSun" w:cstheme="minorHAnsi"/>
          <w:color w:val="000000" w:themeColor="text1"/>
          <w:sz w:val="18"/>
          <w:szCs w:val="18"/>
          <w:lang w:eastAsia="zh-Hans"/>
        </w:rPr>
        <w:t>the introduction of deep traps inside the dielectrics to reduce carrier mobility and the reduction of internal defects in the dielectrics.</w:t>
      </w:r>
    </w:p>
    <w:p w14:paraId="5A79C6AF" w14:textId="77777777" w:rsidR="00FC2A41" w:rsidRPr="00CA46DB" w:rsidRDefault="00166212">
      <w:pPr>
        <w:tabs>
          <w:tab w:val="left" w:pos="3462"/>
        </w:tabs>
        <w:spacing w:after="0" w:line="240" w:lineRule="exact"/>
        <w:ind w:firstLineChars="200" w:firstLine="361"/>
        <w:jc w:val="both"/>
        <w:rPr>
          <w:rFonts w:eastAsia="SimSun" w:cstheme="minorHAnsi"/>
          <w:b/>
          <w:bCs/>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r w:rsidRPr="00CA46DB">
        <w:rPr>
          <w:rFonts w:eastAsia="SimSun" w:cstheme="minorHAnsi"/>
          <w:b/>
          <w:bCs/>
          <w:color w:val="000000" w:themeColor="text1"/>
          <w:sz w:val="18"/>
          <w:szCs w:val="18"/>
        </w:rPr>
        <w:t>2.1.3. Dielectric breakdown mechanisms</w:t>
      </w:r>
      <w:r w:rsidRPr="00CA46DB">
        <w:rPr>
          <w:rFonts w:eastAsia="SimSun" w:cstheme="minorHAnsi"/>
          <w:b/>
          <w:bCs/>
          <w:color w:val="000000" w:themeColor="text1"/>
          <w:sz w:val="18"/>
          <w:szCs w:val="18"/>
          <w:lang w:eastAsia="zh-CN"/>
        </w:rPr>
        <w:t xml:space="preserve">. </w:t>
      </w:r>
      <w:r w:rsidRPr="00CA46DB">
        <w:rPr>
          <w:rFonts w:eastAsia="SimSun" w:cstheme="minorHAnsi"/>
          <w:color w:val="000000" w:themeColor="text1"/>
          <w:sz w:val="18"/>
          <w:szCs w:val="18"/>
        </w:rPr>
        <w:t xml:space="preserve">Maximum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eastAsia="SimSun" w:cstheme="minorHAnsi"/>
          <w:color w:val="000000" w:themeColor="text1"/>
          <w:sz w:val="18"/>
          <w:szCs w:val="18"/>
        </w:rPr>
        <w:t xml:space="preserve"> is dependent on the square of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 xml:space="preserve">, so a high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 xml:space="preserve"> is extremely important for energy storage capacitors. Understanding the breakdown mechanism is instructive in improving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 Although the breakdown process appears complex and unclear, several generally accepted mechanisms such as inherent breakdown, electromechanical breakdown, thermal breakdown</w:t>
      </w:r>
      <w:r w:rsidRPr="00CA46DB">
        <w:rPr>
          <w:rFonts w:eastAsia="SimSun" w:cstheme="minorHAnsi"/>
          <w:color w:val="000000" w:themeColor="text1"/>
          <w:sz w:val="18"/>
          <w:szCs w:val="18"/>
          <w:lang w:eastAsia="zh-CN"/>
        </w:rPr>
        <w:t>,</w:t>
      </w:r>
      <w:r w:rsidRPr="00CA46DB">
        <w:rPr>
          <w:rFonts w:eastAsia="SimSun" w:cstheme="minorHAnsi"/>
          <w:color w:val="000000" w:themeColor="text1"/>
          <w:sz w:val="18"/>
          <w:szCs w:val="18"/>
        </w:rPr>
        <w:t xml:space="preserve"> and partial discharge breakdown </w:t>
      </w:r>
    </w:p>
    <w:p w14:paraId="0CC8090F" w14:textId="77777777" w:rsidR="00FC2A41" w:rsidRPr="00CA46DB" w:rsidRDefault="00166212">
      <w:pPr>
        <w:tabs>
          <w:tab w:val="left" w:pos="3462"/>
        </w:tabs>
        <w:spacing w:after="0" w:line="240" w:lineRule="exact"/>
        <w:jc w:val="both"/>
        <w:rPr>
          <w:rFonts w:eastAsia="SimSun"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r w:rsidRPr="00CA46DB">
        <w:rPr>
          <w:rFonts w:eastAsia="SimSun" w:cstheme="minorHAnsi"/>
          <w:noProof/>
          <w:color w:val="000000" w:themeColor="text1"/>
          <w:sz w:val="18"/>
          <w:szCs w:val="18"/>
          <w:lang w:eastAsia="zh-CN"/>
        </w:rPr>
        <w:drawing>
          <wp:anchor distT="0" distB="0" distL="114300" distR="114300" simplePos="0" relativeHeight="251664384" behindDoc="1" locked="0" layoutInCell="1" allowOverlap="1" wp14:anchorId="182F4064" wp14:editId="67C5EBD5">
            <wp:simplePos x="0" y="0"/>
            <wp:positionH relativeFrom="column">
              <wp:posOffset>641985</wp:posOffset>
            </wp:positionH>
            <wp:positionV relativeFrom="paragraph">
              <wp:posOffset>160655</wp:posOffset>
            </wp:positionV>
            <wp:extent cx="5229225" cy="1960880"/>
            <wp:effectExtent l="0" t="0" r="0" b="0"/>
            <wp:wrapTight wrapText="bothSides">
              <wp:wrapPolygon edited="0">
                <wp:start x="-1639" y="0"/>
                <wp:lineTo x="-1639" y="21600"/>
                <wp:lineTo x="24327" y="21600"/>
                <wp:lineTo x="24327" y="0"/>
                <wp:lineTo x="-1639" y="0"/>
              </wp:wrapPolygon>
            </wp:wrapTight>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29225" cy="1960880"/>
                    </a:xfrm>
                    <a:prstGeom prst="rect">
                      <a:avLst/>
                    </a:prstGeom>
                  </pic:spPr>
                </pic:pic>
              </a:graphicData>
            </a:graphic>
          </wp:anchor>
        </w:drawing>
      </w:r>
      <w:r w:rsidRPr="00CA46DB">
        <w:rPr>
          <w:rFonts w:cstheme="minorHAnsi"/>
          <w:noProof/>
          <w:color w:val="000000" w:themeColor="text1"/>
          <w:lang w:eastAsia="zh-CN"/>
        </w:rPr>
        <mc:AlternateContent>
          <mc:Choice Requires="wpg">
            <w:drawing>
              <wp:inline distT="0" distB="0" distL="0" distR="0" wp14:anchorId="2EF52A5D" wp14:editId="0E66FF6A">
                <wp:extent cx="6480175" cy="10795"/>
                <wp:effectExtent l="0" t="0" r="0" b="1905"/>
                <wp:docPr id="173" name="Group 4178"/>
                <wp:cNvGraphicFramePr/>
                <a:graphic xmlns:a="http://schemas.openxmlformats.org/drawingml/2006/main">
                  <a:graphicData uri="http://schemas.microsoft.com/office/word/2010/wordprocessingGroup">
                    <wpg:wgp>
                      <wpg:cNvGrpSpPr/>
                      <wpg:grpSpPr>
                        <a:xfrm>
                          <a:off x="0" y="0"/>
                          <a:ext cx="6480175" cy="10795"/>
                          <a:chOff x="0" y="0"/>
                          <a:chExt cx="6692405" cy="18974"/>
                        </a:xfrm>
                      </wpg:grpSpPr>
                      <wps:wsp>
                        <wps:cNvPr id="174" name="Shape 4839"/>
                        <wps:cNvSpPr/>
                        <wps:spPr>
                          <a:xfrm>
                            <a:off x="0" y="0"/>
                            <a:ext cx="6692405" cy="18974"/>
                          </a:xfrm>
                          <a:custGeom>
                            <a:avLst/>
                            <a:gdLst/>
                            <a:ahLst/>
                            <a:cxnLst/>
                            <a:rect l="0" t="0" r="0" b="0"/>
                            <a:pathLst>
                              <a:path w="6692405" h="18974">
                                <a:moveTo>
                                  <a:pt x="0" y="0"/>
                                </a:moveTo>
                                <a:lnTo>
                                  <a:pt x="6692405" y="0"/>
                                </a:lnTo>
                                <a:lnTo>
                                  <a:pt x="6692405" y="18974"/>
                                </a:lnTo>
                                <a:lnTo>
                                  <a:pt x="0" y="18974"/>
                                </a:lnTo>
                                <a:lnTo>
                                  <a:pt x="0" y="0"/>
                                </a:lnTo>
                              </a:path>
                            </a:pathLst>
                          </a:custGeom>
                          <a:ln w="0" cap="flat">
                            <a:miter lim="127000"/>
                          </a:ln>
                        </wps:spPr>
                        <wps:style>
                          <a:lnRef idx="0">
                            <a:srgbClr val="000000">
                              <a:alpha val="0"/>
                            </a:srgbClr>
                          </a:lnRef>
                          <a:fillRef idx="1">
                            <a:srgbClr val="DED9C9"/>
                          </a:fillRef>
                          <a:effectRef idx="0">
                            <a:scrgbClr r="0" g="0" b="0"/>
                          </a:effectRef>
                          <a:fontRef idx="none"/>
                        </wps:style>
                        <wps:bodyPr/>
                      </wps:wsp>
                    </wpg:wgp>
                  </a:graphicData>
                </a:graphic>
              </wp:inline>
            </w:drawing>
          </mc:Choice>
          <mc:Fallback>
            <w:pict>
              <v:group w14:anchorId="2DAED368" id="Group 4178" o:spid="_x0000_s1026" style="width:510.25pt;height:.85pt;mso-position-horizontal-relative:char;mso-position-vertical-relative:line" coordsize="6692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">
                <v:shape id="Shape 4839" o:spid="_x0000_s1027" style="position:absolute;width:66924;height:189;visibility:visible;mso-wrap-style:square;v-text-anchor:top" coordsize="6692405,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" path="m,l6692405,r,18974l,18974,,e" fillcolor="#ded9c9" stroked="f" strokeweight="0">
                  <v:stroke miterlimit="83231f" joinstyle="miter"/>
                  <v:path arrowok="t" textboxrect="0,0,6692405,18974"/>
                </v:shape>
                <w10:anchorlock/>
              </v:group>
            </w:pict>
          </mc:Fallback>
        </mc:AlternateContent>
      </w:r>
    </w:p>
    <w:p w14:paraId="711043FC" w14:textId="11B65E67" w:rsidR="00FC2A41" w:rsidRPr="00CA46DB" w:rsidRDefault="00166212">
      <w:pPr>
        <w:tabs>
          <w:tab w:val="left" w:pos="3462"/>
        </w:tabs>
        <w:spacing w:after="0" w:line="240" w:lineRule="exact"/>
        <w:jc w:val="both"/>
        <w:rPr>
          <w:rFonts w:eastAsia="SimSun" w:cstheme="minorHAnsi"/>
          <w:color w:val="000000" w:themeColor="text1"/>
          <w:sz w:val="18"/>
          <w:szCs w:val="18"/>
        </w:rPr>
      </w:pPr>
      <w:r w:rsidRPr="00CA46DB">
        <w:rPr>
          <w:rFonts w:eastAsia="SimSun" w:cstheme="minorHAnsi"/>
          <w:color w:val="000000" w:themeColor="text1"/>
          <w:sz w:val="18"/>
          <w:szCs w:val="18"/>
        </w:rPr>
        <w:t xml:space="preserve">Fig. 3. Schematic energy band diagram of </w:t>
      </w:r>
      <w:r w:rsidR="00D825A5" w:rsidRPr="00CA46DB">
        <w:rPr>
          <w:rFonts w:eastAsia="SimSun" w:cstheme="minorHAnsi"/>
          <w:color w:val="000000" w:themeColor="text1"/>
          <w:sz w:val="18"/>
          <w:szCs w:val="18"/>
        </w:rPr>
        <w:t xml:space="preserve">(a) </w:t>
      </w:r>
      <w:r w:rsidRPr="00CA46DB">
        <w:rPr>
          <w:rFonts w:eastAsia="SimSun" w:cstheme="minorHAnsi"/>
          <w:color w:val="000000" w:themeColor="text1"/>
          <w:sz w:val="18"/>
          <w:szCs w:val="18"/>
          <w:lang w:eastAsia="zh-Hans"/>
        </w:rPr>
        <w:t xml:space="preserve">Schottky emission, </w:t>
      </w:r>
      <w:r w:rsidR="00D825A5" w:rsidRPr="00CA46DB">
        <w:rPr>
          <w:rFonts w:eastAsia="SimSun" w:cstheme="minorHAnsi"/>
          <w:color w:val="000000" w:themeColor="text1"/>
          <w:sz w:val="18"/>
          <w:szCs w:val="18"/>
          <w:lang w:eastAsia="zh-Hans"/>
        </w:rPr>
        <w:t xml:space="preserve">(b) </w:t>
      </w:r>
      <w:r w:rsidRPr="00CA46DB">
        <w:rPr>
          <w:rFonts w:eastAsia="SimSun" w:cstheme="minorHAnsi"/>
          <w:color w:val="000000" w:themeColor="text1"/>
          <w:sz w:val="18"/>
          <w:szCs w:val="18"/>
          <w:lang w:eastAsia="zh-Hans"/>
        </w:rPr>
        <w:t xml:space="preserve">Poole-Frenkel emission, and </w:t>
      </w:r>
      <w:r w:rsidR="00D825A5" w:rsidRPr="00CA46DB">
        <w:rPr>
          <w:rFonts w:eastAsia="SimSun" w:cstheme="minorHAnsi"/>
          <w:color w:val="000000" w:themeColor="text1"/>
          <w:sz w:val="18"/>
          <w:szCs w:val="18"/>
          <w:lang w:eastAsia="zh-Hans"/>
        </w:rPr>
        <w:t xml:space="preserve">(c) </w:t>
      </w:r>
      <w:r w:rsidRPr="00CA46DB">
        <w:rPr>
          <w:rFonts w:eastAsia="SimSun" w:cstheme="minorHAnsi"/>
          <w:color w:val="000000" w:themeColor="text1"/>
          <w:sz w:val="18"/>
          <w:szCs w:val="18"/>
        </w:rPr>
        <w:t>hopping</w:t>
      </w:r>
      <w:r w:rsidRPr="00CA46DB">
        <w:rPr>
          <w:rFonts w:eastAsia="SimSun" w:cstheme="minorHAnsi"/>
          <w:color w:val="000000" w:themeColor="text1"/>
          <w:sz w:val="18"/>
          <w:szCs w:val="18"/>
          <w:lang w:eastAsia="zh-Hans"/>
        </w:rPr>
        <w:t xml:space="preserve"> conduction in dielectrics</w:t>
      </w:r>
      <w:r w:rsidRPr="00CA46DB">
        <w:rPr>
          <w:rFonts w:cstheme="minorHAnsi"/>
          <w:color w:val="000000" w:themeColor="text1"/>
          <w:sz w:val="18"/>
          <w:szCs w:val="18"/>
        </w:rPr>
        <w:t>.</w:t>
      </w:r>
      <w:r w:rsidRPr="00CA46DB">
        <w:rPr>
          <w:rFonts w:eastAsia="SimSun" w:cstheme="minorHAnsi"/>
          <w:color w:val="000000" w:themeColor="text1"/>
          <w:sz w:val="18"/>
          <w:szCs w:val="18"/>
        </w:rPr>
        <w:t xml:space="preserve"> (qΦ</w:t>
      </w:r>
      <w:r w:rsidRPr="00CA46DB">
        <w:rPr>
          <w:rFonts w:eastAsia="SimSun" w:cstheme="minorHAnsi"/>
          <w:color w:val="000000" w:themeColor="text1"/>
          <w:sz w:val="18"/>
          <w:szCs w:val="18"/>
          <w:vertAlign w:val="subscript"/>
        </w:rPr>
        <w:t>B</w:t>
      </w:r>
      <w:r w:rsidRPr="00CA46DB">
        <w:rPr>
          <w:rFonts w:eastAsia="SimSun" w:cstheme="minorHAnsi"/>
          <w:color w:val="000000" w:themeColor="text1"/>
          <w:sz w:val="18"/>
          <w:szCs w:val="18"/>
        </w:rPr>
        <w:t xml:space="preserve"> is the barrier height, E</w:t>
      </w:r>
      <w:r w:rsidRPr="00CA46DB">
        <w:rPr>
          <w:rFonts w:eastAsia="SimSun" w:cstheme="minorHAnsi"/>
          <w:color w:val="000000" w:themeColor="text1"/>
          <w:sz w:val="18"/>
          <w:szCs w:val="18"/>
          <w:vertAlign w:val="subscript"/>
        </w:rPr>
        <w:t>c</w:t>
      </w:r>
      <w:r w:rsidRPr="00CA46DB">
        <w:rPr>
          <w:rFonts w:eastAsia="SimSun" w:cstheme="minorHAnsi"/>
          <w:color w:val="000000" w:themeColor="text1"/>
          <w:sz w:val="18"/>
          <w:szCs w:val="18"/>
        </w:rPr>
        <w:t xml:space="preserve"> is the conduction band, E</w:t>
      </w:r>
      <w:r w:rsidRPr="00CA46DB">
        <w:rPr>
          <w:rFonts w:eastAsia="SimSun" w:cstheme="minorHAnsi"/>
          <w:color w:val="000000" w:themeColor="text1"/>
          <w:sz w:val="18"/>
          <w:szCs w:val="18"/>
          <w:vertAlign w:val="subscript"/>
        </w:rPr>
        <w:t>v</w:t>
      </w:r>
      <w:r w:rsidRPr="00CA46DB">
        <w:rPr>
          <w:rFonts w:eastAsia="SimSun" w:cstheme="minorHAnsi"/>
          <w:color w:val="000000" w:themeColor="text1"/>
          <w:sz w:val="18"/>
          <w:szCs w:val="18"/>
        </w:rPr>
        <w:t xml:space="preserve"> is the valence band and E</w:t>
      </w:r>
      <w:r w:rsidRPr="00CA46DB">
        <w:rPr>
          <w:rFonts w:eastAsia="SimSun" w:cstheme="minorHAnsi"/>
          <w:color w:val="000000" w:themeColor="text1"/>
          <w:sz w:val="18"/>
          <w:szCs w:val="18"/>
          <w:vertAlign w:val="subscript"/>
        </w:rPr>
        <w:t>F</w:t>
      </w:r>
      <w:r w:rsidRPr="00CA46DB">
        <w:rPr>
          <w:rFonts w:eastAsia="SimSun" w:cstheme="minorHAnsi"/>
          <w:color w:val="000000" w:themeColor="text1"/>
          <w:sz w:val="18"/>
          <w:szCs w:val="18"/>
        </w:rPr>
        <w:t xml:space="preserve"> is the Fermi level.) </w:t>
      </w:r>
    </w:p>
    <w:p w14:paraId="180D1BF3" w14:textId="77777777" w:rsidR="00FC2A41" w:rsidRPr="00CA46DB" w:rsidRDefault="00FC2A41">
      <w:pPr>
        <w:tabs>
          <w:tab w:val="left" w:pos="3462"/>
        </w:tabs>
        <w:spacing w:after="0" w:line="240" w:lineRule="exact"/>
        <w:jc w:val="both"/>
        <w:rPr>
          <w:rFonts w:eastAsia="SimSun"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49F6076D" w14:textId="77777777" w:rsidR="00FC2A41" w:rsidRPr="00CA46DB" w:rsidRDefault="00166212">
      <w:pPr>
        <w:tabs>
          <w:tab w:val="left" w:pos="3462"/>
        </w:tabs>
        <w:spacing w:after="0" w:line="240" w:lineRule="exact"/>
        <w:jc w:val="both"/>
        <w:rPr>
          <w:rFonts w:cstheme="minorHAnsi"/>
          <w:color w:val="000000" w:themeColor="text1"/>
          <w:sz w:val="18"/>
          <w:szCs w:val="18"/>
          <w:vertAlign w:val="superscript"/>
        </w:rPr>
      </w:pPr>
      <w:r w:rsidRPr="00CA46DB">
        <w:rPr>
          <w:rFonts w:eastAsia="SimSun" w:cstheme="minorHAnsi"/>
          <w:color w:val="000000" w:themeColor="text1"/>
          <w:sz w:val="18"/>
          <w:szCs w:val="18"/>
        </w:rPr>
        <w:br w:type="column"/>
      </w:r>
      <w:r w:rsidRPr="00CA46DB">
        <w:rPr>
          <w:rFonts w:eastAsia="SimSun" w:cstheme="minorHAnsi"/>
          <w:color w:val="000000" w:themeColor="text1"/>
          <w:sz w:val="18"/>
          <w:szCs w:val="18"/>
        </w:rPr>
        <w:br w:type="column"/>
      </w:r>
      <w:r w:rsidRPr="00CA46DB">
        <w:rPr>
          <w:rFonts w:eastAsia="SimSun" w:cstheme="minorHAnsi"/>
          <w:noProof/>
          <w:color w:val="000000" w:themeColor="text1"/>
          <w:sz w:val="18"/>
          <w:szCs w:val="18"/>
          <w:lang w:eastAsia="zh-CN"/>
        </w:rPr>
        <w:lastRenderedPageBreak/>
        <w:drawing>
          <wp:anchor distT="0" distB="0" distL="114300" distR="114300" simplePos="0" relativeHeight="251665408" behindDoc="1" locked="0" layoutInCell="1" allowOverlap="1" wp14:anchorId="20613FE1" wp14:editId="4DDC6152">
            <wp:simplePos x="0" y="0"/>
            <wp:positionH relativeFrom="column">
              <wp:posOffset>-7620</wp:posOffset>
            </wp:positionH>
            <wp:positionV relativeFrom="paragraph">
              <wp:posOffset>5715</wp:posOffset>
            </wp:positionV>
            <wp:extent cx="3136265" cy="2894965"/>
            <wp:effectExtent l="0" t="0" r="635" b="635"/>
            <wp:wrapTight wrapText="bothSides">
              <wp:wrapPolygon edited="0">
                <wp:start x="0" y="0"/>
                <wp:lineTo x="0" y="21510"/>
                <wp:lineTo x="21517" y="21510"/>
                <wp:lineTo x="21517" y="0"/>
                <wp:lineTo x="0" y="0"/>
              </wp:wrapPolygon>
            </wp:wrapTight>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36265" cy="2894965"/>
                    </a:xfrm>
                    <a:prstGeom prst="rect">
                      <a:avLst/>
                    </a:prstGeom>
                  </pic:spPr>
                </pic:pic>
              </a:graphicData>
            </a:graphic>
          </wp:anchor>
        </w:drawing>
      </w:r>
      <w:r w:rsidRPr="00CA46DB">
        <w:rPr>
          <w:rFonts w:eastAsia="SimSun" w:cstheme="minorHAnsi"/>
          <w:color w:val="000000" w:themeColor="text1"/>
          <w:sz w:val="18"/>
          <w:szCs w:val="18"/>
        </w:rPr>
        <w:t xml:space="preserve">Fig. 4. Breakdown mechanisms and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 xml:space="preserve"> as a function of the time after the application of a voltage </w:t>
      </w:r>
      <w:r w:rsidRPr="00CA46DB">
        <w:rPr>
          <w:rFonts w:cstheme="minorHAnsi"/>
          <w:color w:val="000000" w:themeColor="text1"/>
          <w:sz w:val="18"/>
          <w:szCs w:val="18"/>
          <w:vertAlign w:val="superscript"/>
        </w:rPr>
        <w:t>37.</w:t>
      </w:r>
    </w:p>
    <w:p w14:paraId="7E87CBBE" w14:textId="77777777" w:rsidR="00FC2A41" w:rsidRPr="00CA46DB" w:rsidRDefault="00166212">
      <w:pPr>
        <w:tabs>
          <w:tab w:val="left" w:pos="3462"/>
        </w:tabs>
        <w:spacing w:after="0" w:line="240" w:lineRule="exact"/>
        <w:jc w:val="both"/>
        <w:rPr>
          <w:rFonts w:eastAsia="SimSun" w:cstheme="minorHAnsi"/>
          <w:color w:val="000000" w:themeColor="text1"/>
          <w:sz w:val="18"/>
          <w:szCs w:val="18"/>
        </w:rPr>
      </w:pPr>
      <w:r w:rsidRPr="00CA46DB">
        <w:rPr>
          <w:rFonts w:cstheme="minorHAnsi"/>
          <w:noProof/>
          <w:color w:val="000000" w:themeColor="text1"/>
          <w:lang w:eastAsia="zh-CN"/>
        </w:rPr>
        <mc:AlternateContent>
          <mc:Choice Requires="wpg">
            <w:drawing>
              <wp:inline distT="0" distB="0" distL="0" distR="0" wp14:anchorId="1A8E64AD" wp14:editId="63B90B2D">
                <wp:extent cx="3168015" cy="10795"/>
                <wp:effectExtent l="0" t="0" r="0" b="1905"/>
                <wp:docPr id="176" name="Group 4178"/>
                <wp:cNvGraphicFramePr/>
                <a:graphic xmlns:a="http://schemas.openxmlformats.org/drawingml/2006/main">
                  <a:graphicData uri="http://schemas.microsoft.com/office/word/2010/wordprocessingGroup">
                    <wpg:wgp>
                      <wpg:cNvGrpSpPr/>
                      <wpg:grpSpPr>
                        <a:xfrm>
                          <a:off x="0" y="0"/>
                          <a:ext cx="3168015" cy="10800"/>
                          <a:chOff x="0" y="0"/>
                          <a:chExt cx="6692405" cy="18974"/>
                        </a:xfrm>
                      </wpg:grpSpPr>
                      <wps:wsp>
                        <wps:cNvPr id="177" name="Shape 4839"/>
                        <wps:cNvSpPr/>
                        <wps:spPr>
                          <a:xfrm>
                            <a:off x="0" y="0"/>
                            <a:ext cx="6692405" cy="18974"/>
                          </a:xfrm>
                          <a:custGeom>
                            <a:avLst/>
                            <a:gdLst/>
                            <a:ahLst/>
                            <a:cxnLst/>
                            <a:rect l="0" t="0" r="0" b="0"/>
                            <a:pathLst>
                              <a:path w="6692405" h="18974">
                                <a:moveTo>
                                  <a:pt x="0" y="0"/>
                                </a:moveTo>
                                <a:lnTo>
                                  <a:pt x="6692405" y="0"/>
                                </a:lnTo>
                                <a:lnTo>
                                  <a:pt x="6692405" y="18974"/>
                                </a:lnTo>
                                <a:lnTo>
                                  <a:pt x="0" y="18974"/>
                                </a:lnTo>
                                <a:lnTo>
                                  <a:pt x="0" y="0"/>
                                </a:lnTo>
                              </a:path>
                            </a:pathLst>
                          </a:custGeom>
                          <a:ln w="0" cap="flat">
                            <a:miter lim="127000"/>
                          </a:ln>
                        </wps:spPr>
                        <wps:style>
                          <a:lnRef idx="0">
                            <a:srgbClr val="000000">
                              <a:alpha val="0"/>
                            </a:srgbClr>
                          </a:lnRef>
                          <a:fillRef idx="1">
                            <a:srgbClr val="DED9C9"/>
                          </a:fillRef>
                          <a:effectRef idx="0">
                            <a:scrgbClr r="0" g="0" b="0"/>
                          </a:effectRef>
                          <a:fontRef idx="none"/>
                        </wps:style>
                        <wps:bodyPr/>
                      </wps:wsp>
                    </wpg:wgp>
                  </a:graphicData>
                </a:graphic>
              </wp:inline>
            </w:drawing>
          </mc:Choice>
          <mc:Fallback>
            <w:pict>
              <v:group w14:anchorId="671126CA" id="Group 4178" o:spid="_x0000_s1026" style="width:249.45pt;height:.85pt;mso-position-horizontal-relative:char;mso-position-vertical-relative:line" coordsize="6692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">
                <v:shape id="Shape 4839" o:spid="_x0000_s1027" style="position:absolute;width:66924;height:189;visibility:visible;mso-wrap-style:square;v-text-anchor:top" coordsize="6692405,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" path="m,l6692405,r,18974l,18974,,e" fillcolor="#ded9c9" stroked="f" strokeweight="0">
                  <v:stroke miterlimit="83231f" joinstyle="miter"/>
                  <v:path arrowok="t" textboxrect="0,0,6692405,18974"/>
                </v:shape>
                <w10:anchorlock/>
              </v:group>
            </w:pict>
          </mc:Fallback>
        </mc:AlternateContent>
      </w:r>
    </w:p>
    <w:p w14:paraId="3AA02E7C" w14:textId="77777777" w:rsidR="00FC2A41" w:rsidRPr="00CA46DB" w:rsidRDefault="00166212">
      <w:pPr>
        <w:tabs>
          <w:tab w:val="left" w:pos="3462"/>
        </w:tabs>
        <w:spacing w:after="0" w:line="240" w:lineRule="exact"/>
        <w:jc w:val="both"/>
        <w:rPr>
          <w:rFonts w:eastAsia="SimSun" w:cstheme="minorHAnsi"/>
          <w:b/>
          <w:bCs/>
          <w:color w:val="000000" w:themeColor="text1"/>
          <w:sz w:val="18"/>
          <w:szCs w:val="18"/>
        </w:rPr>
      </w:pPr>
      <w:r w:rsidRPr="00CA46DB">
        <w:rPr>
          <w:rFonts w:eastAsia="SimSun" w:cstheme="minorHAnsi"/>
          <w:color w:val="000000" w:themeColor="text1"/>
          <w:sz w:val="18"/>
          <w:szCs w:val="18"/>
        </w:rPr>
        <w:t>have been proposed, as shown in Fig. 4.</w:t>
      </w:r>
      <w:r w:rsidRPr="00CA46DB">
        <w:rPr>
          <w:rFonts w:cstheme="minorHAnsi"/>
          <w:color w:val="000000" w:themeColor="text1"/>
          <w:sz w:val="18"/>
          <w:szCs w:val="18"/>
          <w:vertAlign w:val="superscript"/>
        </w:rPr>
        <w:t>37</w:t>
      </w:r>
      <w:r w:rsidRPr="00CA46DB">
        <w:rPr>
          <w:rFonts w:eastAsia="SimSun" w:cstheme="minorHAnsi"/>
          <w:color w:val="000000" w:themeColor="text1"/>
          <w:sz w:val="18"/>
          <w:szCs w:val="18"/>
        </w:rPr>
        <w:t xml:space="preserve"> </w:t>
      </w:r>
    </w:p>
    <w:p w14:paraId="2E242BA1" w14:textId="77777777" w:rsidR="00FC2A41" w:rsidRPr="00CA46DB" w:rsidRDefault="00166212">
      <w:pPr>
        <w:tabs>
          <w:tab w:val="left" w:pos="3462"/>
        </w:tabs>
        <w:spacing w:after="0" w:line="240" w:lineRule="exact"/>
        <w:ind w:firstLineChars="200" w:firstLine="360"/>
        <w:jc w:val="both"/>
        <w:rPr>
          <w:rFonts w:cstheme="minorHAnsi"/>
          <w:color w:val="000000" w:themeColor="text1"/>
          <w:sz w:val="18"/>
          <w:szCs w:val="18"/>
        </w:rPr>
      </w:pPr>
      <w:r w:rsidRPr="00CA46DB">
        <w:rPr>
          <w:rFonts w:eastAsia="SimSun" w:cstheme="minorHAnsi"/>
          <w:color w:val="000000" w:themeColor="text1"/>
          <w:sz w:val="18"/>
          <w:szCs w:val="18"/>
        </w:rPr>
        <w:t xml:space="preserve">Intrinsic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 xml:space="preserve"> can be defined as the highest breakdown value of a pure and homogeneous material where the measurement conditions are accurately controlled. Thus, the intrinsic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 xml:space="preserve"> is an ideal value. There are two main types of intrinsic breakdown mechanism, </w:t>
      </w:r>
      <w:r w:rsidRPr="00CA46DB">
        <w:rPr>
          <w:rFonts w:eastAsia="SimSun" w:cstheme="minorHAnsi"/>
          <w:i/>
          <w:iCs/>
          <w:color w:val="000000" w:themeColor="text1"/>
          <w:sz w:val="18"/>
          <w:szCs w:val="18"/>
        </w:rPr>
        <w:t>i.e</w:t>
      </w:r>
      <w:r w:rsidRPr="00CA46DB">
        <w:rPr>
          <w:rFonts w:eastAsia="SimSun" w:cstheme="minorHAnsi"/>
          <w:color w:val="000000" w:themeColor="text1"/>
          <w:sz w:val="18"/>
          <w:szCs w:val="18"/>
        </w:rPr>
        <w:t xml:space="preserve">. </w:t>
      </w:r>
      <w:r w:rsidRPr="00CA46DB">
        <w:rPr>
          <w:rFonts w:eastAsia="SimSun" w:cstheme="minorHAnsi"/>
          <w:color w:val="000000" w:themeColor="text1"/>
          <w:sz w:val="18"/>
          <w:szCs w:val="18"/>
          <w:lang w:eastAsia="zh-Hans"/>
        </w:rPr>
        <w:t>t</w:t>
      </w:r>
      <w:r w:rsidRPr="00CA46DB">
        <w:rPr>
          <w:rFonts w:eastAsia="SimSun" w:cstheme="minorHAnsi"/>
          <w:color w:val="000000" w:themeColor="text1"/>
          <w:sz w:val="18"/>
          <w:szCs w:val="18"/>
        </w:rPr>
        <w:t xml:space="preserve">unnel breakdown and avalanche breakdown. As shown in Fig. </w:t>
      </w:r>
      <w:r w:rsidRPr="00CA46DB">
        <w:rPr>
          <w:rFonts w:cstheme="minorHAnsi"/>
          <w:color w:val="000000" w:themeColor="text1"/>
          <w:sz w:val="18"/>
          <w:szCs w:val="18"/>
        </w:rPr>
        <w:t xml:space="preserve">5(a), </w:t>
      </w:r>
      <w:r w:rsidRPr="00CA46DB">
        <w:rPr>
          <w:rFonts w:eastAsia="SimSun" w:cstheme="minorHAnsi"/>
          <w:color w:val="000000" w:themeColor="text1"/>
          <w:sz w:val="18"/>
          <w:szCs w:val="18"/>
        </w:rPr>
        <w:t xml:space="preserve">electrons in the dielectrics can obtain enough energy from the electric field to cross the forbidden energy gap between the valence band and the conduction band. As more electrons accumulate in the conduction band, </w:t>
      </w:r>
      <w:r w:rsidRPr="00CA46DB">
        <w:rPr>
          <w:rFonts w:eastAsia="SimSun" w:cstheme="minorHAnsi"/>
          <w:color w:val="000000" w:themeColor="text1"/>
          <w:sz w:val="18"/>
          <w:szCs w:val="18"/>
          <w:lang w:eastAsia="zh-Hans"/>
        </w:rPr>
        <w:t>t</w:t>
      </w:r>
      <w:r w:rsidRPr="00CA46DB">
        <w:rPr>
          <w:rFonts w:eastAsia="SimSun" w:cstheme="minorHAnsi"/>
          <w:color w:val="000000" w:themeColor="text1"/>
          <w:sz w:val="18"/>
          <w:szCs w:val="18"/>
        </w:rPr>
        <w:t>unnel breakdown is achieved. The tunnel breakdown is related to the band gap of the dielectric</w:t>
      </w:r>
      <w:r w:rsidRPr="00CA46DB">
        <w:rPr>
          <w:rFonts w:eastAsia="SimSun" w:cstheme="minorHAnsi"/>
          <w:color w:val="000000" w:themeColor="text1"/>
          <w:sz w:val="18"/>
          <w:szCs w:val="18"/>
          <w:lang w:eastAsia="zh-Hans"/>
        </w:rPr>
        <w:t>s</w:t>
      </w:r>
      <w:r w:rsidRPr="00CA46DB">
        <w:rPr>
          <w:rFonts w:eastAsia="SimSun" w:cstheme="minorHAnsi"/>
          <w:color w:val="000000" w:themeColor="text1"/>
          <w:sz w:val="18"/>
          <w:szCs w:val="18"/>
        </w:rPr>
        <w:t>. It increases rapidly with the increase of the electric field, which will inevitably cause the dielectric</w:t>
      </w:r>
      <w:r w:rsidRPr="00CA46DB">
        <w:rPr>
          <w:rFonts w:eastAsia="SimSun" w:cstheme="minorHAnsi"/>
          <w:color w:val="000000" w:themeColor="text1"/>
          <w:sz w:val="18"/>
          <w:szCs w:val="18"/>
          <w:lang w:eastAsia="zh-Hans"/>
        </w:rPr>
        <w:t>s</w:t>
      </w:r>
      <w:r w:rsidRPr="00CA46DB">
        <w:rPr>
          <w:rFonts w:eastAsia="SimSun" w:cstheme="minorHAnsi"/>
          <w:color w:val="000000" w:themeColor="text1"/>
          <w:sz w:val="18"/>
          <w:szCs w:val="18"/>
        </w:rPr>
        <w:t xml:space="preserve"> to lose </w:t>
      </w:r>
      <w:r w:rsidRPr="00CA46DB">
        <w:rPr>
          <w:rFonts w:eastAsia="SimSun" w:cstheme="minorHAnsi"/>
          <w:color w:val="000000" w:themeColor="text1"/>
          <w:sz w:val="18"/>
          <w:szCs w:val="18"/>
          <w:lang w:eastAsia="zh-Hans"/>
        </w:rPr>
        <w:t>the</w:t>
      </w:r>
      <w:r w:rsidRPr="00CA46DB">
        <w:rPr>
          <w:rFonts w:eastAsia="SimSun" w:cstheme="minorHAnsi"/>
          <w:color w:val="000000" w:themeColor="text1"/>
          <w:sz w:val="18"/>
          <w:szCs w:val="18"/>
        </w:rPr>
        <w:t xml:space="preserve"> insulating properties. Electrons within dielectric</w:t>
      </w:r>
      <w:r w:rsidRPr="00CA46DB">
        <w:rPr>
          <w:rFonts w:eastAsia="SimSun" w:cstheme="minorHAnsi"/>
          <w:color w:val="000000" w:themeColor="text1"/>
          <w:sz w:val="18"/>
          <w:szCs w:val="18"/>
          <w:lang w:eastAsia="zh-Hans"/>
        </w:rPr>
        <w:t>s</w:t>
      </w:r>
      <w:r w:rsidRPr="00CA46DB">
        <w:rPr>
          <w:rFonts w:eastAsia="SimSun" w:cstheme="minorHAnsi"/>
          <w:color w:val="000000" w:themeColor="text1"/>
          <w:sz w:val="18"/>
          <w:szCs w:val="18"/>
        </w:rPr>
        <w:t xml:space="preserve"> obtain energy from the electric field and collide </w:t>
      </w:r>
      <w:r w:rsidRPr="00CA46DB">
        <w:rPr>
          <w:rFonts w:eastAsia="SimSun" w:cstheme="minorHAnsi"/>
          <w:color w:val="000000" w:themeColor="text1"/>
          <w:sz w:val="18"/>
          <w:szCs w:val="18"/>
        </w:rPr>
        <w:br w:type="column"/>
      </w:r>
      <w:r w:rsidRPr="00CA46DB">
        <w:rPr>
          <w:rFonts w:eastAsia="SimSun" w:cstheme="minorHAnsi"/>
          <w:color w:val="000000" w:themeColor="text1"/>
          <w:sz w:val="18"/>
          <w:szCs w:val="18"/>
        </w:rPr>
        <w:t xml:space="preserve"> with atoms. When the collision energy obtained by the atom exceeds the ionization potential, an electron is liberated </w:t>
      </w:r>
      <w:r w:rsidRPr="00CA46DB">
        <w:rPr>
          <w:rFonts w:cstheme="minorHAnsi"/>
          <w:color w:val="000000" w:themeColor="text1"/>
          <w:sz w:val="18"/>
          <w:szCs w:val="18"/>
        </w:rPr>
        <w:t>(Fig. 5(b))</w:t>
      </w:r>
      <w:r w:rsidRPr="00CA46DB">
        <w:rPr>
          <w:rFonts w:eastAsia="SimSun" w:cstheme="minorHAnsi"/>
          <w:color w:val="000000" w:themeColor="text1"/>
          <w:sz w:val="18"/>
          <w:szCs w:val="18"/>
        </w:rPr>
        <w:t>. The collision ionization process proceeds as a chain reaction causing the number of electrons to increase sharply, resulting in an electron avalanche.</w:t>
      </w:r>
      <w:r w:rsidRPr="00CA46DB">
        <w:rPr>
          <w:rFonts w:cstheme="minorHAnsi"/>
          <w:color w:val="000000" w:themeColor="text1"/>
          <w:sz w:val="18"/>
          <w:szCs w:val="18"/>
          <w:vertAlign w:val="superscript"/>
        </w:rPr>
        <w:t>37</w:t>
      </w:r>
      <w:r w:rsidRPr="00CA46DB">
        <w:rPr>
          <w:rFonts w:eastAsia="SimSun" w:cstheme="minorHAnsi"/>
          <w:color w:val="000000" w:themeColor="text1"/>
          <w:sz w:val="18"/>
          <w:szCs w:val="18"/>
        </w:rPr>
        <w:t xml:space="preserve"> The avalanche breakdown shows a high temperature dependence.</w:t>
      </w:r>
    </w:p>
    <w:p w14:paraId="3CAA9E7F" w14:textId="77777777" w:rsidR="00FC2A41" w:rsidRPr="00CA46DB" w:rsidRDefault="00166212">
      <w:pPr>
        <w:tabs>
          <w:tab w:val="left" w:pos="3462"/>
        </w:tabs>
        <w:spacing w:after="0" w:line="240" w:lineRule="exact"/>
        <w:ind w:firstLineChars="200" w:firstLine="360"/>
        <w:jc w:val="both"/>
        <w:rPr>
          <w:rFonts w:eastAsia="SimSun" w:cstheme="minorHAnsi"/>
          <w:color w:val="000000" w:themeColor="text1"/>
          <w:sz w:val="18"/>
          <w:szCs w:val="18"/>
        </w:rPr>
      </w:pPr>
      <w:bookmarkStart w:id="8" w:name="OLE_LINK30"/>
      <w:r w:rsidRPr="00CA46DB">
        <w:rPr>
          <w:rFonts w:eastAsia="SimSun" w:cstheme="minorHAnsi"/>
          <w:color w:val="000000" w:themeColor="text1"/>
          <w:sz w:val="18"/>
          <w:szCs w:val="18"/>
        </w:rPr>
        <w:t>Electromechanical</w:t>
      </w:r>
      <w:bookmarkEnd w:id="8"/>
      <w:r w:rsidRPr="00CA46DB">
        <w:rPr>
          <w:rFonts w:eastAsia="SimSun" w:cstheme="minorHAnsi"/>
          <w:color w:val="000000" w:themeColor="text1"/>
          <w:sz w:val="18"/>
          <w:szCs w:val="18"/>
        </w:rPr>
        <w:t xml:space="preserve"> breakdown generally occurs in solid dielectric</w:t>
      </w:r>
      <w:r w:rsidRPr="00CA46DB">
        <w:rPr>
          <w:rFonts w:eastAsia="SimSun" w:cstheme="minorHAnsi"/>
          <w:color w:val="000000" w:themeColor="text1"/>
          <w:sz w:val="18"/>
          <w:szCs w:val="18"/>
          <w:lang w:eastAsia="zh-Hans"/>
        </w:rPr>
        <w:t>s</w:t>
      </w:r>
      <w:r w:rsidRPr="00CA46DB">
        <w:rPr>
          <w:rFonts w:eastAsia="SimSun" w:cstheme="minorHAnsi"/>
          <w:color w:val="000000" w:themeColor="text1"/>
          <w:sz w:val="18"/>
          <w:szCs w:val="18"/>
        </w:rPr>
        <w:t xml:space="preserve"> with low elastic modulus and easy mechanical deformation. Charges are induced on the surface of the dielectrics at high electric fields, and the electrostatic attraction of these charges causes compressive forces in Fig. 5(c).  Electromechanical breakdown occurs if the forces exceed the mechanical compressive strength of the dielectrics.</w:t>
      </w:r>
      <w:r w:rsidRPr="00CA46DB">
        <w:rPr>
          <w:rFonts w:cstheme="minorHAnsi"/>
          <w:color w:val="000000" w:themeColor="text1"/>
          <w:sz w:val="18"/>
          <w:szCs w:val="18"/>
          <w:vertAlign w:val="superscript"/>
        </w:rPr>
        <w:t xml:space="preserve">37 </w:t>
      </w:r>
    </w:p>
    <w:p w14:paraId="788F5443" w14:textId="77777777" w:rsidR="00FC2A41" w:rsidRPr="00CA46DB" w:rsidRDefault="00166212">
      <w:pPr>
        <w:tabs>
          <w:tab w:val="left" w:pos="3462"/>
        </w:tabs>
        <w:spacing w:after="0" w:line="240" w:lineRule="exact"/>
        <w:ind w:firstLineChars="200" w:firstLine="360"/>
        <w:jc w:val="both"/>
        <w:rPr>
          <w:rFonts w:eastAsia="SimSun" w:cstheme="minorHAnsi"/>
          <w:color w:val="000000" w:themeColor="text1"/>
          <w:sz w:val="18"/>
          <w:szCs w:val="18"/>
        </w:rPr>
      </w:pPr>
      <w:r w:rsidRPr="00CA46DB">
        <w:rPr>
          <w:rFonts w:eastAsia="SimSun" w:cstheme="minorHAnsi"/>
          <w:color w:val="000000" w:themeColor="text1"/>
          <w:sz w:val="18"/>
          <w:szCs w:val="18"/>
        </w:rPr>
        <w:t xml:space="preserve">Thermal breakdown originates from the internal thermal instability of the dielectrics. Under the action of high electric field, </w:t>
      </w:r>
      <w:r w:rsidRPr="00CA46DB">
        <w:rPr>
          <w:rFonts w:cstheme="minorHAnsi"/>
          <w:color w:val="000000" w:themeColor="text1"/>
          <w:sz w:val="18"/>
          <w:szCs w:val="18"/>
        </w:rPr>
        <w:t>tan</w:t>
      </w:r>
      <w:r w:rsidRPr="00CA46DB">
        <w:rPr>
          <w:rFonts w:cstheme="minorHAnsi"/>
          <w:i/>
          <w:iCs/>
          <w:color w:val="000000" w:themeColor="text1"/>
          <w:sz w:val="18"/>
          <w:szCs w:val="18"/>
        </w:rPr>
        <w:t>δ</w:t>
      </w:r>
      <w:r w:rsidRPr="00CA46DB">
        <w:rPr>
          <w:rFonts w:eastAsia="SimSun" w:cstheme="minorHAnsi"/>
          <w:color w:val="000000" w:themeColor="text1"/>
          <w:sz w:val="18"/>
          <w:szCs w:val="18"/>
        </w:rPr>
        <w:t xml:space="preserve"> </w:t>
      </w:r>
      <w:r w:rsidRPr="00CA46DB">
        <w:rPr>
          <w:rFonts w:eastAsia="SimSun" w:cstheme="minorHAnsi"/>
          <w:color w:val="000000" w:themeColor="text1"/>
          <w:sz w:val="18"/>
          <w:szCs w:val="18"/>
          <w:lang w:eastAsia="zh-Hans"/>
        </w:rPr>
        <w:t>can</w:t>
      </w:r>
      <w:r w:rsidRPr="00CA46DB">
        <w:rPr>
          <w:rFonts w:eastAsia="SimSun" w:cstheme="minorHAnsi"/>
          <w:color w:val="000000" w:themeColor="text1"/>
          <w:sz w:val="18"/>
          <w:szCs w:val="18"/>
        </w:rPr>
        <w:t xml:space="preserve"> cause energy dissipation to be consumed </w:t>
      </w:r>
      <w:r w:rsidRPr="00CA46DB">
        <w:rPr>
          <w:rFonts w:eastAsia="SimSun" w:cstheme="minorHAnsi"/>
          <w:color w:val="000000" w:themeColor="text1"/>
          <w:sz w:val="18"/>
          <w:szCs w:val="18"/>
          <w:lang w:eastAsia="zh-Hans"/>
        </w:rPr>
        <w:t>as</w:t>
      </w:r>
      <w:r w:rsidRPr="00CA46DB">
        <w:rPr>
          <w:rFonts w:eastAsia="SimSun" w:cstheme="minorHAnsi"/>
          <w:color w:val="000000" w:themeColor="text1"/>
          <w:sz w:val="18"/>
          <w:szCs w:val="18"/>
        </w:rPr>
        <w:t xml:space="preserve"> heat, which raises the temperature of the dielectrics. The </w:t>
      </w:r>
      <w:r w:rsidRPr="00CA46DB">
        <w:rPr>
          <w:rFonts w:eastAsia="SimSun" w:cstheme="minorHAnsi"/>
          <w:color w:val="000000" w:themeColor="text1"/>
          <w:sz w:val="18"/>
          <w:szCs w:val="18"/>
          <w:lang w:eastAsia="zh-Hans"/>
        </w:rPr>
        <w:t>enhanc</w:t>
      </w:r>
      <w:r w:rsidRPr="00CA46DB">
        <w:rPr>
          <w:rFonts w:eastAsia="SimSun" w:cstheme="minorHAnsi"/>
          <w:color w:val="000000" w:themeColor="text1"/>
          <w:sz w:val="18"/>
          <w:szCs w:val="18"/>
        </w:rPr>
        <w:t>ed temperature increase</w:t>
      </w:r>
      <w:r w:rsidRPr="00CA46DB">
        <w:rPr>
          <w:rFonts w:eastAsia="SimSun" w:cstheme="minorHAnsi"/>
          <w:color w:val="000000" w:themeColor="text1"/>
          <w:sz w:val="18"/>
          <w:szCs w:val="18"/>
          <w:lang w:eastAsia="zh-Hans"/>
        </w:rPr>
        <w:t>s</w:t>
      </w:r>
      <w:r w:rsidRPr="00CA46DB">
        <w:rPr>
          <w:rFonts w:eastAsia="SimSun" w:cstheme="minorHAnsi"/>
          <w:color w:val="000000" w:themeColor="text1"/>
          <w:sz w:val="18"/>
          <w:szCs w:val="18"/>
        </w:rPr>
        <w:t xml:space="preserve"> the conductivity of the </w:t>
      </w:r>
      <w:r w:rsidRPr="00CA46DB">
        <w:rPr>
          <w:rFonts w:eastAsia="SimSun" w:cstheme="minorHAnsi"/>
          <w:color w:val="000000" w:themeColor="text1"/>
          <w:sz w:val="18"/>
          <w:szCs w:val="18"/>
          <w:lang w:eastAsia="zh-Hans"/>
        </w:rPr>
        <w:t>dielectrics</w:t>
      </w:r>
      <w:r w:rsidRPr="00CA46DB">
        <w:rPr>
          <w:rFonts w:eastAsia="SimSun" w:cstheme="minorHAnsi"/>
          <w:color w:val="000000" w:themeColor="text1"/>
          <w:sz w:val="18"/>
          <w:szCs w:val="18"/>
        </w:rPr>
        <w:t xml:space="preserve"> exponentially, and the resulting higher conductivity loss will bring more heat. Thermal breakdown </w:t>
      </w:r>
      <w:r w:rsidRPr="00CA46DB">
        <w:rPr>
          <w:rFonts w:eastAsia="SimSun" w:cstheme="minorHAnsi"/>
          <w:color w:val="000000" w:themeColor="text1"/>
          <w:sz w:val="18"/>
          <w:szCs w:val="18"/>
          <w:lang w:eastAsia="zh-Hans"/>
        </w:rPr>
        <w:t>may</w:t>
      </w:r>
      <w:r w:rsidRPr="00CA46DB">
        <w:rPr>
          <w:rFonts w:eastAsia="SimSun" w:cstheme="minorHAnsi"/>
          <w:color w:val="000000" w:themeColor="text1"/>
          <w:sz w:val="18"/>
          <w:szCs w:val="18"/>
        </w:rPr>
        <w:t xml:space="preserve"> occur when the rate of heat generation exceeds the rate of heat dissipation, as shown in Fig. 5(d). The thermal breakdown is not only related to the properties of the dielectrics, but also largely to happen at cooling condition and environmental temperature. PI dielectrics are often used in high-temperature fields, but the applications also show fatal problems. For example, they have good dielectric properties at room temperature, but the conduction current increases rapidly at high temperatures causing the loss </w:t>
      </w:r>
      <w:r w:rsidRPr="00CA46DB">
        <w:rPr>
          <w:rFonts w:eastAsia="SimSun" w:cstheme="minorHAnsi" w:hint="eastAsia"/>
          <w:color w:val="000000" w:themeColor="text1"/>
          <w:sz w:val="18"/>
          <w:szCs w:val="18"/>
          <w:lang w:eastAsia="zh-CN"/>
        </w:rPr>
        <w:t>to</w:t>
      </w:r>
      <w:r w:rsidRPr="00CA46DB">
        <w:rPr>
          <w:rFonts w:eastAsia="SimSun" w:cstheme="minorHAnsi"/>
          <w:color w:val="000000" w:themeColor="text1"/>
          <w:sz w:val="18"/>
          <w:szCs w:val="18"/>
          <w:lang w:eastAsia="zh-CN"/>
        </w:rPr>
        <w:t xml:space="preserve"> </w:t>
      </w:r>
      <w:r w:rsidRPr="00CA46DB">
        <w:rPr>
          <w:rFonts w:eastAsia="SimSun" w:cstheme="minorHAnsi"/>
          <w:color w:val="000000" w:themeColor="text1"/>
          <w:sz w:val="18"/>
          <w:szCs w:val="18"/>
        </w:rPr>
        <w:t>rise sharply. The temperature rises until the critical current density is reached, which leads to the breakdown of the PI dielectric</w:t>
      </w:r>
      <w:r w:rsidRPr="00CA46DB">
        <w:rPr>
          <w:rFonts w:eastAsia="SimSun" w:cstheme="minorHAnsi"/>
          <w:color w:val="000000" w:themeColor="text1"/>
          <w:sz w:val="18"/>
          <w:szCs w:val="18"/>
          <w:lang w:eastAsia="zh-Hans"/>
        </w:rPr>
        <w:t>s</w:t>
      </w:r>
      <w:r w:rsidRPr="00CA46DB">
        <w:rPr>
          <w:rFonts w:eastAsia="SimSun" w:cstheme="minorHAnsi"/>
          <w:color w:val="000000" w:themeColor="text1"/>
          <w:sz w:val="18"/>
          <w:szCs w:val="18"/>
        </w:rPr>
        <w:t>. So thermal breakdown is the key mechanism of PIs.</w:t>
      </w:r>
    </w:p>
    <w:p w14:paraId="2DA07E49" w14:textId="77777777" w:rsidR="00FC2A41" w:rsidRPr="00CA46DB" w:rsidRDefault="00166212">
      <w:pPr>
        <w:tabs>
          <w:tab w:val="left" w:pos="3462"/>
        </w:tabs>
        <w:spacing w:after="0" w:line="240" w:lineRule="exact"/>
        <w:ind w:firstLineChars="200" w:firstLine="360"/>
        <w:jc w:val="both"/>
        <w:rPr>
          <w:rFonts w:eastAsia="SimSun" w:cstheme="minorHAnsi"/>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r w:rsidRPr="00CA46DB">
        <w:rPr>
          <w:rFonts w:eastAsia="SimSun" w:cstheme="minorHAnsi"/>
          <w:color w:val="000000" w:themeColor="text1"/>
          <w:sz w:val="18"/>
          <w:szCs w:val="18"/>
        </w:rPr>
        <w:t>The discussion above mainly concerning the breakdown of a uniform dielectric, but in fact it is very difficult to prepare a continuous and uniform solid dielectric material. In solid dielectrics containing gas (</w:t>
      </w:r>
      <w:r w:rsidRPr="00CA46DB">
        <w:rPr>
          <w:rFonts w:eastAsia="SimSun" w:cstheme="minorHAnsi"/>
          <w:i/>
          <w:iCs/>
          <w:color w:val="000000" w:themeColor="text1"/>
          <w:sz w:val="18"/>
          <w:szCs w:val="18"/>
        </w:rPr>
        <w:t>e.g.</w:t>
      </w:r>
      <w:r w:rsidRPr="00CA46DB">
        <w:rPr>
          <w:rFonts w:eastAsia="SimSun" w:cstheme="minorHAnsi"/>
          <w:color w:val="000000" w:themeColor="text1"/>
          <w:sz w:val="18"/>
          <w:szCs w:val="18"/>
        </w:rPr>
        <w:t xml:space="preserve"> in bubbles or pores) or liquid (</w:t>
      </w:r>
      <w:r w:rsidRPr="00CA46DB">
        <w:rPr>
          <w:rFonts w:eastAsia="SimSun" w:cstheme="minorHAnsi"/>
          <w:i/>
          <w:iCs/>
          <w:color w:val="000000" w:themeColor="text1"/>
          <w:sz w:val="18"/>
          <w:szCs w:val="18"/>
        </w:rPr>
        <w:t>e.g.</w:t>
      </w:r>
      <w:r w:rsidRPr="00CA46DB">
        <w:rPr>
          <w:rFonts w:eastAsia="SimSun" w:cstheme="minorHAnsi"/>
          <w:color w:val="000000" w:themeColor="text1"/>
          <w:sz w:val="18"/>
          <w:szCs w:val="18"/>
        </w:rPr>
        <w:t xml:space="preserve"> residual organic solvents), partial discharge breakdown can occur. As shown </w:t>
      </w:r>
    </w:p>
    <w:p w14:paraId="01197863" w14:textId="77777777" w:rsidR="00FC2A41" w:rsidRPr="00CA46DB" w:rsidRDefault="00166212">
      <w:pPr>
        <w:tabs>
          <w:tab w:val="left" w:pos="3462"/>
        </w:tabs>
        <w:spacing w:after="0" w:line="240" w:lineRule="exact"/>
        <w:jc w:val="both"/>
        <w:rPr>
          <w:rFonts w:eastAsia="SimSun" w:cstheme="minorHAnsi"/>
          <w:color w:val="000000" w:themeColor="text1"/>
          <w:sz w:val="18"/>
          <w:szCs w:val="18"/>
        </w:rPr>
      </w:pPr>
      <w:r w:rsidRPr="00CA46DB">
        <w:rPr>
          <w:rFonts w:eastAsia="SimSun" w:cstheme="minorHAnsi"/>
          <w:noProof/>
          <w:color w:val="000000" w:themeColor="text1"/>
          <w:sz w:val="18"/>
          <w:szCs w:val="18"/>
          <w:lang w:eastAsia="zh-CN"/>
        </w:rPr>
        <w:drawing>
          <wp:anchor distT="0" distB="0" distL="114300" distR="114300" simplePos="0" relativeHeight="251666432" behindDoc="1" locked="0" layoutInCell="1" allowOverlap="1" wp14:anchorId="4CEE9E61" wp14:editId="793ED1B1">
            <wp:simplePos x="0" y="0"/>
            <wp:positionH relativeFrom="column">
              <wp:posOffset>808990</wp:posOffset>
            </wp:positionH>
            <wp:positionV relativeFrom="paragraph">
              <wp:posOffset>282575</wp:posOffset>
            </wp:positionV>
            <wp:extent cx="4967605" cy="2581910"/>
            <wp:effectExtent l="0" t="0" r="0" b="0"/>
            <wp:wrapTight wrapText="bothSides">
              <wp:wrapPolygon edited="0">
                <wp:start x="-3736" y="0"/>
                <wp:lineTo x="-3209" y="21600"/>
                <wp:lineTo x="25449" y="21600"/>
                <wp:lineTo x="25305" y="0"/>
                <wp:lineTo x="-3736" y="0"/>
              </wp:wrapPolygon>
            </wp:wrapTight>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67605" cy="2581910"/>
                    </a:xfrm>
                    <a:prstGeom prst="rect">
                      <a:avLst/>
                    </a:prstGeom>
                  </pic:spPr>
                </pic:pic>
              </a:graphicData>
            </a:graphic>
          </wp:anchor>
        </w:drawing>
      </w:r>
      <w:r w:rsidRPr="00CA46DB">
        <w:rPr>
          <w:rFonts w:cstheme="minorHAnsi"/>
          <w:noProof/>
          <w:color w:val="000000" w:themeColor="text1"/>
          <w:lang w:eastAsia="zh-CN"/>
        </w:rPr>
        <mc:AlternateContent>
          <mc:Choice Requires="wpg">
            <w:drawing>
              <wp:inline distT="0" distB="0" distL="0" distR="0" wp14:anchorId="79FF6710" wp14:editId="5621C314">
                <wp:extent cx="6480175" cy="10795"/>
                <wp:effectExtent l="0" t="0" r="0" b="1905"/>
                <wp:docPr id="179" name="Group 4178"/>
                <wp:cNvGraphicFramePr/>
                <a:graphic xmlns:a="http://schemas.openxmlformats.org/drawingml/2006/main">
                  <a:graphicData uri="http://schemas.microsoft.com/office/word/2010/wordprocessingGroup">
                    <wpg:wgp>
                      <wpg:cNvGrpSpPr/>
                      <wpg:grpSpPr>
                        <a:xfrm>
                          <a:off x="0" y="0"/>
                          <a:ext cx="6480175" cy="10795"/>
                          <a:chOff x="0" y="0"/>
                          <a:chExt cx="6692405" cy="18974"/>
                        </a:xfrm>
                      </wpg:grpSpPr>
                      <wps:wsp>
                        <wps:cNvPr id="180" name="Shape 4839"/>
                        <wps:cNvSpPr/>
                        <wps:spPr>
                          <a:xfrm>
                            <a:off x="0" y="0"/>
                            <a:ext cx="6692405" cy="18974"/>
                          </a:xfrm>
                          <a:custGeom>
                            <a:avLst/>
                            <a:gdLst/>
                            <a:ahLst/>
                            <a:cxnLst/>
                            <a:rect l="0" t="0" r="0" b="0"/>
                            <a:pathLst>
                              <a:path w="6692405" h="18974">
                                <a:moveTo>
                                  <a:pt x="0" y="0"/>
                                </a:moveTo>
                                <a:lnTo>
                                  <a:pt x="6692405" y="0"/>
                                </a:lnTo>
                                <a:lnTo>
                                  <a:pt x="6692405" y="18974"/>
                                </a:lnTo>
                                <a:lnTo>
                                  <a:pt x="0" y="18974"/>
                                </a:lnTo>
                                <a:lnTo>
                                  <a:pt x="0" y="0"/>
                                </a:lnTo>
                              </a:path>
                            </a:pathLst>
                          </a:custGeom>
                          <a:ln w="0" cap="flat">
                            <a:miter lim="127000"/>
                          </a:ln>
                        </wps:spPr>
                        <wps:style>
                          <a:lnRef idx="0">
                            <a:srgbClr val="000000">
                              <a:alpha val="0"/>
                            </a:srgbClr>
                          </a:lnRef>
                          <a:fillRef idx="1">
                            <a:srgbClr val="DED9C9"/>
                          </a:fillRef>
                          <a:effectRef idx="0">
                            <a:scrgbClr r="0" g="0" b="0"/>
                          </a:effectRef>
                          <a:fontRef idx="none"/>
                        </wps:style>
                        <wps:bodyPr/>
                      </wps:wsp>
                    </wpg:wgp>
                  </a:graphicData>
                </a:graphic>
              </wp:inline>
            </w:drawing>
          </mc:Choice>
          <mc:Fallback>
            <w:pict>
              <v:group w14:anchorId="1AD78112" id="Group 4178" o:spid="_x0000_s1026" style="width:510.25pt;height:.85pt;mso-position-horizontal-relative:char;mso-position-vertical-relative:line" coordsize="6692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">
                <v:shape id="Shape 4839" o:spid="_x0000_s1027" style="position:absolute;width:66924;height:189;visibility:visible;mso-wrap-style:square;v-text-anchor:top" coordsize="6692405,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" path="m,l6692405,r,18974l,18974,,e" fillcolor="#ded9c9" stroked="f" strokeweight="0">
                  <v:stroke miterlimit="83231f" joinstyle="miter"/>
                  <v:path arrowok="t" textboxrect="0,0,6692405,18974"/>
                </v:shape>
                <w10:anchorlock/>
              </v:group>
            </w:pict>
          </mc:Fallback>
        </mc:AlternateContent>
      </w:r>
    </w:p>
    <w:p w14:paraId="492C147A" w14:textId="77777777" w:rsidR="00FC2A41" w:rsidRPr="00CA46DB" w:rsidRDefault="00FC2A41">
      <w:pPr>
        <w:tabs>
          <w:tab w:val="left" w:pos="3462"/>
        </w:tabs>
        <w:spacing w:after="0" w:line="240" w:lineRule="exact"/>
        <w:jc w:val="both"/>
        <w:rPr>
          <w:rFonts w:eastAsia="SimSun"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3B1A7419" w14:textId="77777777" w:rsidR="00FC2A41" w:rsidRPr="00CA46DB" w:rsidRDefault="00166212">
      <w:pPr>
        <w:tabs>
          <w:tab w:val="left" w:pos="3462"/>
        </w:tabs>
        <w:spacing w:after="0" w:line="240" w:lineRule="exact"/>
        <w:jc w:val="both"/>
        <w:rPr>
          <w:rFonts w:eastAsia="SimSun" w:cstheme="minorHAnsi"/>
          <w:color w:val="000000" w:themeColor="text1"/>
          <w:sz w:val="18"/>
          <w:szCs w:val="18"/>
        </w:rPr>
      </w:pPr>
      <w:r w:rsidRPr="00CA46DB">
        <w:rPr>
          <w:rFonts w:eastAsia="SimSun" w:cstheme="minorHAnsi"/>
          <w:color w:val="000000" w:themeColor="text1"/>
          <w:sz w:val="18"/>
          <w:szCs w:val="18"/>
        </w:rPr>
        <w:t>Fig. 5. Different types of breakdown mechanisms after the application of electric fields: (a) electronic breakdown, (b) avalanche breakdown, (c) electromechanical breakdown, (d) thermal breakdown, (e) partial discharge breakdown.</w:t>
      </w:r>
    </w:p>
    <w:p w14:paraId="00E4B7FB" w14:textId="77777777" w:rsidR="00FC2A41" w:rsidRPr="00CA46DB" w:rsidRDefault="00FC2A41">
      <w:pPr>
        <w:tabs>
          <w:tab w:val="left" w:pos="3462"/>
        </w:tabs>
        <w:spacing w:after="0" w:line="240" w:lineRule="exact"/>
        <w:ind w:firstLine="200"/>
        <w:jc w:val="both"/>
        <w:rPr>
          <w:rFonts w:eastAsia="SimSun"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6172C3F1" w14:textId="77777777" w:rsidR="00FC2A41" w:rsidRPr="00CA46DB" w:rsidRDefault="00FC2A41">
      <w:pPr>
        <w:tabs>
          <w:tab w:val="left" w:pos="3462"/>
        </w:tabs>
        <w:spacing w:after="0" w:line="240" w:lineRule="exact"/>
        <w:ind w:firstLine="200"/>
        <w:jc w:val="both"/>
        <w:rPr>
          <w:rFonts w:eastAsia="SimSun" w:cstheme="minorHAnsi"/>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p>
    <w:p w14:paraId="0AD3D164" w14:textId="77777777" w:rsidR="00FC2A41" w:rsidRPr="00CA46DB" w:rsidRDefault="00166212">
      <w:pPr>
        <w:tabs>
          <w:tab w:val="left" w:pos="3462"/>
        </w:tabs>
        <w:spacing w:after="0" w:line="240" w:lineRule="exact"/>
        <w:jc w:val="both"/>
        <w:rPr>
          <w:rFonts w:eastAsia="SimSun" w:cstheme="minorHAnsi"/>
          <w:color w:val="000000" w:themeColor="text1"/>
          <w:sz w:val="18"/>
          <w:szCs w:val="18"/>
        </w:rPr>
      </w:pPr>
      <w:r w:rsidRPr="00CA46DB">
        <w:rPr>
          <w:rFonts w:eastAsia="SimSun" w:cstheme="minorHAnsi"/>
          <w:color w:val="000000" w:themeColor="text1"/>
          <w:sz w:val="18"/>
          <w:szCs w:val="18"/>
        </w:rPr>
        <w:lastRenderedPageBreak/>
        <w:t xml:space="preserve">in Fig. 5(e), gases and liquids have lower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 xml:space="preserve"> and will breakdown when their local electric field strength reaches the threshold. This partial discharge breakdown is initially localized in the dielectric, but long-term partial discharge gradually extends breakdown to the entire dielectric.</w:t>
      </w:r>
    </w:p>
    <w:p w14:paraId="7B14AA4A" w14:textId="77777777" w:rsidR="00FC2A41" w:rsidRPr="00CA46DB" w:rsidRDefault="00166212">
      <w:pPr>
        <w:tabs>
          <w:tab w:val="left" w:pos="3462"/>
        </w:tabs>
        <w:spacing w:after="0" w:line="240" w:lineRule="exact"/>
        <w:ind w:firstLineChars="200" w:firstLine="360"/>
        <w:jc w:val="both"/>
        <w:rPr>
          <w:rFonts w:eastAsia="SimSun" w:cstheme="minorHAnsi"/>
          <w:color w:val="000000" w:themeColor="text1"/>
          <w:sz w:val="18"/>
          <w:szCs w:val="18"/>
        </w:rPr>
      </w:pPr>
      <w:r w:rsidRPr="00CA46DB">
        <w:rPr>
          <w:rFonts w:eastAsia="SimSun" w:cstheme="minorHAnsi"/>
          <w:color w:val="000000" w:themeColor="text1"/>
          <w:sz w:val="18"/>
          <w:szCs w:val="18"/>
        </w:rPr>
        <w:t xml:space="preserve">For the idealized PI without defects and impurities,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 xml:space="preserve"> depends on the band gap. Polymers with wider band gaps have a higher breakdown field strength because it is more difficult for electrons to transition from the valence band to the conduction band in the presence of an applied electric field.</w:t>
      </w:r>
      <w:r w:rsidRPr="00CA46DB">
        <w:rPr>
          <w:rFonts w:cstheme="minorHAnsi"/>
          <w:color w:val="000000" w:themeColor="text1"/>
          <w:sz w:val="18"/>
          <w:szCs w:val="18"/>
          <w:vertAlign w:val="superscript"/>
        </w:rPr>
        <w:t>15</w:t>
      </w:r>
      <w:r w:rsidRPr="00CA46DB">
        <w:rPr>
          <w:rFonts w:eastAsia="SimSun" w:cstheme="minorHAnsi"/>
          <w:color w:val="000000" w:themeColor="text1"/>
          <w:sz w:val="18"/>
          <w:szCs w:val="18"/>
        </w:rPr>
        <w:t xml:space="preserve"> Since the "perfect" PI is difficult to achieve, the breakdown of polymers usually dependent on other mechanisms such as thermal breakdown and partial discharge breakdown. As mentioned above, thermal breakdown is a crucial mechanism in PIs. When fillers are added to heterogeneous materials such as PI nanocomposites,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 xml:space="preserve"> depends on additional factors including the morphology (such as type, size and shape), dispersion and distribution of the fillers, and the compatibility of the interfaces for the two-phases. Shen et al. developed a comprehensive phase-field model to investigate the breakdown behavior of polymer nanocomposites arising from electrostatic stimuli.</w:t>
      </w:r>
      <w:r w:rsidRPr="00CA46DB">
        <w:rPr>
          <w:rFonts w:cstheme="minorHAnsi"/>
          <w:color w:val="000000" w:themeColor="text1"/>
          <w:sz w:val="18"/>
          <w:szCs w:val="18"/>
          <w:vertAlign w:val="superscript"/>
        </w:rPr>
        <w:t>54</w:t>
      </w:r>
      <w:r w:rsidRPr="00CA46DB">
        <w:rPr>
          <w:rFonts w:eastAsia="SimSun" w:cstheme="minorHAnsi"/>
          <w:color w:val="000000" w:themeColor="text1"/>
          <w:sz w:val="18"/>
          <w:szCs w:val="18"/>
        </w:rPr>
        <w:t xml:space="preserve"> Taking poly(vinylidene fluoride) (PVDF)-BaTiO</w:t>
      </w:r>
      <w:r w:rsidRPr="00CA46DB">
        <w:rPr>
          <w:rFonts w:eastAsia="SimSun" w:cstheme="minorHAnsi"/>
          <w:color w:val="000000" w:themeColor="text1"/>
          <w:sz w:val="18"/>
          <w:szCs w:val="18"/>
          <w:vertAlign w:val="subscript"/>
        </w:rPr>
        <w:t>3</w:t>
      </w:r>
      <w:r w:rsidRPr="00CA46DB">
        <w:rPr>
          <w:rFonts w:eastAsia="SimSun" w:cstheme="minorHAnsi"/>
          <w:color w:val="000000" w:themeColor="text1"/>
          <w:sz w:val="18"/>
          <w:szCs w:val="18"/>
        </w:rPr>
        <w:t xml:space="preserve"> nanocomposites as examples, some typical 3D microstructures were simulated. Fig. 6(a) showed a pure polymer matrix (S0) and five types of 3D nanocomposites with a 10% nanofiller volume fraction that were studied, including vertical nanofibers (S1), vertical nanosheet (S2), random nanoparticles (S3), parallel nanofibers (S4), and parallel nanosheets (S5). The ease of breakdown, expressed</w:t>
      </w:r>
      <w:r w:rsidRPr="00CA46DB">
        <w:rPr>
          <w:rFonts w:cstheme="minorHAnsi"/>
          <w:color w:val="000000" w:themeColor="text1"/>
          <w:sz w:val="18"/>
          <w:szCs w:val="18"/>
        </w:rPr>
        <w:t xml:space="preserve"> as </w:t>
      </w:r>
      <w:r w:rsidRPr="00CA46DB">
        <w:rPr>
          <w:rFonts w:eastAsia="SimSun" w:cstheme="minorHAnsi"/>
          <w:color w:val="000000" w:themeColor="text1"/>
          <w:sz w:val="18"/>
          <w:szCs w:val="18"/>
        </w:rPr>
        <w:t>the breakdown volume fraction (%) in Fig. 6(b), was highest for S1 lowest for S5. Fig. 6(c) illustrate</w:t>
      </w:r>
      <w:r w:rsidRPr="00CA46DB">
        <w:rPr>
          <w:rFonts w:eastAsia="SimSun" w:cstheme="minorHAnsi" w:hint="eastAsia"/>
          <w:color w:val="000000" w:themeColor="text1"/>
          <w:sz w:val="18"/>
          <w:szCs w:val="18"/>
          <w:lang w:eastAsia="zh-CN"/>
        </w:rPr>
        <w:t>d</w:t>
      </w:r>
      <w:r w:rsidRPr="00CA46DB">
        <w:rPr>
          <w:rFonts w:eastAsia="SimSun" w:cstheme="minorHAnsi"/>
          <w:color w:val="000000" w:themeColor="text1"/>
          <w:sz w:val="18"/>
          <w:szCs w:val="18"/>
        </w:rPr>
        <w:t xml:space="preserve"> that the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 xml:space="preserve"> of nanocomposites from S0 to S5 were 230, 151, 195, 216, 223, and 310 kV·mm</w:t>
      </w:r>
      <w:r w:rsidRPr="00CA46DB">
        <w:rPr>
          <w:rFonts w:cstheme="minorHAnsi"/>
          <w:color w:val="000000" w:themeColor="text1"/>
          <w:sz w:val="18"/>
          <w:szCs w:val="18"/>
          <w:vertAlign w:val="superscript"/>
        </w:rPr>
        <w:t>−</w:t>
      </w:r>
      <w:r w:rsidRPr="00CA46DB">
        <w:rPr>
          <w:rFonts w:eastAsia="SimSun" w:cstheme="minorHAnsi"/>
          <w:color w:val="000000" w:themeColor="text1"/>
          <w:sz w:val="18"/>
          <w:szCs w:val="18"/>
          <w:vertAlign w:val="superscript"/>
        </w:rPr>
        <w:t>1</w:t>
      </w:r>
      <w:r w:rsidRPr="00CA46DB">
        <w:rPr>
          <w:rFonts w:eastAsia="SimSun" w:cstheme="minorHAnsi"/>
          <w:color w:val="000000" w:themeColor="text1"/>
          <w:sz w:val="18"/>
          <w:szCs w:val="18"/>
        </w:rPr>
        <w:t xml:space="preserve"> respectively. Only the nanocomposite filled with parallel nanosheets had a higher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 xml:space="preserve"> than the pure polymer matrix. Here, the growth of the breakdown phase was hindered because </w:t>
      </w:r>
      <w:r w:rsidRPr="00CA46DB">
        <w:rPr>
          <w:rFonts w:eastAsia="SimSun" w:cstheme="minorHAnsi"/>
          <w:color w:val="000000" w:themeColor="text1"/>
          <w:sz w:val="18"/>
          <w:szCs w:val="18"/>
        </w:rPr>
        <w:br w:type="column"/>
      </w:r>
      <w:r w:rsidRPr="00CA46DB">
        <w:rPr>
          <w:rFonts w:eastAsia="SimSun" w:cstheme="minorHAnsi"/>
          <w:color w:val="000000" w:themeColor="text1"/>
          <w:sz w:val="18"/>
          <w:szCs w:val="18"/>
        </w:rPr>
        <w:t xml:space="preserve">the parallel nanosheets disperse the electric field. However, the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 xml:space="preserve"> predicted by this model for polymer nanocomposites were only applicable to room temperature. </w:t>
      </w:r>
    </w:p>
    <w:p w14:paraId="62D5C53A" w14:textId="0F8E7240" w:rsidR="00FC2A41" w:rsidRPr="00CA46DB" w:rsidRDefault="00166212">
      <w:pPr>
        <w:tabs>
          <w:tab w:val="left" w:pos="3462"/>
        </w:tabs>
        <w:spacing w:after="0" w:line="240" w:lineRule="exact"/>
        <w:ind w:firstLineChars="200" w:firstLine="360"/>
        <w:jc w:val="both"/>
        <w:rPr>
          <w:rFonts w:eastAsia="SimSun" w:cstheme="minorHAnsi"/>
          <w:color w:val="000000" w:themeColor="text1"/>
          <w:sz w:val="18"/>
          <w:szCs w:val="18"/>
        </w:rPr>
      </w:pPr>
      <w:r w:rsidRPr="00CA46DB">
        <w:rPr>
          <w:rFonts w:eastAsia="SimSun" w:cstheme="minorHAnsi"/>
          <w:color w:val="000000" w:themeColor="text1"/>
          <w:sz w:val="18"/>
          <w:szCs w:val="18"/>
        </w:rPr>
        <w:t>An electrothermal breakdown phase-field model that included the contribution of thermal energy generated by Joule heating was also developed.</w:t>
      </w:r>
      <w:r w:rsidRPr="00CA46DB">
        <w:rPr>
          <w:rFonts w:eastAsia="SimSun" w:cstheme="minorHAnsi"/>
          <w:color w:val="000000" w:themeColor="text1"/>
          <w:sz w:val="18"/>
          <w:szCs w:val="18"/>
          <w:vertAlign w:val="superscript"/>
        </w:rPr>
        <w:t>55</w:t>
      </w:r>
      <w:r w:rsidRPr="00CA46DB">
        <w:rPr>
          <w:rFonts w:eastAsia="SimSun" w:cstheme="minorHAnsi"/>
          <w:color w:val="000000" w:themeColor="text1"/>
          <w:sz w:val="18"/>
          <w:szCs w:val="18"/>
        </w:rPr>
        <w:t xml:space="preserve"> The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 xml:space="preserve"> at 298 K (</w:t>
      </w:r>
      <m:oMath>
        <m:sSubSup>
          <m:sSubSupPr>
            <m:ctrlPr>
              <w:rPr>
                <w:rFonts w:ascii="Cambria Math" w:eastAsia="SimSun" w:hAnsi="Cambria Math" w:cstheme="minorHAnsi"/>
                <w:i/>
                <w:color w:val="000000" w:themeColor="text1"/>
                <w:sz w:val="18"/>
                <w:szCs w:val="18"/>
              </w:rPr>
            </m:ctrlPr>
          </m:sSubSupPr>
          <m:e>
            <m:r>
              <w:rPr>
                <w:rFonts w:ascii="Cambria Math" w:eastAsia="SimSun" w:hAnsi="Cambria Math" w:cstheme="minorHAnsi"/>
                <w:color w:val="000000" w:themeColor="text1"/>
                <w:sz w:val="18"/>
                <w:szCs w:val="18"/>
              </w:rPr>
              <m:t>E</m:t>
            </m:r>
          </m:e>
          <m:sub>
            <m:r>
              <m:rPr>
                <m:sty m:val="p"/>
              </m:rPr>
              <w:rPr>
                <w:rFonts w:ascii="Cambria Math" w:eastAsia="SimSun" w:hAnsi="Cambria Math" w:cstheme="minorHAnsi"/>
                <w:color w:val="000000" w:themeColor="text1"/>
                <w:sz w:val="18"/>
                <w:szCs w:val="18"/>
              </w:rPr>
              <m:t>b</m:t>
            </m:r>
          </m:sub>
          <m:sup>
            <m:r>
              <m:rPr>
                <m:sty m:val="p"/>
              </m:rPr>
              <w:rPr>
                <w:rFonts w:ascii="Cambria Math" w:eastAsia="SimSun" w:hAnsi="Cambria Math" w:cstheme="minorHAnsi"/>
                <w:color w:val="000000" w:themeColor="text1"/>
                <w:sz w:val="18"/>
                <w:szCs w:val="18"/>
              </w:rPr>
              <m:t>298K</m:t>
            </m:r>
          </m:sup>
        </m:sSubSup>
      </m:oMath>
      <w:r w:rsidRPr="00CA46DB">
        <w:rPr>
          <w:rFonts w:eastAsia="SimSun" w:cstheme="minorHAnsi"/>
          <w:color w:val="000000" w:themeColor="text1"/>
          <w:sz w:val="18"/>
          <w:szCs w:val="18"/>
        </w:rPr>
        <w:t>) for the PI-SrTiO</w:t>
      </w:r>
      <w:r w:rsidRPr="00CA46DB">
        <w:rPr>
          <w:rFonts w:eastAsia="SimSun" w:cstheme="minorHAnsi"/>
          <w:color w:val="000000" w:themeColor="text1"/>
          <w:sz w:val="18"/>
          <w:szCs w:val="18"/>
          <w:vertAlign w:val="subscript"/>
        </w:rPr>
        <w:t>3</w:t>
      </w:r>
      <w:r w:rsidRPr="00CA46DB">
        <w:rPr>
          <w:rFonts w:eastAsia="SimSun" w:cstheme="minorHAnsi"/>
          <w:color w:val="000000" w:themeColor="text1"/>
          <w:sz w:val="18"/>
          <w:szCs w:val="18"/>
        </w:rPr>
        <w:t xml:space="preserve"> nanocomposite was applied as an example. A</w:t>
      </w:r>
      <w:r w:rsidRPr="00CA46DB">
        <w:rPr>
          <w:rFonts w:eastAsia="SimSun" w:cstheme="minorHAnsi"/>
          <w:color w:val="000000" w:themeColor="text1"/>
          <w:sz w:val="18"/>
          <w:szCs w:val="18"/>
          <w:lang w:eastAsia="zh-CN"/>
        </w:rPr>
        <w:t xml:space="preserve">s shown in </w:t>
      </w:r>
      <w:r w:rsidRPr="00CA46DB">
        <w:rPr>
          <w:rFonts w:eastAsia="SimSun" w:cstheme="minorHAnsi"/>
          <w:color w:val="000000" w:themeColor="text1"/>
          <w:sz w:val="18"/>
          <w:szCs w:val="18"/>
        </w:rPr>
        <w:t>Fig. 7(a), the deterioration factor (</w:t>
      </w:r>
      <w:r w:rsidRPr="00CA46DB">
        <w:rPr>
          <w:rFonts w:eastAsia="SimSun" w:cstheme="minorHAnsi"/>
          <w:i/>
          <w:iCs/>
          <w:color w:val="000000" w:themeColor="text1"/>
          <w:sz w:val="18"/>
          <w:szCs w:val="18"/>
        </w:rPr>
        <w:t>β</w:t>
      </w:r>
      <w:r w:rsidRPr="00CA46DB">
        <w:rPr>
          <w:rFonts w:eastAsia="SimSun" w:cstheme="minorHAnsi"/>
          <w:color w:val="000000" w:themeColor="text1"/>
          <w:sz w:val="18"/>
          <w:szCs w:val="18"/>
        </w:rPr>
        <w:t xml:space="preserve">) was zero (point A). The </w:t>
      </w:r>
      <w:r w:rsidRPr="00CA46DB">
        <w:rPr>
          <w:rFonts w:cstheme="minorHAnsi"/>
          <w:i/>
          <w:color w:val="000000" w:themeColor="text1"/>
          <w:sz w:val="18"/>
          <w:szCs w:val="18"/>
        </w:rPr>
        <w:t>β</w:t>
      </w:r>
      <w:r w:rsidRPr="00CA46DB">
        <w:rPr>
          <w:rFonts w:eastAsia="SimSun" w:cstheme="minorHAnsi"/>
          <w:color w:val="000000" w:themeColor="text1"/>
          <w:sz w:val="18"/>
          <w:szCs w:val="18"/>
        </w:rPr>
        <w:t xml:space="preserve"> reached a maximum of 0.67 (point B) at a temperature of 500 K. The average electrostatic energy density (</w:t>
      </w:r>
      <m:oMath>
        <m:sSubSup>
          <m:sSubSupPr>
            <m:ctrlPr>
              <w:rPr>
                <w:rFonts w:ascii="Cambria Math" w:eastAsia="SimSun" w:hAnsi="Cambria Math" w:cstheme="minorHAnsi"/>
                <w:i/>
                <w:color w:val="000000" w:themeColor="text1"/>
                <w:sz w:val="18"/>
                <w:szCs w:val="18"/>
              </w:rPr>
            </m:ctrlPr>
          </m:sSubSupPr>
          <m:e>
            <m:r>
              <w:rPr>
                <w:rFonts w:ascii="Cambria Math" w:eastAsia="SimSun" w:hAnsi="Cambria Math" w:cstheme="minorHAnsi"/>
                <w:color w:val="000000" w:themeColor="text1"/>
                <w:sz w:val="18"/>
                <w:szCs w:val="18"/>
              </w:rPr>
              <m:t>f</m:t>
            </m:r>
          </m:e>
          <m:sub>
            <m:r>
              <m:rPr>
                <m:sty m:val="p"/>
              </m:rPr>
              <w:rPr>
                <w:rFonts w:ascii="Cambria Math" w:eastAsia="SimSun" w:hAnsi="Cambria Math" w:cstheme="minorHAnsi"/>
                <w:color w:val="000000" w:themeColor="text1"/>
                <w:sz w:val="18"/>
                <w:szCs w:val="18"/>
              </w:rPr>
              <m:t>ele</m:t>
            </m:r>
          </m:sub>
          <m:sup>
            <m:r>
              <m:rPr>
                <m:sty m:val="p"/>
              </m:rPr>
              <w:rPr>
                <w:rFonts w:ascii="Cambria Math" w:eastAsia="SimSun" w:hAnsi="Cambria Math" w:cstheme="minorHAnsi"/>
                <w:color w:val="000000" w:themeColor="text1"/>
                <w:sz w:val="18"/>
                <w:szCs w:val="18"/>
              </w:rPr>
              <m:t>A</m:t>
            </m:r>
          </m:sup>
        </m:sSubSup>
      </m:oMath>
      <w:r w:rsidRPr="00CA46DB">
        <w:rPr>
          <w:rFonts w:eastAsia="SimSun" w:cstheme="minorHAnsi"/>
          <w:color w:val="000000" w:themeColor="text1"/>
          <w:sz w:val="18"/>
          <w:szCs w:val="18"/>
        </w:rPr>
        <w:t>) changed little with temperature under an electric field of 100 kV·mm</w:t>
      </w:r>
      <w:r w:rsidRPr="00CA46DB">
        <w:rPr>
          <w:rFonts w:cstheme="minorHAnsi"/>
          <w:color w:val="000000" w:themeColor="text1"/>
          <w:sz w:val="18"/>
          <w:szCs w:val="18"/>
          <w:vertAlign w:val="superscript"/>
        </w:rPr>
        <w:t>−</w:t>
      </w:r>
      <w:r w:rsidRPr="00CA46DB">
        <w:rPr>
          <w:rFonts w:eastAsia="SimSun" w:cstheme="minorHAnsi"/>
          <w:color w:val="000000" w:themeColor="text1"/>
          <w:sz w:val="18"/>
          <w:szCs w:val="18"/>
          <w:vertAlign w:val="superscript"/>
        </w:rPr>
        <w:t>1</w:t>
      </w:r>
      <w:r w:rsidRPr="00CA46DB">
        <w:rPr>
          <w:rFonts w:eastAsia="SimSun" w:cstheme="minorHAnsi"/>
          <w:color w:val="000000" w:themeColor="text1"/>
          <w:sz w:val="18"/>
          <w:szCs w:val="18"/>
        </w:rPr>
        <w:t>, while the average Joule heating energy density (</w:t>
      </w:r>
      <m:oMath>
        <m:sSubSup>
          <m:sSubSupPr>
            <m:ctrlPr>
              <w:rPr>
                <w:rFonts w:ascii="Cambria Math" w:eastAsia="SimSun" w:hAnsi="Cambria Math" w:cstheme="minorHAnsi"/>
                <w:i/>
                <w:color w:val="000000" w:themeColor="text1"/>
                <w:sz w:val="18"/>
                <w:szCs w:val="18"/>
              </w:rPr>
            </m:ctrlPr>
          </m:sSubSupPr>
          <m:e>
            <m:r>
              <w:rPr>
                <w:rFonts w:ascii="Cambria Math" w:eastAsia="SimSun" w:hAnsi="Cambria Math" w:cstheme="minorHAnsi"/>
                <w:color w:val="000000" w:themeColor="text1"/>
                <w:sz w:val="18"/>
                <w:szCs w:val="18"/>
              </w:rPr>
              <m:t>f</m:t>
            </m:r>
          </m:e>
          <m:sub>
            <m:r>
              <m:rPr>
                <m:sty m:val="p"/>
              </m:rPr>
              <w:rPr>
                <w:rFonts w:ascii="Cambria Math" w:eastAsia="SimSun" w:hAnsi="Cambria Math" w:cstheme="minorHAnsi"/>
                <w:color w:val="000000" w:themeColor="text1"/>
                <w:sz w:val="18"/>
                <w:szCs w:val="18"/>
              </w:rPr>
              <m:t>Joule</m:t>
            </m:r>
          </m:sub>
          <m:sup>
            <m:r>
              <m:rPr>
                <m:sty m:val="p"/>
              </m:rPr>
              <w:rPr>
                <w:rFonts w:ascii="Cambria Math" w:eastAsia="SimSun" w:hAnsi="Cambria Math" w:cstheme="minorHAnsi"/>
                <w:color w:val="000000" w:themeColor="text1"/>
                <w:sz w:val="18"/>
                <w:szCs w:val="18"/>
              </w:rPr>
              <m:t>A</m:t>
            </m:r>
          </m:sup>
        </m:sSubSup>
      </m:oMath>
      <w:r w:rsidRPr="00CA46DB">
        <w:rPr>
          <w:rFonts w:eastAsia="SimSun" w:cstheme="minorHAnsi"/>
          <w:color w:val="000000" w:themeColor="text1"/>
          <w:sz w:val="18"/>
          <w:szCs w:val="18"/>
        </w:rPr>
        <w:t xml:space="preserve">) increased exponentially with temperature. Electrostatic energy was predominant below </w:t>
      </w:r>
      <w:r w:rsidRPr="00CA46DB">
        <w:rPr>
          <w:rFonts w:eastAsia="SimSun" w:cstheme="minorHAnsi"/>
          <w:i/>
          <w:iCs/>
          <w:color w:val="000000" w:themeColor="text1"/>
          <w:sz w:val="18"/>
          <w:szCs w:val="18"/>
        </w:rPr>
        <w:t>T</w:t>
      </w:r>
      <w:r w:rsidRPr="00CA46DB">
        <w:rPr>
          <w:rFonts w:eastAsia="SimSun" w:cstheme="minorHAnsi"/>
          <w:color w:val="000000" w:themeColor="text1"/>
          <w:sz w:val="18"/>
          <w:szCs w:val="18"/>
          <w:vertAlign w:val="subscript"/>
        </w:rPr>
        <w:t>C</w:t>
      </w:r>
      <w:r w:rsidRPr="00CA46DB">
        <w:rPr>
          <w:rFonts w:eastAsia="SimSun" w:cstheme="minorHAnsi"/>
          <w:color w:val="000000" w:themeColor="text1"/>
          <w:sz w:val="18"/>
          <w:szCs w:val="18"/>
        </w:rPr>
        <w:t xml:space="preserve"> (395 K; point C) while Joule heating energy was predominant above </w:t>
      </w:r>
      <w:r w:rsidRPr="00CA46DB">
        <w:rPr>
          <w:rFonts w:eastAsia="SimSun" w:cstheme="minorHAnsi"/>
          <w:i/>
          <w:iCs/>
          <w:color w:val="000000" w:themeColor="text1"/>
          <w:sz w:val="18"/>
          <w:szCs w:val="18"/>
        </w:rPr>
        <w:t>T</w:t>
      </w:r>
      <w:r w:rsidRPr="00CA46DB">
        <w:rPr>
          <w:rFonts w:eastAsia="SimSun" w:cstheme="minorHAnsi"/>
          <w:color w:val="000000" w:themeColor="text1"/>
          <w:sz w:val="18"/>
          <w:szCs w:val="18"/>
          <w:vertAlign w:val="subscript"/>
        </w:rPr>
        <w:t>C</w:t>
      </w:r>
      <w:r w:rsidRPr="00CA46DB">
        <w:rPr>
          <w:rFonts w:eastAsia="SimSun" w:cstheme="minorHAnsi"/>
          <w:color w:val="000000" w:themeColor="text1"/>
          <w:sz w:val="18"/>
          <w:szCs w:val="18"/>
        </w:rPr>
        <w:t xml:space="preserve">. The increase in the Joule heating accelerated the growth of the breakdown phase, resulting in a decrease in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 xml:space="preserve">. Fig. 7(b) and (c) showed that when the particles were broken at 300 K, the electrostatic energy density inside the particles was much higher than outside the particles, and the same was true for the Joule heating energy density. However, the Joule heating energy density dominated almost everywhere inside the nanocomposite at 500 K as shown in Fig. 7(d) and (e). It accumulated mainly at the two shoulders of the fillers where these regions were more likely to be punctured. This was not the case for the electrostatic energy density. The model could predict the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 xml:space="preserve"> as a function of temperature for many common polymer nanocomposites. However, in addition to electrothermal breakdown, other mechanisms (</w:t>
      </w:r>
      <w:r w:rsidRPr="00CA46DB">
        <w:rPr>
          <w:rFonts w:eastAsia="SimSun" w:cstheme="minorHAnsi"/>
          <w:i/>
          <w:iCs/>
          <w:color w:val="000000" w:themeColor="text1"/>
          <w:sz w:val="18"/>
          <w:szCs w:val="18"/>
        </w:rPr>
        <w:t>e.g.</w:t>
      </w:r>
      <w:r w:rsidRPr="00CA46DB">
        <w:rPr>
          <w:rFonts w:eastAsia="SimSun" w:cstheme="minorHAnsi"/>
          <w:color w:val="000000" w:themeColor="text1"/>
          <w:sz w:val="18"/>
          <w:szCs w:val="18"/>
        </w:rPr>
        <w:t xml:space="preserve"> electromechanical breakdown) can also influence the breakdown process of polymer nanocomposites. Therefore, the development of a phase-field model that can consider all the above breakdown mechanisms should be given priority in order to assist experimental design.</w:t>
      </w:r>
    </w:p>
    <w:p w14:paraId="3DFC3516" w14:textId="77777777" w:rsidR="00FC2A41" w:rsidRPr="00CA46DB" w:rsidRDefault="00FC2A41">
      <w:pPr>
        <w:tabs>
          <w:tab w:val="left" w:pos="3462"/>
        </w:tabs>
        <w:spacing w:after="0" w:line="240" w:lineRule="exact"/>
        <w:ind w:firstLineChars="200" w:firstLine="360"/>
        <w:jc w:val="both"/>
        <w:rPr>
          <w:rFonts w:eastAsia="SimSun" w:cstheme="minorHAnsi"/>
          <w:color w:val="000000" w:themeColor="text1"/>
          <w:sz w:val="18"/>
          <w:szCs w:val="18"/>
        </w:rPr>
        <w:sectPr w:rsidR="00FC2A41" w:rsidRPr="00CA46DB">
          <w:pgSz w:w="11907" w:h="16840"/>
          <w:pgMar w:top="1009" w:right="851" w:bottom="1758" w:left="851" w:header="851" w:footer="1049" w:gutter="0"/>
          <w:cols w:num="2" w:space="227"/>
          <w:docGrid w:linePitch="360"/>
        </w:sectPr>
      </w:pPr>
    </w:p>
    <w:p w14:paraId="0F8D5FDE" w14:textId="77777777" w:rsidR="00FC2A41" w:rsidRPr="00CA46DB" w:rsidRDefault="00166212">
      <w:pPr>
        <w:tabs>
          <w:tab w:val="left" w:pos="3462"/>
        </w:tabs>
        <w:spacing w:after="0" w:line="240" w:lineRule="exact"/>
        <w:jc w:val="both"/>
        <w:rPr>
          <w:rFonts w:eastAsia="SimSun"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r w:rsidRPr="00CA46DB">
        <w:rPr>
          <w:rFonts w:eastAsia="SimSun" w:cstheme="minorHAnsi"/>
          <w:noProof/>
          <w:color w:val="000000" w:themeColor="text1"/>
          <w:sz w:val="18"/>
          <w:szCs w:val="18"/>
          <w:lang w:eastAsia="zh-CN"/>
        </w:rPr>
        <w:drawing>
          <wp:anchor distT="0" distB="0" distL="114300" distR="114300" simplePos="0" relativeHeight="251667456" behindDoc="1" locked="0" layoutInCell="1" allowOverlap="1" wp14:anchorId="6845B041" wp14:editId="54878D39">
            <wp:simplePos x="0" y="0"/>
            <wp:positionH relativeFrom="column">
              <wp:posOffset>1093470</wp:posOffset>
            </wp:positionH>
            <wp:positionV relativeFrom="paragraph">
              <wp:posOffset>266700</wp:posOffset>
            </wp:positionV>
            <wp:extent cx="4559300" cy="2759075"/>
            <wp:effectExtent l="0" t="0" r="0" b="0"/>
            <wp:wrapTight wrapText="bothSides">
              <wp:wrapPolygon edited="0">
                <wp:start x="-4940" y="0"/>
                <wp:lineTo x="-5092" y="21600"/>
                <wp:lineTo x="25872" y="21600"/>
                <wp:lineTo x="25644" y="0"/>
                <wp:lineTo x="-4940" y="0"/>
              </wp:wrapPolygon>
            </wp:wrapTight>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59300" cy="2759075"/>
                    </a:xfrm>
                    <a:prstGeom prst="rect">
                      <a:avLst/>
                    </a:prstGeom>
                  </pic:spPr>
                </pic:pic>
              </a:graphicData>
            </a:graphic>
          </wp:anchor>
        </w:drawing>
      </w:r>
      <w:r w:rsidRPr="00CA46DB">
        <w:rPr>
          <w:rFonts w:cstheme="minorHAnsi"/>
          <w:noProof/>
          <w:color w:val="000000" w:themeColor="text1"/>
          <w:lang w:eastAsia="zh-CN"/>
        </w:rPr>
        <mc:AlternateContent>
          <mc:Choice Requires="wpg">
            <w:drawing>
              <wp:inline distT="0" distB="0" distL="0" distR="0" wp14:anchorId="6F4194DA" wp14:editId="41F86489">
                <wp:extent cx="6480175" cy="10795"/>
                <wp:effectExtent l="0" t="0" r="0" b="0"/>
                <wp:docPr id="185" name="Group 4178"/>
                <wp:cNvGraphicFramePr/>
                <a:graphic xmlns:a="http://schemas.openxmlformats.org/drawingml/2006/main">
                  <a:graphicData uri="http://schemas.microsoft.com/office/word/2010/wordprocessingGroup">
                    <wpg:wgp>
                      <wpg:cNvGrpSpPr/>
                      <wpg:grpSpPr>
                        <a:xfrm>
                          <a:off x="0" y="0"/>
                          <a:ext cx="6480175" cy="10795"/>
                          <a:chOff x="0" y="0"/>
                          <a:chExt cx="6692405" cy="18974"/>
                        </a:xfrm>
                      </wpg:grpSpPr>
                      <wps:wsp>
                        <wps:cNvPr id="186" name="Shape 4839"/>
                        <wps:cNvSpPr/>
                        <wps:spPr>
                          <a:xfrm>
                            <a:off x="0" y="0"/>
                            <a:ext cx="6692405" cy="18974"/>
                          </a:xfrm>
                          <a:custGeom>
                            <a:avLst/>
                            <a:gdLst/>
                            <a:ahLst/>
                            <a:cxnLst/>
                            <a:rect l="0" t="0" r="0" b="0"/>
                            <a:pathLst>
                              <a:path w="6692405" h="18974">
                                <a:moveTo>
                                  <a:pt x="0" y="0"/>
                                </a:moveTo>
                                <a:lnTo>
                                  <a:pt x="6692405" y="0"/>
                                </a:lnTo>
                                <a:lnTo>
                                  <a:pt x="6692405" y="18974"/>
                                </a:lnTo>
                                <a:lnTo>
                                  <a:pt x="0" y="18974"/>
                                </a:lnTo>
                                <a:lnTo>
                                  <a:pt x="0" y="0"/>
                                </a:lnTo>
                              </a:path>
                            </a:pathLst>
                          </a:custGeom>
                          <a:ln w="0" cap="flat">
                            <a:miter lim="127000"/>
                          </a:ln>
                        </wps:spPr>
                        <wps:style>
                          <a:lnRef idx="0">
                            <a:srgbClr val="000000">
                              <a:alpha val="0"/>
                            </a:srgbClr>
                          </a:lnRef>
                          <a:fillRef idx="1">
                            <a:srgbClr val="DED9C9"/>
                          </a:fillRef>
                          <a:effectRef idx="0">
                            <a:scrgbClr r="0" g="0" b="0"/>
                          </a:effectRef>
                          <a:fontRef idx="none"/>
                        </wps:style>
                        <wps:bodyPr/>
                      </wps:wsp>
                    </wpg:wgp>
                  </a:graphicData>
                </a:graphic>
              </wp:inline>
            </w:drawing>
          </mc:Choice>
          <mc:Fallback>
            <w:pict>
              <v:group w14:anchorId="0F053962" id="Group 4178" o:spid="_x0000_s1026" style="width:510.25pt;height:.85pt;mso-position-horizontal-relative:char;mso-position-vertical-relative:line" coordsize="6692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">
                <v:shape id="Shape 4839" o:spid="_x0000_s1027" style="position:absolute;width:66924;height:189;visibility:visible;mso-wrap-style:square;v-text-anchor:top" coordsize="6692405,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" path="m,l6692405,r,18974l,18974,,e" fillcolor="#ded9c9" stroked="f" strokeweight="0">
                  <v:stroke miterlimit="83231f" joinstyle="miter"/>
                  <v:path arrowok="t" textboxrect="0,0,6692405,18974"/>
                </v:shape>
                <w10:anchorlock/>
              </v:group>
            </w:pict>
          </mc:Fallback>
        </mc:AlternateContent>
      </w:r>
    </w:p>
    <w:p w14:paraId="3DA37714" w14:textId="77777777" w:rsidR="00FC2A41" w:rsidRPr="00CA46DB" w:rsidRDefault="00166212">
      <w:pPr>
        <w:tabs>
          <w:tab w:val="left" w:pos="3462"/>
        </w:tabs>
        <w:spacing w:after="0" w:line="240" w:lineRule="exact"/>
        <w:jc w:val="both"/>
        <w:rPr>
          <w:rFonts w:eastAsia="SimSun" w:cstheme="minorHAnsi"/>
          <w:color w:val="000000" w:themeColor="text1"/>
          <w:sz w:val="18"/>
          <w:szCs w:val="18"/>
          <w:vertAlign w:val="superscript"/>
        </w:rPr>
      </w:pPr>
      <w:r w:rsidRPr="00CA46DB">
        <w:rPr>
          <w:rFonts w:eastAsia="SimSun" w:cstheme="minorHAnsi"/>
          <w:color w:val="000000" w:themeColor="text1"/>
          <w:sz w:val="18"/>
          <w:szCs w:val="18"/>
        </w:rPr>
        <w:t>Fig. 6. 3D microstructures simulations for PVDF-BaTiO</w:t>
      </w:r>
      <w:r w:rsidRPr="00CA46DB">
        <w:rPr>
          <w:rFonts w:eastAsia="SimSun" w:cstheme="minorHAnsi"/>
          <w:color w:val="000000" w:themeColor="text1"/>
          <w:sz w:val="18"/>
          <w:szCs w:val="18"/>
          <w:vertAlign w:val="subscript"/>
        </w:rPr>
        <w:t>3</w:t>
      </w:r>
      <w:r w:rsidRPr="00CA46DB">
        <w:rPr>
          <w:rFonts w:eastAsia="SimSun" w:cstheme="minorHAnsi"/>
          <w:color w:val="000000" w:themeColor="text1"/>
          <w:sz w:val="18"/>
          <w:szCs w:val="18"/>
        </w:rPr>
        <w:t xml:space="preserve"> nanocomposites: (a) Simulation of the breakdown phase morphology of nanocomposites with different 3D microstructures, (b) evolution of the breakdown phase volume fraction with the applied electric field, (c) extracted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w:t>
      </w:r>
      <w:r w:rsidRPr="00CA46DB">
        <w:rPr>
          <w:rFonts w:eastAsia="SimSun" w:cstheme="minorHAnsi"/>
          <w:color w:val="000000" w:themeColor="text1"/>
          <w:sz w:val="18"/>
          <w:szCs w:val="18"/>
          <w:vertAlign w:val="superscript"/>
        </w:rPr>
        <w:t>54</w:t>
      </w:r>
    </w:p>
    <w:p w14:paraId="431C1348" w14:textId="77777777" w:rsidR="00FC2A41" w:rsidRPr="00CA46DB" w:rsidRDefault="00FC2A41">
      <w:pPr>
        <w:tabs>
          <w:tab w:val="left" w:pos="3462"/>
        </w:tabs>
        <w:spacing w:after="0" w:line="240" w:lineRule="exact"/>
        <w:jc w:val="both"/>
        <w:rPr>
          <w:rFonts w:eastAsia="SimSun" w:cstheme="minorHAnsi"/>
          <w:color w:val="000000" w:themeColor="text1"/>
          <w:sz w:val="18"/>
          <w:szCs w:val="18"/>
          <w:vertAlign w:val="superscript"/>
        </w:rPr>
        <w:sectPr w:rsidR="00FC2A41" w:rsidRPr="00CA46DB">
          <w:type w:val="continuous"/>
          <w:pgSz w:w="11907" w:h="16840"/>
          <w:pgMar w:top="1009" w:right="851" w:bottom="1758" w:left="851" w:header="851" w:footer="1049" w:gutter="0"/>
          <w:cols w:space="227"/>
          <w:docGrid w:linePitch="360"/>
        </w:sectPr>
      </w:pPr>
    </w:p>
    <w:p w14:paraId="271C82E8" w14:textId="77777777" w:rsidR="00FC2A41" w:rsidRPr="00CA46DB" w:rsidRDefault="00FC2A41">
      <w:pPr>
        <w:tabs>
          <w:tab w:val="left" w:pos="3462"/>
        </w:tabs>
        <w:spacing w:after="0" w:line="240" w:lineRule="exact"/>
        <w:jc w:val="both"/>
        <w:rPr>
          <w:rFonts w:eastAsia="SimSun" w:cstheme="minorHAnsi"/>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p>
    <w:p w14:paraId="0BD6B847" w14:textId="77777777" w:rsidR="00FC2A41" w:rsidRPr="00CA46DB" w:rsidRDefault="00166212">
      <w:pPr>
        <w:tabs>
          <w:tab w:val="left" w:pos="3462"/>
        </w:tabs>
        <w:spacing w:after="0" w:line="240" w:lineRule="exact"/>
        <w:jc w:val="both"/>
        <w:rPr>
          <w:rFonts w:cstheme="minorHAnsi"/>
          <w:color w:val="000000" w:themeColor="text1"/>
          <w:sz w:val="18"/>
          <w:szCs w:val="18"/>
          <w:vertAlign w:val="superscript"/>
        </w:rPr>
      </w:pPr>
      <w:r w:rsidRPr="00CA46DB">
        <w:rPr>
          <w:rFonts w:eastAsia="SimSun" w:cstheme="minorHAnsi"/>
          <w:noProof/>
          <w:color w:val="000000" w:themeColor="text1"/>
          <w:sz w:val="18"/>
          <w:szCs w:val="18"/>
          <w:lang w:eastAsia="zh-CN"/>
        </w:rPr>
        <w:lastRenderedPageBreak/>
        <w:drawing>
          <wp:anchor distT="0" distB="0" distL="114300" distR="114300" simplePos="0" relativeHeight="251668480" behindDoc="1" locked="0" layoutInCell="1" allowOverlap="1" wp14:anchorId="7135A0A0" wp14:editId="3160178E">
            <wp:simplePos x="0" y="0"/>
            <wp:positionH relativeFrom="column">
              <wp:posOffset>831215</wp:posOffset>
            </wp:positionH>
            <wp:positionV relativeFrom="paragraph">
              <wp:posOffset>-57785</wp:posOffset>
            </wp:positionV>
            <wp:extent cx="4850765" cy="2165350"/>
            <wp:effectExtent l="0" t="0" r="0" b="0"/>
            <wp:wrapTight wrapText="bothSides">
              <wp:wrapPolygon edited="0">
                <wp:start x="-3206" y="0"/>
                <wp:lineTo x="-3035" y="21600"/>
                <wp:lineTo x="25949" y="21600"/>
                <wp:lineTo x="25607" y="0"/>
                <wp:lineTo x="-3206" y="0"/>
              </wp:wrapPolygon>
            </wp:wrapTight>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4850969" cy="2165442"/>
                    </a:xfrm>
                    <a:prstGeom prst="rect">
                      <a:avLst/>
                    </a:prstGeom>
                  </pic:spPr>
                </pic:pic>
              </a:graphicData>
            </a:graphic>
          </wp:anchor>
        </w:drawing>
      </w:r>
      <w:r w:rsidRPr="00CA46DB">
        <w:rPr>
          <w:rFonts w:eastAsia="SimSun" w:cstheme="minorHAnsi"/>
          <w:color w:val="000000" w:themeColor="text1"/>
          <w:sz w:val="18"/>
          <w:szCs w:val="18"/>
        </w:rPr>
        <w:t xml:space="preserve">Fig. 7. Electrothermal breakdown phase-field model according to Shen et al.: (a) Effects temperature on the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eastAsia="SimSun" w:cstheme="minorHAnsi"/>
          <w:color w:val="000000" w:themeColor="text1"/>
          <w:sz w:val="18"/>
          <w:szCs w:val="18"/>
        </w:rPr>
        <w:t xml:space="preserve"> (left axis) and the average electrostatic and Joule heating energy densities (right axis), (b) local electrostatic energy density (</w:t>
      </w:r>
      <m:oMath>
        <m:sSubSup>
          <m:sSubSupPr>
            <m:ctrlPr>
              <w:rPr>
                <w:rFonts w:ascii="Cambria Math" w:eastAsia="SimSun" w:hAnsi="Cambria Math" w:cstheme="minorHAnsi"/>
                <w:i/>
                <w:color w:val="000000" w:themeColor="text1"/>
                <w:sz w:val="18"/>
                <w:szCs w:val="18"/>
              </w:rPr>
            </m:ctrlPr>
          </m:sSubSupPr>
          <m:e>
            <m:r>
              <w:rPr>
                <w:rFonts w:ascii="Cambria Math" w:eastAsia="SimSun" w:hAnsi="Cambria Math" w:cstheme="minorHAnsi"/>
                <w:color w:val="000000" w:themeColor="text1"/>
                <w:sz w:val="18"/>
                <w:szCs w:val="18"/>
              </w:rPr>
              <m:t>f</m:t>
            </m:r>
          </m:e>
          <m:sub>
            <m:r>
              <m:rPr>
                <m:sty m:val="p"/>
              </m:rPr>
              <w:rPr>
                <w:rFonts w:ascii="Cambria Math" w:eastAsia="SimSun" w:hAnsi="Cambria Math" w:cstheme="minorHAnsi"/>
                <w:color w:val="000000" w:themeColor="text1"/>
                <w:sz w:val="18"/>
                <w:szCs w:val="18"/>
              </w:rPr>
              <m:t>ele</m:t>
            </m:r>
          </m:sub>
          <m:sup>
            <m:r>
              <m:rPr>
                <m:sty m:val="p"/>
              </m:rPr>
              <w:rPr>
                <w:rFonts w:ascii="Cambria Math" w:eastAsia="SimSun" w:hAnsi="Cambria Math" w:cstheme="minorHAnsi"/>
                <w:color w:val="000000" w:themeColor="text1"/>
                <w:sz w:val="18"/>
                <w:szCs w:val="18"/>
              </w:rPr>
              <m:t>A</m:t>
            </m:r>
          </m:sup>
        </m:sSubSup>
      </m:oMath>
      <w:r w:rsidRPr="00CA46DB">
        <w:rPr>
          <w:rFonts w:eastAsia="SimSun" w:cstheme="minorHAnsi"/>
          <w:color w:val="000000" w:themeColor="text1"/>
          <w:sz w:val="18"/>
          <w:szCs w:val="18"/>
        </w:rPr>
        <w:t>) and (c) Joule heating energy density (</w:t>
      </w:r>
      <m:oMath>
        <m:sSubSup>
          <m:sSubSupPr>
            <m:ctrlPr>
              <w:rPr>
                <w:rFonts w:ascii="Cambria Math" w:eastAsia="SimSun" w:hAnsi="Cambria Math" w:cstheme="minorHAnsi"/>
                <w:i/>
                <w:color w:val="000000" w:themeColor="text1"/>
                <w:sz w:val="18"/>
                <w:szCs w:val="18"/>
              </w:rPr>
            </m:ctrlPr>
          </m:sSubSupPr>
          <m:e>
            <m:r>
              <w:rPr>
                <w:rFonts w:ascii="Cambria Math" w:eastAsia="SimSun" w:hAnsi="Cambria Math" w:cstheme="minorHAnsi"/>
                <w:color w:val="000000" w:themeColor="text1"/>
                <w:sz w:val="18"/>
                <w:szCs w:val="18"/>
              </w:rPr>
              <m:t>f</m:t>
            </m:r>
          </m:e>
          <m:sub>
            <m:r>
              <m:rPr>
                <m:sty m:val="p"/>
              </m:rPr>
              <w:rPr>
                <w:rFonts w:ascii="Cambria Math" w:eastAsia="SimSun" w:hAnsi="Cambria Math" w:cstheme="minorHAnsi"/>
                <w:color w:val="000000" w:themeColor="text1"/>
                <w:sz w:val="18"/>
                <w:szCs w:val="18"/>
              </w:rPr>
              <m:t>Joule</m:t>
            </m:r>
          </m:sub>
          <m:sup>
            <m:r>
              <m:rPr>
                <m:sty m:val="p"/>
              </m:rPr>
              <w:rPr>
                <w:rFonts w:ascii="Cambria Math" w:eastAsia="SimSun" w:hAnsi="Cambria Math" w:cstheme="minorHAnsi"/>
                <w:color w:val="000000" w:themeColor="text1"/>
                <w:sz w:val="18"/>
                <w:szCs w:val="18"/>
              </w:rPr>
              <m:t>A</m:t>
            </m:r>
          </m:sup>
        </m:sSubSup>
      </m:oMath>
      <w:r w:rsidRPr="00CA46DB">
        <w:rPr>
          <w:rFonts w:eastAsia="SimSun" w:cstheme="minorHAnsi"/>
          <w:color w:val="000000" w:themeColor="text1"/>
          <w:sz w:val="18"/>
          <w:szCs w:val="18"/>
        </w:rPr>
        <w:t>) at 300 K, (d) local electrostatic energy (</w:t>
      </w:r>
      <m:oMath>
        <m:sSubSup>
          <m:sSubSupPr>
            <m:ctrlPr>
              <w:rPr>
                <w:rFonts w:ascii="Cambria Math" w:eastAsia="SimSun" w:hAnsi="Cambria Math" w:cstheme="minorHAnsi"/>
                <w:i/>
                <w:color w:val="000000" w:themeColor="text1"/>
                <w:sz w:val="18"/>
                <w:szCs w:val="18"/>
              </w:rPr>
            </m:ctrlPr>
          </m:sSubSupPr>
          <m:e>
            <m:r>
              <w:rPr>
                <w:rFonts w:ascii="Cambria Math" w:eastAsia="SimSun" w:hAnsi="Cambria Math" w:cstheme="minorHAnsi"/>
                <w:color w:val="000000" w:themeColor="text1"/>
                <w:sz w:val="18"/>
                <w:szCs w:val="18"/>
              </w:rPr>
              <m:t>f</m:t>
            </m:r>
          </m:e>
          <m:sub>
            <m:r>
              <m:rPr>
                <m:sty m:val="p"/>
              </m:rPr>
              <w:rPr>
                <w:rFonts w:ascii="Cambria Math" w:eastAsia="SimSun" w:hAnsi="Cambria Math" w:cstheme="minorHAnsi"/>
                <w:color w:val="000000" w:themeColor="text1"/>
                <w:sz w:val="18"/>
                <w:szCs w:val="18"/>
              </w:rPr>
              <m:t>ele</m:t>
            </m:r>
          </m:sub>
          <m:sup>
            <m:r>
              <m:rPr>
                <m:sty m:val="p"/>
              </m:rPr>
              <w:rPr>
                <w:rFonts w:ascii="Cambria Math" w:eastAsia="SimSun" w:hAnsi="Cambria Math" w:cstheme="minorHAnsi"/>
                <w:color w:val="000000" w:themeColor="text1"/>
                <w:sz w:val="18"/>
                <w:szCs w:val="18"/>
              </w:rPr>
              <m:t>A</m:t>
            </m:r>
          </m:sup>
        </m:sSubSup>
      </m:oMath>
      <w:r w:rsidRPr="00CA46DB">
        <w:rPr>
          <w:rFonts w:eastAsia="SimSun" w:cstheme="minorHAnsi"/>
          <w:color w:val="000000" w:themeColor="text1"/>
          <w:sz w:val="18"/>
          <w:szCs w:val="18"/>
        </w:rPr>
        <w:t>) and (e) Joule heating energy density (</w:t>
      </w:r>
      <m:oMath>
        <m:sSubSup>
          <m:sSubSupPr>
            <m:ctrlPr>
              <w:rPr>
                <w:rFonts w:ascii="Cambria Math" w:eastAsia="SimSun" w:hAnsi="Cambria Math" w:cstheme="minorHAnsi"/>
                <w:i/>
                <w:color w:val="000000" w:themeColor="text1"/>
                <w:sz w:val="18"/>
                <w:szCs w:val="18"/>
              </w:rPr>
            </m:ctrlPr>
          </m:sSubSupPr>
          <m:e>
            <m:r>
              <w:rPr>
                <w:rFonts w:ascii="Cambria Math" w:eastAsia="SimSun" w:hAnsi="Cambria Math" w:cstheme="minorHAnsi"/>
                <w:color w:val="000000" w:themeColor="text1"/>
                <w:sz w:val="18"/>
                <w:szCs w:val="18"/>
              </w:rPr>
              <m:t>f</m:t>
            </m:r>
          </m:e>
          <m:sub>
            <m:r>
              <m:rPr>
                <m:sty m:val="p"/>
              </m:rPr>
              <w:rPr>
                <w:rFonts w:ascii="Cambria Math" w:eastAsia="SimSun" w:hAnsi="Cambria Math" w:cstheme="minorHAnsi"/>
                <w:color w:val="000000" w:themeColor="text1"/>
                <w:sz w:val="18"/>
                <w:szCs w:val="18"/>
              </w:rPr>
              <m:t>Joule</m:t>
            </m:r>
          </m:sub>
          <m:sup>
            <m:r>
              <m:rPr>
                <m:sty m:val="p"/>
              </m:rPr>
              <w:rPr>
                <w:rFonts w:ascii="Cambria Math" w:eastAsia="SimSun" w:hAnsi="Cambria Math" w:cstheme="minorHAnsi"/>
                <w:color w:val="000000" w:themeColor="text1"/>
                <w:sz w:val="18"/>
                <w:szCs w:val="18"/>
              </w:rPr>
              <m:t>A</m:t>
            </m:r>
          </m:sup>
        </m:sSubSup>
      </m:oMath>
      <w:r w:rsidRPr="00CA46DB">
        <w:rPr>
          <w:rFonts w:eastAsia="SimSun" w:cstheme="minorHAnsi"/>
          <w:color w:val="000000" w:themeColor="text1"/>
          <w:sz w:val="18"/>
          <w:szCs w:val="18"/>
        </w:rPr>
        <w:t>) at 500 K.</w:t>
      </w:r>
      <w:r w:rsidRPr="00CA46DB">
        <w:rPr>
          <w:rFonts w:cstheme="minorHAnsi"/>
          <w:color w:val="000000" w:themeColor="text1"/>
          <w:sz w:val="18"/>
          <w:szCs w:val="18"/>
          <w:vertAlign w:val="superscript"/>
        </w:rPr>
        <w:t>55</w:t>
      </w:r>
    </w:p>
    <w:p w14:paraId="476845E6" w14:textId="77777777" w:rsidR="00FC2A41" w:rsidRPr="00CA46DB" w:rsidRDefault="00FC2A41">
      <w:pPr>
        <w:tabs>
          <w:tab w:val="left" w:pos="3462"/>
        </w:tabs>
        <w:spacing w:after="0" w:line="240" w:lineRule="exact"/>
        <w:jc w:val="both"/>
        <w:rPr>
          <w:rFonts w:cstheme="minorHAnsi"/>
          <w:color w:val="000000" w:themeColor="text1"/>
          <w:sz w:val="18"/>
          <w:szCs w:val="18"/>
          <w:vertAlign w:val="superscript"/>
        </w:rPr>
        <w:sectPr w:rsidR="00FC2A41" w:rsidRPr="00CA46DB">
          <w:pgSz w:w="11907" w:h="16840"/>
          <w:pgMar w:top="1009" w:right="851" w:bottom="1758" w:left="851" w:header="851" w:footer="1049" w:gutter="0"/>
          <w:cols w:space="227"/>
          <w:docGrid w:linePitch="360"/>
        </w:sectPr>
      </w:pPr>
    </w:p>
    <w:p w14:paraId="064E54B0" w14:textId="77777777" w:rsidR="00FC2A41" w:rsidRPr="00CA46DB" w:rsidRDefault="00166212">
      <w:pPr>
        <w:tabs>
          <w:tab w:val="left" w:pos="3462"/>
        </w:tabs>
        <w:spacing w:after="0" w:line="240" w:lineRule="exact"/>
        <w:jc w:val="both"/>
        <w:rPr>
          <w:rFonts w:cstheme="minorHAnsi"/>
          <w:color w:val="000000" w:themeColor="text1"/>
          <w:sz w:val="18"/>
          <w:szCs w:val="18"/>
        </w:rPr>
      </w:pPr>
      <w:r w:rsidRPr="00CA46DB">
        <w:rPr>
          <w:rFonts w:cstheme="minorHAnsi"/>
          <w:noProof/>
          <w:color w:val="000000" w:themeColor="text1"/>
          <w:lang w:eastAsia="zh-CN"/>
        </w:rPr>
        <mc:AlternateContent>
          <mc:Choice Requires="wpg">
            <w:drawing>
              <wp:inline distT="0" distB="0" distL="0" distR="0" wp14:anchorId="4E747F1F" wp14:editId="663DAE9D">
                <wp:extent cx="6480175" cy="10795"/>
                <wp:effectExtent l="0" t="0" r="0" b="1905"/>
                <wp:docPr id="189" name="Group 4178"/>
                <wp:cNvGraphicFramePr/>
                <a:graphic xmlns:a="http://schemas.openxmlformats.org/drawingml/2006/main">
                  <a:graphicData uri="http://schemas.microsoft.com/office/word/2010/wordprocessingGroup">
                    <wpg:wgp>
                      <wpg:cNvGrpSpPr/>
                      <wpg:grpSpPr>
                        <a:xfrm>
                          <a:off x="0" y="0"/>
                          <a:ext cx="6480175" cy="10795"/>
                          <a:chOff x="0" y="0"/>
                          <a:chExt cx="6692405" cy="18974"/>
                        </a:xfrm>
                      </wpg:grpSpPr>
                      <wps:wsp>
                        <wps:cNvPr id="190" name="Shape 4839"/>
                        <wps:cNvSpPr/>
                        <wps:spPr>
                          <a:xfrm>
                            <a:off x="0" y="0"/>
                            <a:ext cx="6692405" cy="18974"/>
                          </a:xfrm>
                          <a:custGeom>
                            <a:avLst/>
                            <a:gdLst/>
                            <a:ahLst/>
                            <a:cxnLst/>
                            <a:rect l="0" t="0" r="0" b="0"/>
                            <a:pathLst>
                              <a:path w="6692405" h="18974">
                                <a:moveTo>
                                  <a:pt x="0" y="0"/>
                                </a:moveTo>
                                <a:lnTo>
                                  <a:pt x="6692405" y="0"/>
                                </a:lnTo>
                                <a:lnTo>
                                  <a:pt x="6692405" y="18974"/>
                                </a:lnTo>
                                <a:lnTo>
                                  <a:pt x="0" y="18974"/>
                                </a:lnTo>
                                <a:lnTo>
                                  <a:pt x="0" y="0"/>
                                </a:lnTo>
                              </a:path>
                            </a:pathLst>
                          </a:custGeom>
                          <a:ln w="0" cap="flat">
                            <a:miter lim="127000"/>
                          </a:ln>
                        </wps:spPr>
                        <wps:style>
                          <a:lnRef idx="0">
                            <a:srgbClr val="000000">
                              <a:alpha val="0"/>
                            </a:srgbClr>
                          </a:lnRef>
                          <a:fillRef idx="1">
                            <a:srgbClr val="DED9C9"/>
                          </a:fillRef>
                          <a:effectRef idx="0">
                            <a:scrgbClr r="0" g="0" b="0"/>
                          </a:effectRef>
                          <a:fontRef idx="none"/>
                        </wps:style>
                        <wps:bodyPr/>
                      </wps:wsp>
                    </wpg:wgp>
                  </a:graphicData>
                </a:graphic>
              </wp:inline>
            </w:drawing>
          </mc:Choice>
          <mc:Fallback>
            <w:pict>
              <v:group w14:anchorId="70D5557B" id="Group 4178" o:spid="_x0000_s1026" style="width:510.25pt;height:.85pt;mso-position-horizontal-relative:char;mso-position-vertical-relative:line" coordsize="6692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">
                <v:shape id="Shape 4839" o:spid="_x0000_s1027" style="position:absolute;width:66924;height:189;visibility:visible;mso-wrap-style:square;v-text-anchor:top" coordsize="6692405,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" path="m,l6692405,r,18974l,18974,,e" fillcolor="#ded9c9" stroked="f" strokeweight="0">
                  <v:stroke miterlimit="83231f" joinstyle="miter"/>
                  <v:path arrowok="t" textboxrect="0,0,6692405,18974"/>
                </v:shape>
                <w10:anchorlock/>
              </v:group>
            </w:pict>
          </mc:Fallback>
        </mc:AlternateContent>
      </w:r>
    </w:p>
    <w:p w14:paraId="06138609" w14:textId="77777777" w:rsidR="00FC2A41" w:rsidRPr="00CA46DB" w:rsidRDefault="00FC2A41">
      <w:pPr>
        <w:tabs>
          <w:tab w:val="left" w:pos="3462"/>
        </w:tabs>
        <w:spacing w:after="0" w:line="240" w:lineRule="exact"/>
        <w:jc w:val="both"/>
        <w:rPr>
          <w:rFonts w:eastAsia="SimSun"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3609AD2F" w14:textId="77777777" w:rsidR="00FC2A41" w:rsidRPr="00CA46DB" w:rsidRDefault="00166212">
      <w:pPr>
        <w:tabs>
          <w:tab w:val="left" w:pos="3462"/>
        </w:tabs>
        <w:spacing w:before="80" w:after="80" w:line="240" w:lineRule="exact"/>
        <w:rPr>
          <w:rFonts w:eastAsia="SimSun" w:cstheme="minorHAnsi"/>
          <w:b/>
          <w:bCs/>
          <w:color w:val="000000" w:themeColor="text1"/>
          <w:sz w:val="18"/>
          <w:szCs w:val="18"/>
        </w:rPr>
      </w:pPr>
      <w:r w:rsidRPr="00CA46DB">
        <w:rPr>
          <w:rFonts w:eastAsia="SimSun" w:cstheme="minorHAnsi"/>
          <w:color w:val="000000" w:themeColor="text1"/>
          <w:sz w:val="18"/>
          <w:szCs w:val="18"/>
        </w:rPr>
        <w:t xml:space="preserve"> </w:t>
      </w:r>
      <w:r w:rsidRPr="00CA46DB">
        <w:rPr>
          <w:rFonts w:eastAsia="SimSun" w:cstheme="minorHAnsi"/>
          <w:b/>
          <w:bCs/>
          <w:color w:val="000000" w:themeColor="text1"/>
          <w:sz w:val="18"/>
          <w:szCs w:val="18"/>
        </w:rPr>
        <w:t>2.2. Thermal stability</w:t>
      </w:r>
    </w:p>
    <w:p w14:paraId="2C45BA78" w14:textId="77777777" w:rsidR="00FC2A41" w:rsidRPr="00CA46DB" w:rsidRDefault="00166212">
      <w:pPr>
        <w:tabs>
          <w:tab w:val="left" w:pos="3462"/>
        </w:tabs>
        <w:spacing w:after="0" w:line="240" w:lineRule="exact"/>
        <w:jc w:val="both"/>
        <w:rPr>
          <w:rFonts w:eastAsia="SimSun" w:cstheme="minorHAnsi"/>
          <w:color w:val="000000" w:themeColor="text1"/>
          <w:sz w:val="18"/>
          <w:szCs w:val="18"/>
        </w:rPr>
      </w:pPr>
      <w:r w:rsidRPr="00CA46DB">
        <w:rPr>
          <w:rFonts w:eastAsia="SimSun" w:cstheme="minorHAnsi"/>
          <w:color w:val="000000" w:themeColor="text1"/>
          <w:sz w:val="18"/>
          <w:szCs w:val="18"/>
        </w:rPr>
        <w:t>Thermal stability determines the ability of materials for maintaining optimum performance under thermal stress. It is a prerequisite for assessing the reliable insulation performance of dielectric materials at high temperatures.</w:t>
      </w:r>
      <w:r w:rsidRPr="00CA46DB">
        <w:rPr>
          <w:rFonts w:cstheme="minorHAnsi"/>
          <w:color w:val="000000" w:themeColor="text1"/>
          <w:sz w:val="18"/>
          <w:szCs w:val="18"/>
          <w:vertAlign w:val="superscript"/>
        </w:rPr>
        <w:t>47</w:t>
      </w:r>
      <w:r w:rsidRPr="00CA46DB">
        <w:rPr>
          <w:rFonts w:eastAsia="SimSun" w:cstheme="minorHAnsi"/>
          <w:color w:val="000000" w:themeColor="text1"/>
          <w:sz w:val="18"/>
          <w:szCs w:val="18"/>
        </w:rPr>
        <w:t xml:space="preserve"> Polymer dielectrics are susceptible to thermal damage,</w:t>
      </w:r>
      <w:r w:rsidRPr="00CA46DB">
        <w:rPr>
          <w:rFonts w:cstheme="minorHAnsi"/>
          <w:color w:val="000000" w:themeColor="text1"/>
          <w:sz w:val="18"/>
          <w:szCs w:val="18"/>
          <w:vertAlign w:val="superscript"/>
        </w:rPr>
        <w:t>56,57</w:t>
      </w:r>
      <w:r w:rsidRPr="00CA46DB">
        <w:rPr>
          <w:rFonts w:eastAsia="SimSun" w:cstheme="minorHAnsi"/>
          <w:color w:val="000000" w:themeColor="text1"/>
          <w:sz w:val="18"/>
          <w:szCs w:val="18"/>
        </w:rPr>
        <w:t xml:space="preserve"> and </w:t>
      </w:r>
      <w:r w:rsidRPr="00CA46DB">
        <w:rPr>
          <w:rFonts w:eastAsia="SimSun" w:cstheme="minorHAnsi"/>
          <w:i/>
          <w:iCs/>
          <w:color w:val="000000" w:themeColor="text1"/>
          <w:sz w:val="18"/>
          <w:szCs w:val="18"/>
        </w:rPr>
        <w:t>T</w:t>
      </w:r>
      <w:r w:rsidRPr="00CA46DB">
        <w:rPr>
          <w:rFonts w:eastAsia="SimSun" w:cstheme="minorHAnsi"/>
          <w:color w:val="000000" w:themeColor="text1"/>
          <w:sz w:val="18"/>
          <w:szCs w:val="18"/>
          <w:vertAlign w:val="subscript"/>
        </w:rPr>
        <w:t>g</w:t>
      </w:r>
      <w:r w:rsidRPr="00CA46DB">
        <w:rPr>
          <w:rFonts w:eastAsia="SimSun" w:cstheme="minorHAnsi"/>
          <w:color w:val="000000" w:themeColor="text1"/>
          <w:sz w:val="18"/>
          <w:szCs w:val="18"/>
        </w:rPr>
        <w:t xml:space="preserve"> is usually the main parameter for evaluating the stability of polymer dielectrics at high temperatures. For crystalline polymers, the melting point (</w:t>
      </w:r>
      <w:r w:rsidRPr="00CA46DB">
        <w:rPr>
          <w:rFonts w:eastAsia="SimSun" w:cstheme="minorHAnsi"/>
          <w:i/>
          <w:iCs/>
          <w:color w:val="000000" w:themeColor="text1"/>
          <w:sz w:val="18"/>
          <w:szCs w:val="18"/>
        </w:rPr>
        <w:t>T</w:t>
      </w:r>
      <w:r w:rsidRPr="00CA46DB">
        <w:rPr>
          <w:rFonts w:eastAsia="SimSun" w:cstheme="minorHAnsi"/>
          <w:color w:val="000000" w:themeColor="text1"/>
          <w:sz w:val="18"/>
          <w:szCs w:val="18"/>
          <w:vertAlign w:val="subscript"/>
        </w:rPr>
        <w:t>m</w:t>
      </w:r>
      <w:r w:rsidRPr="00CA46DB">
        <w:rPr>
          <w:rFonts w:eastAsia="SimSun" w:cstheme="minorHAnsi"/>
          <w:color w:val="000000" w:themeColor="text1"/>
          <w:sz w:val="18"/>
          <w:szCs w:val="18"/>
        </w:rPr>
        <w:t xml:space="preserve">) is also used to evaluate high temperature performance. </w:t>
      </w:r>
      <w:bookmarkStart w:id="9" w:name="OLE_LINK1"/>
      <w:bookmarkStart w:id="10" w:name="OLE_LINK2"/>
      <w:r w:rsidRPr="00CA46DB">
        <w:rPr>
          <w:rFonts w:eastAsia="SimSun" w:cstheme="minorHAnsi"/>
          <w:color w:val="000000" w:themeColor="text1"/>
          <w:sz w:val="18"/>
          <w:szCs w:val="18"/>
        </w:rPr>
        <w:t xml:space="preserve">When the polymers have a high degree of crystallinity, the role of the crystalline phase is more important, and </w:t>
      </w:r>
      <w:r w:rsidRPr="00CA46DB">
        <w:rPr>
          <w:rFonts w:eastAsia="SimSun" w:cstheme="minorHAnsi"/>
          <w:i/>
          <w:iCs/>
          <w:color w:val="000000" w:themeColor="text1"/>
          <w:sz w:val="18"/>
          <w:szCs w:val="18"/>
        </w:rPr>
        <w:t>T</w:t>
      </w:r>
      <w:r w:rsidRPr="00CA46DB">
        <w:rPr>
          <w:rFonts w:eastAsia="SimSun" w:cstheme="minorHAnsi"/>
          <w:color w:val="000000" w:themeColor="text1"/>
          <w:sz w:val="18"/>
          <w:szCs w:val="18"/>
          <w:vertAlign w:val="subscript"/>
        </w:rPr>
        <w:t>m</w:t>
      </w:r>
      <w:r w:rsidRPr="00CA46DB">
        <w:rPr>
          <w:rFonts w:eastAsia="SimSun" w:cstheme="minorHAnsi"/>
          <w:color w:val="000000" w:themeColor="text1"/>
          <w:sz w:val="18"/>
          <w:szCs w:val="18"/>
        </w:rPr>
        <w:t xml:space="preserve"> becomes the dominant factor for evaluating high temperature performance.</w:t>
      </w:r>
      <w:bookmarkEnd w:id="9"/>
      <w:bookmarkEnd w:id="10"/>
      <w:r w:rsidRPr="00CA46DB">
        <w:rPr>
          <w:rFonts w:eastAsia="SimSun" w:cstheme="minorHAnsi"/>
          <w:color w:val="000000" w:themeColor="text1"/>
          <w:sz w:val="18"/>
          <w:szCs w:val="18"/>
        </w:rPr>
        <w:t xml:space="preserve"> The rigid structural units of PIs increase the stiffness of the main polymer chains, and the chemical cross-linking in PIs also severely restricts intermolecular motion significantly increasing </w:t>
      </w:r>
      <w:r w:rsidRPr="00CA46DB">
        <w:rPr>
          <w:rFonts w:eastAsia="SimSun" w:cstheme="minorHAnsi"/>
          <w:i/>
          <w:iCs/>
          <w:color w:val="000000" w:themeColor="text1"/>
          <w:sz w:val="18"/>
          <w:szCs w:val="18"/>
        </w:rPr>
        <w:t>T</w:t>
      </w:r>
      <w:r w:rsidRPr="00CA46DB">
        <w:rPr>
          <w:rFonts w:eastAsia="SimSun" w:cstheme="minorHAnsi"/>
          <w:color w:val="000000" w:themeColor="text1"/>
          <w:sz w:val="18"/>
          <w:szCs w:val="18"/>
          <w:vertAlign w:val="subscript"/>
        </w:rPr>
        <w:t>g</w:t>
      </w:r>
      <w:r w:rsidRPr="00CA46DB">
        <w:rPr>
          <w:rFonts w:eastAsia="SimSun" w:cstheme="minorHAnsi"/>
          <w:color w:val="000000" w:themeColor="text1"/>
          <w:sz w:val="18"/>
          <w:szCs w:val="18"/>
        </w:rPr>
        <w:t>, both of that are effective ways for the improvement of PI thermal stability.</w:t>
      </w:r>
    </w:p>
    <w:p w14:paraId="0A0F51A2" w14:textId="77777777" w:rsidR="00FC2A41" w:rsidRPr="00CA46DB" w:rsidRDefault="00166212">
      <w:pPr>
        <w:tabs>
          <w:tab w:val="left" w:pos="3462"/>
        </w:tabs>
        <w:spacing w:before="400" w:after="80" w:line="240" w:lineRule="auto"/>
        <w:rPr>
          <w:rFonts w:cstheme="minorHAnsi"/>
          <w:b/>
          <w:color w:val="000000" w:themeColor="text1"/>
          <w:sz w:val="24"/>
        </w:rPr>
      </w:pPr>
      <w:r w:rsidRPr="00CA46DB">
        <w:rPr>
          <w:rFonts w:cstheme="minorHAnsi"/>
          <w:b/>
          <w:color w:val="000000" w:themeColor="text1"/>
          <w:sz w:val="24"/>
        </w:rPr>
        <w:t>3. All-organic PI dielectrics</w:t>
      </w:r>
    </w:p>
    <w:p w14:paraId="08BB64A2" w14:textId="77777777" w:rsidR="00FC2A41" w:rsidRPr="00CA46DB" w:rsidRDefault="00166212">
      <w:pPr>
        <w:tabs>
          <w:tab w:val="left" w:pos="3462"/>
        </w:tabs>
        <w:spacing w:after="0" w:line="240" w:lineRule="exact"/>
        <w:jc w:val="both"/>
        <w:rPr>
          <w:rFonts w:cstheme="minorHAnsi"/>
          <w:color w:val="000000" w:themeColor="text1"/>
          <w:sz w:val="18"/>
          <w:szCs w:val="18"/>
          <w:highlight w:val="yellow"/>
        </w:rPr>
      </w:pPr>
      <w:r w:rsidRPr="00CA46DB">
        <w:rPr>
          <w:rFonts w:cstheme="minorHAnsi"/>
          <w:color w:val="000000" w:themeColor="text1"/>
          <w:sz w:val="18"/>
          <w:szCs w:val="18"/>
        </w:rPr>
        <w:t xml:space="preserve"> All-organic polymer dielectrics are ideal materials for capacitor applications due to their high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low quality density, flexibility, low-cost and good processing. In this section, the discussion is divided into two parts. The first part considers the PI</w:t>
      </w:r>
      <w:r w:rsidRPr="00CA46DB">
        <w:rPr>
          <w:rFonts w:cstheme="minorHAnsi"/>
          <w:color w:val="000000" w:themeColor="text1"/>
          <w:sz w:val="18"/>
          <w:szCs w:val="18"/>
          <w:lang w:eastAsia="zh-Hans"/>
        </w:rPr>
        <w:t>s</w:t>
      </w:r>
      <w:r w:rsidRPr="00CA46DB">
        <w:rPr>
          <w:rFonts w:cstheme="minorHAnsi"/>
          <w:color w:val="000000" w:themeColor="text1"/>
          <w:sz w:val="18"/>
          <w:szCs w:val="18"/>
        </w:rPr>
        <w:t xml:space="preserve"> that has already been commercialized. The next part</w:t>
      </w:r>
      <w:r w:rsidRPr="00CA46DB">
        <w:rPr>
          <w:rFonts w:cstheme="minorHAnsi"/>
          <w:color w:val="000000" w:themeColor="text1"/>
          <w:sz w:val="18"/>
          <w:szCs w:val="18"/>
          <w:lang w:eastAsia="zh-Hans"/>
        </w:rPr>
        <w:t>s</w:t>
      </w:r>
      <w:r w:rsidRPr="00CA46DB">
        <w:rPr>
          <w:rFonts w:cstheme="minorHAnsi"/>
          <w:color w:val="000000" w:themeColor="text1"/>
          <w:sz w:val="18"/>
          <w:szCs w:val="18"/>
        </w:rPr>
        <w:t xml:space="preserve"> focus on multiple strategies for improving the performances of all-organic PI.</w:t>
      </w:r>
    </w:p>
    <w:p w14:paraId="181057D9" w14:textId="77777777" w:rsidR="00FC2A41" w:rsidRPr="00CA46DB" w:rsidRDefault="00166212">
      <w:pPr>
        <w:tabs>
          <w:tab w:val="left" w:pos="3462"/>
        </w:tabs>
        <w:spacing w:before="80" w:after="80" w:line="240" w:lineRule="exact"/>
        <w:rPr>
          <w:rFonts w:cstheme="minorHAnsi"/>
          <w:b/>
          <w:bCs/>
          <w:color w:val="000000" w:themeColor="text1"/>
          <w:sz w:val="18"/>
          <w:szCs w:val="18"/>
        </w:rPr>
      </w:pPr>
      <w:r w:rsidRPr="00CA46DB">
        <w:rPr>
          <w:rFonts w:cstheme="minorHAnsi"/>
          <w:b/>
          <w:bCs/>
          <w:color w:val="000000" w:themeColor="text1"/>
          <w:sz w:val="18"/>
          <w:szCs w:val="18"/>
        </w:rPr>
        <w:t>3.1. Commercial PI resins</w:t>
      </w:r>
    </w:p>
    <w:p w14:paraId="4606CDC3" w14:textId="77777777" w:rsidR="00FC2A41" w:rsidRPr="00CA46DB" w:rsidRDefault="00166212">
      <w:pPr>
        <w:tabs>
          <w:tab w:val="left" w:pos="3462"/>
        </w:tabs>
        <w:spacing w:after="0" w:line="240" w:lineRule="exact"/>
        <w:jc w:val="both"/>
        <w:rPr>
          <w:rFonts w:cstheme="minorHAnsi"/>
          <w:color w:val="000000" w:themeColor="text1"/>
          <w:sz w:val="18"/>
          <w:szCs w:val="18"/>
        </w:rPr>
      </w:pPr>
      <w:r w:rsidRPr="00CA46DB">
        <w:rPr>
          <w:rFonts w:cstheme="minorHAnsi"/>
          <w:color w:val="000000" w:themeColor="text1"/>
          <w:sz w:val="18"/>
          <w:szCs w:val="18"/>
        </w:rPr>
        <w:t>The limitations of commercially available capacitors (e.g. PP, PC and PET) have promoted the development of high temperature capacitor dielectrics based on commercially available heat-resistant polymers.</w:t>
      </w:r>
      <w:r w:rsidRPr="00CA46DB">
        <w:rPr>
          <w:rFonts w:cstheme="minorHAnsi"/>
          <w:color w:val="000000" w:themeColor="text1"/>
          <w:sz w:val="18"/>
          <w:szCs w:val="18"/>
          <w:vertAlign w:val="superscript"/>
        </w:rPr>
        <w:t>11</w:t>
      </w:r>
      <w:r w:rsidRPr="00CA46DB">
        <w:rPr>
          <w:rFonts w:cstheme="minorHAnsi"/>
          <w:color w:val="000000" w:themeColor="text1"/>
          <w:sz w:val="18"/>
          <w:szCs w:val="18"/>
        </w:rPr>
        <w:t xml:space="preserve"> In general, the imide cyclic structures in PIs are conducive to high thermal stability and high electrical insulation, so they are considered a promising dielectric for high-temperature applications.</w:t>
      </w:r>
    </w:p>
    <w:p w14:paraId="0E1098F2" w14:textId="66C1C5BB" w:rsidR="00FC2A41" w:rsidRPr="00CA46DB" w:rsidRDefault="00166212">
      <w:pPr>
        <w:tabs>
          <w:tab w:val="left" w:pos="3462"/>
        </w:tabs>
        <w:spacing w:after="0" w:line="240" w:lineRule="exact"/>
        <w:ind w:firstLineChars="200" w:firstLine="360"/>
        <w:jc w:val="both"/>
        <w:rPr>
          <w:rFonts w:cstheme="minorHAnsi"/>
          <w:color w:val="000000" w:themeColor="text1"/>
          <w:sz w:val="18"/>
          <w:szCs w:val="18"/>
        </w:rPr>
      </w:pPr>
      <w:r w:rsidRPr="00CA46DB">
        <w:rPr>
          <w:rFonts w:cstheme="minorHAnsi"/>
          <w:color w:val="000000" w:themeColor="text1"/>
          <w:sz w:val="18"/>
          <w:szCs w:val="18"/>
        </w:rPr>
        <w:t>Table 2 provide</w:t>
      </w:r>
      <w:r w:rsidRPr="00CA46DB">
        <w:rPr>
          <w:rFonts w:cstheme="minorHAnsi" w:hint="eastAsia"/>
          <w:color w:val="000000" w:themeColor="text1"/>
          <w:sz w:val="18"/>
          <w:szCs w:val="18"/>
          <w:lang w:val="en-US" w:eastAsia="zh-CN"/>
        </w:rPr>
        <w:t>d</w:t>
      </w:r>
      <w:r w:rsidRPr="00CA46DB">
        <w:rPr>
          <w:rFonts w:cstheme="minorHAnsi"/>
          <w:color w:val="000000" w:themeColor="text1"/>
          <w:sz w:val="18"/>
          <w:szCs w:val="18"/>
        </w:rPr>
        <w:t xml:space="preserve"> a summary of the thermal stability and dielectric properties for a range of commercial PIs.</w:t>
      </w:r>
      <w:r w:rsidRPr="00CA46DB">
        <w:rPr>
          <w:rFonts w:cstheme="minorHAnsi"/>
          <w:color w:val="000000" w:themeColor="text1"/>
          <w:sz w:val="18"/>
          <w:szCs w:val="18"/>
          <w:vertAlign w:val="superscript"/>
        </w:rPr>
        <w:t xml:space="preserve">11 </w:t>
      </w:r>
      <w:r w:rsidRPr="00CA46DB">
        <w:rPr>
          <w:rFonts w:cstheme="minorHAnsi"/>
          <w:color w:val="000000" w:themeColor="text1"/>
          <w:sz w:val="18"/>
          <w:szCs w:val="18"/>
        </w:rPr>
        <w:t xml:space="preserve">Kapton polyimide film produced by DuPont has a continuous operating temperature of 300 to 350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and been widely used as a high-</w:t>
      </w:r>
      <w:r w:rsidRPr="00CA46DB">
        <w:rPr>
          <w:rFonts w:cstheme="minorHAnsi"/>
          <w:color w:val="000000" w:themeColor="text1"/>
          <w:sz w:val="18"/>
          <w:szCs w:val="18"/>
        </w:rPr>
        <w:t xml:space="preserve">temperature wire and cable insulation material for aircraft. Upilex-S PI film from ICI has high heat-resistance and good isothermal stability at 300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Perfluoro polyimide (PFPI) developed by TRW and SIXEF-44 from Hoechst Celanese are two types of fluorinated polyimide. Most of these PIs were difficult to process due to their high degree of aromaticity, which prompted researchers to develop flexible Ultem PEI from SABIC. Introduction of the ether linkage and alkyl groups increased flexibility at the expense of the thermal stability. The </w:t>
      </w:r>
      <w:r w:rsidRPr="00CA46DB">
        <w:rPr>
          <w:rFonts w:cstheme="minorHAnsi"/>
          <w:i/>
          <w:iCs/>
          <w:color w:val="000000" w:themeColor="text1"/>
          <w:sz w:val="18"/>
          <w:szCs w:val="18"/>
        </w:rPr>
        <w:t>T</w:t>
      </w:r>
      <w:r w:rsidRPr="00CA46DB">
        <w:rPr>
          <w:rFonts w:cstheme="minorHAnsi"/>
          <w:color w:val="000000" w:themeColor="text1"/>
          <w:sz w:val="18"/>
          <w:szCs w:val="18"/>
          <w:vertAlign w:val="subscript"/>
        </w:rPr>
        <w:t>g</w:t>
      </w:r>
      <w:r w:rsidRPr="00CA46DB">
        <w:rPr>
          <w:rFonts w:cstheme="minorHAnsi"/>
          <w:color w:val="000000" w:themeColor="text1"/>
          <w:sz w:val="18"/>
          <w:szCs w:val="18"/>
        </w:rPr>
        <w:t xml:space="preserve"> of Ultem is about 215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which is much lower than many PIs. Potential candidate materials for capacitor films can be identified from the heat-resistant polymers available. These commercially available PI resins also provide a basis for the development of new capacitor materials for future high temperature applications.</w:t>
      </w:r>
    </w:p>
    <w:p w14:paraId="2DC82CFE" w14:textId="77777777" w:rsidR="00FC2A41" w:rsidRPr="00CA46DB" w:rsidRDefault="00166212">
      <w:pPr>
        <w:tabs>
          <w:tab w:val="left" w:pos="3462"/>
        </w:tabs>
        <w:spacing w:before="80" w:after="80" w:line="240" w:lineRule="exact"/>
        <w:rPr>
          <w:rFonts w:cstheme="minorHAnsi"/>
          <w:b/>
          <w:bCs/>
          <w:color w:val="000000" w:themeColor="text1"/>
          <w:sz w:val="18"/>
          <w:szCs w:val="18"/>
        </w:rPr>
      </w:pPr>
      <w:r w:rsidRPr="00CA46DB">
        <w:rPr>
          <w:rFonts w:cstheme="minorHAnsi"/>
          <w:b/>
          <w:bCs/>
          <w:color w:val="000000" w:themeColor="text1"/>
          <w:sz w:val="18"/>
          <w:szCs w:val="18"/>
        </w:rPr>
        <w:t>3.2. Modification of the molecular structure of PI</w:t>
      </w:r>
    </w:p>
    <w:p w14:paraId="7372E523" w14:textId="6FC4FADA" w:rsidR="00FC2A41" w:rsidRPr="00CA46DB" w:rsidRDefault="00166212">
      <w:pPr>
        <w:tabs>
          <w:tab w:val="left" w:pos="3462"/>
        </w:tabs>
        <w:spacing w:after="0" w:line="240" w:lineRule="exact"/>
        <w:jc w:val="both"/>
        <w:rPr>
          <w:rFonts w:cstheme="minorHAnsi"/>
          <w:color w:val="000000" w:themeColor="text1"/>
          <w:sz w:val="18"/>
          <w:szCs w:val="18"/>
        </w:rPr>
      </w:pPr>
      <w:r w:rsidRPr="00CA46DB">
        <w:rPr>
          <w:rFonts w:cstheme="minorHAnsi"/>
          <w:color w:val="000000" w:themeColor="text1"/>
          <w:sz w:val="18"/>
          <w:szCs w:val="18"/>
        </w:rPr>
        <w:t>PVDF-matrix or PVDF copolymer-matrix nanocomposites have received much attention.</w:t>
      </w:r>
      <w:r w:rsidRPr="00CA46DB">
        <w:rPr>
          <w:rFonts w:cstheme="minorHAnsi"/>
          <w:color w:val="000000" w:themeColor="text1"/>
          <w:sz w:val="18"/>
          <w:szCs w:val="18"/>
          <w:vertAlign w:val="superscript"/>
        </w:rPr>
        <w:t>58−65</w:t>
      </w:r>
      <w:r w:rsidRPr="00CA46DB">
        <w:rPr>
          <w:rFonts w:cstheme="minorHAnsi"/>
          <w:color w:val="000000" w:themeColor="text1"/>
          <w:sz w:val="18"/>
          <w:szCs w:val="18"/>
        </w:rPr>
        <w:t xml:space="preserve"> These ferroelectric polymers exhibit high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high </w:t>
      </w:r>
      <w:r w:rsidRPr="00CA46DB">
        <w:rPr>
          <w:rFonts w:eastAsia="楷体-简" w:cstheme="minorHAnsi"/>
          <w:color w:val="000000" w:themeColor="text1"/>
          <w:sz w:val="18"/>
          <w:szCs w:val="18"/>
        </w:rPr>
        <w:t>tan</w:t>
      </w:r>
      <w:r w:rsidRPr="00CA46DB">
        <w:rPr>
          <w:rFonts w:eastAsia="楷体-简" w:cstheme="minorHAnsi"/>
          <w:i/>
          <w:iCs/>
          <w:color w:val="000000" w:themeColor="text1"/>
          <w:sz w:val="18"/>
          <w:szCs w:val="18"/>
        </w:rPr>
        <w:t>δ</w:t>
      </w:r>
      <w:r w:rsidRPr="00CA46DB">
        <w:rPr>
          <w:rFonts w:cstheme="minorHAnsi"/>
          <w:color w:val="000000" w:themeColor="text1"/>
          <w:sz w:val="18"/>
          <w:szCs w:val="18"/>
        </w:rPr>
        <w:t xml:space="preserve"> and low </w:t>
      </w:r>
      <w:r w:rsidRPr="00CA46DB">
        <w:rPr>
          <w:rFonts w:cstheme="minorHAnsi"/>
          <w:i/>
          <w:iCs/>
          <w:color w:val="000000" w:themeColor="text1"/>
          <w:sz w:val="18"/>
          <w:szCs w:val="18"/>
        </w:rPr>
        <w:t>T</w:t>
      </w:r>
      <w:r w:rsidRPr="00CA46DB">
        <w:rPr>
          <w:rFonts w:cstheme="minorHAnsi"/>
          <w:color w:val="000000" w:themeColor="text1"/>
          <w:sz w:val="18"/>
          <w:szCs w:val="18"/>
          <w:vertAlign w:val="subscript"/>
        </w:rPr>
        <w:t xml:space="preserve">g </w:t>
      </w:r>
      <w:r w:rsidRPr="00CA46DB">
        <w:rPr>
          <w:rFonts w:cstheme="minorHAnsi"/>
          <w:color w:val="000000" w:themeColor="text1"/>
          <w:sz w:val="18"/>
          <w:szCs w:val="18"/>
        </w:rPr>
        <w:t>due to</w:t>
      </w:r>
      <w:r w:rsidRPr="00CA46DB">
        <w:rPr>
          <w:rFonts w:cstheme="minorHAnsi"/>
          <w:color w:val="000000" w:themeColor="text1"/>
          <w:sz w:val="18"/>
          <w:szCs w:val="18"/>
          <w:vertAlign w:val="subscript"/>
        </w:rPr>
        <w:t xml:space="preserve"> </w:t>
      </w:r>
      <w:r w:rsidRPr="00CA46DB">
        <w:rPr>
          <w:rFonts w:cstheme="minorHAnsi"/>
          <w:color w:val="000000" w:themeColor="text1"/>
          <w:sz w:val="18"/>
          <w:szCs w:val="18"/>
        </w:rPr>
        <w:t>their high dipole density.</w:t>
      </w:r>
      <w:r w:rsidRPr="00CA46DB">
        <w:rPr>
          <w:rFonts w:cstheme="minorHAnsi"/>
          <w:color w:val="000000" w:themeColor="text1"/>
          <w:sz w:val="18"/>
          <w:szCs w:val="18"/>
          <w:vertAlign w:val="superscript"/>
        </w:rPr>
        <w:t>13</w:t>
      </w:r>
      <w:r w:rsidRPr="00CA46DB">
        <w:rPr>
          <w:rFonts w:cstheme="minorHAnsi"/>
          <w:color w:val="000000" w:themeColor="text1"/>
          <w:sz w:val="18"/>
          <w:szCs w:val="18"/>
        </w:rPr>
        <w:t xml:space="preserve"> PIs, however, are potential high temperature capacitor materials due to their inherent high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xml:space="preserve">, low </w:t>
      </w:r>
      <w:r w:rsidRPr="00CA46DB">
        <w:rPr>
          <w:rFonts w:eastAsia="楷体-简" w:cstheme="minorHAnsi"/>
          <w:color w:val="000000" w:themeColor="text1"/>
          <w:sz w:val="18"/>
          <w:szCs w:val="18"/>
        </w:rPr>
        <w:t>tan</w:t>
      </w:r>
      <w:r w:rsidRPr="00CA46DB">
        <w:rPr>
          <w:rFonts w:eastAsia="楷体-简" w:cstheme="minorHAnsi"/>
          <w:i/>
          <w:iCs/>
          <w:color w:val="000000" w:themeColor="text1"/>
          <w:sz w:val="18"/>
          <w:szCs w:val="18"/>
        </w:rPr>
        <w:t>δ</w:t>
      </w:r>
      <w:r w:rsidRPr="00CA46DB">
        <w:rPr>
          <w:rFonts w:cstheme="minorHAnsi"/>
          <w:color w:val="000000" w:themeColor="text1"/>
          <w:sz w:val="18"/>
          <w:szCs w:val="18"/>
        </w:rPr>
        <w:t xml:space="preserve">, and high thermal stability. Consequently, research has focused on improving the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of PI. And the flexibility of synthesis makes it easier for PI to increase the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by introducing various types and numbers of functional groups into the molecular structure. It is found that the symmetry of the PI unit structure, the length of the cross-conjugation system, and other adjustments based on the molecular structure scale, also play a pivotal role in the improvement of PI's dielectric properties</w:t>
      </w:r>
      <w:r w:rsidRPr="00CA46DB">
        <w:rPr>
          <w:rFonts w:cstheme="minorHAnsi" w:hint="eastAsia"/>
          <w:color w:val="000000" w:themeColor="text1"/>
          <w:sz w:val="18"/>
          <w:szCs w:val="18"/>
          <w:lang w:eastAsia="zh-CN"/>
        </w:rPr>
        <w:t>,</w:t>
      </w:r>
      <w:r w:rsidRPr="00CA46DB">
        <w:rPr>
          <w:rFonts w:cstheme="minorHAnsi"/>
          <w:color w:val="000000" w:themeColor="text1"/>
          <w:sz w:val="18"/>
          <w:szCs w:val="18"/>
          <w:lang w:eastAsia="zh-CN"/>
        </w:rPr>
        <w:t xml:space="preserve"> as shown in Table 3</w:t>
      </w:r>
      <w:r w:rsidRPr="00CA46DB">
        <w:rPr>
          <w:rFonts w:cstheme="minorHAnsi"/>
          <w:color w:val="000000" w:themeColor="text1"/>
          <w:sz w:val="18"/>
          <w:szCs w:val="18"/>
        </w:rPr>
        <w:t>.</w:t>
      </w:r>
    </w:p>
    <w:p w14:paraId="52E38011" w14:textId="77777777" w:rsidR="00FC2A41" w:rsidRDefault="00166212" w:rsidP="003B6931">
      <w:pPr>
        <w:tabs>
          <w:tab w:val="left" w:pos="3462"/>
        </w:tabs>
        <w:snapToGrid w:val="0"/>
        <w:spacing w:after="0" w:line="240" w:lineRule="exact"/>
        <w:ind w:firstLineChars="200" w:firstLine="361"/>
        <w:jc w:val="both"/>
        <w:rPr>
          <w:rFonts w:cstheme="minorHAnsi"/>
          <w:color w:val="000000" w:themeColor="text1"/>
          <w:sz w:val="18"/>
          <w:szCs w:val="18"/>
        </w:rPr>
      </w:pPr>
      <w:r w:rsidRPr="00CA46DB">
        <w:rPr>
          <w:rFonts w:cstheme="minorHAnsi"/>
          <w:b/>
          <w:bCs/>
          <w:color w:val="000000" w:themeColor="text1"/>
          <w:sz w:val="18"/>
          <w:szCs w:val="18"/>
        </w:rPr>
        <w:t>3.2.1. Introduction of polar groups on the main PI chain</w:t>
      </w:r>
      <w:r w:rsidRPr="00CA46DB">
        <w:rPr>
          <w:rFonts w:cstheme="minorHAnsi"/>
          <w:b/>
          <w:bCs/>
          <w:color w:val="000000" w:themeColor="text1"/>
          <w:sz w:val="18"/>
          <w:szCs w:val="18"/>
          <w:lang w:eastAsia="zh-CN"/>
        </w:rPr>
        <w:t xml:space="preserve">. </w:t>
      </w:r>
      <w:r w:rsidRPr="00CA46DB">
        <w:rPr>
          <w:rFonts w:cstheme="minorHAnsi"/>
          <w:color w:val="000000" w:themeColor="text1"/>
          <w:sz w:val="18"/>
          <w:szCs w:val="18"/>
        </w:rPr>
        <w:t>The cyano group (CN) has a high dipole moment (3.9D), and it is often introduced at different positions of the PI structure.</w:t>
      </w:r>
      <w:r w:rsidRPr="00CA46DB">
        <w:rPr>
          <w:rFonts w:cstheme="minorHAnsi"/>
          <w:color w:val="000000" w:themeColor="text1"/>
          <w:sz w:val="18"/>
          <w:szCs w:val="18"/>
          <w:vertAlign w:val="superscript"/>
        </w:rPr>
        <w:t>66−69</w:t>
      </w:r>
      <w:r w:rsidRPr="00CA46DB">
        <w:rPr>
          <w:rFonts w:cstheme="minorHAnsi"/>
          <w:color w:val="000000" w:themeColor="text1"/>
          <w:sz w:val="18"/>
          <w:szCs w:val="18"/>
        </w:rPr>
        <w:t xml:space="preserve"> </w:t>
      </w:r>
      <w:r w:rsidRPr="00CA46DB">
        <w:rPr>
          <w:rFonts w:cstheme="minorHAnsi"/>
          <w:color w:val="000000" w:themeColor="text1"/>
          <w:sz w:val="18"/>
          <w:szCs w:val="18"/>
          <w:lang w:eastAsia="zh-Hans"/>
        </w:rPr>
        <w:t xml:space="preserve">For example, </w:t>
      </w:r>
      <w:r w:rsidRPr="00CA46DB">
        <w:rPr>
          <w:rFonts w:cstheme="minorHAnsi"/>
          <w:color w:val="000000" w:themeColor="text1"/>
          <w:sz w:val="18"/>
          <w:szCs w:val="18"/>
        </w:rPr>
        <w:t>Treufeld et al. synthesized 12 novel PIs with one or three polar CN dipoles attached to aromatic diamines.</w:t>
      </w:r>
      <w:r w:rsidRPr="00CA46DB">
        <w:rPr>
          <w:rFonts w:cstheme="minorHAnsi"/>
          <w:color w:val="000000" w:themeColor="text1"/>
          <w:sz w:val="18"/>
          <w:szCs w:val="18"/>
          <w:vertAlign w:val="superscript"/>
        </w:rPr>
        <w:t>68</w:t>
      </w:r>
      <w:r w:rsidRPr="00CA46DB">
        <w:rPr>
          <w:rFonts w:cstheme="minorHAnsi"/>
          <w:color w:val="000000" w:themeColor="text1"/>
          <w:sz w:val="18"/>
          <w:szCs w:val="18"/>
        </w:rPr>
        <w:t xml:space="preserve"> The addition of highly polar CN groups to the PI structure increased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 xml:space="preserve">r </w:t>
      </w:r>
      <w:r w:rsidRPr="00CA46DB">
        <w:rPr>
          <w:rFonts w:cstheme="minorHAnsi"/>
          <w:color w:val="000000" w:themeColor="text1"/>
          <w:sz w:val="18"/>
          <w:szCs w:val="18"/>
        </w:rPr>
        <w:t>and therefore electrical energy storage, especially at higher temperature, and the effect of three CN dipoles was better than one</w:t>
      </w:r>
      <w:r w:rsidRPr="00CA46DB">
        <w:rPr>
          <w:rFonts w:cstheme="minorHAnsi" w:hint="eastAsia"/>
          <w:color w:val="000000" w:themeColor="text1"/>
          <w:sz w:val="18"/>
          <w:szCs w:val="18"/>
          <w:lang w:val="en-US" w:eastAsia="zh-CN"/>
        </w:rPr>
        <w:t xml:space="preserve"> CN</w:t>
      </w:r>
      <w:r w:rsidRPr="00CA46DB">
        <w:rPr>
          <w:rFonts w:cstheme="minorHAnsi"/>
          <w:color w:val="000000" w:themeColor="text1"/>
          <w:sz w:val="18"/>
          <w:szCs w:val="18"/>
        </w:rPr>
        <w:t xml:space="preserve">. At the same time,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also decreased in the order of para-para, meta-para, and meta-</w:t>
      </w:r>
    </w:p>
    <w:p w14:paraId="42817DC8" w14:textId="77777777" w:rsidR="003B6931" w:rsidRDefault="003B6931" w:rsidP="003B6931">
      <w:pPr>
        <w:tabs>
          <w:tab w:val="left" w:pos="3462"/>
        </w:tabs>
        <w:snapToGrid w:val="0"/>
        <w:spacing w:after="0" w:line="240" w:lineRule="exact"/>
        <w:ind w:firstLineChars="200" w:firstLine="360"/>
        <w:jc w:val="both"/>
        <w:rPr>
          <w:rFonts w:cstheme="minorHAnsi"/>
          <w:color w:val="000000" w:themeColor="text1"/>
          <w:sz w:val="18"/>
          <w:szCs w:val="18"/>
        </w:rPr>
      </w:pPr>
    </w:p>
    <w:p w14:paraId="19CD59E4" w14:textId="7CB4E350" w:rsidR="003B6931" w:rsidRPr="00CA46DB" w:rsidRDefault="003B6931" w:rsidP="003B6931">
      <w:pPr>
        <w:tabs>
          <w:tab w:val="left" w:pos="3462"/>
        </w:tabs>
        <w:snapToGrid w:val="0"/>
        <w:spacing w:after="0" w:line="240" w:lineRule="exact"/>
        <w:ind w:firstLineChars="200" w:firstLine="360"/>
        <w:jc w:val="both"/>
        <w:rPr>
          <w:rFonts w:cstheme="minorHAnsi"/>
          <w:color w:val="000000" w:themeColor="text1"/>
          <w:sz w:val="18"/>
          <w:szCs w:val="18"/>
        </w:rPr>
        <w:sectPr w:rsidR="003B6931" w:rsidRPr="00CA46DB">
          <w:type w:val="continuous"/>
          <w:pgSz w:w="11907" w:h="16840"/>
          <w:pgMar w:top="1009" w:right="851" w:bottom="1758" w:left="851" w:header="851" w:footer="1049" w:gutter="0"/>
          <w:cols w:num="2" w:space="227"/>
          <w:docGrid w:linePitch="360"/>
        </w:sectPr>
      </w:pPr>
    </w:p>
    <w:p w14:paraId="75FE4223" w14:textId="77777777" w:rsidR="00FC2A41" w:rsidRPr="00CA46DB" w:rsidRDefault="00166212">
      <w:pPr>
        <w:tabs>
          <w:tab w:val="left" w:pos="3462"/>
        </w:tabs>
        <w:snapToGrid w:val="0"/>
        <w:spacing w:after="0" w:line="240" w:lineRule="exact"/>
        <w:jc w:val="both"/>
        <w:rPr>
          <w:rFonts w:cstheme="minorHAnsi"/>
          <w:color w:val="000000" w:themeColor="text1"/>
          <w:sz w:val="24"/>
          <w:vertAlign w:val="superscript"/>
        </w:rPr>
      </w:pPr>
      <w:r w:rsidRPr="00CA46DB">
        <w:rPr>
          <w:rFonts w:cstheme="minorHAnsi"/>
          <w:b/>
          <w:bCs/>
          <w:color w:val="000000" w:themeColor="text1"/>
          <w:sz w:val="18"/>
          <w:szCs w:val="18"/>
        </w:rPr>
        <w:t>Table 2.</w:t>
      </w:r>
      <w:r w:rsidRPr="00CA46DB">
        <w:rPr>
          <w:rFonts w:cstheme="minorHAnsi"/>
          <w:color w:val="000000" w:themeColor="text1"/>
          <w:sz w:val="18"/>
          <w:szCs w:val="18"/>
        </w:rPr>
        <w:t xml:space="preserve"> Dielectric properties of commercial PIs</w:t>
      </w:r>
      <w:r w:rsidRPr="00CA46DB">
        <w:rPr>
          <w:rFonts w:cstheme="minorHAnsi"/>
          <w:color w:val="000000" w:themeColor="text1"/>
          <w:sz w:val="18"/>
          <w:szCs w:val="18"/>
          <w:vertAlign w:val="superscript"/>
        </w:rPr>
        <w:t xml:space="preserve"> 11, 47 49</w:t>
      </w:r>
    </w:p>
    <w:tbl>
      <w:tblPr>
        <w:tblStyle w:val="TableGrid"/>
        <w:tblpPr w:leftFromText="181" w:rightFromText="181" w:vertAnchor="text" w:horzAnchor="margin" w:tblpX="-176" w:tblpY="59"/>
        <w:tblOverlap w:val="never"/>
        <w:tblW w:w="108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19"/>
        <w:gridCol w:w="1010"/>
        <w:gridCol w:w="826"/>
        <w:gridCol w:w="2081"/>
        <w:gridCol w:w="1825"/>
        <w:gridCol w:w="1687"/>
      </w:tblGrid>
      <w:tr w:rsidR="00CA46DB" w:rsidRPr="00CA46DB" w14:paraId="2CBF33A8" w14:textId="77777777">
        <w:trPr>
          <w:trHeight w:val="369"/>
        </w:trPr>
        <w:tc>
          <w:tcPr>
            <w:tcW w:w="3419" w:type="dxa"/>
            <w:tcBorders>
              <w:top w:val="single" w:sz="4" w:space="0" w:color="auto"/>
              <w:bottom w:val="single" w:sz="4" w:space="0" w:color="auto"/>
            </w:tcBorders>
            <w:shd w:val="clear" w:color="auto" w:fill="auto"/>
            <w:vAlign w:val="center"/>
          </w:tcPr>
          <w:p w14:paraId="363C2F67" w14:textId="77777777" w:rsidR="00FC2A41" w:rsidRPr="00CA46DB" w:rsidRDefault="00166212">
            <w:pPr>
              <w:spacing w:after="0" w:line="240" w:lineRule="auto"/>
              <w:jc w:val="center"/>
              <w:rPr>
                <w:rFonts w:eastAsia="楷体-简" w:cstheme="minorHAnsi"/>
                <w:color w:val="000000" w:themeColor="text1"/>
                <w:sz w:val="18"/>
                <w:szCs w:val="18"/>
              </w:rPr>
            </w:pPr>
            <w:r w:rsidRPr="00CA46DB">
              <w:rPr>
                <w:rFonts w:eastAsia="楷体-简" w:cstheme="minorHAnsi"/>
                <w:color w:val="000000" w:themeColor="text1"/>
                <w:sz w:val="18"/>
                <w:szCs w:val="18"/>
              </w:rPr>
              <w:t>Structural formula</w:t>
            </w:r>
          </w:p>
        </w:tc>
        <w:tc>
          <w:tcPr>
            <w:tcW w:w="1010" w:type="dxa"/>
            <w:tcBorders>
              <w:top w:val="single" w:sz="4" w:space="0" w:color="auto"/>
              <w:bottom w:val="single" w:sz="4" w:space="0" w:color="auto"/>
            </w:tcBorders>
            <w:shd w:val="clear" w:color="auto" w:fill="auto"/>
            <w:vAlign w:val="center"/>
          </w:tcPr>
          <w:p w14:paraId="3DF35178" w14:textId="77777777" w:rsidR="00FC2A41" w:rsidRPr="00CA46DB" w:rsidRDefault="00166212">
            <w:pPr>
              <w:spacing w:after="0" w:line="240" w:lineRule="auto"/>
              <w:jc w:val="center"/>
              <w:rPr>
                <w:rFonts w:eastAsia="楷体-简" w:cstheme="minorHAnsi"/>
                <w:color w:val="000000" w:themeColor="text1"/>
                <w:sz w:val="18"/>
                <w:szCs w:val="18"/>
              </w:rPr>
            </w:pPr>
            <w:r w:rsidRPr="00CA46DB">
              <w:rPr>
                <w:rFonts w:eastAsia="楷体-简" w:cstheme="minorHAnsi"/>
                <w:color w:val="000000" w:themeColor="text1"/>
                <w:sz w:val="18"/>
                <w:szCs w:val="18"/>
              </w:rPr>
              <w:t>Name</w:t>
            </w:r>
          </w:p>
        </w:tc>
        <w:tc>
          <w:tcPr>
            <w:tcW w:w="826" w:type="dxa"/>
            <w:tcBorders>
              <w:top w:val="single" w:sz="4" w:space="0" w:color="auto"/>
              <w:bottom w:val="single" w:sz="4" w:space="0" w:color="auto"/>
            </w:tcBorders>
            <w:shd w:val="clear" w:color="auto" w:fill="auto"/>
            <w:vAlign w:val="center"/>
          </w:tcPr>
          <w:p w14:paraId="3A893446" w14:textId="77777777" w:rsidR="00FC2A41" w:rsidRPr="00CA46DB" w:rsidRDefault="00166212">
            <w:pPr>
              <w:spacing w:after="0" w:line="240" w:lineRule="auto"/>
              <w:jc w:val="center"/>
              <w:rPr>
                <w:rFonts w:eastAsia="楷体-简" w:cstheme="minorHAnsi"/>
                <w:color w:val="000000" w:themeColor="text1"/>
                <w:sz w:val="18"/>
                <w:szCs w:val="18"/>
              </w:rPr>
            </w:pPr>
            <w:r w:rsidRPr="00CA46DB">
              <w:rPr>
                <w:rFonts w:eastAsia="楷体-简" w:cstheme="minorHAnsi"/>
                <w:i/>
                <w:iCs/>
                <w:color w:val="000000" w:themeColor="text1"/>
                <w:sz w:val="18"/>
                <w:szCs w:val="18"/>
              </w:rPr>
              <w:t>T</w:t>
            </w:r>
            <w:r w:rsidRPr="00CA46DB">
              <w:rPr>
                <w:rFonts w:eastAsia="楷体-简" w:cstheme="minorHAnsi"/>
                <w:color w:val="000000" w:themeColor="text1"/>
                <w:sz w:val="18"/>
                <w:szCs w:val="18"/>
                <w:vertAlign w:val="subscript"/>
              </w:rPr>
              <w:t>g</w:t>
            </w:r>
            <w:r w:rsidRPr="00CA46DB">
              <w:rPr>
                <w:rFonts w:eastAsia="楷体-简" w:cstheme="minorHAnsi"/>
                <w:color w:val="000000" w:themeColor="text1"/>
                <w:sz w:val="18"/>
                <w:szCs w:val="18"/>
              </w:rPr>
              <w:t xml:space="preserve"> (</w:t>
            </w:r>
            <w:r w:rsidRPr="00CA46DB">
              <w:rPr>
                <w:rFonts w:ascii="Cambria Math" w:hAnsi="Cambria Math" w:cs="Cambria Math"/>
                <w:color w:val="000000" w:themeColor="text1"/>
                <w:sz w:val="18"/>
                <w:szCs w:val="18"/>
              </w:rPr>
              <w:t>℃</w:t>
            </w:r>
            <w:r w:rsidRPr="00CA46DB">
              <w:rPr>
                <w:rFonts w:eastAsia="楷体-简" w:cstheme="minorHAnsi"/>
                <w:color w:val="000000" w:themeColor="text1"/>
                <w:sz w:val="18"/>
                <w:szCs w:val="18"/>
              </w:rPr>
              <w:t>)</w:t>
            </w:r>
          </w:p>
        </w:tc>
        <w:tc>
          <w:tcPr>
            <w:tcW w:w="2081" w:type="dxa"/>
            <w:tcBorders>
              <w:top w:val="single" w:sz="4" w:space="0" w:color="auto"/>
              <w:bottom w:val="single" w:sz="4" w:space="0" w:color="auto"/>
            </w:tcBorders>
            <w:shd w:val="clear" w:color="auto" w:fill="auto"/>
            <w:vAlign w:val="center"/>
          </w:tcPr>
          <w:p w14:paraId="3CA72670" w14:textId="77777777" w:rsidR="00FC2A41" w:rsidRPr="00CA46DB" w:rsidRDefault="00166212">
            <w:pPr>
              <w:spacing w:after="0" w:line="240" w:lineRule="auto"/>
              <w:jc w:val="center"/>
              <w:rPr>
                <w:rFonts w:eastAsia="楷体-简" w:cstheme="minorHAnsi"/>
                <w:color w:val="000000" w:themeColor="text1"/>
                <w:sz w:val="18"/>
                <w:szCs w:val="18"/>
              </w:rPr>
            </w:pPr>
            <w:r w:rsidRPr="00CA46DB">
              <w:rPr>
                <w:rFonts w:eastAsia="楷体-简" w:cstheme="minorHAnsi"/>
                <w:i/>
                <w:iCs/>
                <w:color w:val="000000" w:themeColor="text1"/>
                <w:sz w:val="18"/>
                <w:szCs w:val="18"/>
              </w:rPr>
              <w:t>ε</w:t>
            </w:r>
            <w:r w:rsidRPr="00CA46DB">
              <w:rPr>
                <w:rFonts w:eastAsia="楷体-简" w:cstheme="minorHAnsi"/>
                <w:color w:val="000000" w:themeColor="text1"/>
                <w:sz w:val="18"/>
                <w:szCs w:val="18"/>
                <w:vertAlign w:val="subscript"/>
              </w:rPr>
              <w:t>r</w:t>
            </w:r>
          </w:p>
        </w:tc>
        <w:tc>
          <w:tcPr>
            <w:tcW w:w="1825" w:type="dxa"/>
            <w:tcBorders>
              <w:top w:val="single" w:sz="4" w:space="0" w:color="auto"/>
              <w:bottom w:val="single" w:sz="4" w:space="0" w:color="auto"/>
            </w:tcBorders>
            <w:shd w:val="clear" w:color="auto" w:fill="auto"/>
            <w:vAlign w:val="center"/>
          </w:tcPr>
          <w:p w14:paraId="737A7BB0" w14:textId="77777777" w:rsidR="00FC2A41" w:rsidRPr="00CA46DB" w:rsidRDefault="00166212">
            <w:pPr>
              <w:spacing w:after="0" w:line="240" w:lineRule="auto"/>
              <w:jc w:val="center"/>
              <w:rPr>
                <w:rFonts w:eastAsia="楷体-简" w:cstheme="minorHAnsi"/>
                <w:color w:val="000000" w:themeColor="text1"/>
                <w:sz w:val="18"/>
                <w:szCs w:val="18"/>
              </w:rPr>
            </w:pPr>
            <w:r w:rsidRPr="00CA46DB">
              <w:rPr>
                <w:rFonts w:eastAsia="楷体-简" w:cstheme="minorHAnsi"/>
                <w:color w:val="000000" w:themeColor="text1"/>
                <w:sz w:val="18"/>
                <w:szCs w:val="18"/>
              </w:rPr>
              <w:t>tan</w:t>
            </w:r>
            <w:r w:rsidRPr="00CA46DB">
              <w:rPr>
                <w:rFonts w:eastAsia="楷体-简" w:cstheme="minorHAnsi"/>
                <w:i/>
                <w:iCs/>
                <w:color w:val="000000" w:themeColor="text1"/>
                <w:sz w:val="18"/>
                <w:szCs w:val="18"/>
              </w:rPr>
              <w:t>δ</w:t>
            </w:r>
            <w:r w:rsidRPr="00CA46DB">
              <w:rPr>
                <w:rFonts w:eastAsia="楷体-简" w:cstheme="minorHAnsi"/>
                <w:color w:val="000000" w:themeColor="text1"/>
                <w:sz w:val="18"/>
                <w:szCs w:val="18"/>
              </w:rPr>
              <w:t xml:space="preserve"> %</w:t>
            </w:r>
          </w:p>
        </w:tc>
        <w:tc>
          <w:tcPr>
            <w:tcW w:w="1687" w:type="dxa"/>
            <w:tcBorders>
              <w:top w:val="single" w:sz="4" w:space="0" w:color="auto"/>
              <w:bottom w:val="single" w:sz="4" w:space="0" w:color="auto"/>
            </w:tcBorders>
            <w:shd w:val="clear" w:color="auto" w:fill="auto"/>
            <w:vAlign w:val="center"/>
          </w:tcPr>
          <w:p w14:paraId="3CE80972" w14:textId="77777777" w:rsidR="00FC2A41" w:rsidRPr="00CA46DB" w:rsidRDefault="00166212">
            <w:pPr>
              <w:spacing w:after="0" w:line="240" w:lineRule="auto"/>
              <w:jc w:val="center"/>
              <w:rPr>
                <w:rFonts w:eastAsia="楷体-简" w:cstheme="minorHAnsi"/>
                <w:color w:val="000000" w:themeColor="text1"/>
                <w:sz w:val="18"/>
                <w:szCs w:val="18"/>
              </w:rPr>
            </w:pPr>
            <w:r w:rsidRPr="00CA46DB">
              <w:rPr>
                <w:rFonts w:cstheme="minorHAnsi"/>
                <w:i/>
                <w:color w:val="000000" w:themeColor="text1"/>
                <w:sz w:val="18"/>
                <w:szCs w:val="18"/>
              </w:rPr>
              <w:t>E</w:t>
            </w:r>
            <w:r w:rsidRPr="00CA46DB">
              <w:rPr>
                <w:rFonts w:eastAsia="楷体-简" w:cstheme="minorHAnsi"/>
                <w:color w:val="000000" w:themeColor="text1"/>
                <w:sz w:val="18"/>
                <w:szCs w:val="18"/>
                <w:vertAlign w:val="subscript"/>
              </w:rPr>
              <w:t xml:space="preserve">b </w:t>
            </w:r>
            <w:r w:rsidRPr="00CA46DB">
              <w:rPr>
                <w:rFonts w:eastAsia="楷体-简" w:cstheme="minorHAnsi"/>
                <w:color w:val="000000" w:themeColor="text1"/>
                <w:sz w:val="18"/>
                <w:szCs w:val="18"/>
              </w:rPr>
              <w:t>(</w:t>
            </w:r>
            <w:r w:rsidRPr="00CA46DB">
              <w:rPr>
                <w:rFonts w:cstheme="minorHAnsi"/>
                <w:color w:val="000000" w:themeColor="text1"/>
                <w:sz w:val="18"/>
                <w:szCs w:val="18"/>
              </w:rPr>
              <w:t>MV·m</w:t>
            </w:r>
            <w:r w:rsidRPr="00CA46DB">
              <w:rPr>
                <w:rFonts w:cstheme="minorHAnsi"/>
                <w:color w:val="000000" w:themeColor="text1"/>
                <w:sz w:val="18"/>
                <w:szCs w:val="18"/>
                <w:vertAlign w:val="superscript"/>
              </w:rPr>
              <w:t>−1</w:t>
            </w:r>
            <w:r w:rsidRPr="00CA46DB">
              <w:rPr>
                <w:rFonts w:eastAsia="楷体-简" w:cstheme="minorHAnsi"/>
                <w:color w:val="000000" w:themeColor="text1"/>
                <w:sz w:val="18"/>
                <w:szCs w:val="18"/>
              </w:rPr>
              <w:t>)</w:t>
            </w:r>
          </w:p>
        </w:tc>
      </w:tr>
      <w:tr w:rsidR="00CA46DB" w:rsidRPr="00CA46DB" w14:paraId="4677565F" w14:textId="77777777">
        <w:trPr>
          <w:trHeight w:val="731"/>
        </w:trPr>
        <w:tc>
          <w:tcPr>
            <w:tcW w:w="3419" w:type="dxa"/>
            <w:tcBorders>
              <w:top w:val="single" w:sz="4" w:space="0" w:color="auto"/>
            </w:tcBorders>
            <w:shd w:val="clear" w:color="auto" w:fill="auto"/>
            <w:vAlign w:val="center"/>
          </w:tcPr>
          <w:p w14:paraId="3E2D7452" w14:textId="77777777" w:rsidR="00FC2A41" w:rsidRPr="00CA46DB" w:rsidRDefault="00166212">
            <w:pPr>
              <w:spacing w:after="0" w:line="240" w:lineRule="auto"/>
              <w:jc w:val="center"/>
              <w:rPr>
                <w:rFonts w:cstheme="minorHAnsi"/>
                <w:color w:val="000000" w:themeColor="text1"/>
                <w:sz w:val="20"/>
              </w:rPr>
            </w:pPr>
            <w:r w:rsidRPr="00CA46DB">
              <w:rPr>
                <w:rFonts w:cstheme="minorHAnsi"/>
                <w:noProof/>
                <w:color w:val="000000" w:themeColor="text1"/>
                <w:sz w:val="20"/>
                <w:lang w:eastAsia="zh-CN"/>
              </w:rPr>
              <w:drawing>
                <wp:inline distT="0" distB="0" distL="114300" distR="114300" wp14:anchorId="67609B85" wp14:editId="003B1908">
                  <wp:extent cx="1402080" cy="429260"/>
                  <wp:effectExtent l="0" t="0" r="0" b="0"/>
                  <wp:docPr id="19" name="图片 19" descr="Kap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Kapton"/>
                          <pic:cNvPicPr>
                            <a:picLocks noChangeAspect="1"/>
                          </pic:cNvPicPr>
                        </pic:nvPicPr>
                        <pic:blipFill>
                          <a:blip r:embed="rId22"/>
                          <a:stretch>
                            <a:fillRect/>
                          </a:stretch>
                        </pic:blipFill>
                        <pic:spPr>
                          <a:xfrm>
                            <a:off x="0" y="0"/>
                            <a:ext cx="1429392" cy="438115"/>
                          </a:xfrm>
                          <a:prstGeom prst="rect">
                            <a:avLst/>
                          </a:prstGeom>
                        </pic:spPr>
                      </pic:pic>
                    </a:graphicData>
                  </a:graphic>
                </wp:inline>
              </w:drawing>
            </w:r>
          </w:p>
        </w:tc>
        <w:tc>
          <w:tcPr>
            <w:tcW w:w="1010" w:type="dxa"/>
            <w:tcBorders>
              <w:top w:val="single" w:sz="4" w:space="0" w:color="auto"/>
            </w:tcBorders>
            <w:shd w:val="clear" w:color="auto" w:fill="auto"/>
            <w:vAlign w:val="center"/>
          </w:tcPr>
          <w:p w14:paraId="70D441C8"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Kapton</w:t>
            </w:r>
          </w:p>
        </w:tc>
        <w:tc>
          <w:tcPr>
            <w:tcW w:w="826" w:type="dxa"/>
            <w:tcBorders>
              <w:top w:val="single" w:sz="4" w:space="0" w:color="auto"/>
            </w:tcBorders>
            <w:shd w:val="clear" w:color="auto" w:fill="auto"/>
            <w:vAlign w:val="center"/>
          </w:tcPr>
          <w:p w14:paraId="19EC8740"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360</w:t>
            </w:r>
          </w:p>
        </w:tc>
        <w:tc>
          <w:tcPr>
            <w:tcW w:w="2081" w:type="dxa"/>
            <w:tcBorders>
              <w:top w:val="single" w:sz="4" w:space="0" w:color="auto"/>
            </w:tcBorders>
            <w:shd w:val="clear" w:color="auto" w:fill="auto"/>
            <w:vAlign w:val="center"/>
          </w:tcPr>
          <w:p w14:paraId="220D63D0"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 xml:space="preserve">3.1@25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at </w:t>
            </w:r>
            <w:r w:rsidRPr="00CA46DB">
              <w:rPr>
                <w:rFonts w:eastAsia="楷体-简" w:cstheme="minorHAnsi"/>
                <w:color w:val="000000" w:themeColor="text1"/>
                <w:sz w:val="18"/>
                <w:szCs w:val="18"/>
              </w:rPr>
              <w:t>1 kHz</w:t>
            </w:r>
          </w:p>
          <w:p w14:paraId="76BAF9ED"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2.8@300</w:t>
            </w:r>
            <w:r w:rsidRPr="00CA46DB">
              <w:rPr>
                <w:rFonts w:eastAsia="楷体-简" w:cstheme="minorHAnsi"/>
                <w:color w:val="000000" w:themeColor="text1"/>
                <w:sz w:val="18"/>
                <w:szCs w:val="18"/>
              </w:rPr>
              <w:t xml:space="preserve"> </w:t>
            </w:r>
            <w:r w:rsidRPr="00CA46DB">
              <w:rPr>
                <w:rFonts w:ascii="Cambria Math" w:hAnsi="Cambria Math" w:cs="Cambria Math"/>
                <w:color w:val="000000" w:themeColor="text1"/>
                <w:sz w:val="18"/>
                <w:szCs w:val="18"/>
              </w:rPr>
              <w:t>℃</w:t>
            </w:r>
            <w:r w:rsidRPr="00CA46DB">
              <w:rPr>
                <w:rFonts w:eastAsia="楷体-简" w:cstheme="minorHAnsi"/>
                <w:color w:val="000000" w:themeColor="text1"/>
                <w:sz w:val="18"/>
                <w:szCs w:val="18"/>
              </w:rPr>
              <w:t xml:space="preserve"> </w:t>
            </w:r>
            <w:r w:rsidRPr="00CA46DB">
              <w:rPr>
                <w:rFonts w:cstheme="minorHAnsi"/>
                <w:color w:val="000000" w:themeColor="text1"/>
                <w:sz w:val="18"/>
                <w:szCs w:val="18"/>
              </w:rPr>
              <w:t xml:space="preserve">at </w:t>
            </w:r>
            <w:r w:rsidRPr="00CA46DB">
              <w:rPr>
                <w:rFonts w:eastAsia="楷体-简" w:cstheme="minorHAnsi"/>
                <w:color w:val="000000" w:themeColor="text1"/>
                <w:sz w:val="18"/>
                <w:szCs w:val="18"/>
              </w:rPr>
              <w:t>1 kHz</w:t>
            </w:r>
          </w:p>
        </w:tc>
        <w:tc>
          <w:tcPr>
            <w:tcW w:w="1825" w:type="dxa"/>
            <w:tcBorders>
              <w:top w:val="single" w:sz="4" w:space="0" w:color="auto"/>
            </w:tcBorders>
            <w:shd w:val="clear" w:color="auto" w:fill="auto"/>
            <w:vAlign w:val="center"/>
          </w:tcPr>
          <w:p w14:paraId="7E12F15B"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0.1</w:t>
            </w:r>
            <w:r w:rsidRPr="00CA46DB">
              <w:rPr>
                <w:rFonts w:eastAsia="楷体-简" w:cstheme="minorHAnsi"/>
                <w:color w:val="000000" w:themeColor="text1"/>
                <w:sz w:val="18"/>
                <w:szCs w:val="18"/>
              </w:rPr>
              <w:t>@</w:t>
            </w:r>
            <w:r w:rsidRPr="00CA46DB">
              <w:rPr>
                <w:rFonts w:cstheme="minorHAnsi"/>
                <w:color w:val="000000" w:themeColor="text1"/>
                <w:sz w:val="18"/>
                <w:szCs w:val="18"/>
              </w:rPr>
              <w:t>25</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rPr>
              <w:t>℃</w:t>
            </w:r>
          </w:p>
          <w:p w14:paraId="37C21E6E"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6</w:t>
            </w:r>
            <w:r w:rsidRPr="00CA46DB">
              <w:rPr>
                <w:rFonts w:eastAsia="楷体-简" w:cstheme="minorHAnsi"/>
                <w:color w:val="000000" w:themeColor="text1"/>
                <w:sz w:val="18"/>
                <w:szCs w:val="18"/>
              </w:rPr>
              <w:t>@</w:t>
            </w:r>
            <w:r w:rsidRPr="00CA46DB">
              <w:rPr>
                <w:rFonts w:cstheme="minorHAnsi"/>
                <w:color w:val="000000" w:themeColor="text1"/>
                <w:sz w:val="18"/>
                <w:szCs w:val="18"/>
              </w:rPr>
              <w:t>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rPr>
              <w:t>℃</w:t>
            </w:r>
          </w:p>
        </w:tc>
        <w:tc>
          <w:tcPr>
            <w:tcW w:w="1687" w:type="dxa"/>
            <w:tcBorders>
              <w:top w:val="single" w:sz="4" w:space="0" w:color="auto"/>
            </w:tcBorders>
            <w:shd w:val="clear" w:color="auto" w:fill="auto"/>
            <w:vAlign w:val="center"/>
          </w:tcPr>
          <w:p w14:paraId="2D162ADE"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154–303 (7.6–127μm)</w:t>
            </w:r>
          </w:p>
        </w:tc>
      </w:tr>
      <w:tr w:rsidR="00CA46DB" w:rsidRPr="00CA46DB" w14:paraId="2373EF20" w14:textId="77777777">
        <w:trPr>
          <w:trHeight w:val="731"/>
        </w:trPr>
        <w:tc>
          <w:tcPr>
            <w:tcW w:w="3419" w:type="dxa"/>
            <w:shd w:val="clear" w:color="auto" w:fill="auto"/>
            <w:vAlign w:val="center"/>
          </w:tcPr>
          <w:p w14:paraId="6B395E8A" w14:textId="77777777" w:rsidR="00FC2A41" w:rsidRPr="00CA46DB" w:rsidRDefault="00166212">
            <w:pPr>
              <w:spacing w:after="0" w:line="240" w:lineRule="auto"/>
              <w:jc w:val="center"/>
              <w:rPr>
                <w:rFonts w:cstheme="minorHAnsi"/>
                <w:color w:val="000000" w:themeColor="text1"/>
                <w:sz w:val="20"/>
              </w:rPr>
            </w:pPr>
            <w:r w:rsidRPr="00CA46DB">
              <w:rPr>
                <w:rFonts w:cstheme="minorHAnsi"/>
                <w:noProof/>
                <w:color w:val="000000" w:themeColor="text1"/>
                <w:sz w:val="20"/>
                <w:lang w:eastAsia="zh-CN"/>
              </w:rPr>
              <w:drawing>
                <wp:inline distT="0" distB="0" distL="114300" distR="114300" wp14:anchorId="763C07F8" wp14:editId="780A9A8C">
                  <wp:extent cx="1348105" cy="418465"/>
                  <wp:effectExtent l="0" t="0" r="0" b="0"/>
                  <wp:docPr id="21" name="图片 21" descr="Upilex-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Upilex-S"/>
                          <pic:cNvPicPr>
                            <a:picLocks noChangeAspect="1"/>
                          </pic:cNvPicPr>
                        </pic:nvPicPr>
                        <pic:blipFill>
                          <a:blip r:embed="rId23"/>
                          <a:stretch>
                            <a:fillRect/>
                          </a:stretch>
                        </pic:blipFill>
                        <pic:spPr>
                          <a:xfrm>
                            <a:off x="0" y="0"/>
                            <a:ext cx="1371749" cy="426091"/>
                          </a:xfrm>
                          <a:prstGeom prst="rect">
                            <a:avLst/>
                          </a:prstGeom>
                        </pic:spPr>
                      </pic:pic>
                    </a:graphicData>
                  </a:graphic>
                </wp:inline>
              </w:drawing>
            </w:r>
          </w:p>
        </w:tc>
        <w:tc>
          <w:tcPr>
            <w:tcW w:w="1010" w:type="dxa"/>
            <w:shd w:val="clear" w:color="auto" w:fill="auto"/>
            <w:vAlign w:val="center"/>
          </w:tcPr>
          <w:p w14:paraId="12ECC0C8"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Upilex-S</w:t>
            </w:r>
          </w:p>
        </w:tc>
        <w:tc>
          <w:tcPr>
            <w:tcW w:w="826" w:type="dxa"/>
            <w:shd w:val="clear" w:color="auto" w:fill="auto"/>
            <w:vAlign w:val="center"/>
          </w:tcPr>
          <w:p w14:paraId="1FAC7AD2"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355</w:t>
            </w:r>
          </w:p>
        </w:tc>
        <w:tc>
          <w:tcPr>
            <w:tcW w:w="2081" w:type="dxa"/>
            <w:shd w:val="clear" w:color="auto" w:fill="auto"/>
            <w:vAlign w:val="center"/>
          </w:tcPr>
          <w:p w14:paraId="36F08CAD"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 xml:space="preserve">3.3@25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at 1 kHz</w:t>
            </w:r>
          </w:p>
          <w:p w14:paraId="4551A024"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3.3@300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at 1 kHz</w:t>
            </w:r>
          </w:p>
        </w:tc>
        <w:tc>
          <w:tcPr>
            <w:tcW w:w="1825" w:type="dxa"/>
            <w:shd w:val="clear" w:color="auto" w:fill="auto"/>
            <w:vAlign w:val="center"/>
          </w:tcPr>
          <w:p w14:paraId="67795001"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0.1</w:t>
            </w:r>
          </w:p>
          <w:p w14:paraId="33FF28C8"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25</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and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rPr>
              <w:t>℃</w:t>
            </w:r>
          </w:p>
          <w:p w14:paraId="5ECC4224"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 xml:space="preserve">at </w:t>
            </w:r>
            <w:r w:rsidRPr="00CA46DB">
              <w:rPr>
                <w:rFonts w:eastAsia="楷体-简" w:cstheme="minorHAnsi"/>
                <w:color w:val="000000" w:themeColor="text1"/>
                <w:sz w:val="18"/>
                <w:szCs w:val="18"/>
              </w:rPr>
              <w:t>1 kHz</w:t>
            </w:r>
          </w:p>
        </w:tc>
        <w:tc>
          <w:tcPr>
            <w:tcW w:w="1687" w:type="dxa"/>
            <w:shd w:val="clear" w:color="auto" w:fill="auto"/>
            <w:vAlign w:val="center"/>
          </w:tcPr>
          <w:p w14:paraId="5D1255D7"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272 (25um)</w:t>
            </w:r>
          </w:p>
        </w:tc>
      </w:tr>
      <w:tr w:rsidR="00CA46DB" w:rsidRPr="00CA46DB" w14:paraId="6F30125A" w14:textId="77777777">
        <w:trPr>
          <w:trHeight w:val="731"/>
        </w:trPr>
        <w:tc>
          <w:tcPr>
            <w:tcW w:w="3419" w:type="dxa"/>
            <w:shd w:val="clear" w:color="auto" w:fill="auto"/>
            <w:vAlign w:val="center"/>
          </w:tcPr>
          <w:p w14:paraId="31A9662F" w14:textId="77777777" w:rsidR="00FC2A41" w:rsidRPr="00CA46DB" w:rsidRDefault="00166212">
            <w:pPr>
              <w:spacing w:after="0" w:line="240" w:lineRule="auto"/>
              <w:jc w:val="center"/>
              <w:rPr>
                <w:rFonts w:cstheme="minorHAnsi"/>
                <w:color w:val="000000" w:themeColor="text1"/>
                <w:sz w:val="20"/>
              </w:rPr>
            </w:pPr>
            <w:r w:rsidRPr="00CA46DB">
              <w:rPr>
                <w:rFonts w:cstheme="minorHAnsi"/>
                <w:noProof/>
                <w:color w:val="000000" w:themeColor="text1"/>
                <w:sz w:val="20"/>
                <w:lang w:eastAsia="zh-CN"/>
              </w:rPr>
              <w:drawing>
                <wp:inline distT="0" distB="0" distL="114300" distR="114300" wp14:anchorId="49D7D2D6" wp14:editId="77C03DD2">
                  <wp:extent cx="2103120" cy="374650"/>
                  <wp:effectExtent l="0" t="0" r="0" b="6350"/>
                  <wp:docPr id="22" name="图片 22" descr="PF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PFPI"/>
                          <pic:cNvPicPr>
                            <a:picLocks noChangeAspect="1"/>
                          </pic:cNvPicPr>
                        </pic:nvPicPr>
                        <pic:blipFill>
                          <a:blip r:embed="rId24"/>
                          <a:stretch>
                            <a:fillRect/>
                          </a:stretch>
                        </pic:blipFill>
                        <pic:spPr>
                          <a:xfrm>
                            <a:off x="0" y="0"/>
                            <a:ext cx="2119663" cy="378190"/>
                          </a:xfrm>
                          <a:prstGeom prst="rect">
                            <a:avLst/>
                          </a:prstGeom>
                        </pic:spPr>
                      </pic:pic>
                    </a:graphicData>
                  </a:graphic>
                </wp:inline>
              </w:drawing>
            </w:r>
          </w:p>
        </w:tc>
        <w:tc>
          <w:tcPr>
            <w:tcW w:w="1010" w:type="dxa"/>
            <w:shd w:val="clear" w:color="auto" w:fill="auto"/>
            <w:vAlign w:val="center"/>
          </w:tcPr>
          <w:p w14:paraId="4AC1DE75"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PFPI</w:t>
            </w:r>
          </w:p>
        </w:tc>
        <w:tc>
          <w:tcPr>
            <w:tcW w:w="826" w:type="dxa"/>
            <w:shd w:val="clear" w:color="auto" w:fill="auto"/>
            <w:vAlign w:val="center"/>
          </w:tcPr>
          <w:p w14:paraId="0A800FFD"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&gt; 300</w:t>
            </w:r>
          </w:p>
        </w:tc>
        <w:tc>
          <w:tcPr>
            <w:tcW w:w="2081" w:type="dxa"/>
            <w:shd w:val="clear" w:color="auto" w:fill="auto"/>
            <w:vAlign w:val="center"/>
          </w:tcPr>
          <w:p w14:paraId="6DF21C72"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3.1@25</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at 1 kHz</w:t>
            </w:r>
          </w:p>
          <w:p w14:paraId="7C3A42D0"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2.9@300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t </w:t>
            </w:r>
            <w:r w:rsidRPr="00CA46DB">
              <w:rPr>
                <w:rFonts w:eastAsia="楷体-简" w:cstheme="minorHAnsi"/>
                <w:color w:val="000000" w:themeColor="text1"/>
                <w:sz w:val="18"/>
                <w:szCs w:val="18"/>
              </w:rPr>
              <w:t>1 kHz</w:t>
            </w:r>
          </w:p>
        </w:tc>
        <w:tc>
          <w:tcPr>
            <w:tcW w:w="1825" w:type="dxa"/>
            <w:shd w:val="clear" w:color="auto" w:fill="auto"/>
            <w:vAlign w:val="center"/>
          </w:tcPr>
          <w:p w14:paraId="62221A13"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0.1</w:t>
            </w:r>
          </w:p>
          <w:p w14:paraId="514F3620"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25</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and 300</w:t>
            </w:r>
            <w:r w:rsidRPr="00CA46DB">
              <w:rPr>
                <w:rFonts w:ascii="Cambria Math" w:hAnsi="Cambria Math" w:cs="Cambria Math"/>
                <w:color w:val="000000" w:themeColor="text1"/>
                <w:sz w:val="18"/>
                <w:szCs w:val="18"/>
              </w:rPr>
              <w:t>℃</w:t>
            </w:r>
          </w:p>
          <w:p w14:paraId="66DC40B1"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at 1kHz</w:t>
            </w:r>
          </w:p>
        </w:tc>
        <w:tc>
          <w:tcPr>
            <w:tcW w:w="1687" w:type="dxa"/>
            <w:shd w:val="clear" w:color="auto" w:fill="auto"/>
            <w:vAlign w:val="center"/>
          </w:tcPr>
          <w:p w14:paraId="2AAAA2B0"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w:t>
            </w:r>
          </w:p>
        </w:tc>
      </w:tr>
      <w:tr w:rsidR="00CA46DB" w:rsidRPr="00CA46DB" w14:paraId="113CDA0C" w14:textId="77777777">
        <w:trPr>
          <w:trHeight w:val="799"/>
        </w:trPr>
        <w:tc>
          <w:tcPr>
            <w:tcW w:w="3419" w:type="dxa"/>
            <w:shd w:val="clear" w:color="auto" w:fill="auto"/>
            <w:vAlign w:val="center"/>
          </w:tcPr>
          <w:p w14:paraId="223CED6D" w14:textId="77777777" w:rsidR="00FC2A41" w:rsidRPr="00CA46DB" w:rsidRDefault="00166212">
            <w:pPr>
              <w:spacing w:after="0" w:line="240" w:lineRule="auto"/>
              <w:jc w:val="center"/>
              <w:rPr>
                <w:rFonts w:cstheme="minorHAnsi"/>
                <w:color w:val="000000" w:themeColor="text1"/>
                <w:sz w:val="20"/>
              </w:rPr>
            </w:pPr>
            <w:r w:rsidRPr="00CA46DB">
              <w:rPr>
                <w:rFonts w:cstheme="minorHAnsi"/>
                <w:noProof/>
                <w:color w:val="000000" w:themeColor="text1"/>
                <w:sz w:val="20"/>
                <w:lang w:eastAsia="zh-CN"/>
              </w:rPr>
              <w:drawing>
                <wp:inline distT="0" distB="0" distL="114300" distR="114300" wp14:anchorId="25109894" wp14:editId="08BA1FD7">
                  <wp:extent cx="1879600" cy="420370"/>
                  <wp:effectExtent l="0" t="0" r="0" b="0"/>
                  <wp:docPr id="23" name="图片 23" descr="SIXEF-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SIXEF-44"/>
                          <pic:cNvPicPr>
                            <a:picLocks noChangeAspect="1"/>
                          </pic:cNvPicPr>
                        </pic:nvPicPr>
                        <pic:blipFill>
                          <a:blip r:embed="rId25"/>
                          <a:stretch>
                            <a:fillRect/>
                          </a:stretch>
                        </pic:blipFill>
                        <pic:spPr>
                          <a:xfrm>
                            <a:off x="0" y="0"/>
                            <a:ext cx="1919980" cy="429409"/>
                          </a:xfrm>
                          <a:prstGeom prst="rect">
                            <a:avLst/>
                          </a:prstGeom>
                        </pic:spPr>
                      </pic:pic>
                    </a:graphicData>
                  </a:graphic>
                </wp:inline>
              </w:drawing>
            </w:r>
          </w:p>
        </w:tc>
        <w:tc>
          <w:tcPr>
            <w:tcW w:w="1010" w:type="dxa"/>
            <w:shd w:val="clear" w:color="auto" w:fill="auto"/>
            <w:vAlign w:val="center"/>
          </w:tcPr>
          <w:p w14:paraId="166D2346"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SIXEF-44</w:t>
            </w:r>
          </w:p>
        </w:tc>
        <w:tc>
          <w:tcPr>
            <w:tcW w:w="826" w:type="dxa"/>
            <w:shd w:val="clear" w:color="auto" w:fill="auto"/>
            <w:vAlign w:val="center"/>
          </w:tcPr>
          <w:p w14:paraId="73EF0281"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323</w:t>
            </w:r>
          </w:p>
        </w:tc>
        <w:tc>
          <w:tcPr>
            <w:tcW w:w="2081" w:type="dxa"/>
            <w:shd w:val="clear" w:color="auto" w:fill="auto"/>
            <w:vAlign w:val="center"/>
          </w:tcPr>
          <w:p w14:paraId="333FF30B"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2.8 at 1 kHz</w:t>
            </w:r>
          </w:p>
          <w:p w14:paraId="375BC14B"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&lt; 10%</w:t>
            </w:r>
            <w:r w:rsidRPr="00CA46DB">
              <w:rPr>
                <w:rFonts w:eastAsia="楷体-简" w:cstheme="minorHAnsi"/>
                <w:color w:val="000000" w:themeColor="text1"/>
                <w:sz w:val="18"/>
                <w:szCs w:val="18"/>
              </w:rPr>
              <w:t xml:space="preserve"> </w:t>
            </w:r>
            <w:r w:rsidRPr="00CA46DB">
              <w:rPr>
                <w:rFonts w:cstheme="minorHAnsi"/>
                <w:color w:val="000000" w:themeColor="text1"/>
                <w:sz w:val="18"/>
                <w:szCs w:val="18"/>
              </w:rPr>
              <w:t>change (from−55 to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w:t>
            </w:r>
          </w:p>
        </w:tc>
        <w:tc>
          <w:tcPr>
            <w:tcW w:w="1825" w:type="dxa"/>
            <w:shd w:val="clear" w:color="auto" w:fill="auto"/>
            <w:vAlign w:val="center"/>
          </w:tcPr>
          <w:p w14:paraId="56131AFC"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0.1</w:t>
            </w:r>
          </w:p>
          <w:p w14:paraId="35FF0CFD"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25−250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rPr>
              <w:t>℃</w:t>
            </w:r>
          </w:p>
          <w:p w14:paraId="14A21EC7"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 xml:space="preserve">at </w:t>
            </w:r>
            <w:r w:rsidRPr="00CA46DB">
              <w:rPr>
                <w:rFonts w:eastAsia="楷体-简" w:cstheme="minorHAnsi"/>
                <w:color w:val="000000" w:themeColor="text1"/>
                <w:sz w:val="18"/>
                <w:szCs w:val="18"/>
              </w:rPr>
              <w:t xml:space="preserve">100 </w:t>
            </w:r>
            <w:r w:rsidRPr="00CA46DB">
              <w:rPr>
                <w:rFonts w:cstheme="minorHAnsi"/>
                <w:color w:val="000000" w:themeColor="text1"/>
                <w:sz w:val="18"/>
                <w:szCs w:val="18"/>
              </w:rPr>
              <w:t>−10 kHz</w:t>
            </w:r>
          </w:p>
        </w:tc>
        <w:tc>
          <w:tcPr>
            <w:tcW w:w="1687" w:type="dxa"/>
            <w:shd w:val="clear" w:color="auto" w:fill="auto"/>
            <w:vAlign w:val="center"/>
          </w:tcPr>
          <w:p w14:paraId="2A837C1B"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w:t>
            </w:r>
          </w:p>
        </w:tc>
      </w:tr>
      <w:tr w:rsidR="00CA46DB" w:rsidRPr="00CA46DB" w14:paraId="18E8E368" w14:textId="77777777">
        <w:trPr>
          <w:trHeight w:val="742"/>
        </w:trPr>
        <w:tc>
          <w:tcPr>
            <w:tcW w:w="3419" w:type="dxa"/>
            <w:tcBorders>
              <w:bottom w:val="single" w:sz="4" w:space="0" w:color="auto"/>
            </w:tcBorders>
            <w:shd w:val="clear" w:color="auto" w:fill="auto"/>
            <w:vAlign w:val="center"/>
          </w:tcPr>
          <w:p w14:paraId="6685C7B6" w14:textId="77777777" w:rsidR="00FC2A41" w:rsidRPr="00CA46DB" w:rsidRDefault="00166212">
            <w:pPr>
              <w:spacing w:after="0" w:line="240" w:lineRule="auto"/>
              <w:jc w:val="center"/>
              <w:rPr>
                <w:rFonts w:cstheme="minorHAnsi"/>
                <w:color w:val="000000" w:themeColor="text1"/>
                <w:sz w:val="20"/>
              </w:rPr>
            </w:pPr>
            <w:r w:rsidRPr="00CA46DB">
              <w:rPr>
                <w:rFonts w:cstheme="minorHAnsi"/>
                <w:noProof/>
                <w:color w:val="000000" w:themeColor="text1"/>
                <w:sz w:val="20"/>
                <w:lang w:eastAsia="zh-CN"/>
              </w:rPr>
              <w:drawing>
                <wp:inline distT="0" distB="0" distL="114300" distR="114300" wp14:anchorId="676425D0" wp14:editId="080B8AF0">
                  <wp:extent cx="2056765" cy="381000"/>
                  <wp:effectExtent l="0" t="0" r="635" b="0"/>
                  <wp:docPr id="24" name="图片 24" descr="Ul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Ultem"/>
                          <pic:cNvPicPr>
                            <a:picLocks noChangeAspect="1"/>
                          </pic:cNvPicPr>
                        </pic:nvPicPr>
                        <pic:blipFill>
                          <a:blip r:embed="rId26"/>
                          <a:stretch>
                            <a:fillRect/>
                          </a:stretch>
                        </pic:blipFill>
                        <pic:spPr>
                          <a:xfrm>
                            <a:off x="0" y="0"/>
                            <a:ext cx="2081354" cy="385611"/>
                          </a:xfrm>
                          <a:prstGeom prst="rect">
                            <a:avLst/>
                          </a:prstGeom>
                        </pic:spPr>
                      </pic:pic>
                    </a:graphicData>
                  </a:graphic>
                </wp:inline>
              </w:drawing>
            </w:r>
          </w:p>
        </w:tc>
        <w:tc>
          <w:tcPr>
            <w:tcW w:w="1010" w:type="dxa"/>
            <w:tcBorders>
              <w:bottom w:val="single" w:sz="4" w:space="0" w:color="auto"/>
            </w:tcBorders>
            <w:shd w:val="clear" w:color="auto" w:fill="auto"/>
            <w:vAlign w:val="center"/>
          </w:tcPr>
          <w:p w14:paraId="354B8AA7"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Ultem</w:t>
            </w:r>
          </w:p>
        </w:tc>
        <w:tc>
          <w:tcPr>
            <w:tcW w:w="826" w:type="dxa"/>
            <w:tcBorders>
              <w:bottom w:val="single" w:sz="4" w:space="0" w:color="auto"/>
            </w:tcBorders>
            <w:shd w:val="clear" w:color="auto" w:fill="auto"/>
            <w:vAlign w:val="center"/>
          </w:tcPr>
          <w:p w14:paraId="2E12F3F9"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215</w:t>
            </w:r>
          </w:p>
        </w:tc>
        <w:tc>
          <w:tcPr>
            <w:tcW w:w="2081" w:type="dxa"/>
            <w:tcBorders>
              <w:bottom w:val="single" w:sz="4" w:space="0" w:color="auto"/>
            </w:tcBorders>
            <w:shd w:val="clear" w:color="auto" w:fill="auto"/>
            <w:vAlign w:val="center"/>
          </w:tcPr>
          <w:p w14:paraId="28265FFD"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3.1</w:t>
            </w:r>
          </w:p>
          <w:p w14:paraId="633D4027"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25−200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rPr>
              <w:t>℃</w:t>
            </w:r>
          </w:p>
          <w:p w14:paraId="3FD310CE"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at 100−10 kHz</w:t>
            </w:r>
          </w:p>
        </w:tc>
        <w:tc>
          <w:tcPr>
            <w:tcW w:w="1825" w:type="dxa"/>
            <w:tcBorders>
              <w:bottom w:val="single" w:sz="4" w:space="0" w:color="auto"/>
            </w:tcBorders>
            <w:shd w:val="clear" w:color="auto" w:fill="auto"/>
            <w:vAlign w:val="center"/>
          </w:tcPr>
          <w:p w14:paraId="1F38733F"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 0.3</w:t>
            </w:r>
          </w:p>
          <w:p w14:paraId="53AA0B81"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25−200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rPr>
              <w:t>℃</w:t>
            </w:r>
          </w:p>
          <w:p w14:paraId="3D8848FA"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at 100−10 kHz</w:t>
            </w:r>
          </w:p>
        </w:tc>
        <w:tc>
          <w:tcPr>
            <w:tcW w:w="1687" w:type="dxa"/>
            <w:tcBorders>
              <w:bottom w:val="single" w:sz="4" w:space="0" w:color="auto"/>
            </w:tcBorders>
            <w:shd w:val="clear" w:color="auto" w:fill="auto"/>
            <w:vAlign w:val="center"/>
          </w:tcPr>
          <w:p w14:paraId="306474FD" w14:textId="77777777" w:rsidR="00FC2A41" w:rsidRPr="00CA46DB" w:rsidRDefault="00166212">
            <w:pPr>
              <w:spacing w:after="0" w:line="240" w:lineRule="auto"/>
              <w:jc w:val="center"/>
              <w:rPr>
                <w:rFonts w:cstheme="minorHAnsi"/>
                <w:color w:val="000000" w:themeColor="text1"/>
                <w:sz w:val="18"/>
                <w:szCs w:val="18"/>
              </w:rPr>
            </w:pPr>
            <w:r w:rsidRPr="00CA46DB">
              <w:rPr>
                <w:rFonts w:cstheme="minorHAnsi"/>
                <w:color w:val="000000" w:themeColor="text1"/>
                <w:sz w:val="18"/>
                <w:szCs w:val="18"/>
              </w:rPr>
              <w:t>200 (25μm)</w:t>
            </w:r>
          </w:p>
        </w:tc>
      </w:tr>
    </w:tbl>
    <w:p w14:paraId="3968C9EC" w14:textId="77777777" w:rsidR="00FC2A41" w:rsidRPr="00CA46DB" w:rsidRDefault="00FC2A41">
      <w:pPr>
        <w:tabs>
          <w:tab w:val="left" w:pos="3462"/>
        </w:tabs>
        <w:snapToGrid w:val="0"/>
        <w:spacing w:after="0" w:line="240" w:lineRule="exact"/>
        <w:jc w:val="both"/>
        <w:rPr>
          <w:rFonts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041744F8" w14:textId="77777777" w:rsidR="00FC2A41" w:rsidRPr="00CA46DB" w:rsidRDefault="00FC2A41">
      <w:pPr>
        <w:tabs>
          <w:tab w:val="left" w:pos="3462"/>
        </w:tabs>
        <w:snapToGrid w:val="0"/>
        <w:spacing w:after="0" w:line="240" w:lineRule="exact"/>
        <w:jc w:val="both"/>
        <w:rPr>
          <w:rFonts w:cstheme="minorHAnsi"/>
          <w:color w:val="000000" w:themeColor="text1"/>
          <w:sz w:val="18"/>
          <w:szCs w:val="18"/>
        </w:rPr>
      </w:pPr>
    </w:p>
    <w:p w14:paraId="0BBD9698" w14:textId="77777777" w:rsidR="00FC2A41" w:rsidRPr="00CA46DB" w:rsidRDefault="00FC2A41">
      <w:pPr>
        <w:tabs>
          <w:tab w:val="left" w:pos="3462"/>
        </w:tabs>
        <w:snapToGrid w:val="0"/>
        <w:spacing w:after="0" w:line="240" w:lineRule="exact"/>
        <w:jc w:val="both"/>
        <w:rPr>
          <w:rFonts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0346F70D" w14:textId="77777777" w:rsidR="00FC2A41" w:rsidRPr="00CA46DB" w:rsidRDefault="00166212">
      <w:pPr>
        <w:tabs>
          <w:tab w:val="left" w:pos="3462"/>
        </w:tabs>
        <w:snapToGrid w:val="0"/>
        <w:spacing w:after="0" w:line="240" w:lineRule="exact"/>
        <w:jc w:val="both"/>
        <w:rPr>
          <w:rFonts w:cstheme="minorHAnsi"/>
          <w:color w:val="000000" w:themeColor="text1"/>
          <w:sz w:val="18"/>
          <w:szCs w:val="18"/>
        </w:rPr>
      </w:pPr>
      <w:r w:rsidRPr="00CA46DB">
        <w:rPr>
          <w:rFonts w:cstheme="minorHAnsi"/>
          <w:color w:val="000000" w:themeColor="text1"/>
          <w:sz w:val="18"/>
          <w:szCs w:val="18"/>
        </w:rPr>
        <w:t>meta linkage to the diamine, which indicated that the para-para linkage favored easier dipole rotation than the meta-para and meta-meta linkages.</w:t>
      </w:r>
      <w:r w:rsidRPr="00CA46DB">
        <w:rPr>
          <w:rFonts w:cstheme="minorHAnsi"/>
          <w:color w:val="000000" w:themeColor="text1"/>
          <w:sz w:val="18"/>
          <w:szCs w:val="18"/>
          <w:lang w:eastAsia="zh-CN"/>
        </w:rPr>
        <w:t xml:space="preserve"> </w:t>
      </w:r>
      <w:r w:rsidRPr="00CA46DB">
        <w:rPr>
          <w:rFonts w:cstheme="minorHAnsi"/>
          <w:color w:val="000000" w:themeColor="text1"/>
          <w:sz w:val="18"/>
          <w:szCs w:val="18"/>
        </w:rPr>
        <w:t xml:space="preserve">It should be noted that the CN dipoles attached to the main PI chains increased not only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but also their </w:t>
      </w:r>
      <w:r w:rsidRPr="00CA46DB">
        <w:rPr>
          <w:rFonts w:eastAsia="楷体-简" w:cstheme="minorHAnsi"/>
          <w:color w:val="000000" w:themeColor="text1"/>
          <w:sz w:val="18"/>
          <w:szCs w:val="18"/>
        </w:rPr>
        <w:t>tan</w:t>
      </w:r>
      <w:r w:rsidRPr="00CA46DB">
        <w:rPr>
          <w:rFonts w:eastAsia="楷体-简" w:cstheme="minorHAnsi"/>
          <w:i/>
          <w:iCs/>
          <w:color w:val="000000" w:themeColor="text1"/>
          <w:sz w:val="18"/>
          <w:szCs w:val="18"/>
        </w:rPr>
        <w:t>δ</w:t>
      </w:r>
      <w:r w:rsidRPr="00CA46DB">
        <w:rPr>
          <w:rFonts w:cstheme="minorHAnsi"/>
          <w:color w:val="000000" w:themeColor="text1"/>
          <w:sz w:val="18"/>
          <w:szCs w:val="18"/>
        </w:rPr>
        <w:t xml:space="preserve">. In Fig. 8(a), Zhang et al. introduced two ortho-position aromatic nitrile groups into PI (2CN-PI), which greatly improved its polarizability and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w:t>
      </w:r>
      <w:r w:rsidRPr="00CA46DB">
        <w:rPr>
          <w:rFonts w:cstheme="minorHAnsi"/>
          <w:color w:val="000000" w:themeColor="text1"/>
          <w:sz w:val="18"/>
          <w:szCs w:val="18"/>
          <w:vertAlign w:val="superscript"/>
        </w:rPr>
        <w:t>69</w:t>
      </w:r>
      <w:r w:rsidRPr="00CA46DB">
        <w:rPr>
          <w:rFonts w:cstheme="minorHAnsi"/>
          <w:color w:val="000000" w:themeColor="text1"/>
          <w:sz w:val="18"/>
          <w:szCs w:val="18"/>
        </w:rPr>
        <w:t xml:space="preserve"> As shown in Fig. 8(b)−(d), the 2CN-PI ha</w:t>
      </w:r>
      <w:r w:rsidRPr="00CA46DB">
        <w:rPr>
          <w:rFonts w:cstheme="minorHAnsi" w:hint="eastAsia"/>
          <w:color w:val="000000" w:themeColor="text1"/>
          <w:sz w:val="18"/>
          <w:szCs w:val="18"/>
          <w:lang w:eastAsia="zh-CN"/>
        </w:rPr>
        <w:t>d</w:t>
      </w:r>
      <w:r w:rsidRPr="00CA46DB">
        <w:rPr>
          <w:rFonts w:cstheme="minorHAnsi"/>
          <w:color w:val="000000" w:themeColor="text1"/>
          <w:sz w:val="18"/>
          <w:szCs w:val="18"/>
        </w:rPr>
        <w:t xml:space="preserve"> a high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of 4.80, low tan</w:t>
      </w:r>
      <w:r w:rsidRPr="00CA46DB">
        <w:rPr>
          <w:rFonts w:cstheme="minorHAnsi"/>
          <w:i/>
          <w:iCs/>
          <w:color w:val="000000" w:themeColor="text1"/>
          <w:sz w:val="18"/>
          <w:szCs w:val="18"/>
        </w:rPr>
        <w:t>δ</w:t>
      </w:r>
      <w:r w:rsidRPr="00CA46DB">
        <w:rPr>
          <w:rFonts w:cstheme="minorHAnsi"/>
          <w:color w:val="000000" w:themeColor="text1"/>
          <w:sz w:val="18"/>
          <w:szCs w:val="18"/>
        </w:rPr>
        <w:t xml:space="preserve"> of 1.57×10</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at 1 kHz (25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high </w:t>
      </w:r>
      <w:r w:rsidRPr="00CA46DB">
        <w:rPr>
          <w:rFonts w:eastAsia="SimSun" w:cstheme="minorHAnsi"/>
          <w:i/>
          <w:iCs/>
          <w:color w:val="000000" w:themeColor="text1"/>
          <w:sz w:val="18"/>
          <w:szCs w:val="18"/>
        </w:rPr>
        <w:t>T</w:t>
      </w:r>
      <w:r w:rsidRPr="00CA46DB">
        <w:rPr>
          <w:rFonts w:eastAsia="SimSun" w:cstheme="minorHAnsi"/>
          <w:color w:val="000000" w:themeColor="text1"/>
          <w:sz w:val="18"/>
          <w:szCs w:val="18"/>
          <w:vertAlign w:val="subscript"/>
        </w:rPr>
        <w:t>g</w:t>
      </w:r>
      <w:r w:rsidRPr="00CA46DB">
        <w:rPr>
          <w:rFonts w:cstheme="minorHAnsi"/>
          <w:color w:val="000000" w:themeColor="text1"/>
          <w:sz w:val="18"/>
          <w:szCs w:val="18"/>
        </w:rPr>
        <w:t xml:space="preserve"> value of 325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and</w:t>
      </w:r>
      <w:r w:rsidRPr="00CA46DB">
        <w:rPr>
          <w:rFonts w:eastAsia="SimSun" w:cstheme="minorHAnsi"/>
          <w:color w:val="000000" w:themeColor="text1"/>
          <w:sz w:val="18"/>
          <w:szCs w:val="18"/>
        </w:rPr>
        <w:t xml:space="preserve">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of 1.02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.The re-exploration of Clausius-Mossotti equation revealed the essence of designing intrinsic high-k-low-loss polymers. The total polarizability should be maximized, and the chain stacking should be as close as possible, that is, rigid polymer backbone, small-sized polar groups (such as CN) and spatial positions that are conducive to oriented polarization are preferred. This work provides novel ideas for designing intrinsic </w:t>
      </w:r>
      <w:r w:rsidRPr="00CA46DB">
        <w:rPr>
          <w:rFonts w:cstheme="minorHAnsi"/>
          <w:color w:val="000000" w:themeColor="text1"/>
          <w:sz w:val="18"/>
          <w:szCs w:val="18"/>
          <w:lang w:eastAsia="zh-Hans"/>
        </w:rPr>
        <w:t>PI</w:t>
      </w:r>
      <w:r w:rsidRPr="00CA46DB">
        <w:rPr>
          <w:rFonts w:cstheme="minorHAnsi"/>
          <w:color w:val="000000" w:themeColor="text1"/>
          <w:sz w:val="18"/>
          <w:szCs w:val="18"/>
        </w:rPr>
        <w:t xml:space="preserve">s in the </w:t>
      </w:r>
      <w:r w:rsidRPr="00CA46DB">
        <w:rPr>
          <w:rFonts w:cstheme="minorHAnsi" w:hint="eastAsia"/>
          <w:color w:val="000000" w:themeColor="text1"/>
          <w:sz w:val="18"/>
          <w:szCs w:val="18"/>
          <w:lang w:val="en-US" w:eastAsia="zh-CN"/>
        </w:rPr>
        <w:t xml:space="preserve"> </w:t>
      </w:r>
      <w:r w:rsidRPr="00CA46DB">
        <w:rPr>
          <w:rFonts w:cstheme="minorHAnsi"/>
          <w:color w:val="000000" w:themeColor="text1"/>
          <w:sz w:val="18"/>
          <w:szCs w:val="18"/>
        </w:rPr>
        <w:br w:type="column"/>
      </w:r>
      <w:r w:rsidRPr="00CA46DB">
        <w:rPr>
          <w:rFonts w:cstheme="minorHAnsi"/>
          <w:color w:val="000000" w:themeColor="text1"/>
          <w:sz w:val="18"/>
          <w:szCs w:val="18"/>
        </w:rPr>
        <w:t>future.</w:t>
      </w:r>
    </w:p>
    <w:p w14:paraId="5480592E" w14:textId="32CB97E3" w:rsidR="00FC2A41" w:rsidRPr="00CA46DB" w:rsidRDefault="00166212">
      <w:pPr>
        <w:spacing w:after="0" w:line="240" w:lineRule="exact"/>
        <w:ind w:firstLineChars="200" w:firstLine="360"/>
        <w:jc w:val="both"/>
        <w:rPr>
          <w:rFonts w:eastAsia="SimSun" w:cstheme="minorHAnsi"/>
          <w:color w:val="000000" w:themeColor="text1"/>
          <w:sz w:val="18"/>
          <w:szCs w:val="18"/>
          <w:lang w:val="en-US" w:eastAsia="zh-CN"/>
        </w:rPr>
        <w:sectPr w:rsidR="00FC2A41" w:rsidRPr="00CA46DB">
          <w:type w:val="continuous"/>
          <w:pgSz w:w="11907" w:h="16840"/>
          <w:pgMar w:top="1009" w:right="851" w:bottom="1758" w:left="851" w:header="851" w:footer="1049" w:gutter="0"/>
          <w:cols w:num="2" w:space="227"/>
          <w:docGrid w:linePitch="360"/>
        </w:sectPr>
      </w:pPr>
      <w:r w:rsidRPr="00CA46DB">
        <w:rPr>
          <w:rFonts w:cstheme="minorHAnsi"/>
          <w:color w:val="000000" w:themeColor="text1"/>
          <w:sz w:val="18"/>
          <w:szCs w:val="18"/>
        </w:rPr>
        <w:t xml:space="preserve">The introduction of bipyrimidine units also enables PI to obtain a high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(7.1 at 100 Hz), which is related to the high polarity of N and electron mobility.</w:t>
      </w:r>
      <w:r w:rsidRPr="00CA46DB">
        <w:rPr>
          <w:rFonts w:cstheme="minorHAnsi"/>
          <w:color w:val="000000" w:themeColor="text1"/>
          <w:sz w:val="18"/>
          <w:szCs w:val="18"/>
          <w:vertAlign w:val="superscript"/>
        </w:rPr>
        <w:t>70</w:t>
      </w:r>
      <w:r w:rsidRPr="00CA46DB">
        <w:rPr>
          <w:rFonts w:cstheme="minorHAnsi"/>
          <w:color w:val="000000" w:themeColor="text1"/>
          <w:sz w:val="18"/>
          <w:szCs w:val="18"/>
        </w:rPr>
        <w:t xml:space="preserve"> There are four lone electron pairs in the conjugated system in each bipyrimidine unit, which are provided by the four N of the two pyrimidine rings. The high </w:t>
      </w:r>
      <w:r w:rsidRPr="00CA46DB">
        <w:rPr>
          <w:rFonts w:cstheme="minorHAnsi"/>
          <w:i/>
          <w:iCs/>
          <w:color w:val="000000" w:themeColor="text1"/>
          <w:sz w:val="18"/>
          <w:szCs w:val="18"/>
        </w:rPr>
        <w:t>T</w:t>
      </w:r>
      <w:r w:rsidRPr="00CA46DB">
        <w:rPr>
          <w:rFonts w:cstheme="minorHAnsi"/>
          <w:color w:val="000000" w:themeColor="text1"/>
          <w:sz w:val="18"/>
          <w:szCs w:val="18"/>
          <w:vertAlign w:val="subscript"/>
        </w:rPr>
        <w:t>g</w:t>
      </w:r>
      <w:r w:rsidRPr="00CA46DB">
        <w:rPr>
          <w:rFonts w:cstheme="minorHAnsi"/>
          <w:color w:val="000000" w:themeColor="text1"/>
          <w:sz w:val="18"/>
          <w:szCs w:val="18"/>
        </w:rPr>
        <w:t xml:space="preserve"> (291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of the PI was attributed to the incorporation of rigid bipyrimidine units into the polymer backbone and strong intermolecular interactions. However, the synthesis of diamines containing pyrimidine units was complicated and time-consuming, which limited large-scale preparation. Peng et al. also synthesized a new diamine (5,5’-bis [(4-amino) phenoxy]-2,2’-bipyridine (BPBPA)), which contained bipyridine units.</w:t>
      </w:r>
      <w:r w:rsidRPr="00CA46DB">
        <w:rPr>
          <w:rFonts w:cstheme="minorHAnsi"/>
          <w:color w:val="000000" w:themeColor="text1"/>
          <w:sz w:val="18"/>
          <w:szCs w:val="18"/>
          <w:vertAlign w:val="superscript"/>
        </w:rPr>
        <w:t>13</w:t>
      </w:r>
      <w:r w:rsidRPr="00CA46DB">
        <w:rPr>
          <w:rFonts w:cstheme="minorHAnsi"/>
          <w:color w:val="000000" w:themeColor="text1"/>
          <w:sz w:val="18"/>
          <w:szCs w:val="18"/>
        </w:rPr>
        <w:t xml:space="preserve"> </w:t>
      </w:r>
      <w:r w:rsidRPr="00CA46DB">
        <w:rPr>
          <w:rFonts w:cstheme="minorHAnsi"/>
          <w:color w:val="000000" w:themeColor="text1"/>
          <w:sz w:val="18"/>
          <w:szCs w:val="18"/>
          <w:lang w:eastAsia="zh-Hans"/>
        </w:rPr>
        <w:t xml:space="preserve">The </w:t>
      </w:r>
      <w:r w:rsidRPr="00CA46DB">
        <w:rPr>
          <w:rFonts w:cstheme="minorHAnsi"/>
          <w:color w:val="000000" w:themeColor="text1"/>
          <w:sz w:val="18"/>
          <w:szCs w:val="18"/>
        </w:rPr>
        <w:t>PI were prepared by polymerizing BPBPA</w:t>
      </w:r>
      <w:r w:rsidRPr="00CA46DB">
        <w:rPr>
          <w:rFonts w:cstheme="minorHAnsi"/>
          <w:color w:val="000000" w:themeColor="text1"/>
          <w:sz w:val="18"/>
          <w:szCs w:val="18"/>
          <w:lang w:eastAsia="zh-Hans"/>
        </w:rPr>
        <w:t>s</w:t>
      </w:r>
      <w:r w:rsidRPr="00CA46DB">
        <w:rPr>
          <w:rFonts w:cstheme="minorHAnsi"/>
          <w:color w:val="000000" w:themeColor="text1"/>
          <w:sz w:val="18"/>
          <w:szCs w:val="18"/>
        </w:rPr>
        <w:t xml:space="preserve"> with dianhydride</w:t>
      </w:r>
      <w:r w:rsidRPr="00CA46DB">
        <w:rPr>
          <w:rFonts w:cstheme="minorHAnsi"/>
          <w:color w:val="000000" w:themeColor="text1"/>
          <w:sz w:val="18"/>
          <w:szCs w:val="18"/>
          <w:lang w:eastAsia="zh-Hans"/>
        </w:rPr>
        <w:t>s</w:t>
      </w:r>
      <w:r w:rsidRPr="00CA46DB">
        <w:rPr>
          <w:rFonts w:cstheme="minorHAnsi"/>
          <w:color w:val="000000" w:themeColor="text1"/>
          <w:sz w:val="18"/>
          <w:szCs w:val="18"/>
        </w:rPr>
        <w:t xml:space="preserve">, which had </w:t>
      </w:r>
      <w:r w:rsidRPr="00CA46DB">
        <w:rPr>
          <w:rFonts w:cstheme="minorHAnsi"/>
          <w:color w:val="000000" w:themeColor="text1"/>
          <w:sz w:val="18"/>
          <w:szCs w:val="18"/>
          <w:lang w:eastAsia="zh-Hans"/>
        </w:rPr>
        <w:t xml:space="preserve">a high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(up to 7.2), high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xml:space="preserve"> (295 MV·m</w:t>
      </w:r>
      <w:r w:rsidRPr="00CA46DB">
        <w:rPr>
          <w:rFonts w:cstheme="minorHAnsi"/>
          <w:color w:val="000000" w:themeColor="text1"/>
          <w:sz w:val="18"/>
          <w:szCs w:val="18"/>
          <w:vertAlign w:val="superscript"/>
        </w:rPr>
        <w:t>−1</w:t>
      </w:r>
      <w:r w:rsidRPr="00CA46DB">
        <w:rPr>
          <w:rFonts w:cstheme="minorHAnsi"/>
          <w:color w:val="000000" w:themeColor="text1"/>
          <w:sz w:val="18"/>
          <w:szCs w:val="18"/>
        </w:rPr>
        <w:t xml:space="preserve">) and </w:t>
      </w:r>
      <w:r w:rsidRPr="00CA46DB">
        <w:rPr>
          <w:rFonts w:cstheme="minorHAnsi"/>
          <w:color w:val="000000" w:themeColor="text1"/>
          <w:sz w:val="18"/>
          <w:szCs w:val="18"/>
          <w:lang w:eastAsia="zh-Hans"/>
        </w:rPr>
        <w:t>excellent</w:t>
      </w:r>
      <w:r w:rsidRPr="00CA46DB">
        <w:rPr>
          <w:rFonts w:eastAsia="SimSun" w:cstheme="minorHAnsi"/>
          <w:color w:val="000000" w:themeColor="text1"/>
          <w:sz w:val="18"/>
          <w:szCs w:val="18"/>
        </w:rPr>
        <w:t xml:space="preserve">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lang w:eastAsia="zh-Hans"/>
        </w:rPr>
        <w:t xml:space="preserve"> (</w:t>
      </w:r>
      <w:r w:rsidRPr="00CA46DB">
        <w:rPr>
          <w:rFonts w:cstheme="minorHAnsi"/>
          <w:color w:val="000000" w:themeColor="text1"/>
          <w:sz w:val="18"/>
          <w:szCs w:val="18"/>
        </w:rPr>
        <w:t>2.77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The excellent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w:t>
      </w:r>
      <w:r w:rsidRPr="00CA46DB">
        <w:rPr>
          <w:rFonts w:ascii="Calibri" w:eastAsia="SimSun" w:hAnsi="Calibri" w:cs="Calibri" w:hint="eastAsia"/>
          <w:color w:val="000000" w:themeColor="text1"/>
          <w:sz w:val="18"/>
          <w:szCs w:val="18"/>
          <w:lang w:val="en-US" w:eastAsia="zh-CN"/>
        </w:rPr>
        <w:t>were</w:t>
      </w:r>
    </w:p>
    <w:p w14:paraId="5AEA210A" w14:textId="77777777" w:rsidR="00FC2A41" w:rsidRPr="00CA46DB" w:rsidRDefault="00166212">
      <w:pPr>
        <w:spacing w:after="0" w:line="240" w:lineRule="exact"/>
        <w:rPr>
          <w:rFonts w:cstheme="minorHAnsi"/>
          <w:color w:val="000000" w:themeColor="text1"/>
          <w:sz w:val="18"/>
          <w:szCs w:val="18"/>
        </w:rPr>
      </w:pPr>
      <w:r w:rsidRPr="00CA46DB">
        <w:rPr>
          <w:rFonts w:cstheme="minorHAnsi"/>
          <w:noProof/>
          <w:color w:val="000000" w:themeColor="text1"/>
          <w:sz w:val="18"/>
          <w:szCs w:val="18"/>
          <w:lang w:eastAsia="zh-CN"/>
        </w:rPr>
        <w:drawing>
          <wp:anchor distT="0" distB="0" distL="114300" distR="114300" simplePos="0" relativeHeight="251669504" behindDoc="1" locked="0" layoutInCell="1" allowOverlap="1" wp14:anchorId="3DDDBBA8" wp14:editId="7E74E4C8">
            <wp:simplePos x="0" y="0"/>
            <wp:positionH relativeFrom="column">
              <wp:posOffset>697865</wp:posOffset>
            </wp:positionH>
            <wp:positionV relativeFrom="paragraph">
              <wp:posOffset>177800</wp:posOffset>
            </wp:positionV>
            <wp:extent cx="5193665" cy="2522220"/>
            <wp:effectExtent l="0" t="0" r="0" b="0"/>
            <wp:wrapTight wrapText="bothSides">
              <wp:wrapPolygon edited="0">
                <wp:start x="-2168" y="0"/>
                <wp:lineTo x="-1868" y="21600"/>
                <wp:lineTo x="24119" y="21600"/>
                <wp:lineTo x="24285" y="0"/>
                <wp:lineTo x="-2168" y="0"/>
              </wp:wrapPolygon>
            </wp:wrapTight>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93665" cy="2522220"/>
                    </a:xfrm>
                    <a:prstGeom prst="rect">
                      <a:avLst/>
                    </a:prstGeom>
                  </pic:spPr>
                </pic:pic>
              </a:graphicData>
            </a:graphic>
          </wp:anchor>
        </w:drawing>
      </w:r>
      <w:r w:rsidRPr="00CA46DB">
        <w:rPr>
          <w:rFonts w:cstheme="minorHAnsi"/>
          <w:noProof/>
          <w:color w:val="000000" w:themeColor="text1"/>
          <w:lang w:eastAsia="zh-CN"/>
        </w:rPr>
        <mc:AlternateContent>
          <mc:Choice Requires="wpg">
            <w:drawing>
              <wp:inline distT="0" distB="0" distL="0" distR="0" wp14:anchorId="6579DB2B" wp14:editId="0ED9ED0C">
                <wp:extent cx="6480175" cy="10795"/>
                <wp:effectExtent l="0" t="0" r="0" b="0"/>
                <wp:docPr id="9" name="Group 4178"/>
                <wp:cNvGraphicFramePr/>
                <a:graphic xmlns:a="http://schemas.openxmlformats.org/drawingml/2006/main">
                  <a:graphicData uri="http://schemas.microsoft.com/office/word/2010/wordprocessingGroup">
                    <wpg:wgp>
                      <wpg:cNvGrpSpPr/>
                      <wpg:grpSpPr>
                        <a:xfrm>
                          <a:off x="0" y="0"/>
                          <a:ext cx="6480175" cy="10795"/>
                          <a:chOff x="0" y="0"/>
                          <a:chExt cx="6692405" cy="18974"/>
                        </a:xfrm>
                      </wpg:grpSpPr>
                      <wps:wsp>
                        <wps:cNvPr id="11" name="Shape 4839"/>
                        <wps:cNvSpPr/>
                        <wps:spPr>
                          <a:xfrm>
                            <a:off x="0" y="0"/>
                            <a:ext cx="6692405" cy="18974"/>
                          </a:xfrm>
                          <a:custGeom>
                            <a:avLst/>
                            <a:gdLst/>
                            <a:ahLst/>
                            <a:cxnLst/>
                            <a:rect l="0" t="0" r="0" b="0"/>
                            <a:pathLst>
                              <a:path w="6692405" h="18974">
                                <a:moveTo>
                                  <a:pt x="0" y="0"/>
                                </a:moveTo>
                                <a:lnTo>
                                  <a:pt x="6692405" y="0"/>
                                </a:lnTo>
                                <a:lnTo>
                                  <a:pt x="6692405" y="18974"/>
                                </a:lnTo>
                                <a:lnTo>
                                  <a:pt x="0" y="18974"/>
                                </a:lnTo>
                                <a:lnTo>
                                  <a:pt x="0" y="0"/>
                                </a:lnTo>
                              </a:path>
                            </a:pathLst>
                          </a:custGeom>
                          <a:ln w="0" cap="flat">
                            <a:miter lim="127000"/>
                          </a:ln>
                        </wps:spPr>
                        <wps:style>
                          <a:lnRef idx="0">
                            <a:srgbClr val="000000">
                              <a:alpha val="0"/>
                            </a:srgbClr>
                          </a:lnRef>
                          <a:fillRef idx="1">
                            <a:srgbClr val="DED9C9"/>
                          </a:fillRef>
                          <a:effectRef idx="0">
                            <a:scrgbClr r="0" g="0" b="0"/>
                          </a:effectRef>
                          <a:fontRef idx="none"/>
                        </wps:style>
                        <wps:bodyPr/>
                      </wps:wsp>
                    </wpg:wgp>
                  </a:graphicData>
                </a:graphic>
              </wp:inline>
            </w:drawing>
          </mc:Choice>
          <mc:Fallback>
            <w:pict>
              <v:group w14:anchorId="695287FA" id="Group 4178" o:spid="_x0000_s1026" style="width:510.25pt;height:.85pt;mso-position-horizontal-relative:char;mso-position-vertical-relative:line" coordsize="6692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">
                <v:shape id="Shape 4839" o:spid="_x0000_s1027" style="position:absolute;width:66924;height:189;visibility:visible;mso-wrap-style:square;v-text-anchor:top" coordsize="6692405,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" path="m,l6692405,r,18974l,18974,,e" fillcolor="#ded9c9" stroked="f" strokeweight="0">
                  <v:stroke miterlimit="83231f" joinstyle="miter"/>
                  <v:path arrowok="t" textboxrect="0,0,6692405,18974"/>
                </v:shape>
                <w10:anchorlock/>
              </v:group>
            </w:pict>
          </mc:Fallback>
        </mc:AlternateContent>
      </w:r>
    </w:p>
    <w:p w14:paraId="6302599E" w14:textId="77777777" w:rsidR="00FC2A41" w:rsidRPr="00CA46DB" w:rsidRDefault="00FC2A41">
      <w:pPr>
        <w:spacing w:after="0" w:line="240" w:lineRule="exact"/>
        <w:rPr>
          <w:rFonts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6C34EC32" w14:textId="77777777" w:rsidR="00FC2A41" w:rsidRPr="00CA46DB" w:rsidRDefault="00166212">
      <w:pPr>
        <w:spacing w:after="0" w:line="240" w:lineRule="exact"/>
        <w:rPr>
          <w:rFonts w:eastAsiaTheme="majorEastAsia" w:cstheme="minorHAnsi"/>
          <w:color w:val="000000" w:themeColor="text1"/>
          <w:sz w:val="18"/>
          <w:szCs w:val="18"/>
          <w:vertAlign w:val="superscript"/>
        </w:rPr>
      </w:pPr>
      <w:r w:rsidRPr="00CA46DB">
        <w:rPr>
          <w:rFonts w:eastAsiaTheme="majorEastAsia" w:cstheme="minorHAnsi"/>
          <w:color w:val="000000" w:themeColor="text1"/>
          <w:sz w:val="18"/>
          <w:szCs w:val="18"/>
        </w:rPr>
        <w:t xml:space="preserve">Fig. 8. (a) Schematic illustration of designing high-performance </w:t>
      </w:r>
      <w:r w:rsidRPr="00CA46DB">
        <w:rPr>
          <w:rFonts w:eastAsiaTheme="majorEastAsia" w:cstheme="minorHAnsi"/>
          <w:color w:val="000000" w:themeColor="text1"/>
          <w:sz w:val="18"/>
          <w:szCs w:val="18"/>
          <w:lang w:eastAsia="zh-Hans"/>
        </w:rPr>
        <w:t>PI</w:t>
      </w:r>
      <w:r w:rsidRPr="00CA46DB">
        <w:rPr>
          <w:rFonts w:eastAsiaTheme="majorEastAsia" w:cstheme="minorHAnsi"/>
          <w:color w:val="000000" w:themeColor="text1"/>
          <w:sz w:val="18"/>
          <w:szCs w:val="18"/>
        </w:rPr>
        <w:t xml:space="preserve"> dielectrics. Frequency dependence of the (b) </w:t>
      </w:r>
      <w:r w:rsidRPr="00CA46DB">
        <w:rPr>
          <w:rFonts w:eastAsiaTheme="majorEastAsia" w:cstheme="minorHAnsi"/>
          <w:i/>
          <w:iCs/>
          <w:color w:val="000000" w:themeColor="text1"/>
          <w:sz w:val="18"/>
          <w:szCs w:val="18"/>
        </w:rPr>
        <w:t>ε</w:t>
      </w:r>
      <w:r w:rsidRPr="00CA46DB">
        <w:rPr>
          <w:rFonts w:eastAsiaTheme="majorEastAsia" w:cstheme="minorHAnsi"/>
          <w:color w:val="000000" w:themeColor="text1"/>
          <w:sz w:val="18"/>
          <w:szCs w:val="18"/>
          <w:vertAlign w:val="subscript"/>
        </w:rPr>
        <w:t>r</w:t>
      </w:r>
      <w:r w:rsidRPr="00CA46DB">
        <w:rPr>
          <w:rFonts w:eastAsiaTheme="majorEastAsia" w:cstheme="minorHAnsi"/>
          <w:color w:val="000000" w:themeColor="text1"/>
          <w:sz w:val="18"/>
          <w:szCs w:val="18"/>
        </w:rPr>
        <w:t>, (c) tan </w:t>
      </w:r>
      <w:r w:rsidRPr="00CA46DB">
        <w:rPr>
          <w:rFonts w:eastAsiaTheme="majorEastAsia" w:cstheme="minorHAnsi"/>
          <w:i/>
          <w:iCs/>
          <w:color w:val="000000" w:themeColor="text1"/>
          <w:sz w:val="18"/>
          <w:szCs w:val="18"/>
        </w:rPr>
        <w:t>δ</w:t>
      </w:r>
      <w:r w:rsidRPr="00CA46DB">
        <w:rPr>
          <w:rFonts w:eastAsiaTheme="majorEastAsia" w:cstheme="minorHAnsi"/>
          <w:color w:val="000000" w:themeColor="text1"/>
          <w:sz w:val="18"/>
          <w:szCs w:val="18"/>
        </w:rPr>
        <w:t xml:space="preserve"> and (d) </w:t>
      </w:r>
      <w:r w:rsidRPr="00CA46DB">
        <w:rPr>
          <w:rFonts w:eastAsiaTheme="majorEastAsia" w:cstheme="minorHAnsi"/>
          <w:color w:val="000000" w:themeColor="text1"/>
          <w:sz w:val="18"/>
          <w:szCs w:val="18"/>
          <w:lang w:bidi="ar"/>
        </w:rPr>
        <w:t>energy density </w:t>
      </w:r>
      <w:r w:rsidRPr="00CA46DB">
        <w:rPr>
          <w:rFonts w:eastAsiaTheme="majorEastAsia" w:cstheme="minorHAnsi"/>
          <w:color w:val="000000" w:themeColor="text1"/>
          <w:sz w:val="18"/>
          <w:szCs w:val="18"/>
        </w:rPr>
        <w:t>of 2CN-PI films.</w:t>
      </w:r>
      <w:r w:rsidRPr="00CA46DB">
        <w:rPr>
          <w:rFonts w:eastAsiaTheme="majorEastAsia" w:cstheme="minorHAnsi"/>
          <w:color w:val="000000" w:themeColor="text1"/>
          <w:sz w:val="18"/>
          <w:szCs w:val="18"/>
          <w:vertAlign w:val="superscript"/>
        </w:rPr>
        <w:t>69</w:t>
      </w:r>
    </w:p>
    <w:p w14:paraId="45562649" w14:textId="77777777" w:rsidR="00FC2A41" w:rsidRPr="00CA46DB" w:rsidRDefault="00FC2A41">
      <w:pPr>
        <w:spacing w:after="0" w:line="240" w:lineRule="exact"/>
        <w:rPr>
          <w:rFonts w:eastAsiaTheme="majorEastAsia" w:cstheme="minorHAnsi"/>
          <w:color w:val="000000" w:themeColor="text1"/>
          <w:sz w:val="18"/>
          <w:szCs w:val="18"/>
          <w:vertAlign w:val="superscript"/>
        </w:rPr>
        <w:sectPr w:rsidR="00FC2A41" w:rsidRPr="00CA46DB">
          <w:type w:val="continuous"/>
          <w:pgSz w:w="11907" w:h="16840"/>
          <w:pgMar w:top="1009" w:right="851" w:bottom="1758" w:left="851" w:header="851" w:footer="1049" w:gutter="0"/>
          <w:cols w:space="227"/>
          <w:docGrid w:linePitch="360"/>
        </w:sectPr>
      </w:pPr>
    </w:p>
    <w:p w14:paraId="15079C8F" w14:textId="77777777" w:rsidR="00FC2A41" w:rsidRPr="00CA46DB" w:rsidRDefault="00FC2A41">
      <w:pPr>
        <w:tabs>
          <w:tab w:val="left" w:pos="3462"/>
        </w:tabs>
        <w:spacing w:after="0" w:line="240" w:lineRule="exact"/>
        <w:jc w:val="both"/>
        <w:rPr>
          <w:rFonts w:cstheme="minorHAnsi"/>
          <w:i/>
          <w:iCs/>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p>
    <w:p w14:paraId="600DCBDA" w14:textId="77777777" w:rsidR="00FC2A41" w:rsidRPr="00CA46DB" w:rsidRDefault="00166212">
      <w:pPr>
        <w:tabs>
          <w:tab w:val="left" w:pos="3462"/>
        </w:tabs>
        <w:spacing w:line="240" w:lineRule="exact"/>
        <w:rPr>
          <w:rFonts w:cstheme="minorHAnsi"/>
          <w:color w:val="000000" w:themeColor="text1"/>
          <w:sz w:val="18"/>
          <w:szCs w:val="18"/>
        </w:rPr>
      </w:pPr>
      <w:r w:rsidRPr="00CA46DB">
        <w:rPr>
          <w:rFonts w:cstheme="minorHAnsi"/>
          <w:b/>
          <w:bCs/>
          <w:color w:val="000000" w:themeColor="text1"/>
          <w:sz w:val="18"/>
          <w:szCs w:val="18"/>
        </w:rPr>
        <w:lastRenderedPageBreak/>
        <w:t>Table 3.</w:t>
      </w:r>
      <w:r w:rsidRPr="00CA46DB">
        <w:rPr>
          <w:rFonts w:cstheme="minorHAnsi"/>
          <w:color w:val="000000" w:themeColor="text1"/>
          <w:sz w:val="18"/>
          <w:szCs w:val="18"/>
        </w:rPr>
        <w:t xml:space="preserve"> Summary of </w:t>
      </w:r>
      <w:r w:rsidRPr="00CA46DB">
        <w:rPr>
          <w:rFonts w:cstheme="minorHAnsi"/>
          <w:color w:val="000000" w:themeColor="text1"/>
          <w:sz w:val="18"/>
          <w:szCs w:val="18"/>
          <w:lang w:eastAsia="zh-Hans"/>
        </w:rPr>
        <w:t xml:space="preserve">all-organic PIs and </w:t>
      </w:r>
      <w:r w:rsidRPr="00CA46DB">
        <w:rPr>
          <w:rFonts w:cstheme="minorHAnsi"/>
          <w:color w:val="000000" w:themeColor="text1"/>
          <w:sz w:val="18"/>
          <w:szCs w:val="18"/>
        </w:rPr>
        <w:t>PI nanocomposites.</w:t>
      </w:r>
    </w:p>
    <w:p w14:paraId="0C5242FD" w14:textId="77777777" w:rsidR="00FC2A41" w:rsidRPr="00CA46DB" w:rsidRDefault="00FC2A41">
      <w:pPr>
        <w:autoSpaceDE w:val="0"/>
        <w:spacing w:line="240" w:lineRule="exact"/>
        <w:jc w:val="center"/>
        <w:rPr>
          <w:rFonts w:eastAsia="STSong" w:cstheme="minorHAnsi"/>
          <w:color w:val="000000" w:themeColor="text1"/>
          <w:sz w:val="18"/>
          <w:szCs w:val="18"/>
        </w:rPr>
        <w:sectPr w:rsidR="00FC2A41" w:rsidRPr="00CA46DB">
          <w:pgSz w:w="16840" w:h="11907" w:orient="landscape"/>
          <w:pgMar w:top="851" w:right="1758" w:bottom="851" w:left="1009" w:header="851" w:footer="1049" w:gutter="0"/>
          <w:cols w:space="227"/>
          <w:docGrid w:linePitch="360"/>
        </w:sectPr>
      </w:pPr>
    </w:p>
    <w:tbl>
      <w:tblPr>
        <w:tblStyle w:val="TableGrid"/>
        <w:tblW w:w="4865" w:type="pct"/>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2084"/>
        <w:gridCol w:w="1668"/>
        <w:gridCol w:w="1529"/>
        <w:gridCol w:w="1807"/>
        <w:gridCol w:w="1390"/>
        <w:gridCol w:w="1668"/>
        <w:gridCol w:w="1391"/>
        <w:gridCol w:w="1806"/>
        <w:gridCol w:w="560"/>
      </w:tblGrid>
      <w:tr w:rsidR="00CA46DB" w:rsidRPr="00CA46DB" w14:paraId="5CF568B2" w14:textId="77777777">
        <w:trPr>
          <w:trHeight w:val="680"/>
        </w:trPr>
        <w:tc>
          <w:tcPr>
            <w:tcW w:w="2127" w:type="dxa"/>
            <w:tcBorders>
              <w:top w:val="single" w:sz="4" w:space="0" w:color="auto"/>
              <w:left w:val="nil"/>
              <w:bottom w:val="single" w:sz="4" w:space="0" w:color="auto"/>
              <w:right w:val="nil"/>
            </w:tcBorders>
            <w:vAlign w:val="center"/>
          </w:tcPr>
          <w:p w14:paraId="4AE0A0C0"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Material</w:t>
            </w:r>
          </w:p>
        </w:tc>
        <w:tc>
          <w:tcPr>
            <w:tcW w:w="1701" w:type="dxa"/>
            <w:tcBorders>
              <w:top w:val="single" w:sz="4" w:space="0" w:color="auto"/>
              <w:left w:val="nil"/>
              <w:bottom w:val="single" w:sz="4" w:space="0" w:color="auto"/>
              <w:right w:val="nil"/>
            </w:tcBorders>
            <w:vAlign w:val="center"/>
          </w:tcPr>
          <w:p w14:paraId="2683D279"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i/>
                <w:iCs/>
                <w:color w:val="000000" w:themeColor="text1"/>
                <w:sz w:val="18"/>
                <w:szCs w:val="18"/>
              </w:rPr>
              <w:t>T</w:t>
            </w:r>
            <w:r w:rsidRPr="00CA46DB">
              <w:rPr>
                <w:rFonts w:eastAsia="STSong" w:cstheme="minorHAnsi"/>
                <w:color w:val="000000" w:themeColor="text1"/>
                <w:sz w:val="18"/>
                <w:szCs w:val="18"/>
                <w:vertAlign w:val="subscript"/>
              </w:rPr>
              <w:t>d5%</w:t>
            </w:r>
            <w:r w:rsidRPr="00CA46DB">
              <w:rPr>
                <w:rFonts w:eastAsia="STSong" w:cstheme="minorHAnsi"/>
                <w:color w:val="000000" w:themeColor="text1"/>
                <w:sz w:val="18"/>
                <w:szCs w:val="18"/>
              </w:rPr>
              <w:t xml:space="preserve"> / </w:t>
            </w:r>
            <w:r w:rsidRPr="00CA46DB">
              <w:rPr>
                <w:rFonts w:eastAsia="STSong" w:cstheme="minorHAnsi"/>
                <w:i/>
                <w:iCs/>
                <w:color w:val="000000" w:themeColor="text1"/>
                <w:sz w:val="18"/>
                <w:szCs w:val="18"/>
              </w:rPr>
              <w:t>T</w:t>
            </w:r>
            <w:r w:rsidRPr="00CA46DB">
              <w:rPr>
                <w:rFonts w:eastAsia="STSong" w:cstheme="minorHAnsi"/>
                <w:color w:val="000000" w:themeColor="text1"/>
                <w:sz w:val="18"/>
                <w:szCs w:val="18"/>
                <w:vertAlign w:val="subscript"/>
              </w:rPr>
              <w:t>g</w:t>
            </w:r>
          </w:p>
          <w:p w14:paraId="2A2E34F0"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r w:rsidRPr="00CA46DB">
              <w:rPr>
                <w:rFonts w:ascii="Cambria Math" w:hAnsi="Cambria Math" w:cs="Cambria Math"/>
                <w:color w:val="000000" w:themeColor="text1"/>
                <w:sz w:val="18"/>
                <w:szCs w:val="18"/>
                <w:lang w:eastAsia="zh-CN"/>
              </w:rPr>
              <w:t>℃</w:t>
            </w:r>
            <w:r w:rsidRPr="00CA46DB">
              <w:rPr>
                <w:rFonts w:eastAsia="STSong" w:cstheme="minorHAnsi"/>
                <w:color w:val="000000" w:themeColor="text1"/>
                <w:sz w:val="18"/>
                <w:szCs w:val="18"/>
              </w:rPr>
              <w:t>)</w:t>
            </w:r>
          </w:p>
        </w:tc>
        <w:tc>
          <w:tcPr>
            <w:tcW w:w="1559" w:type="dxa"/>
            <w:tcBorders>
              <w:top w:val="single" w:sz="4" w:space="0" w:color="auto"/>
              <w:left w:val="nil"/>
              <w:bottom w:val="single" w:sz="4" w:space="0" w:color="auto"/>
              <w:right w:val="nil"/>
            </w:tcBorders>
            <w:vAlign w:val="center"/>
          </w:tcPr>
          <w:p w14:paraId="49B1B1E1"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i/>
                <w:iCs/>
                <w:color w:val="000000" w:themeColor="text1"/>
                <w:sz w:val="18"/>
                <w:szCs w:val="18"/>
              </w:rPr>
              <w:t>ε</w:t>
            </w:r>
            <w:r w:rsidRPr="00CA46DB">
              <w:rPr>
                <w:rFonts w:eastAsia="STSong" w:cstheme="minorHAnsi"/>
                <w:color w:val="000000" w:themeColor="text1"/>
                <w:sz w:val="18"/>
                <w:szCs w:val="18"/>
                <w:vertAlign w:val="subscript"/>
              </w:rPr>
              <w:t>r</w:t>
            </w:r>
          </w:p>
          <w:p w14:paraId="4101E4A6"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 KHz</w:t>
            </w:r>
          </w:p>
        </w:tc>
        <w:tc>
          <w:tcPr>
            <w:tcW w:w="1843" w:type="dxa"/>
            <w:tcBorders>
              <w:top w:val="single" w:sz="4" w:space="0" w:color="auto"/>
              <w:left w:val="nil"/>
              <w:bottom w:val="single" w:sz="4" w:space="0" w:color="auto"/>
              <w:right w:val="nil"/>
            </w:tcBorders>
            <w:vAlign w:val="center"/>
          </w:tcPr>
          <w:p w14:paraId="00AD7AF7"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tan</w:t>
            </w:r>
            <w:r w:rsidRPr="00CA46DB">
              <w:rPr>
                <w:rFonts w:eastAsia="STSong" w:cstheme="minorHAnsi"/>
                <w:i/>
                <w:iCs/>
                <w:color w:val="000000" w:themeColor="text1"/>
                <w:sz w:val="18"/>
                <w:szCs w:val="18"/>
              </w:rPr>
              <w:t>δ</w:t>
            </w:r>
          </w:p>
          <w:p w14:paraId="1A531439"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 KHz</w:t>
            </w:r>
          </w:p>
        </w:tc>
        <w:tc>
          <w:tcPr>
            <w:tcW w:w="1417" w:type="dxa"/>
            <w:tcBorders>
              <w:top w:val="single" w:sz="4" w:space="0" w:color="auto"/>
              <w:left w:val="nil"/>
              <w:bottom w:val="single" w:sz="4" w:space="0" w:color="auto"/>
              <w:right w:val="nil"/>
            </w:tcBorders>
            <w:vAlign w:val="center"/>
          </w:tcPr>
          <w:p w14:paraId="003B94EC"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i/>
                <w:iCs/>
                <w:color w:val="000000" w:themeColor="text1"/>
                <w:sz w:val="18"/>
                <w:szCs w:val="18"/>
              </w:rPr>
              <w:t>E</w:t>
            </w:r>
            <w:r w:rsidRPr="00CA46DB">
              <w:rPr>
                <w:rFonts w:eastAsia="STSong" w:cstheme="minorHAnsi"/>
                <w:color w:val="000000" w:themeColor="text1"/>
                <w:sz w:val="18"/>
                <w:szCs w:val="18"/>
                <w:vertAlign w:val="subscript"/>
              </w:rPr>
              <w:t>b</w:t>
            </w:r>
          </w:p>
          <w:p w14:paraId="08CCC1EB"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cstheme="minorHAnsi"/>
                <w:color w:val="000000" w:themeColor="text1"/>
                <w:sz w:val="18"/>
                <w:szCs w:val="18"/>
              </w:rPr>
              <w:t>MV·m</w:t>
            </w:r>
            <w:r w:rsidRPr="00CA46DB">
              <w:rPr>
                <w:rFonts w:cstheme="minorHAnsi"/>
                <w:color w:val="000000" w:themeColor="text1"/>
                <w:sz w:val="18"/>
                <w:szCs w:val="18"/>
                <w:vertAlign w:val="superscript"/>
              </w:rPr>
              <w:t>−1</w:t>
            </w:r>
          </w:p>
        </w:tc>
        <w:tc>
          <w:tcPr>
            <w:tcW w:w="1701" w:type="dxa"/>
            <w:tcBorders>
              <w:top w:val="single" w:sz="4" w:space="0" w:color="auto"/>
              <w:left w:val="nil"/>
              <w:bottom w:val="single" w:sz="4" w:space="0" w:color="auto"/>
              <w:right w:val="nil"/>
            </w:tcBorders>
            <w:vAlign w:val="center"/>
          </w:tcPr>
          <w:p w14:paraId="32381B98" w14:textId="77777777" w:rsidR="00FC2A41" w:rsidRPr="00CA46DB" w:rsidRDefault="00166212">
            <w:pPr>
              <w:autoSpaceDE w:val="0"/>
              <w:spacing w:after="0" w:line="240" w:lineRule="exact"/>
              <w:jc w:val="center"/>
              <w:rPr>
                <w:rFonts w:eastAsia="Helvetica" w:cstheme="minorHAnsi"/>
                <w:color w:val="000000" w:themeColor="text1"/>
                <w:sz w:val="18"/>
                <w:szCs w:val="18"/>
              </w:rPr>
            </w:pPr>
            <w:r w:rsidRPr="00CA46DB">
              <w:rPr>
                <w:rFonts w:eastAsia="Helvetica" w:cstheme="minorHAnsi"/>
                <w:color w:val="000000" w:themeColor="text1"/>
                <w:sz w:val="18"/>
                <w:szCs w:val="18"/>
              </w:rPr>
              <w:t>maximum</w:t>
            </w:r>
            <w:r w:rsidRPr="00CA46DB">
              <w:rPr>
                <w:rFonts w:eastAsia="Helvetica" w:cstheme="minorHAnsi"/>
                <w:i/>
                <w:iCs/>
                <w:color w:val="000000" w:themeColor="text1"/>
                <w:sz w:val="18"/>
                <w:szCs w:val="18"/>
              </w:rPr>
              <w:t xml:space="preserve"> U</w:t>
            </w:r>
            <w:r w:rsidRPr="00CA46DB">
              <w:rPr>
                <w:rFonts w:eastAsia="Helvetica" w:cstheme="minorHAnsi"/>
                <w:i/>
                <w:iCs/>
                <w:color w:val="000000" w:themeColor="text1"/>
                <w:sz w:val="18"/>
                <w:szCs w:val="18"/>
                <w:vertAlign w:val="subscript"/>
              </w:rPr>
              <w:t>e</w:t>
            </w:r>
          </w:p>
          <w:p w14:paraId="2D875DCE"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r w:rsidRPr="00CA46DB">
              <w:rPr>
                <w:rFonts w:cstheme="minorHAnsi"/>
                <w:color w:val="000000" w:themeColor="text1"/>
                <w:sz w:val="18"/>
                <w:szCs w:val="18"/>
              </w:rPr>
              <w:t>J·cm</w:t>
            </w:r>
            <w:r w:rsidRPr="00CA46DB">
              <w:rPr>
                <w:rFonts w:cstheme="minorHAnsi"/>
                <w:color w:val="000000" w:themeColor="text1"/>
                <w:sz w:val="18"/>
                <w:szCs w:val="18"/>
                <w:vertAlign w:val="superscript"/>
              </w:rPr>
              <w:t>−3</w:t>
            </w:r>
            <w:r w:rsidRPr="00CA46DB">
              <w:rPr>
                <w:rFonts w:eastAsia="STSong" w:cstheme="minorHAnsi"/>
                <w:color w:val="000000" w:themeColor="text1"/>
                <w:sz w:val="18"/>
                <w:szCs w:val="18"/>
                <w:vertAlign w:val="superscript"/>
              </w:rPr>
              <w:t>)</w:t>
            </w:r>
          </w:p>
        </w:tc>
        <w:tc>
          <w:tcPr>
            <w:tcW w:w="1418" w:type="dxa"/>
            <w:tcBorders>
              <w:top w:val="single" w:sz="4" w:space="0" w:color="auto"/>
              <w:left w:val="nil"/>
              <w:bottom w:val="single" w:sz="4" w:space="0" w:color="auto"/>
              <w:right w:val="nil"/>
            </w:tcBorders>
            <w:vAlign w:val="center"/>
          </w:tcPr>
          <w:p w14:paraId="3D2674A3"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η</w:t>
            </w:r>
          </w:p>
        </w:tc>
        <w:tc>
          <w:tcPr>
            <w:tcW w:w="1842" w:type="dxa"/>
            <w:tcBorders>
              <w:top w:val="single" w:sz="4" w:space="0" w:color="auto"/>
              <w:left w:val="nil"/>
              <w:bottom w:val="single" w:sz="4" w:space="0" w:color="auto"/>
              <w:right w:val="nil"/>
            </w:tcBorders>
            <w:vAlign w:val="center"/>
          </w:tcPr>
          <w:p w14:paraId="07557207"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Processing of films</w:t>
            </w:r>
          </w:p>
        </w:tc>
        <w:tc>
          <w:tcPr>
            <w:tcW w:w="568" w:type="dxa"/>
            <w:tcBorders>
              <w:top w:val="single" w:sz="4" w:space="0" w:color="auto"/>
              <w:left w:val="nil"/>
              <w:bottom w:val="single" w:sz="4" w:space="0" w:color="auto"/>
              <w:right w:val="nil"/>
            </w:tcBorders>
            <w:vAlign w:val="center"/>
          </w:tcPr>
          <w:p w14:paraId="74041DBA"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Ref.</w:t>
            </w:r>
          </w:p>
        </w:tc>
      </w:tr>
      <w:tr w:rsidR="00CA46DB" w:rsidRPr="00CA46DB" w14:paraId="3E1CBFC1" w14:textId="77777777">
        <w:trPr>
          <w:trHeight w:val="639"/>
        </w:trPr>
        <w:tc>
          <w:tcPr>
            <w:tcW w:w="2127" w:type="dxa"/>
            <w:tcBorders>
              <w:top w:val="nil"/>
              <w:left w:val="nil"/>
              <w:bottom w:val="nil"/>
              <w:right w:val="nil"/>
            </w:tcBorders>
            <w:vAlign w:val="center"/>
          </w:tcPr>
          <w:p w14:paraId="4DBE65E1" w14:textId="77777777" w:rsidR="00FC2A41" w:rsidRPr="00CA46DB" w:rsidRDefault="00166212">
            <w:pPr>
              <w:autoSpaceDE w:val="0"/>
              <w:spacing w:after="0" w:line="240" w:lineRule="exact"/>
              <w:jc w:val="center"/>
              <w:rPr>
                <w:rFonts w:eastAsia="DengXian" w:cstheme="minorHAnsi"/>
                <w:color w:val="000000" w:themeColor="text1"/>
                <w:sz w:val="18"/>
                <w:szCs w:val="18"/>
              </w:rPr>
            </w:pPr>
            <w:r w:rsidRPr="00CA46DB">
              <w:rPr>
                <w:rFonts w:cstheme="minorHAnsi"/>
                <w:color w:val="000000" w:themeColor="text1"/>
                <w:sz w:val="18"/>
                <w:szCs w:val="18"/>
              </w:rPr>
              <w:t>3,4-APBN-PIs</w:t>
            </w:r>
          </w:p>
        </w:tc>
        <w:tc>
          <w:tcPr>
            <w:tcW w:w="1701" w:type="dxa"/>
            <w:tcBorders>
              <w:top w:val="nil"/>
              <w:left w:val="nil"/>
              <w:bottom w:val="nil"/>
              <w:right w:val="nil"/>
            </w:tcBorders>
            <w:vAlign w:val="center"/>
          </w:tcPr>
          <w:p w14:paraId="1C575430"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536(N</w:t>
            </w:r>
            <w:r w:rsidRPr="00CA46DB">
              <w:rPr>
                <w:rFonts w:cstheme="minorHAnsi"/>
                <w:color w:val="000000" w:themeColor="text1"/>
                <w:sz w:val="18"/>
                <w:szCs w:val="18"/>
                <w:vertAlign w:val="subscript"/>
              </w:rPr>
              <w:t>2</w:t>
            </w:r>
            <w:r w:rsidRPr="00CA46DB">
              <w:rPr>
                <w:rFonts w:cstheme="minorHAnsi"/>
                <w:color w:val="000000" w:themeColor="text1"/>
                <w:sz w:val="18"/>
                <w:szCs w:val="18"/>
              </w:rPr>
              <w:t>)</w:t>
            </w:r>
            <w:r w:rsidRPr="00CA46DB">
              <w:rPr>
                <w:rFonts w:cstheme="minorHAnsi"/>
                <w:color w:val="000000" w:themeColor="text1"/>
                <w:sz w:val="18"/>
                <w:szCs w:val="18"/>
                <w:vertAlign w:val="superscript"/>
              </w:rPr>
              <w:t xml:space="preserve">1 </w:t>
            </w:r>
            <w:r w:rsidRPr="00CA46DB">
              <w:rPr>
                <w:rFonts w:cstheme="minorHAnsi"/>
                <w:color w:val="000000" w:themeColor="text1"/>
                <w:sz w:val="18"/>
                <w:szCs w:val="18"/>
              </w:rPr>
              <w:t>/ 267</w:t>
            </w:r>
          </w:p>
        </w:tc>
        <w:tc>
          <w:tcPr>
            <w:tcW w:w="1559" w:type="dxa"/>
            <w:tcBorders>
              <w:top w:val="nil"/>
              <w:left w:val="nil"/>
              <w:bottom w:val="nil"/>
              <w:right w:val="nil"/>
            </w:tcBorders>
            <w:vAlign w:val="center"/>
          </w:tcPr>
          <w:p w14:paraId="5D457B0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3.62</w:t>
            </w:r>
          </w:p>
        </w:tc>
        <w:tc>
          <w:tcPr>
            <w:tcW w:w="1843" w:type="dxa"/>
            <w:tcBorders>
              <w:top w:val="nil"/>
              <w:left w:val="nil"/>
              <w:bottom w:val="nil"/>
              <w:right w:val="nil"/>
            </w:tcBorders>
            <w:vAlign w:val="center"/>
          </w:tcPr>
          <w:p w14:paraId="4D8E4B6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0.009</w:t>
            </w:r>
          </w:p>
        </w:tc>
        <w:tc>
          <w:tcPr>
            <w:tcW w:w="1417" w:type="dxa"/>
            <w:tcBorders>
              <w:top w:val="nil"/>
              <w:left w:val="nil"/>
              <w:bottom w:val="nil"/>
              <w:right w:val="nil"/>
            </w:tcBorders>
            <w:vAlign w:val="center"/>
          </w:tcPr>
          <w:p w14:paraId="66EEC82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701" w:type="dxa"/>
            <w:tcBorders>
              <w:top w:val="nil"/>
              <w:left w:val="nil"/>
              <w:bottom w:val="nil"/>
              <w:right w:val="nil"/>
            </w:tcBorders>
            <w:vAlign w:val="center"/>
          </w:tcPr>
          <w:p w14:paraId="7180E93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8" w:type="dxa"/>
            <w:tcBorders>
              <w:top w:val="nil"/>
              <w:left w:val="nil"/>
              <w:bottom w:val="nil"/>
              <w:right w:val="nil"/>
            </w:tcBorders>
            <w:vAlign w:val="center"/>
          </w:tcPr>
          <w:p w14:paraId="7980B30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59612D1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w:t>
            </w:r>
            <w:r w:rsidRPr="00CA46DB">
              <w:rPr>
                <w:rFonts w:cstheme="minorHAnsi"/>
                <w:color w:val="000000" w:themeColor="text1"/>
                <w:sz w:val="18"/>
                <w:szCs w:val="18"/>
                <w:vertAlign w:val="superscript"/>
              </w:rPr>
              <w:t>2</w:t>
            </w:r>
            <w:r w:rsidRPr="00CA46DB">
              <w:rPr>
                <w:rFonts w:cstheme="minorHAnsi"/>
                <w:color w:val="000000" w:themeColor="text1"/>
                <w:sz w:val="18"/>
                <w:szCs w:val="18"/>
              </w:rPr>
              <w:t>, SC</w:t>
            </w:r>
            <w:r w:rsidRPr="00CA46DB">
              <w:rPr>
                <w:rFonts w:cstheme="minorHAnsi"/>
                <w:color w:val="000000" w:themeColor="text1"/>
                <w:sz w:val="18"/>
                <w:szCs w:val="18"/>
                <w:vertAlign w:val="superscript"/>
              </w:rPr>
              <w:t>3</w:t>
            </w:r>
          </w:p>
        </w:tc>
        <w:tc>
          <w:tcPr>
            <w:tcW w:w="568" w:type="dxa"/>
            <w:tcBorders>
              <w:top w:val="nil"/>
              <w:left w:val="nil"/>
              <w:bottom w:val="nil"/>
              <w:right w:val="nil"/>
            </w:tcBorders>
            <w:vAlign w:val="center"/>
          </w:tcPr>
          <w:p w14:paraId="000AEC6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66</w:t>
            </w:r>
          </w:p>
        </w:tc>
      </w:tr>
      <w:tr w:rsidR="00CA46DB" w:rsidRPr="00CA46DB" w14:paraId="48071573" w14:textId="77777777">
        <w:trPr>
          <w:trHeight w:val="680"/>
        </w:trPr>
        <w:tc>
          <w:tcPr>
            <w:tcW w:w="2127" w:type="dxa"/>
            <w:tcBorders>
              <w:top w:val="nil"/>
              <w:left w:val="nil"/>
              <w:bottom w:val="nil"/>
              <w:right w:val="nil"/>
            </w:tcBorders>
            <w:vAlign w:val="center"/>
          </w:tcPr>
          <w:p w14:paraId="6FF524C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2CN-BTDA</w:t>
            </w:r>
          </w:p>
        </w:tc>
        <w:tc>
          <w:tcPr>
            <w:tcW w:w="1701" w:type="dxa"/>
            <w:tcBorders>
              <w:top w:val="nil"/>
              <w:left w:val="nil"/>
              <w:bottom w:val="nil"/>
              <w:right w:val="nil"/>
            </w:tcBorders>
            <w:vAlign w:val="center"/>
          </w:tcPr>
          <w:p w14:paraId="2A8FFF3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508(N</w:t>
            </w:r>
            <w:r w:rsidRPr="00CA46DB">
              <w:rPr>
                <w:rFonts w:cstheme="minorHAnsi"/>
                <w:color w:val="000000" w:themeColor="text1"/>
                <w:sz w:val="18"/>
                <w:szCs w:val="18"/>
                <w:vertAlign w:val="subscript"/>
              </w:rPr>
              <w:t>2</w:t>
            </w:r>
            <w:r w:rsidRPr="00CA46DB">
              <w:rPr>
                <w:rFonts w:cstheme="minorHAnsi"/>
                <w:color w:val="000000" w:themeColor="text1"/>
                <w:sz w:val="18"/>
                <w:szCs w:val="18"/>
              </w:rPr>
              <w:t>) / 325</w:t>
            </w:r>
          </w:p>
        </w:tc>
        <w:tc>
          <w:tcPr>
            <w:tcW w:w="1559" w:type="dxa"/>
            <w:tcBorders>
              <w:top w:val="nil"/>
              <w:left w:val="nil"/>
              <w:bottom w:val="nil"/>
              <w:right w:val="nil"/>
            </w:tcBorders>
            <w:vAlign w:val="center"/>
          </w:tcPr>
          <w:p w14:paraId="713DD70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4.8</w:t>
            </w:r>
          </w:p>
        </w:tc>
        <w:tc>
          <w:tcPr>
            <w:tcW w:w="1843" w:type="dxa"/>
            <w:tcBorders>
              <w:top w:val="nil"/>
              <w:left w:val="nil"/>
              <w:bottom w:val="nil"/>
              <w:right w:val="nil"/>
            </w:tcBorders>
            <w:vAlign w:val="center"/>
          </w:tcPr>
          <w:p w14:paraId="6C6F651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0.00157</w:t>
            </w:r>
          </w:p>
        </w:tc>
        <w:tc>
          <w:tcPr>
            <w:tcW w:w="1417" w:type="dxa"/>
            <w:tcBorders>
              <w:top w:val="nil"/>
              <w:left w:val="nil"/>
              <w:bottom w:val="nil"/>
              <w:right w:val="nil"/>
            </w:tcBorders>
            <w:vAlign w:val="center"/>
          </w:tcPr>
          <w:p w14:paraId="0886D24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219.4</w:t>
            </w:r>
          </w:p>
        </w:tc>
        <w:tc>
          <w:tcPr>
            <w:tcW w:w="1701" w:type="dxa"/>
            <w:tcBorders>
              <w:top w:val="nil"/>
              <w:left w:val="nil"/>
              <w:bottom w:val="nil"/>
              <w:right w:val="nil"/>
            </w:tcBorders>
            <w:vAlign w:val="center"/>
          </w:tcPr>
          <w:p w14:paraId="373E491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1.023</w:t>
            </w:r>
          </w:p>
        </w:tc>
        <w:tc>
          <w:tcPr>
            <w:tcW w:w="1418" w:type="dxa"/>
            <w:tcBorders>
              <w:top w:val="nil"/>
              <w:left w:val="nil"/>
              <w:bottom w:val="nil"/>
              <w:right w:val="nil"/>
            </w:tcBorders>
            <w:vAlign w:val="center"/>
          </w:tcPr>
          <w:p w14:paraId="6B87840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48E1A82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vertAlign w:val="superscript"/>
              </w:rPr>
              <w:t xml:space="preserve"> 4</w:t>
            </w:r>
            <w:r w:rsidRPr="00CA46DB">
              <w:rPr>
                <w:rFonts w:cstheme="minorHAnsi"/>
                <w:color w:val="000000" w:themeColor="text1"/>
                <w:sz w:val="18"/>
                <w:szCs w:val="18"/>
              </w:rPr>
              <w:t>, SC</w:t>
            </w:r>
          </w:p>
        </w:tc>
        <w:tc>
          <w:tcPr>
            <w:tcW w:w="568" w:type="dxa"/>
            <w:tcBorders>
              <w:top w:val="nil"/>
              <w:left w:val="nil"/>
              <w:bottom w:val="nil"/>
              <w:right w:val="nil"/>
            </w:tcBorders>
            <w:vAlign w:val="center"/>
          </w:tcPr>
          <w:p w14:paraId="13FC103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69</w:t>
            </w:r>
          </w:p>
        </w:tc>
      </w:tr>
      <w:tr w:rsidR="00CA46DB" w:rsidRPr="00CA46DB" w14:paraId="795B72B5" w14:textId="77777777">
        <w:trPr>
          <w:trHeight w:val="454"/>
        </w:trPr>
        <w:tc>
          <w:tcPr>
            <w:tcW w:w="2127" w:type="dxa"/>
            <w:tcBorders>
              <w:top w:val="nil"/>
              <w:left w:val="nil"/>
              <w:bottom w:val="nil"/>
              <w:right w:val="nil"/>
            </w:tcBorders>
            <w:vAlign w:val="center"/>
          </w:tcPr>
          <w:p w14:paraId="52CEC63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BPDA-BAPBP</w:t>
            </w:r>
          </w:p>
        </w:tc>
        <w:tc>
          <w:tcPr>
            <w:tcW w:w="1701" w:type="dxa"/>
            <w:tcBorders>
              <w:top w:val="nil"/>
              <w:left w:val="nil"/>
              <w:bottom w:val="nil"/>
              <w:right w:val="nil"/>
            </w:tcBorders>
            <w:vAlign w:val="center"/>
          </w:tcPr>
          <w:p w14:paraId="6196822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506(N</w:t>
            </w:r>
            <w:r w:rsidRPr="00CA46DB">
              <w:rPr>
                <w:rFonts w:cstheme="minorHAnsi"/>
                <w:color w:val="000000" w:themeColor="text1"/>
                <w:sz w:val="18"/>
                <w:szCs w:val="18"/>
                <w:vertAlign w:val="subscript"/>
              </w:rPr>
              <w:t>2</w:t>
            </w:r>
            <w:r w:rsidRPr="00CA46DB">
              <w:rPr>
                <w:rFonts w:cstheme="minorHAnsi"/>
                <w:color w:val="000000" w:themeColor="text1"/>
                <w:sz w:val="18"/>
                <w:szCs w:val="18"/>
              </w:rPr>
              <w:t>) / 291</w:t>
            </w:r>
          </w:p>
        </w:tc>
        <w:tc>
          <w:tcPr>
            <w:tcW w:w="1559" w:type="dxa"/>
            <w:tcBorders>
              <w:top w:val="nil"/>
              <w:left w:val="nil"/>
              <w:bottom w:val="nil"/>
              <w:right w:val="nil"/>
            </w:tcBorders>
            <w:vAlign w:val="center"/>
          </w:tcPr>
          <w:p w14:paraId="660C9E2F"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7</w:t>
            </w:r>
          </w:p>
        </w:tc>
        <w:tc>
          <w:tcPr>
            <w:tcW w:w="1843" w:type="dxa"/>
            <w:tcBorders>
              <w:top w:val="nil"/>
              <w:left w:val="nil"/>
              <w:bottom w:val="nil"/>
              <w:right w:val="nil"/>
            </w:tcBorders>
            <w:vAlign w:val="center"/>
          </w:tcPr>
          <w:p w14:paraId="0D1D66D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0.008</w:t>
            </w:r>
          </w:p>
        </w:tc>
        <w:tc>
          <w:tcPr>
            <w:tcW w:w="1417" w:type="dxa"/>
            <w:tcBorders>
              <w:top w:val="nil"/>
              <w:left w:val="nil"/>
              <w:bottom w:val="nil"/>
              <w:right w:val="nil"/>
            </w:tcBorders>
            <w:vAlign w:val="center"/>
          </w:tcPr>
          <w:p w14:paraId="3BFFF47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701" w:type="dxa"/>
            <w:tcBorders>
              <w:top w:val="nil"/>
              <w:left w:val="nil"/>
              <w:bottom w:val="nil"/>
              <w:right w:val="nil"/>
            </w:tcBorders>
            <w:vAlign w:val="center"/>
          </w:tcPr>
          <w:p w14:paraId="655169D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8" w:type="dxa"/>
            <w:tcBorders>
              <w:top w:val="nil"/>
              <w:left w:val="nil"/>
              <w:bottom w:val="nil"/>
              <w:right w:val="nil"/>
            </w:tcBorders>
            <w:vAlign w:val="center"/>
          </w:tcPr>
          <w:p w14:paraId="7F555DC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08FC6A60"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SC</w:t>
            </w:r>
          </w:p>
        </w:tc>
        <w:tc>
          <w:tcPr>
            <w:tcW w:w="568" w:type="dxa"/>
            <w:tcBorders>
              <w:top w:val="nil"/>
              <w:left w:val="nil"/>
              <w:bottom w:val="nil"/>
              <w:right w:val="nil"/>
            </w:tcBorders>
            <w:vAlign w:val="center"/>
          </w:tcPr>
          <w:p w14:paraId="5689A3B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70</w:t>
            </w:r>
          </w:p>
        </w:tc>
      </w:tr>
      <w:tr w:rsidR="00CA46DB" w:rsidRPr="00CA46DB" w14:paraId="24A61462" w14:textId="77777777">
        <w:trPr>
          <w:trHeight w:val="680"/>
        </w:trPr>
        <w:tc>
          <w:tcPr>
            <w:tcW w:w="2127" w:type="dxa"/>
            <w:tcBorders>
              <w:top w:val="nil"/>
              <w:left w:val="nil"/>
              <w:bottom w:val="nil"/>
              <w:right w:val="nil"/>
            </w:tcBorders>
            <w:vAlign w:val="center"/>
          </w:tcPr>
          <w:p w14:paraId="444C7CE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BTDA-BPBPA</w:t>
            </w:r>
          </w:p>
        </w:tc>
        <w:tc>
          <w:tcPr>
            <w:tcW w:w="1701" w:type="dxa"/>
            <w:tcBorders>
              <w:top w:val="nil"/>
              <w:left w:val="nil"/>
              <w:bottom w:val="nil"/>
              <w:right w:val="nil"/>
            </w:tcBorders>
            <w:vAlign w:val="center"/>
          </w:tcPr>
          <w:p w14:paraId="4561244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525(N</w:t>
            </w:r>
            <w:r w:rsidRPr="00CA46DB">
              <w:rPr>
                <w:rFonts w:cstheme="minorHAnsi"/>
                <w:color w:val="000000" w:themeColor="text1"/>
                <w:sz w:val="18"/>
                <w:szCs w:val="18"/>
                <w:vertAlign w:val="subscript"/>
              </w:rPr>
              <w:t>2</w:t>
            </w:r>
            <w:r w:rsidRPr="00CA46DB">
              <w:rPr>
                <w:rFonts w:cstheme="minorHAnsi"/>
                <w:color w:val="000000" w:themeColor="text1"/>
                <w:sz w:val="18"/>
                <w:szCs w:val="18"/>
              </w:rPr>
              <w:t>) / 296</w:t>
            </w:r>
          </w:p>
        </w:tc>
        <w:tc>
          <w:tcPr>
            <w:tcW w:w="1559" w:type="dxa"/>
            <w:tcBorders>
              <w:top w:val="nil"/>
              <w:left w:val="nil"/>
              <w:bottom w:val="nil"/>
              <w:right w:val="nil"/>
            </w:tcBorders>
            <w:vAlign w:val="center"/>
          </w:tcPr>
          <w:p w14:paraId="3AB8A62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7.1</w:t>
            </w:r>
          </w:p>
        </w:tc>
        <w:tc>
          <w:tcPr>
            <w:tcW w:w="1843" w:type="dxa"/>
            <w:tcBorders>
              <w:top w:val="nil"/>
              <w:left w:val="nil"/>
              <w:bottom w:val="nil"/>
              <w:right w:val="nil"/>
            </w:tcBorders>
            <w:vAlign w:val="center"/>
          </w:tcPr>
          <w:p w14:paraId="58CA3BF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0.014</w:t>
            </w:r>
          </w:p>
        </w:tc>
        <w:tc>
          <w:tcPr>
            <w:tcW w:w="1417" w:type="dxa"/>
            <w:tcBorders>
              <w:top w:val="nil"/>
              <w:left w:val="nil"/>
              <w:bottom w:val="nil"/>
              <w:right w:val="nil"/>
            </w:tcBorders>
            <w:vAlign w:val="center"/>
          </w:tcPr>
          <w:p w14:paraId="616C70B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295</w:t>
            </w:r>
          </w:p>
        </w:tc>
        <w:tc>
          <w:tcPr>
            <w:tcW w:w="1701" w:type="dxa"/>
            <w:tcBorders>
              <w:top w:val="nil"/>
              <w:left w:val="nil"/>
              <w:bottom w:val="nil"/>
              <w:right w:val="nil"/>
            </w:tcBorders>
            <w:vAlign w:val="center"/>
          </w:tcPr>
          <w:p w14:paraId="182CF67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2.77</w:t>
            </w:r>
          </w:p>
        </w:tc>
        <w:tc>
          <w:tcPr>
            <w:tcW w:w="1418" w:type="dxa"/>
            <w:tcBorders>
              <w:top w:val="nil"/>
              <w:left w:val="nil"/>
              <w:bottom w:val="nil"/>
              <w:right w:val="nil"/>
            </w:tcBorders>
            <w:vAlign w:val="center"/>
          </w:tcPr>
          <w:p w14:paraId="0FF8393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40B7510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SC</w:t>
            </w:r>
          </w:p>
        </w:tc>
        <w:tc>
          <w:tcPr>
            <w:tcW w:w="568" w:type="dxa"/>
            <w:tcBorders>
              <w:top w:val="nil"/>
              <w:left w:val="nil"/>
              <w:bottom w:val="nil"/>
              <w:right w:val="nil"/>
            </w:tcBorders>
            <w:vAlign w:val="center"/>
          </w:tcPr>
          <w:p w14:paraId="53ACBB9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13</w:t>
            </w:r>
          </w:p>
        </w:tc>
      </w:tr>
      <w:tr w:rsidR="00CA46DB" w:rsidRPr="00CA46DB" w14:paraId="3A699ED6" w14:textId="77777777">
        <w:trPr>
          <w:trHeight w:val="598"/>
        </w:trPr>
        <w:tc>
          <w:tcPr>
            <w:tcW w:w="2127" w:type="dxa"/>
            <w:tcBorders>
              <w:top w:val="nil"/>
              <w:left w:val="nil"/>
              <w:bottom w:val="nil"/>
              <w:right w:val="nil"/>
            </w:tcBorders>
            <w:vAlign w:val="center"/>
          </w:tcPr>
          <w:p w14:paraId="1268BCB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crown ether-containing PI</w:t>
            </w:r>
          </w:p>
        </w:tc>
        <w:tc>
          <w:tcPr>
            <w:tcW w:w="1701" w:type="dxa"/>
            <w:tcBorders>
              <w:top w:val="nil"/>
              <w:left w:val="nil"/>
              <w:bottom w:val="nil"/>
              <w:right w:val="nil"/>
            </w:tcBorders>
            <w:vAlign w:val="center"/>
          </w:tcPr>
          <w:p w14:paraId="571D3690"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423.1(N</w:t>
            </w:r>
            <w:r w:rsidRPr="00CA46DB">
              <w:rPr>
                <w:rFonts w:cstheme="minorHAnsi"/>
                <w:color w:val="000000" w:themeColor="text1"/>
                <w:sz w:val="18"/>
                <w:szCs w:val="18"/>
                <w:vertAlign w:val="subscript"/>
              </w:rPr>
              <w:t>2</w:t>
            </w:r>
            <w:r w:rsidRPr="00CA46DB">
              <w:rPr>
                <w:rFonts w:cstheme="minorHAnsi"/>
                <w:color w:val="000000" w:themeColor="text1"/>
                <w:sz w:val="18"/>
                <w:szCs w:val="18"/>
              </w:rPr>
              <w:t>) / 342</w:t>
            </w:r>
          </w:p>
        </w:tc>
        <w:tc>
          <w:tcPr>
            <w:tcW w:w="1559" w:type="dxa"/>
            <w:tcBorders>
              <w:top w:val="nil"/>
              <w:left w:val="nil"/>
              <w:bottom w:val="nil"/>
              <w:right w:val="nil"/>
            </w:tcBorders>
            <w:vAlign w:val="center"/>
          </w:tcPr>
          <w:p w14:paraId="16C309F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6.4</w:t>
            </w:r>
          </w:p>
        </w:tc>
        <w:tc>
          <w:tcPr>
            <w:tcW w:w="1843" w:type="dxa"/>
            <w:tcBorders>
              <w:top w:val="nil"/>
              <w:left w:val="nil"/>
              <w:bottom w:val="nil"/>
              <w:right w:val="nil"/>
            </w:tcBorders>
            <w:vAlign w:val="center"/>
          </w:tcPr>
          <w:p w14:paraId="5362A99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0.005</w:t>
            </w:r>
          </w:p>
        </w:tc>
        <w:tc>
          <w:tcPr>
            <w:tcW w:w="1417" w:type="dxa"/>
            <w:tcBorders>
              <w:top w:val="nil"/>
              <w:left w:val="nil"/>
              <w:bottom w:val="nil"/>
              <w:right w:val="nil"/>
            </w:tcBorders>
            <w:vAlign w:val="center"/>
          </w:tcPr>
          <w:p w14:paraId="0B10E3A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701" w:type="dxa"/>
            <w:tcBorders>
              <w:top w:val="nil"/>
              <w:left w:val="nil"/>
              <w:bottom w:val="nil"/>
              <w:right w:val="nil"/>
            </w:tcBorders>
            <w:vAlign w:val="center"/>
          </w:tcPr>
          <w:p w14:paraId="21FADA7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8" w:type="dxa"/>
            <w:tcBorders>
              <w:top w:val="nil"/>
              <w:left w:val="nil"/>
              <w:bottom w:val="nil"/>
              <w:right w:val="nil"/>
            </w:tcBorders>
            <w:vAlign w:val="center"/>
          </w:tcPr>
          <w:p w14:paraId="2F9C85D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22C744D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nil"/>
              <w:right w:val="nil"/>
            </w:tcBorders>
            <w:vAlign w:val="center"/>
          </w:tcPr>
          <w:p w14:paraId="51A8239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71</w:t>
            </w:r>
          </w:p>
        </w:tc>
      </w:tr>
      <w:tr w:rsidR="00CA46DB" w:rsidRPr="00CA46DB" w14:paraId="4D530670" w14:textId="77777777">
        <w:trPr>
          <w:trHeight w:val="564"/>
        </w:trPr>
        <w:tc>
          <w:tcPr>
            <w:tcW w:w="2127" w:type="dxa"/>
            <w:tcBorders>
              <w:top w:val="nil"/>
              <w:left w:val="nil"/>
              <w:bottom w:val="nil"/>
              <w:right w:val="nil"/>
            </w:tcBorders>
            <w:vAlign w:val="center"/>
          </w:tcPr>
          <w:p w14:paraId="00FF48D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SPI-1</w:t>
            </w:r>
          </w:p>
        </w:tc>
        <w:tc>
          <w:tcPr>
            <w:tcW w:w="1701" w:type="dxa"/>
            <w:tcBorders>
              <w:top w:val="nil"/>
              <w:left w:val="nil"/>
              <w:bottom w:val="nil"/>
              <w:right w:val="nil"/>
            </w:tcBorders>
            <w:vAlign w:val="center"/>
          </w:tcPr>
          <w:p w14:paraId="5C9941E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290</w:t>
            </w:r>
          </w:p>
        </w:tc>
        <w:tc>
          <w:tcPr>
            <w:tcW w:w="1559" w:type="dxa"/>
            <w:tcBorders>
              <w:top w:val="nil"/>
              <w:left w:val="nil"/>
              <w:bottom w:val="nil"/>
              <w:right w:val="nil"/>
            </w:tcBorders>
            <w:vAlign w:val="center"/>
          </w:tcPr>
          <w:p w14:paraId="7E8336A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5.98</w:t>
            </w:r>
          </w:p>
        </w:tc>
        <w:tc>
          <w:tcPr>
            <w:tcW w:w="1843" w:type="dxa"/>
            <w:tcBorders>
              <w:top w:val="nil"/>
              <w:left w:val="nil"/>
              <w:bottom w:val="nil"/>
              <w:right w:val="nil"/>
            </w:tcBorders>
            <w:vAlign w:val="center"/>
          </w:tcPr>
          <w:p w14:paraId="0AD49F4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0.00373</w:t>
            </w:r>
          </w:p>
        </w:tc>
        <w:tc>
          <w:tcPr>
            <w:tcW w:w="1417" w:type="dxa"/>
            <w:tcBorders>
              <w:top w:val="nil"/>
              <w:left w:val="nil"/>
              <w:bottom w:val="nil"/>
              <w:right w:val="nil"/>
            </w:tcBorders>
            <w:vAlign w:val="center"/>
          </w:tcPr>
          <w:p w14:paraId="19EE3A6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536</w:t>
            </w:r>
          </w:p>
        </w:tc>
        <w:tc>
          <w:tcPr>
            <w:tcW w:w="1701" w:type="dxa"/>
            <w:tcBorders>
              <w:top w:val="nil"/>
              <w:left w:val="nil"/>
              <w:bottom w:val="nil"/>
              <w:right w:val="nil"/>
            </w:tcBorders>
            <w:vAlign w:val="center"/>
          </w:tcPr>
          <w:p w14:paraId="63429D2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7.60</w:t>
            </w:r>
          </w:p>
        </w:tc>
        <w:tc>
          <w:tcPr>
            <w:tcW w:w="1418" w:type="dxa"/>
            <w:tcBorders>
              <w:top w:val="nil"/>
              <w:left w:val="nil"/>
              <w:bottom w:val="nil"/>
              <w:right w:val="nil"/>
            </w:tcBorders>
            <w:vAlign w:val="center"/>
          </w:tcPr>
          <w:p w14:paraId="0D942CC0"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91.3%@500 MV·m</w:t>
            </w:r>
            <w:r w:rsidRPr="00CA46DB">
              <w:rPr>
                <w:rFonts w:cstheme="minorHAnsi"/>
                <w:color w:val="000000" w:themeColor="text1"/>
                <w:sz w:val="18"/>
                <w:szCs w:val="18"/>
                <w:vertAlign w:val="superscript"/>
              </w:rPr>
              <w:t>−1</w:t>
            </w:r>
          </w:p>
        </w:tc>
        <w:tc>
          <w:tcPr>
            <w:tcW w:w="1842" w:type="dxa"/>
            <w:tcBorders>
              <w:top w:val="nil"/>
              <w:left w:val="nil"/>
              <w:bottom w:val="nil"/>
              <w:right w:val="nil"/>
            </w:tcBorders>
            <w:vAlign w:val="center"/>
          </w:tcPr>
          <w:p w14:paraId="0885891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nil"/>
              <w:right w:val="nil"/>
            </w:tcBorders>
            <w:vAlign w:val="center"/>
          </w:tcPr>
          <w:p w14:paraId="05E8C17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51</w:t>
            </w:r>
          </w:p>
        </w:tc>
      </w:tr>
      <w:tr w:rsidR="00CA46DB" w:rsidRPr="00CA46DB" w14:paraId="03DEC360" w14:textId="77777777">
        <w:trPr>
          <w:trHeight w:val="416"/>
        </w:trPr>
        <w:tc>
          <w:tcPr>
            <w:tcW w:w="2127" w:type="dxa"/>
            <w:tcBorders>
              <w:top w:val="nil"/>
              <w:left w:val="nil"/>
              <w:bottom w:val="nil"/>
              <w:right w:val="nil"/>
            </w:tcBorders>
            <w:vAlign w:val="center"/>
          </w:tcPr>
          <w:p w14:paraId="052ADB7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CPI-5</w:t>
            </w:r>
          </w:p>
        </w:tc>
        <w:tc>
          <w:tcPr>
            <w:tcW w:w="1701" w:type="dxa"/>
            <w:tcBorders>
              <w:top w:val="nil"/>
              <w:left w:val="nil"/>
              <w:bottom w:val="nil"/>
              <w:right w:val="nil"/>
            </w:tcBorders>
            <w:vAlign w:val="center"/>
          </w:tcPr>
          <w:p w14:paraId="583249D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277</w:t>
            </w:r>
          </w:p>
        </w:tc>
        <w:tc>
          <w:tcPr>
            <w:tcW w:w="1559" w:type="dxa"/>
            <w:tcBorders>
              <w:top w:val="nil"/>
              <w:left w:val="nil"/>
              <w:bottom w:val="nil"/>
              <w:right w:val="nil"/>
            </w:tcBorders>
            <w:vAlign w:val="center"/>
          </w:tcPr>
          <w:p w14:paraId="1C4755E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523</w:t>
            </w:r>
          </w:p>
        </w:tc>
        <w:tc>
          <w:tcPr>
            <w:tcW w:w="1843" w:type="dxa"/>
            <w:tcBorders>
              <w:top w:val="nil"/>
              <w:left w:val="nil"/>
              <w:bottom w:val="nil"/>
              <w:right w:val="nil"/>
            </w:tcBorders>
            <w:vAlign w:val="center"/>
          </w:tcPr>
          <w:p w14:paraId="77B783D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0.00324</w:t>
            </w:r>
          </w:p>
        </w:tc>
        <w:tc>
          <w:tcPr>
            <w:tcW w:w="1417" w:type="dxa"/>
            <w:tcBorders>
              <w:top w:val="nil"/>
              <w:left w:val="nil"/>
              <w:bottom w:val="nil"/>
              <w:right w:val="nil"/>
            </w:tcBorders>
            <w:vAlign w:val="center"/>
          </w:tcPr>
          <w:p w14:paraId="5649B1C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511</w:t>
            </w:r>
          </w:p>
        </w:tc>
        <w:tc>
          <w:tcPr>
            <w:tcW w:w="1701" w:type="dxa"/>
            <w:tcBorders>
              <w:top w:val="nil"/>
              <w:left w:val="nil"/>
              <w:bottom w:val="nil"/>
              <w:right w:val="nil"/>
            </w:tcBorders>
            <w:vAlign w:val="center"/>
          </w:tcPr>
          <w:p w14:paraId="64364E6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6.34</w:t>
            </w:r>
          </w:p>
        </w:tc>
        <w:tc>
          <w:tcPr>
            <w:tcW w:w="1418" w:type="dxa"/>
            <w:tcBorders>
              <w:top w:val="nil"/>
              <w:left w:val="nil"/>
              <w:bottom w:val="nil"/>
              <w:right w:val="nil"/>
            </w:tcBorders>
            <w:vAlign w:val="center"/>
          </w:tcPr>
          <w:p w14:paraId="126A8BD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92.3%</w:t>
            </w:r>
          </w:p>
        </w:tc>
        <w:tc>
          <w:tcPr>
            <w:tcW w:w="1842" w:type="dxa"/>
            <w:tcBorders>
              <w:top w:val="nil"/>
              <w:left w:val="nil"/>
              <w:bottom w:val="nil"/>
              <w:right w:val="nil"/>
            </w:tcBorders>
            <w:vAlign w:val="center"/>
          </w:tcPr>
          <w:p w14:paraId="1C83FA2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nil"/>
              <w:right w:val="nil"/>
            </w:tcBorders>
            <w:vAlign w:val="center"/>
          </w:tcPr>
          <w:p w14:paraId="0E20300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50</w:t>
            </w:r>
          </w:p>
        </w:tc>
      </w:tr>
      <w:tr w:rsidR="00CA46DB" w:rsidRPr="00CA46DB" w14:paraId="510E194A" w14:textId="77777777">
        <w:trPr>
          <w:trHeight w:val="680"/>
        </w:trPr>
        <w:tc>
          <w:tcPr>
            <w:tcW w:w="2127" w:type="dxa"/>
            <w:tcBorders>
              <w:top w:val="nil"/>
              <w:left w:val="nil"/>
              <w:bottom w:val="single" w:sz="4" w:space="0" w:color="auto"/>
              <w:right w:val="nil"/>
            </w:tcBorders>
            <w:vAlign w:val="center"/>
          </w:tcPr>
          <w:p w14:paraId="13F9FD0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BTDA-HK511(B2)</w:t>
            </w:r>
          </w:p>
        </w:tc>
        <w:tc>
          <w:tcPr>
            <w:tcW w:w="1701" w:type="dxa"/>
            <w:tcBorders>
              <w:top w:val="nil"/>
              <w:left w:val="nil"/>
              <w:bottom w:val="single" w:sz="4" w:space="0" w:color="auto"/>
              <w:right w:val="nil"/>
            </w:tcBorders>
            <w:vAlign w:val="center"/>
          </w:tcPr>
          <w:p w14:paraId="786C2C5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78</w:t>
            </w:r>
          </w:p>
        </w:tc>
        <w:tc>
          <w:tcPr>
            <w:tcW w:w="1559" w:type="dxa"/>
            <w:tcBorders>
              <w:top w:val="nil"/>
              <w:left w:val="nil"/>
              <w:bottom w:val="single" w:sz="4" w:space="0" w:color="auto"/>
              <w:right w:val="nil"/>
            </w:tcBorders>
            <w:vAlign w:val="center"/>
          </w:tcPr>
          <w:p w14:paraId="68EDCDAF"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7.80</w:t>
            </w:r>
          </w:p>
        </w:tc>
        <w:tc>
          <w:tcPr>
            <w:tcW w:w="1843" w:type="dxa"/>
            <w:tcBorders>
              <w:top w:val="nil"/>
              <w:left w:val="nil"/>
              <w:bottom w:val="single" w:sz="4" w:space="0" w:color="auto"/>
              <w:right w:val="nil"/>
            </w:tcBorders>
            <w:vAlign w:val="center"/>
          </w:tcPr>
          <w:p w14:paraId="05F8A8E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0.00555</w:t>
            </w:r>
          </w:p>
        </w:tc>
        <w:tc>
          <w:tcPr>
            <w:tcW w:w="1417" w:type="dxa"/>
            <w:tcBorders>
              <w:top w:val="nil"/>
              <w:left w:val="nil"/>
              <w:bottom w:val="single" w:sz="4" w:space="0" w:color="auto"/>
              <w:right w:val="nil"/>
            </w:tcBorders>
            <w:vAlign w:val="center"/>
          </w:tcPr>
          <w:p w14:paraId="2F73DF0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676</w:t>
            </w:r>
          </w:p>
        </w:tc>
        <w:tc>
          <w:tcPr>
            <w:tcW w:w="1701" w:type="dxa"/>
            <w:tcBorders>
              <w:top w:val="nil"/>
              <w:left w:val="nil"/>
              <w:bottom w:val="single" w:sz="4" w:space="0" w:color="auto"/>
              <w:right w:val="nil"/>
            </w:tcBorders>
            <w:vAlign w:val="center"/>
          </w:tcPr>
          <w:p w14:paraId="0B403C8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15.77</w:t>
            </w:r>
          </w:p>
        </w:tc>
        <w:tc>
          <w:tcPr>
            <w:tcW w:w="1418" w:type="dxa"/>
            <w:tcBorders>
              <w:top w:val="nil"/>
              <w:left w:val="nil"/>
              <w:bottom w:val="single" w:sz="4" w:space="0" w:color="auto"/>
              <w:right w:val="nil"/>
            </w:tcBorders>
            <w:vAlign w:val="center"/>
          </w:tcPr>
          <w:p w14:paraId="3A5FD6B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single" w:sz="4" w:space="0" w:color="auto"/>
              <w:right w:val="nil"/>
            </w:tcBorders>
            <w:vAlign w:val="center"/>
          </w:tcPr>
          <w:p w14:paraId="09BD477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170−180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single" w:sz="4" w:space="0" w:color="auto"/>
              <w:right w:val="nil"/>
            </w:tcBorders>
            <w:vAlign w:val="center"/>
          </w:tcPr>
          <w:p w14:paraId="3D6B1B9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15</w:t>
            </w:r>
          </w:p>
        </w:tc>
      </w:tr>
      <w:tr w:rsidR="00CA46DB" w:rsidRPr="00CA46DB" w14:paraId="42DD3114" w14:textId="77777777">
        <w:trPr>
          <w:trHeight w:val="680"/>
        </w:trPr>
        <w:tc>
          <w:tcPr>
            <w:tcW w:w="2127" w:type="dxa"/>
            <w:tcBorders>
              <w:top w:val="single" w:sz="4" w:space="0" w:color="auto"/>
              <w:left w:val="nil"/>
              <w:bottom w:val="nil"/>
              <w:right w:val="nil"/>
            </w:tcBorders>
            <w:vAlign w:val="center"/>
          </w:tcPr>
          <w:p w14:paraId="24ED16E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PI-DPEM</w:t>
            </w:r>
          </w:p>
        </w:tc>
        <w:tc>
          <w:tcPr>
            <w:tcW w:w="1701" w:type="dxa"/>
            <w:tcBorders>
              <w:top w:val="single" w:sz="4" w:space="0" w:color="auto"/>
              <w:left w:val="nil"/>
              <w:bottom w:val="nil"/>
              <w:right w:val="nil"/>
            </w:tcBorders>
            <w:vAlign w:val="center"/>
          </w:tcPr>
          <w:p w14:paraId="36939E4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375(air) / 163</w:t>
            </w:r>
          </w:p>
        </w:tc>
        <w:tc>
          <w:tcPr>
            <w:tcW w:w="1559" w:type="dxa"/>
            <w:tcBorders>
              <w:top w:val="single" w:sz="4" w:space="0" w:color="auto"/>
              <w:left w:val="nil"/>
              <w:bottom w:val="nil"/>
              <w:right w:val="nil"/>
            </w:tcBorders>
            <w:vAlign w:val="center"/>
          </w:tcPr>
          <w:p w14:paraId="582B591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3.5@100Hz</w:t>
            </w:r>
          </w:p>
        </w:tc>
        <w:tc>
          <w:tcPr>
            <w:tcW w:w="1843" w:type="dxa"/>
            <w:tcBorders>
              <w:top w:val="single" w:sz="4" w:space="0" w:color="auto"/>
              <w:left w:val="nil"/>
              <w:bottom w:val="nil"/>
              <w:right w:val="nil"/>
            </w:tcBorders>
            <w:vAlign w:val="center"/>
          </w:tcPr>
          <w:p w14:paraId="12059EA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hint="eastAsia"/>
                <w:color w:val="000000" w:themeColor="text1"/>
                <w:sz w:val="18"/>
                <w:szCs w:val="18"/>
                <w:lang w:eastAsia="zh-CN"/>
              </w:rPr>
              <w:t>&lt;</w:t>
            </w:r>
            <w:r w:rsidRPr="00CA46DB">
              <w:rPr>
                <w:rFonts w:cstheme="minorHAnsi"/>
                <w:color w:val="000000" w:themeColor="text1"/>
                <w:sz w:val="18"/>
                <w:szCs w:val="18"/>
                <w:lang w:eastAsia="zh-CN"/>
              </w:rPr>
              <w:t xml:space="preserve"> </w:t>
            </w:r>
            <w:r w:rsidRPr="00CA46DB">
              <w:rPr>
                <w:rFonts w:cstheme="minorHAnsi"/>
                <w:color w:val="000000" w:themeColor="text1"/>
                <w:sz w:val="18"/>
                <w:szCs w:val="18"/>
              </w:rPr>
              <w:t>0.02</w:t>
            </w:r>
          </w:p>
        </w:tc>
        <w:tc>
          <w:tcPr>
            <w:tcW w:w="1417" w:type="dxa"/>
            <w:tcBorders>
              <w:top w:val="single" w:sz="4" w:space="0" w:color="auto"/>
              <w:left w:val="nil"/>
              <w:bottom w:val="nil"/>
              <w:right w:val="nil"/>
            </w:tcBorders>
            <w:vAlign w:val="center"/>
          </w:tcPr>
          <w:p w14:paraId="7CA4113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701" w:type="dxa"/>
            <w:tcBorders>
              <w:top w:val="single" w:sz="4" w:space="0" w:color="auto"/>
              <w:left w:val="nil"/>
              <w:bottom w:val="nil"/>
              <w:right w:val="nil"/>
            </w:tcBorders>
            <w:vAlign w:val="center"/>
          </w:tcPr>
          <w:p w14:paraId="3D35F6D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8" w:type="dxa"/>
            <w:tcBorders>
              <w:top w:val="single" w:sz="4" w:space="0" w:color="auto"/>
              <w:left w:val="nil"/>
              <w:bottom w:val="nil"/>
              <w:right w:val="nil"/>
            </w:tcBorders>
            <w:vAlign w:val="center"/>
          </w:tcPr>
          <w:p w14:paraId="5A4BCAC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single" w:sz="4" w:space="0" w:color="auto"/>
              <w:left w:val="nil"/>
              <w:bottom w:val="nil"/>
              <w:right w:val="nil"/>
            </w:tcBorders>
            <w:vAlign w:val="center"/>
          </w:tcPr>
          <w:p w14:paraId="28AE4BD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CI</w:t>
            </w:r>
            <w:r w:rsidRPr="00CA46DB">
              <w:rPr>
                <w:rFonts w:cstheme="minorHAnsi"/>
                <w:color w:val="000000" w:themeColor="text1"/>
                <w:sz w:val="18"/>
                <w:szCs w:val="18"/>
                <w:vertAlign w:val="superscript"/>
              </w:rPr>
              <w:t>5</w:t>
            </w:r>
            <w:r w:rsidRPr="00CA46DB">
              <w:rPr>
                <w:rFonts w:cstheme="minorHAnsi"/>
                <w:color w:val="000000" w:themeColor="text1"/>
                <w:sz w:val="18"/>
                <w:szCs w:val="18"/>
              </w:rPr>
              <w:t>, RT</w:t>
            </w:r>
            <w:r w:rsidRPr="00CA46DB">
              <w:rPr>
                <w:rFonts w:cstheme="minorHAnsi"/>
                <w:color w:val="000000" w:themeColor="text1"/>
                <w:sz w:val="18"/>
                <w:szCs w:val="18"/>
                <w:vertAlign w:val="superscript"/>
              </w:rPr>
              <w:t>6</w:t>
            </w:r>
            <w:r w:rsidRPr="00CA46DB">
              <w:rPr>
                <w:rFonts w:cstheme="minorHAnsi"/>
                <w:color w:val="000000" w:themeColor="text1"/>
                <w:sz w:val="18"/>
                <w:szCs w:val="18"/>
              </w:rPr>
              <w:t>, SC</w:t>
            </w:r>
          </w:p>
        </w:tc>
        <w:tc>
          <w:tcPr>
            <w:tcW w:w="568" w:type="dxa"/>
            <w:tcBorders>
              <w:top w:val="single" w:sz="4" w:space="0" w:color="auto"/>
              <w:left w:val="nil"/>
              <w:bottom w:val="nil"/>
              <w:right w:val="nil"/>
            </w:tcBorders>
            <w:vAlign w:val="center"/>
          </w:tcPr>
          <w:p w14:paraId="41A06F5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72</w:t>
            </w:r>
          </w:p>
        </w:tc>
      </w:tr>
      <w:tr w:rsidR="00CA46DB" w:rsidRPr="00CA46DB" w14:paraId="4D20DD6F" w14:textId="77777777">
        <w:trPr>
          <w:trHeight w:val="484"/>
        </w:trPr>
        <w:tc>
          <w:tcPr>
            <w:tcW w:w="2127" w:type="dxa"/>
            <w:tcBorders>
              <w:top w:val="nil"/>
              <w:left w:val="nil"/>
              <w:bottom w:val="nil"/>
              <w:right w:val="nil"/>
            </w:tcBorders>
            <w:vAlign w:val="center"/>
          </w:tcPr>
          <w:p w14:paraId="3AB0B47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poly(pyridine imide)</w:t>
            </w:r>
          </w:p>
        </w:tc>
        <w:tc>
          <w:tcPr>
            <w:tcW w:w="1701" w:type="dxa"/>
            <w:tcBorders>
              <w:top w:val="nil"/>
              <w:left w:val="nil"/>
              <w:bottom w:val="nil"/>
              <w:right w:val="nil"/>
            </w:tcBorders>
            <w:vAlign w:val="center"/>
          </w:tcPr>
          <w:p w14:paraId="280912A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527(air) / --</w:t>
            </w:r>
          </w:p>
        </w:tc>
        <w:tc>
          <w:tcPr>
            <w:tcW w:w="1559" w:type="dxa"/>
            <w:tcBorders>
              <w:top w:val="nil"/>
              <w:left w:val="nil"/>
              <w:bottom w:val="nil"/>
              <w:right w:val="nil"/>
            </w:tcBorders>
            <w:vAlign w:val="center"/>
          </w:tcPr>
          <w:p w14:paraId="7F1D521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4.2</w:t>
            </w:r>
          </w:p>
        </w:tc>
        <w:tc>
          <w:tcPr>
            <w:tcW w:w="1843" w:type="dxa"/>
            <w:tcBorders>
              <w:top w:val="nil"/>
              <w:left w:val="nil"/>
              <w:bottom w:val="nil"/>
              <w:right w:val="nil"/>
            </w:tcBorders>
            <w:vAlign w:val="center"/>
          </w:tcPr>
          <w:p w14:paraId="22E2B910"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7" w:type="dxa"/>
            <w:tcBorders>
              <w:top w:val="nil"/>
              <w:left w:val="nil"/>
              <w:bottom w:val="nil"/>
              <w:right w:val="nil"/>
            </w:tcBorders>
            <w:vAlign w:val="center"/>
          </w:tcPr>
          <w:p w14:paraId="6EE24E9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701" w:type="dxa"/>
            <w:tcBorders>
              <w:top w:val="nil"/>
              <w:left w:val="nil"/>
              <w:bottom w:val="nil"/>
              <w:right w:val="nil"/>
            </w:tcBorders>
            <w:vAlign w:val="center"/>
          </w:tcPr>
          <w:p w14:paraId="7AEDBE0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8" w:type="dxa"/>
            <w:tcBorders>
              <w:top w:val="nil"/>
              <w:left w:val="nil"/>
              <w:bottom w:val="nil"/>
              <w:right w:val="nil"/>
            </w:tcBorders>
            <w:vAlign w:val="center"/>
          </w:tcPr>
          <w:p w14:paraId="0DA04EB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59F793A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CI, 100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nil"/>
              <w:right w:val="nil"/>
            </w:tcBorders>
            <w:vAlign w:val="center"/>
          </w:tcPr>
          <w:p w14:paraId="09E9103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73</w:t>
            </w:r>
          </w:p>
        </w:tc>
      </w:tr>
      <w:tr w:rsidR="00CA46DB" w:rsidRPr="00CA46DB" w14:paraId="6F17C143" w14:textId="77777777">
        <w:trPr>
          <w:trHeight w:val="680"/>
        </w:trPr>
        <w:tc>
          <w:tcPr>
            <w:tcW w:w="2127" w:type="dxa"/>
            <w:tcBorders>
              <w:top w:val="nil"/>
              <w:left w:val="nil"/>
              <w:bottom w:val="single" w:sz="4" w:space="0" w:color="auto"/>
              <w:right w:val="nil"/>
            </w:tcBorders>
            <w:vAlign w:val="center"/>
          </w:tcPr>
          <w:p w14:paraId="00DBCD0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PI-ADE</w:t>
            </w:r>
          </w:p>
        </w:tc>
        <w:tc>
          <w:tcPr>
            <w:tcW w:w="1701" w:type="dxa"/>
            <w:tcBorders>
              <w:top w:val="nil"/>
              <w:left w:val="nil"/>
              <w:bottom w:val="single" w:sz="4" w:space="0" w:color="auto"/>
              <w:right w:val="nil"/>
            </w:tcBorders>
            <w:vAlign w:val="center"/>
          </w:tcPr>
          <w:p w14:paraId="0B55805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375(air) / 163</w:t>
            </w:r>
          </w:p>
        </w:tc>
        <w:tc>
          <w:tcPr>
            <w:tcW w:w="1559" w:type="dxa"/>
            <w:tcBorders>
              <w:top w:val="nil"/>
              <w:left w:val="nil"/>
              <w:bottom w:val="single" w:sz="4" w:space="0" w:color="auto"/>
              <w:right w:val="nil"/>
            </w:tcBorders>
            <w:vAlign w:val="center"/>
          </w:tcPr>
          <w:p w14:paraId="6A29CB5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2.85@10KHz</w:t>
            </w:r>
          </w:p>
        </w:tc>
        <w:tc>
          <w:tcPr>
            <w:tcW w:w="1843" w:type="dxa"/>
            <w:tcBorders>
              <w:top w:val="nil"/>
              <w:left w:val="nil"/>
              <w:bottom w:val="single" w:sz="4" w:space="0" w:color="auto"/>
              <w:right w:val="nil"/>
            </w:tcBorders>
            <w:vAlign w:val="center"/>
          </w:tcPr>
          <w:p w14:paraId="606BD63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0.005@10KHz</w:t>
            </w:r>
          </w:p>
        </w:tc>
        <w:tc>
          <w:tcPr>
            <w:tcW w:w="1417" w:type="dxa"/>
            <w:tcBorders>
              <w:top w:val="nil"/>
              <w:left w:val="nil"/>
              <w:bottom w:val="single" w:sz="4" w:space="0" w:color="auto"/>
              <w:right w:val="nil"/>
            </w:tcBorders>
            <w:vAlign w:val="center"/>
          </w:tcPr>
          <w:p w14:paraId="2405BDE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367</w:t>
            </w:r>
          </w:p>
        </w:tc>
        <w:tc>
          <w:tcPr>
            <w:tcW w:w="1701" w:type="dxa"/>
            <w:tcBorders>
              <w:top w:val="nil"/>
              <w:left w:val="nil"/>
              <w:bottom w:val="single" w:sz="4" w:space="0" w:color="auto"/>
              <w:right w:val="nil"/>
            </w:tcBorders>
            <w:vAlign w:val="center"/>
          </w:tcPr>
          <w:p w14:paraId="0B53B43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8" w:type="dxa"/>
            <w:tcBorders>
              <w:top w:val="nil"/>
              <w:left w:val="nil"/>
              <w:bottom w:val="single" w:sz="4" w:space="0" w:color="auto"/>
              <w:right w:val="nil"/>
            </w:tcBorders>
            <w:vAlign w:val="center"/>
          </w:tcPr>
          <w:p w14:paraId="253585A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single" w:sz="4" w:space="0" w:color="auto"/>
              <w:right w:val="nil"/>
            </w:tcBorders>
            <w:vAlign w:val="center"/>
          </w:tcPr>
          <w:p w14:paraId="1154880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SC</w:t>
            </w:r>
          </w:p>
        </w:tc>
        <w:tc>
          <w:tcPr>
            <w:tcW w:w="568" w:type="dxa"/>
            <w:tcBorders>
              <w:top w:val="nil"/>
              <w:left w:val="nil"/>
              <w:bottom w:val="single" w:sz="4" w:space="0" w:color="auto"/>
              <w:right w:val="nil"/>
            </w:tcBorders>
            <w:vAlign w:val="center"/>
          </w:tcPr>
          <w:p w14:paraId="72F2FE6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74</w:t>
            </w:r>
          </w:p>
        </w:tc>
      </w:tr>
      <w:tr w:rsidR="00CA46DB" w:rsidRPr="00CA46DB" w14:paraId="7A7FFF2F" w14:textId="77777777">
        <w:trPr>
          <w:trHeight w:val="680"/>
        </w:trPr>
        <w:tc>
          <w:tcPr>
            <w:tcW w:w="2127" w:type="dxa"/>
            <w:tcBorders>
              <w:top w:val="single" w:sz="4" w:space="0" w:color="auto"/>
              <w:left w:val="nil"/>
              <w:bottom w:val="nil"/>
              <w:right w:val="nil"/>
            </w:tcBorders>
            <w:vAlign w:val="center"/>
          </w:tcPr>
          <w:p w14:paraId="7D5E188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BTDA-HK25</w:t>
            </w:r>
          </w:p>
        </w:tc>
        <w:tc>
          <w:tcPr>
            <w:tcW w:w="1701" w:type="dxa"/>
            <w:tcBorders>
              <w:top w:val="single" w:sz="4" w:space="0" w:color="auto"/>
              <w:left w:val="nil"/>
              <w:bottom w:val="nil"/>
              <w:right w:val="nil"/>
            </w:tcBorders>
            <w:vAlign w:val="center"/>
          </w:tcPr>
          <w:p w14:paraId="1DE0EB1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single" w:sz="4" w:space="0" w:color="auto"/>
              <w:left w:val="nil"/>
              <w:bottom w:val="nil"/>
              <w:right w:val="nil"/>
            </w:tcBorders>
            <w:vAlign w:val="center"/>
          </w:tcPr>
          <w:p w14:paraId="58A85DD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4.5</w:t>
            </w:r>
          </w:p>
        </w:tc>
        <w:tc>
          <w:tcPr>
            <w:tcW w:w="1843" w:type="dxa"/>
            <w:tcBorders>
              <w:top w:val="single" w:sz="4" w:space="0" w:color="auto"/>
              <w:left w:val="nil"/>
              <w:bottom w:val="nil"/>
              <w:right w:val="nil"/>
            </w:tcBorders>
            <w:vAlign w:val="center"/>
          </w:tcPr>
          <w:p w14:paraId="4E243A8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hint="eastAsia"/>
                <w:color w:val="000000" w:themeColor="text1"/>
                <w:sz w:val="18"/>
                <w:szCs w:val="18"/>
                <w:lang w:eastAsia="zh-CN"/>
              </w:rPr>
              <w:t>&lt;</w:t>
            </w:r>
            <w:r w:rsidRPr="00CA46DB">
              <w:rPr>
                <w:rFonts w:cstheme="minorHAnsi"/>
                <w:color w:val="000000" w:themeColor="text1"/>
                <w:sz w:val="18"/>
                <w:szCs w:val="18"/>
                <w:lang w:eastAsia="zh-CN"/>
              </w:rPr>
              <w:t xml:space="preserve"> </w:t>
            </w:r>
            <w:r w:rsidRPr="00CA46DB">
              <w:rPr>
                <w:rFonts w:cstheme="minorHAnsi"/>
                <w:color w:val="000000" w:themeColor="text1"/>
                <w:sz w:val="18"/>
                <w:szCs w:val="18"/>
              </w:rPr>
              <w:t>0.01</w:t>
            </w:r>
          </w:p>
        </w:tc>
        <w:tc>
          <w:tcPr>
            <w:tcW w:w="1417" w:type="dxa"/>
            <w:tcBorders>
              <w:top w:val="single" w:sz="4" w:space="0" w:color="auto"/>
              <w:left w:val="nil"/>
              <w:bottom w:val="nil"/>
              <w:right w:val="nil"/>
            </w:tcBorders>
            <w:vAlign w:val="center"/>
          </w:tcPr>
          <w:p w14:paraId="5EE5FC7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780</w:t>
            </w:r>
          </w:p>
        </w:tc>
        <w:tc>
          <w:tcPr>
            <w:tcW w:w="1701" w:type="dxa"/>
            <w:tcBorders>
              <w:top w:val="single" w:sz="4" w:space="0" w:color="auto"/>
              <w:left w:val="nil"/>
              <w:bottom w:val="nil"/>
              <w:right w:val="nil"/>
            </w:tcBorders>
            <w:vAlign w:val="center"/>
          </w:tcPr>
          <w:p w14:paraId="381386F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12</w:t>
            </w:r>
          </w:p>
        </w:tc>
        <w:tc>
          <w:tcPr>
            <w:tcW w:w="1418" w:type="dxa"/>
            <w:tcBorders>
              <w:top w:val="single" w:sz="4" w:space="0" w:color="auto"/>
              <w:left w:val="nil"/>
              <w:bottom w:val="nil"/>
              <w:right w:val="nil"/>
            </w:tcBorders>
            <w:vAlign w:val="center"/>
          </w:tcPr>
          <w:p w14:paraId="602DD03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&gt; 90%</w:t>
            </w:r>
          </w:p>
        </w:tc>
        <w:tc>
          <w:tcPr>
            <w:tcW w:w="1842" w:type="dxa"/>
            <w:tcBorders>
              <w:top w:val="single" w:sz="4" w:space="0" w:color="auto"/>
              <w:left w:val="nil"/>
              <w:bottom w:val="nil"/>
              <w:right w:val="nil"/>
            </w:tcBorders>
            <w:vAlign w:val="center"/>
          </w:tcPr>
          <w:p w14:paraId="58993B3F"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250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single" w:sz="4" w:space="0" w:color="auto"/>
              <w:left w:val="nil"/>
              <w:bottom w:val="nil"/>
              <w:right w:val="nil"/>
            </w:tcBorders>
            <w:vAlign w:val="center"/>
          </w:tcPr>
          <w:p w14:paraId="0982D05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69</w:t>
            </w:r>
          </w:p>
        </w:tc>
      </w:tr>
      <w:tr w:rsidR="00CA46DB" w:rsidRPr="00CA46DB" w14:paraId="4C9F2CD9" w14:textId="77777777">
        <w:trPr>
          <w:trHeight w:val="364"/>
        </w:trPr>
        <w:tc>
          <w:tcPr>
            <w:tcW w:w="2127" w:type="dxa"/>
            <w:tcBorders>
              <w:top w:val="nil"/>
              <w:left w:val="nil"/>
              <w:bottom w:val="nil"/>
              <w:right w:val="nil"/>
            </w:tcBorders>
            <w:vAlign w:val="center"/>
          </w:tcPr>
          <w:p w14:paraId="1B6D9CE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Polymer 9</w:t>
            </w:r>
          </w:p>
        </w:tc>
        <w:tc>
          <w:tcPr>
            <w:tcW w:w="1701" w:type="dxa"/>
            <w:tcBorders>
              <w:top w:val="nil"/>
              <w:left w:val="nil"/>
              <w:bottom w:val="nil"/>
              <w:right w:val="nil"/>
            </w:tcBorders>
            <w:vAlign w:val="center"/>
          </w:tcPr>
          <w:p w14:paraId="5728C98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52C8B6D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6.55</w:t>
            </w:r>
          </w:p>
        </w:tc>
        <w:tc>
          <w:tcPr>
            <w:tcW w:w="1843" w:type="dxa"/>
            <w:tcBorders>
              <w:top w:val="nil"/>
              <w:left w:val="nil"/>
              <w:bottom w:val="nil"/>
              <w:right w:val="nil"/>
            </w:tcBorders>
            <w:vAlign w:val="center"/>
          </w:tcPr>
          <w:p w14:paraId="791BD5D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0.00626</w:t>
            </w:r>
          </w:p>
        </w:tc>
        <w:tc>
          <w:tcPr>
            <w:tcW w:w="1417" w:type="dxa"/>
            <w:tcBorders>
              <w:top w:val="nil"/>
              <w:left w:val="nil"/>
              <w:bottom w:val="nil"/>
              <w:right w:val="nil"/>
            </w:tcBorders>
            <w:vAlign w:val="center"/>
          </w:tcPr>
          <w:p w14:paraId="3BE74A4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701" w:type="dxa"/>
            <w:tcBorders>
              <w:top w:val="nil"/>
              <w:left w:val="nil"/>
              <w:bottom w:val="nil"/>
              <w:right w:val="nil"/>
            </w:tcBorders>
            <w:vAlign w:val="center"/>
          </w:tcPr>
          <w:p w14:paraId="3318A5D0"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8" w:type="dxa"/>
            <w:tcBorders>
              <w:top w:val="nil"/>
              <w:left w:val="nil"/>
              <w:bottom w:val="nil"/>
              <w:right w:val="nil"/>
            </w:tcBorders>
            <w:vAlign w:val="center"/>
          </w:tcPr>
          <w:p w14:paraId="539DDC40"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6A176C3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CI, 180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nil"/>
              <w:right w:val="nil"/>
            </w:tcBorders>
            <w:vAlign w:val="center"/>
          </w:tcPr>
          <w:p w14:paraId="1F9FB2E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76</w:t>
            </w:r>
          </w:p>
        </w:tc>
      </w:tr>
      <w:tr w:rsidR="00CA46DB" w:rsidRPr="00CA46DB" w14:paraId="0239013A" w14:textId="77777777">
        <w:trPr>
          <w:trHeight w:val="680"/>
        </w:trPr>
        <w:tc>
          <w:tcPr>
            <w:tcW w:w="2127" w:type="dxa"/>
            <w:tcBorders>
              <w:top w:val="nil"/>
              <w:left w:val="nil"/>
              <w:bottom w:val="single" w:sz="4" w:space="0" w:color="auto"/>
              <w:right w:val="nil"/>
            </w:tcBorders>
            <w:vAlign w:val="center"/>
          </w:tcPr>
          <w:p w14:paraId="11884E0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lastRenderedPageBreak/>
              <w:t>30 wt% CuPc–PI</w:t>
            </w:r>
          </w:p>
        </w:tc>
        <w:tc>
          <w:tcPr>
            <w:tcW w:w="1701" w:type="dxa"/>
            <w:tcBorders>
              <w:top w:val="nil"/>
              <w:left w:val="nil"/>
              <w:bottom w:val="single" w:sz="4" w:space="0" w:color="auto"/>
              <w:right w:val="nil"/>
            </w:tcBorders>
            <w:vAlign w:val="center"/>
          </w:tcPr>
          <w:p w14:paraId="3525800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single" w:sz="4" w:space="0" w:color="auto"/>
              <w:right w:val="nil"/>
            </w:tcBorders>
            <w:vAlign w:val="center"/>
          </w:tcPr>
          <w:p w14:paraId="7AACD26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13</w:t>
            </w:r>
          </w:p>
        </w:tc>
        <w:tc>
          <w:tcPr>
            <w:tcW w:w="1843" w:type="dxa"/>
            <w:tcBorders>
              <w:top w:val="nil"/>
              <w:left w:val="nil"/>
              <w:bottom w:val="single" w:sz="4" w:space="0" w:color="auto"/>
              <w:right w:val="nil"/>
            </w:tcBorders>
            <w:vAlign w:val="center"/>
          </w:tcPr>
          <w:p w14:paraId="53106EB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0.3</w:t>
            </w:r>
          </w:p>
        </w:tc>
        <w:tc>
          <w:tcPr>
            <w:tcW w:w="1417" w:type="dxa"/>
            <w:tcBorders>
              <w:top w:val="nil"/>
              <w:left w:val="nil"/>
              <w:bottom w:val="single" w:sz="4" w:space="0" w:color="auto"/>
              <w:right w:val="nil"/>
            </w:tcBorders>
            <w:vAlign w:val="center"/>
          </w:tcPr>
          <w:p w14:paraId="38735BD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97.4</w:t>
            </w:r>
          </w:p>
        </w:tc>
        <w:tc>
          <w:tcPr>
            <w:tcW w:w="1701" w:type="dxa"/>
            <w:tcBorders>
              <w:top w:val="nil"/>
              <w:left w:val="nil"/>
              <w:bottom w:val="single" w:sz="4" w:space="0" w:color="auto"/>
              <w:right w:val="nil"/>
            </w:tcBorders>
            <w:vAlign w:val="center"/>
          </w:tcPr>
          <w:p w14:paraId="3C96EAE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0.55</w:t>
            </w:r>
          </w:p>
        </w:tc>
        <w:tc>
          <w:tcPr>
            <w:tcW w:w="1418" w:type="dxa"/>
            <w:tcBorders>
              <w:top w:val="nil"/>
              <w:left w:val="nil"/>
              <w:bottom w:val="single" w:sz="4" w:space="0" w:color="auto"/>
              <w:right w:val="nil"/>
            </w:tcBorders>
            <w:vAlign w:val="center"/>
          </w:tcPr>
          <w:p w14:paraId="04BF32D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single" w:sz="4" w:space="0" w:color="auto"/>
              <w:right w:val="nil"/>
            </w:tcBorders>
            <w:vAlign w:val="center"/>
          </w:tcPr>
          <w:p w14:paraId="360DD9B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380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single" w:sz="4" w:space="0" w:color="auto"/>
              <w:right w:val="nil"/>
            </w:tcBorders>
            <w:vAlign w:val="center"/>
          </w:tcPr>
          <w:p w14:paraId="4C660E2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14</w:t>
            </w:r>
          </w:p>
        </w:tc>
      </w:tr>
      <w:tr w:rsidR="00CA46DB" w:rsidRPr="00CA46DB" w14:paraId="130B33C2" w14:textId="77777777">
        <w:trPr>
          <w:trHeight w:val="580"/>
        </w:trPr>
        <w:tc>
          <w:tcPr>
            <w:tcW w:w="2127" w:type="dxa"/>
            <w:tcBorders>
              <w:top w:val="single" w:sz="4" w:space="0" w:color="auto"/>
              <w:left w:val="nil"/>
              <w:bottom w:val="nil"/>
              <w:right w:val="nil"/>
            </w:tcBorders>
            <w:vAlign w:val="center"/>
          </w:tcPr>
          <w:p w14:paraId="5FF0BD80"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40 wt% PSF/PI</w:t>
            </w:r>
          </w:p>
        </w:tc>
        <w:tc>
          <w:tcPr>
            <w:tcW w:w="1701" w:type="dxa"/>
            <w:tcBorders>
              <w:top w:val="single" w:sz="4" w:space="0" w:color="auto"/>
              <w:left w:val="nil"/>
              <w:bottom w:val="nil"/>
              <w:right w:val="nil"/>
            </w:tcBorders>
            <w:vAlign w:val="center"/>
          </w:tcPr>
          <w:p w14:paraId="31A2B08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463(N</w:t>
            </w:r>
            <w:r w:rsidRPr="00CA46DB">
              <w:rPr>
                <w:rFonts w:cstheme="minorHAnsi"/>
                <w:color w:val="000000" w:themeColor="text1"/>
                <w:sz w:val="18"/>
                <w:szCs w:val="18"/>
                <w:vertAlign w:val="subscript"/>
              </w:rPr>
              <w:t>2</w:t>
            </w:r>
            <w:r w:rsidRPr="00CA46DB">
              <w:rPr>
                <w:rFonts w:cstheme="minorHAnsi"/>
                <w:color w:val="000000" w:themeColor="text1"/>
                <w:sz w:val="18"/>
                <w:szCs w:val="18"/>
              </w:rPr>
              <w:t>) / 285</w:t>
            </w:r>
          </w:p>
        </w:tc>
        <w:tc>
          <w:tcPr>
            <w:tcW w:w="1559" w:type="dxa"/>
            <w:tcBorders>
              <w:top w:val="single" w:sz="4" w:space="0" w:color="auto"/>
              <w:left w:val="nil"/>
              <w:bottom w:val="nil"/>
              <w:right w:val="nil"/>
            </w:tcBorders>
            <w:vAlign w:val="center"/>
          </w:tcPr>
          <w:p w14:paraId="495AA0B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6.4</w:t>
            </w:r>
          </w:p>
        </w:tc>
        <w:tc>
          <w:tcPr>
            <w:tcW w:w="1843" w:type="dxa"/>
            <w:tcBorders>
              <w:top w:val="single" w:sz="4" w:space="0" w:color="auto"/>
              <w:left w:val="nil"/>
              <w:bottom w:val="nil"/>
              <w:right w:val="nil"/>
            </w:tcBorders>
            <w:vAlign w:val="center"/>
          </w:tcPr>
          <w:p w14:paraId="34D3F0AF"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0.0155</w:t>
            </w:r>
          </w:p>
        </w:tc>
        <w:tc>
          <w:tcPr>
            <w:tcW w:w="1417" w:type="dxa"/>
            <w:tcBorders>
              <w:top w:val="single" w:sz="4" w:space="0" w:color="auto"/>
              <w:left w:val="nil"/>
              <w:bottom w:val="nil"/>
              <w:right w:val="nil"/>
            </w:tcBorders>
            <w:vAlign w:val="center"/>
          </w:tcPr>
          <w:p w14:paraId="41C5348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152.2</w:t>
            </w:r>
          </w:p>
        </w:tc>
        <w:tc>
          <w:tcPr>
            <w:tcW w:w="1701" w:type="dxa"/>
            <w:tcBorders>
              <w:top w:val="single" w:sz="4" w:space="0" w:color="auto"/>
              <w:left w:val="nil"/>
              <w:bottom w:val="nil"/>
              <w:right w:val="nil"/>
            </w:tcBorders>
            <w:vAlign w:val="center"/>
          </w:tcPr>
          <w:p w14:paraId="457C04E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0.64</w:t>
            </w:r>
          </w:p>
        </w:tc>
        <w:tc>
          <w:tcPr>
            <w:tcW w:w="1418" w:type="dxa"/>
            <w:tcBorders>
              <w:top w:val="single" w:sz="4" w:space="0" w:color="auto"/>
              <w:left w:val="nil"/>
              <w:bottom w:val="nil"/>
              <w:right w:val="nil"/>
            </w:tcBorders>
            <w:vAlign w:val="center"/>
          </w:tcPr>
          <w:p w14:paraId="41D56CD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single" w:sz="4" w:space="0" w:color="auto"/>
              <w:left w:val="nil"/>
              <w:bottom w:val="nil"/>
              <w:right w:val="nil"/>
            </w:tcBorders>
            <w:vAlign w:val="center"/>
          </w:tcPr>
          <w:p w14:paraId="33BE045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single" w:sz="4" w:space="0" w:color="auto"/>
              <w:left w:val="nil"/>
              <w:bottom w:val="nil"/>
              <w:right w:val="nil"/>
            </w:tcBorders>
            <w:vAlign w:val="center"/>
          </w:tcPr>
          <w:p w14:paraId="1BB893CF"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78</w:t>
            </w:r>
          </w:p>
        </w:tc>
      </w:tr>
      <w:tr w:rsidR="00CA46DB" w:rsidRPr="00CA46DB" w14:paraId="3EC08D50" w14:textId="77777777">
        <w:trPr>
          <w:trHeight w:val="680"/>
        </w:trPr>
        <w:tc>
          <w:tcPr>
            <w:tcW w:w="2127" w:type="dxa"/>
            <w:tcBorders>
              <w:top w:val="nil"/>
              <w:left w:val="nil"/>
              <w:bottom w:val="nil"/>
              <w:right w:val="nil"/>
            </w:tcBorders>
            <w:vAlign w:val="center"/>
          </w:tcPr>
          <w:p w14:paraId="2FCD5ED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 wt% LNBR/PI</w:t>
            </w:r>
          </w:p>
        </w:tc>
        <w:tc>
          <w:tcPr>
            <w:tcW w:w="1701" w:type="dxa"/>
            <w:tcBorders>
              <w:top w:val="nil"/>
              <w:left w:val="nil"/>
              <w:bottom w:val="nil"/>
              <w:right w:val="nil"/>
            </w:tcBorders>
            <w:vAlign w:val="center"/>
          </w:tcPr>
          <w:p w14:paraId="74BCFF6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119EF85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4.79</w:t>
            </w:r>
          </w:p>
        </w:tc>
        <w:tc>
          <w:tcPr>
            <w:tcW w:w="1843" w:type="dxa"/>
            <w:tcBorders>
              <w:top w:val="nil"/>
              <w:left w:val="nil"/>
              <w:bottom w:val="nil"/>
              <w:right w:val="nil"/>
            </w:tcBorders>
            <w:vAlign w:val="center"/>
          </w:tcPr>
          <w:p w14:paraId="1AA93CD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0.0075</w:t>
            </w:r>
          </w:p>
        </w:tc>
        <w:tc>
          <w:tcPr>
            <w:tcW w:w="1417" w:type="dxa"/>
            <w:tcBorders>
              <w:top w:val="nil"/>
              <w:left w:val="nil"/>
              <w:bottom w:val="nil"/>
              <w:right w:val="nil"/>
            </w:tcBorders>
            <w:vAlign w:val="center"/>
          </w:tcPr>
          <w:p w14:paraId="698F5F1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303.59</w:t>
            </w:r>
          </w:p>
        </w:tc>
        <w:tc>
          <w:tcPr>
            <w:tcW w:w="1701" w:type="dxa"/>
            <w:tcBorders>
              <w:top w:val="nil"/>
              <w:left w:val="nil"/>
              <w:bottom w:val="nil"/>
              <w:right w:val="nil"/>
            </w:tcBorders>
            <w:vAlign w:val="center"/>
          </w:tcPr>
          <w:p w14:paraId="3C3FD98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1.95</w:t>
            </w:r>
          </w:p>
        </w:tc>
        <w:tc>
          <w:tcPr>
            <w:tcW w:w="1418" w:type="dxa"/>
            <w:tcBorders>
              <w:top w:val="nil"/>
              <w:left w:val="nil"/>
              <w:bottom w:val="nil"/>
              <w:right w:val="nil"/>
            </w:tcBorders>
            <w:vAlign w:val="center"/>
          </w:tcPr>
          <w:p w14:paraId="788930F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42293A0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250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nil"/>
              <w:right w:val="nil"/>
            </w:tcBorders>
            <w:vAlign w:val="center"/>
          </w:tcPr>
          <w:p w14:paraId="42A493A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79</w:t>
            </w:r>
          </w:p>
        </w:tc>
      </w:tr>
      <w:tr w:rsidR="00CA46DB" w:rsidRPr="00CA46DB" w14:paraId="6E8B08E4" w14:textId="77777777">
        <w:trPr>
          <w:trHeight w:val="581"/>
        </w:trPr>
        <w:tc>
          <w:tcPr>
            <w:tcW w:w="2127" w:type="dxa"/>
            <w:tcBorders>
              <w:top w:val="nil"/>
              <w:left w:val="nil"/>
              <w:bottom w:val="nil"/>
              <w:right w:val="nil"/>
            </w:tcBorders>
            <w:vAlign w:val="center"/>
          </w:tcPr>
          <w:p w14:paraId="7BF9F94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50 wt% PVDF/PI</w:t>
            </w:r>
          </w:p>
        </w:tc>
        <w:tc>
          <w:tcPr>
            <w:tcW w:w="1701" w:type="dxa"/>
            <w:tcBorders>
              <w:top w:val="nil"/>
              <w:left w:val="nil"/>
              <w:bottom w:val="nil"/>
              <w:right w:val="nil"/>
            </w:tcBorders>
            <w:vAlign w:val="center"/>
          </w:tcPr>
          <w:p w14:paraId="3FDCC9A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1430A94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7.7</w:t>
            </w:r>
          </w:p>
        </w:tc>
        <w:tc>
          <w:tcPr>
            <w:tcW w:w="1843" w:type="dxa"/>
            <w:tcBorders>
              <w:top w:val="nil"/>
              <w:left w:val="nil"/>
              <w:bottom w:val="nil"/>
              <w:right w:val="nil"/>
            </w:tcBorders>
            <w:vAlign w:val="center"/>
          </w:tcPr>
          <w:p w14:paraId="29DA65E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0.9</w:t>
            </w:r>
          </w:p>
        </w:tc>
        <w:tc>
          <w:tcPr>
            <w:tcW w:w="1417" w:type="dxa"/>
            <w:tcBorders>
              <w:top w:val="nil"/>
              <w:left w:val="nil"/>
              <w:bottom w:val="nil"/>
              <w:right w:val="nil"/>
            </w:tcBorders>
            <w:vAlign w:val="center"/>
          </w:tcPr>
          <w:p w14:paraId="3A8329D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701" w:type="dxa"/>
            <w:tcBorders>
              <w:top w:val="nil"/>
              <w:left w:val="nil"/>
              <w:bottom w:val="nil"/>
              <w:right w:val="nil"/>
            </w:tcBorders>
            <w:vAlign w:val="center"/>
          </w:tcPr>
          <w:p w14:paraId="54E9641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8" w:type="dxa"/>
            <w:tcBorders>
              <w:top w:val="nil"/>
              <w:left w:val="nil"/>
              <w:bottom w:val="nil"/>
              <w:right w:val="nil"/>
            </w:tcBorders>
            <w:vAlign w:val="center"/>
          </w:tcPr>
          <w:p w14:paraId="18B2972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165DC59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CI, 180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nil"/>
              <w:right w:val="nil"/>
            </w:tcBorders>
            <w:vAlign w:val="center"/>
          </w:tcPr>
          <w:p w14:paraId="267195C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80</w:t>
            </w:r>
          </w:p>
        </w:tc>
      </w:tr>
      <w:tr w:rsidR="00CA46DB" w:rsidRPr="00CA46DB" w14:paraId="0FF1E65E" w14:textId="77777777">
        <w:trPr>
          <w:trHeight w:val="514"/>
        </w:trPr>
        <w:tc>
          <w:tcPr>
            <w:tcW w:w="2127" w:type="dxa"/>
            <w:tcBorders>
              <w:top w:val="nil"/>
              <w:left w:val="nil"/>
              <w:bottom w:val="nil"/>
              <w:right w:val="nil"/>
            </w:tcBorders>
            <w:vAlign w:val="center"/>
          </w:tcPr>
          <w:p w14:paraId="66E115B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50 wt% β-CD/PI</w:t>
            </w:r>
          </w:p>
        </w:tc>
        <w:tc>
          <w:tcPr>
            <w:tcW w:w="1701" w:type="dxa"/>
            <w:tcBorders>
              <w:top w:val="nil"/>
              <w:left w:val="nil"/>
              <w:bottom w:val="nil"/>
              <w:right w:val="nil"/>
            </w:tcBorders>
            <w:vAlign w:val="center"/>
          </w:tcPr>
          <w:p w14:paraId="640B66FF"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&gt; 300 (N</w:t>
            </w:r>
            <w:r w:rsidRPr="00CA46DB">
              <w:rPr>
                <w:rFonts w:cstheme="minorHAnsi"/>
                <w:color w:val="000000" w:themeColor="text1"/>
                <w:sz w:val="18"/>
                <w:szCs w:val="18"/>
                <w:vertAlign w:val="subscript"/>
              </w:rPr>
              <w:t>2</w:t>
            </w:r>
            <w:r w:rsidRPr="00CA46DB">
              <w:rPr>
                <w:rFonts w:cstheme="minorHAnsi"/>
                <w:color w:val="000000" w:themeColor="text1"/>
                <w:sz w:val="18"/>
                <w:szCs w:val="18"/>
              </w:rPr>
              <w:t>) / 283</w:t>
            </w:r>
          </w:p>
        </w:tc>
        <w:tc>
          <w:tcPr>
            <w:tcW w:w="1559" w:type="dxa"/>
            <w:tcBorders>
              <w:top w:val="nil"/>
              <w:left w:val="nil"/>
              <w:bottom w:val="nil"/>
              <w:right w:val="nil"/>
            </w:tcBorders>
            <w:vAlign w:val="center"/>
          </w:tcPr>
          <w:p w14:paraId="247B2A1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7</w:t>
            </w:r>
          </w:p>
        </w:tc>
        <w:tc>
          <w:tcPr>
            <w:tcW w:w="1843" w:type="dxa"/>
            <w:tcBorders>
              <w:top w:val="nil"/>
              <w:left w:val="nil"/>
              <w:bottom w:val="nil"/>
              <w:right w:val="nil"/>
            </w:tcBorders>
            <w:vAlign w:val="center"/>
          </w:tcPr>
          <w:p w14:paraId="240A8BF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0.06</w:t>
            </w:r>
          </w:p>
        </w:tc>
        <w:tc>
          <w:tcPr>
            <w:tcW w:w="1417" w:type="dxa"/>
            <w:tcBorders>
              <w:top w:val="nil"/>
              <w:left w:val="nil"/>
              <w:bottom w:val="nil"/>
              <w:right w:val="nil"/>
            </w:tcBorders>
            <w:vAlign w:val="center"/>
          </w:tcPr>
          <w:p w14:paraId="43A7A9B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217</w:t>
            </w:r>
          </w:p>
        </w:tc>
        <w:tc>
          <w:tcPr>
            <w:tcW w:w="1701" w:type="dxa"/>
            <w:tcBorders>
              <w:top w:val="nil"/>
              <w:left w:val="nil"/>
              <w:bottom w:val="nil"/>
              <w:right w:val="nil"/>
            </w:tcBorders>
            <w:vAlign w:val="center"/>
          </w:tcPr>
          <w:p w14:paraId="1226B36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1.46</w:t>
            </w:r>
          </w:p>
        </w:tc>
        <w:tc>
          <w:tcPr>
            <w:tcW w:w="1418" w:type="dxa"/>
            <w:tcBorders>
              <w:top w:val="nil"/>
              <w:left w:val="nil"/>
              <w:bottom w:val="nil"/>
              <w:right w:val="nil"/>
            </w:tcBorders>
            <w:vAlign w:val="center"/>
          </w:tcPr>
          <w:p w14:paraId="71BDAC7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148F467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nil"/>
              <w:right w:val="nil"/>
            </w:tcBorders>
            <w:vAlign w:val="center"/>
          </w:tcPr>
          <w:p w14:paraId="578E7A2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81</w:t>
            </w:r>
          </w:p>
        </w:tc>
      </w:tr>
      <w:tr w:rsidR="00CA46DB" w:rsidRPr="00CA46DB" w14:paraId="156D2D4A" w14:textId="77777777">
        <w:trPr>
          <w:trHeight w:val="680"/>
        </w:trPr>
        <w:tc>
          <w:tcPr>
            <w:tcW w:w="2127" w:type="dxa"/>
            <w:tcBorders>
              <w:top w:val="nil"/>
              <w:left w:val="nil"/>
              <w:bottom w:val="nil"/>
              <w:right w:val="nil"/>
            </w:tcBorders>
            <w:vAlign w:val="center"/>
          </w:tcPr>
          <w:p w14:paraId="4E1F6BB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60% pDMTDMG /PI</w:t>
            </w:r>
          </w:p>
        </w:tc>
        <w:tc>
          <w:tcPr>
            <w:tcW w:w="1701" w:type="dxa"/>
            <w:tcBorders>
              <w:top w:val="nil"/>
              <w:left w:val="nil"/>
              <w:bottom w:val="nil"/>
              <w:right w:val="nil"/>
            </w:tcBorders>
            <w:vAlign w:val="center"/>
          </w:tcPr>
          <w:p w14:paraId="2673C42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4238543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5.1@150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843" w:type="dxa"/>
            <w:tcBorders>
              <w:top w:val="nil"/>
              <w:left w:val="nil"/>
              <w:bottom w:val="nil"/>
              <w:right w:val="nil"/>
            </w:tcBorders>
            <w:vAlign w:val="center"/>
          </w:tcPr>
          <w:p w14:paraId="0602E81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0.06@150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417" w:type="dxa"/>
            <w:tcBorders>
              <w:top w:val="nil"/>
              <w:left w:val="nil"/>
              <w:bottom w:val="nil"/>
              <w:right w:val="nil"/>
            </w:tcBorders>
            <w:vAlign w:val="center"/>
          </w:tcPr>
          <w:p w14:paraId="388DAF3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464</w:t>
            </w:r>
          </w:p>
        </w:tc>
        <w:tc>
          <w:tcPr>
            <w:tcW w:w="1701" w:type="dxa"/>
            <w:tcBorders>
              <w:top w:val="nil"/>
              <w:left w:val="nil"/>
              <w:bottom w:val="nil"/>
              <w:right w:val="nil"/>
            </w:tcBorders>
            <w:vAlign w:val="center"/>
          </w:tcPr>
          <w:p w14:paraId="2E879F0F"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6</w:t>
            </w:r>
          </w:p>
        </w:tc>
        <w:tc>
          <w:tcPr>
            <w:tcW w:w="1418" w:type="dxa"/>
            <w:tcBorders>
              <w:top w:val="nil"/>
              <w:left w:val="nil"/>
              <w:bottom w:val="nil"/>
              <w:right w:val="nil"/>
            </w:tcBorders>
            <w:vAlign w:val="center"/>
          </w:tcPr>
          <w:p w14:paraId="23EDC04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72F5C4E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Two-phase blending, SC</w:t>
            </w:r>
          </w:p>
        </w:tc>
        <w:tc>
          <w:tcPr>
            <w:tcW w:w="568" w:type="dxa"/>
            <w:tcBorders>
              <w:top w:val="nil"/>
              <w:left w:val="nil"/>
              <w:bottom w:val="nil"/>
              <w:right w:val="nil"/>
            </w:tcBorders>
            <w:vAlign w:val="center"/>
          </w:tcPr>
          <w:p w14:paraId="599071D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82</w:t>
            </w:r>
          </w:p>
        </w:tc>
      </w:tr>
      <w:tr w:rsidR="00CA46DB" w:rsidRPr="00CA46DB" w14:paraId="24067075" w14:textId="77777777">
        <w:trPr>
          <w:trHeight w:val="426"/>
        </w:trPr>
        <w:tc>
          <w:tcPr>
            <w:tcW w:w="2127" w:type="dxa"/>
            <w:tcBorders>
              <w:top w:val="nil"/>
              <w:left w:val="nil"/>
              <w:bottom w:val="nil"/>
              <w:right w:val="nil"/>
            </w:tcBorders>
            <w:vAlign w:val="center"/>
          </w:tcPr>
          <w:p w14:paraId="186F28F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15 wt% PEEU/PI</w:t>
            </w:r>
          </w:p>
        </w:tc>
        <w:tc>
          <w:tcPr>
            <w:tcW w:w="1701" w:type="dxa"/>
            <w:tcBorders>
              <w:top w:val="nil"/>
              <w:left w:val="nil"/>
              <w:bottom w:val="nil"/>
              <w:right w:val="nil"/>
            </w:tcBorders>
            <w:vAlign w:val="center"/>
          </w:tcPr>
          <w:p w14:paraId="7B83E86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491 (air) / 353</w:t>
            </w:r>
          </w:p>
        </w:tc>
        <w:tc>
          <w:tcPr>
            <w:tcW w:w="1559" w:type="dxa"/>
            <w:tcBorders>
              <w:top w:val="nil"/>
              <w:left w:val="nil"/>
              <w:bottom w:val="nil"/>
              <w:right w:val="nil"/>
            </w:tcBorders>
            <w:vAlign w:val="center"/>
          </w:tcPr>
          <w:p w14:paraId="0E7741E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4.73</w:t>
            </w:r>
          </w:p>
        </w:tc>
        <w:tc>
          <w:tcPr>
            <w:tcW w:w="1843" w:type="dxa"/>
            <w:tcBorders>
              <w:top w:val="nil"/>
              <w:left w:val="nil"/>
              <w:bottom w:val="nil"/>
              <w:right w:val="nil"/>
            </w:tcBorders>
            <w:vAlign w:val="center"/>
          </w:tcPr>
          <w:p w14:paraId="10284B9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0.00299</w:t>
            </w:r>
          </w:p>
        </w:tc>
        <w:tc>
          <w:tcPr>
            <w:tcW w:w="1417" w:type="dxa"/>
            <w:tcBorders>
              <w:top w:val="nil"/>
              <w:left w:val="nil"/>
              <w:bottom w:val="nil"/>
              <w:right w:val="nil"/>
            </w:tcBorders>
            <w:vAlign w:val="center"/>
          </w:tcPr>
          <w:p w14:paraId="74E9497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495.65</w:t>
            </w:r>
          </w:p>
        </w:tc>
        <w:tc>
          <w:tcPr>
            <w:tcW w:w="1701" w:type="dxa"/>
            <w:tcBorders>
              <w:top w:val="nil"/>
              <w:left w:val="nil"/>
              <w:bottom w:val="nil"/>
              <w:right w:val="nil"/>
            </w:tcBorders>
            <w:vAlign w:val="center"/>
          </w:tcPr>
          <w:p w14:paraId="34B4DB2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5.14</w:t>
            </w:r>
          </w:p>
        </w:tc>
        <w:tc>
          <w:tcPr>
            <w:tcW w:w="1418" w:type="dxa"/>
            <w:tcBorders>
              <w:top w:val="nil"/>
              <w:left w:val="nil"/>
              <w:bottom w:val="nil"/>
              <w:right w:val="nil"/>
            </w:tcBorders>
            <w:vAlign w:val="center"/>
          </w:tcPr>
          <w:p w14:paraId="194887E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0E92010F"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Two-phase blending, TI, 250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nil"/>
              <w:right w:val="nil"/>
            </w:tcBorders>
            <w:vAlign w:val="center"/>
          </w:tcPr>
          <w:p w14:paraId="123F5E0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83</w:t>
            </w:r>
          </w:p>
        </w:tc>
      </w:tr>
      <w:tr w:rsidR="00CA46DB" w:rsidRPr="00CA46DB" w14:paraId="1AB2B69F" w14:textId="77777777">
        <w:trPr>
          <w:trHeight w:val="680"/>
        </w:trPr>
        <w:tc>
          <w:tcPr>
            <w:tcW w:w="2127" w:type="dxa"/>
            <w:tcBorders>
              <w:top w:val="nil"/>
              <w:left w:val="nil"/>
              <w:bottom w:val="nil"/>
              <w:right w:val="nil"/>
            </w:tcBorders>
            <w:vAlign w:val="center"/>
          </w:tcPr>
          <w:p w14:paraId="26150A6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10 wt% ArPTU/PI</w:t>
            </w:r>
          </w:p>
        </w:tc>
        <w:tc>
          <w:tcPr>
            <w:tcW w:w="1701" w:type="dxa"/>
            <w:tcBorders>
              <w:top w:val="nil"/>
              <w:left w:val="nil"/>
              <w:bottom w:val="nil"/>
              <w:right w:val="nil"/>
            </w:tcBorders>
            <w:vAlign w:val="center"/>
          </w:tcPr>
          <w:p w14:paraId="103CD95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568 (air) / 419</w:t>
            </w:r>
          </w:p>
        </w:tc>
        <w:tc>
          <w:tcPr>
            <w:tcW w:w="1559" w:type="dxa"/>
            <w:tcBorders>
              <w:top w:val="nil"/>
              <w:left w:val="nil"/>
              <w:bottom w:val="nil"/>
              <w:right w:val="nil"/>
            </w:tcBorders>
            <w:vAlign w:val="center"/>
          </w:tcPr>
          <w:p w14:paraId="096B1390"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4.52</w:t>
            </w:r>
          </w:p>
        </w:tc>
        <w:tc>
          <w:tcPr>
            <w:tcW w:w="1843" w:type="dxa"/>
            <w:tcBorders>
              <w:top w:val="nil"/>
              <w:left w:val="nil"/>
              <w:bottom w:val="nil"/>
              <w:right w:val="nil"/>
            </w:tcBorders>
            <w:vAlign w:val="center"/>
          </w:tcPr>
          <w:p w14:paraId="6BDA21D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0.00349</w:t>
            </w:r>
          </w:p>
        </w:tc>
        <w:tc>
          <w:tcPr>
            <w:tcW w:w="1417" w:type="dxa"/>
            <w:tcBorders>
              <w:top w:val="nil"/>
              <w:left w:val="nil"/>
              <w:bottom w:val="nil"/>
              <w:right w:val="nil"/>
            </w:tcBorders>
            <w:vAlign w:val="center"/>
          </w:tcPr>
          <w:p w14:paraId="2A50836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443</w:t>
            </w:r>
          </w:p>
        </w:tc>
        <w:tc>
          <w:tcPr>
            <w:tcW w:w="1701" w:type="dxa"/>
            <w:tcBorders>
              <w:top w:val="nil"/>
              <w:left w:val="nil"/>
              <w:bottom w:val="nil"/>
              <w:right w:val="nil"/>
            </w:tcBorders>
            <w:vAlign w:val="center"/>
          </w:tcPr>
          <w:p w14:paraId="6DCEDC7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4.0</w:t>
            </w:r>
          </w:p>
        </w:tc>
        <w:tc>
          <w:tcPr>
            <w:tcW w:w="1418" w:type="dxa"/>
            <w:tcBorders>
              <w:top w:val="nil"/>
              <w:left w:val="nil"/>
              <w:bottom w:val="nil"/>
              <w:right w:val="nil"/>
            </w:tcBorders>
            <w:vAlign w:val="center"/>
          </w:tcPr>
          <w:p w14:paraId="33ECA25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181CA6A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Two-phase blending, TI, 250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nil"/>
              <w:right w:val="nil"/>
            </w:tcBorders>
            <w:vAlign w:val="center"/>
          </w:tcPr>
          <w:p w14:paraId="1E32B76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84</w:t>
            </w:r>
          </w:p>
        </w:tc>
      </w:tr>
      <w:tr w:rsidR="00CA46DB" w:rsidRPr="00CA46DB" w14:paraId="56EF28CA" w14:textId="77777777">
        <w:trPr>
          <w:trHeight w:val="434"/>
        </w:trPr>
        <w:tc>
          <w:tcPr>
            <w:tcW w:w="2127" w:type="dxa"/>
            <w:tcBorders>
              <w:top w:val="nil"/>
              <w:left w:val="nil"/>
              <w:bottom w:val="nil"/>
              <w:right w:val="nil"/>
            </w:tcBorders>
            <w:vAlign w:val="center"/>
          </w:tcPr>
          <w:p w14:paraId="5514C12F"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0.5 vol% PCBM/PI</w:t>
            </w:r>
          </w:p>
        </w:tc>
        <w:tc>
          <w:tcPr>
            <w:tcW w:w="1701" w:type="dxa"/>
            <w:tcBorders>
              <w:top w:val="nil"/>
              <w:left w:val="nil"/>
              <w:bottom w:val="nil"/>
              <w:right w:val="nil"/>
            </w:tcBorders>
            <w:vAlign w:val="center"/>
          </w:tcPr>
          <w:p w14:paraId="1844169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07239BF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3.3@200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843" w:type="dxa"/>
            <w:tcBorders>
              <w:top w:val="nil"/>
              <w:left w:val="nil"/>
              <w:bottom w:val="nil"/>
              <w:right w:val="nil"/>
            </w:tcBorders>
            <w:vAlign w:val="center"/>
          </w:tcPr>
          <w:p w14:paraId="7C23F96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7" w:type="dxa"/>
            <w:tcBorders>
              <w:top w:val="nil"/>
              <w:left w:val="nil"/>
              <w:bottom w:val="nil"/>
              <w:right w:val="nil"/>
            </w:tcBorders>
            <w:vAlign w:val="center"/>
          </w:tcPr>
          <w:p w14:paraId="0B248D2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649@200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701" w:type="dxa"/>
            <w:tcBorders>
              <w:top w:val="nil"/>
              <w:left w:val="nil"/>
              <w:bottom w:val="nil"/>
              <w:right w:val="nil"/>
            </w:tcBorders>
            <w:vAlign w:val="center"/>
          </w:tcPr>
          <w:p w14:paraId="1447369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3.0@200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418" w:type="dxa"/>
            <w:tcBorders>
              <w:top w:val="nil"/>
              <w:left w:val="nil"/>
              <w:bottom w:val="nil"/>
              <w:right w:val="nil"/>
            </w:tcBorders>
            <w:vAlign w:val="center"/>
          </w:tcPr>
          <w:p w14:paraId="0B05B4D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&gt; 90%@ 200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842" w:type="dxa"/>
            <w:tcBorders>
              <w:top w:val="nil"/>
              <w:left w:val="nil"/>
              <w:bottom w:val="nil"/>
              <w:right w:val="nil"/>
            </w:tcBorders>
            <w:vAlign w:val="center"/>
          </w:tcPr>
          <w:p w14:paraId="74F682B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Two-phase blending, SC</w:t>
            </w:r>
          </w:p>
        </w:tc>
        <w:tc>
          <w:tcPr>
            <w:tcW w:w="568" w:type="dxa"/>
            <w:tcBorders>
              <w:top w:val="nil"/>
              <w:left w:val="nil"/>
              <w:bottom w:val="nil"/>
              <w:right w:val="nil"/>
            </w:tcBorders>
            <w:vAlign w:val="center"/>
          </w:tcPr>
          <w:p w14:paraId="3001FA6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85</w:t>
            </w:r>
          </w:p>
        </w:tc>
      </w:tr>
      <w:tr w:rsidR="00CA46DB" w:rsidRPr="00CA46DB" w14:paraId="0F8349F1" w14:textId="77777777">
        <w:trPr>
          <w:trHeight w:val="680"/>
        </w:trPr>
        <w:tc>
          <w:tcPr>
            <w:tcW w:w="2127" w:type="dxa"/>
            <w:tcBorders>
              <w:top w:val="nil"/>
              <w:left w:val="nil"/>
              <w:bottom w:val="single" w:sz="4" w:space="0" w:color="auto"/>
              <w:right w:val="nil"/>
            </w:tcBorders>
            <w:vAlign w:val="center"/>
          </w:tcPr>
          <w:p w14:paraId="2FFCA72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25 wt% PcLS/PI</w:t>
            </w:r>
          </w:p>
        </w:tc>
        <w:tc>
          <w:tcPr>
            <w:tcW w:w="1701" w:type="dxa"/>
            <w:tcBorders>
              <w:top w:val="nil"/>
              <w:left w:val="nil"/>
              <w:bottom w:val="single" w:sz="4" w:space="0" w:color="auto"/>
              <w:right w:val="nil"/>
            </w:tcBorders>
            <w:vAlign w:val="center"/>
          </w:tcPr>
          <w:p w14:paraId="0AA5278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single" w:sz="4" w:space="0" w:color="auto"/>
              <w:right w:val="nil"/>
            </w:tcBorders>
            <w:vAlign w:val="center"/>
          </w:tcPr>
          <w:p w14:paraId="7CE983B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8.2</w:t>
            </w:r>
          </w:p>
        </w:tc>
        <w:tc>
          <w:tcPr>
            <w:tcW w:w="1843" w:type="dxa"/>
            <w:tcBorders>
              <w:top w:val="nil"/>
              <w:left w:val="nil"/>
              <w:bottom w:val="single" w:sz="4" w:space="0" w:color="auto"/>
              <w:right w:val="nil"/>
            </w:tcBorders>
            <w:vAlign w:val="center"/>
          </w:tcPr>
          <w:p w14:paraId="256FB78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0.07</w:t>
            </w:r>
          </w:p>
        </w:tc>
        <w:tc>
          <w:tcPr>
            <w:tcW w:w="1417" w:type="dxa"/>
            <w:tcBorders>
              <w:top w:val="nil"/>
              <w:left w:val="nil"/>
              <w:bottom w:val="single" w:sz="4" w:space="0" w:color="auto"/>
              <w:right w:val="nil"/>
            </w:tcBorders>
            <w:vAlign w:val="center"/>
          </w:tcPr>
          <w:p w14:paraId="49DFEBF0"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345</w:t>
            </w:r>
          </w:p>
        </w:tc>
        <w:tc>
          <w:tcPr>
            <w:tcW w:w="1701" w:type="dxa"/>
            <w:tcBorders>
              <w:top w:val="nil"/>
              <w:left w:val="nil"/>
              <w:bottom w:val="single" w:sz="4" w:space="0" w:color="auto"/>
              <w:right w:val="nil"/>
            </w:tcBorders>
            <w:vAlign w:val="center"/>
          </w:tcPr>
          <w:p w14:paraId="2E6B3DB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4.33</w:t>
            </w:r>
          </w:p>
        </w:tc>
        <w:tc>
          <w:tcPr>
            <w:tcW w:w="1418" w:type="dxa"/>
            <w:tcBorders>
              <w:top w:val="nil"/>
              <w:left w:val="nil"/>
              <w:bottom w:val="single" w:sz="4" w:space="0" w:color="auto"/>
              <w:right w:val="nil"/>
            </w:tcBorders>
            <w:vAlign w:val="center"/>
          </w:tcPr>
          <w:p w14:paraId="632C568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single" w:sz="4" w:space="0" w:color="auto"/>
              <w:right w:val="nil"/>
            </w:tcBorders>
            <w:vAlign w:val="center"/>
          </w:tcPr>
          <w:p w14:paraId="37011F5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Two-phase blending, TI, 250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single" w:sz="4" w:space="0" w:color="auto"/>
              <w:right w:val="nil"/>
            </w:tcBorders>
            <w:vAlign w:val="center"/>
          </w:tcPr>
          <w:p w14:paraId="411CF8D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86</w:t>
            </w:r>
          </w:p>
        </w:tc>
      </w:tr>
      <w:tr w:rsidR="00CA46DB" w:rsidRPr="00CA46DB" w14:paraId="520E61D6" w14:textId="77777777">
        <w:trPr>
          <w:trHeight w:val="680"/>
        </w:trPr>
        <w:tc>
          <w:tcPr>
            <w:tcW w:w="2127" w:type="dxa"/>
            <w:tcBorders>
              <w:top w:val="single" w:sz="4" w:space="0" w:color="auto"/>
              <w:left w:val="nil"/>
              <w:bottom w:val="nil"/>
              <w:right w:val="nil"/>
            </w:tcBorders>
            <w:vAlign w:val="center"/>
          </w:tcPr>
          <w:p w14:paraId="3AB8635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PEI</w:t>
            </w:r>
          </w:p>
          <w:p w14:paraId="4EC8C53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15 vol% PVTC</w:t>
            </w:r>
          </w:p>
          <w:p w14:paraId="0741E3E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PEI</w:t>
            </w:r>
          </w:p>
        </w:tc>
        <w:tc>
          <w:tcPr>
            <w:tcW w:w="1701" w:type="dxa"/>
            <w:tcBorders>
              <w:top w:val="single" w:sz="4" w:space="0" w:color="auto"/>
              <w:left w:val="nil"/>
              <w:bottom w:val="nil"/>
              <w:right w:val="nil"/>
            </w:tcBorders>
            <w:vAlign w:val="center"/>
          </w:tcPr>
          <w:p w14:paraId="05D125D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single" w:sz="4" w:space="0" w:color="auto"/>
              <w:left w:val="nil"/>
              <w:bottom w:val="nil"/>
              <w:right w:val="nil"/>
            </w:tcBorders>
            <w:vAlign w:val="center"/>
          </w:tcPr>
          <w:p w14:paraId="43A51B1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6.5</w:t>
            </w:r>
          </w:p>
        </w:tc>
        <w:tc>
          <w:tcPr>
            <w:tcW w:w="1843" w:type="dxa"/>
            <w:tcBorders>
              <w:top w:val="single" w:sz="4" w:space="0" w:color="auto"/>
              <w:left w:val="nil"/>
              <w:bottom w:val="nil"/>
              <w:right w:val="nil"/>
            </w:tcBorders>
            <w:vAlign w:val="center"/>
          </w:tcPr>
          <w:p w14:paraId="300D42D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0.02</w:t>
            </w:r>
          </w:p>
        </w:tc>
        <w:tc>
          <w:tcPr>
            <w:tcW w:w="1417" w:type="dxa"/>
            <w:tcBorders>
              <w:top w:val="single" w:sz="4" w:space="0" w:color="auto"/>
              <w:left w:val="nil"/>
              <w:bottom w:val="nil"/>
              <w:right w:val="nil"/>
            </w:tcBorders>
            <w:vAlign w:val="center"/>
          </w:tcPr>
          <w:p w14:paraId="07C9BA6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504</w:t>
            </w:r>
          </w:p>
        </w:tc>
        <w:tc>
          <w:tcPr>
            <w:tcW w:w="1701" w:type="dxa"/>
            <w:tcBorders>
              <w:top w:val="single" w:sz="4" w:space="0" w:color="auto"/>
              <w:left w:val="nil"/>
              <w:bottom w:val="nil"/>
              <w:right w:val="nil"/>
            </w:tcBorders>
            <w:vAlign w:val="center"/>
          </w:tcPr>
          <w:p w14:paraId="6101A14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2.6@125</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418" w:type="dxa"/>
            <w:tcBorders>
              <w:top w:val="single" w:sz="4" w:space="0" w:color="auto"/>
              <w:left w:val="nil"/>
              <w:bottom w:val="nil"/>
              <w:right w:val="nil"/>
            </w:tcBorders>
            <w:vAlign w:val="center"/>
          </w:tcPr>
          <w:p w14:paraId="16958ED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63%@125</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842" w:type="dxa"/>
            <w:tcBorders>
              <w:top w:val="single" w:sz="4" w:space="0" w:color="auto"/>
              <w:left w:val="nil"/>
              <w:bottom w:val="nil"/>
              <w:right w:val="nil"/>
            </w:tcBorders>
            <w:vAlign w:val="center"/>
          </w:tcPr>
          <w:p w14:paraId="0295AAB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Layer-by-laye</w:t>
            </w:r>
            <w:r w:rsidRPr="00CA46DB">
              <w:rPr>
                <w:rFonts w:cstheme="minorHAnsi" w:hint="eastAsia"/>
                <w:color w:val="000000" w:themeColor="text1"/>
                <w:sz w:val="18"/>
                <w:szCs w:val="18"/>
                <w:lang w:eastAsia="zh-CN"/>
              </w:rPr>
              <w:t>r</w:t>
            </w:r>
            <w:r w:rsidRPr="00CA46DB">
              <w:rPr>
                <w:rFonts w:cstheme="minorHAnsi"/>
                <w:color w:val="000000" w:themeColor="text1"/>
                <w:sz w:val="18"/>
                <w:szCs w:val="18"/>
                <w:lang w:eastAsia="zh-CN"/>
              </w:rPr>
              <w:t>,</w:t>
            </w:r>
            <w:r w:rsidRPr="00CA46DB">
              <w:rPr>
                <w:rFonts w:cstheme="minorHAnsi"/>
                <w:color w:val="000000" w:themeColor="text1"/>
                <w:sz w:val="18"/>
                <w:szCs w:val="18"/>
              </w:rPr>
              <w:t xml:space="preserve"> SC</w:t>
            </w:r>
          </w:p>
        </w:tc>
        <w:tc>
          <w:tcPr>
            <w:tcW w:w="568" w:type="dxa"/>
            <w:tcBorders>
              <w:top w:val="single" w:sz="4" w:space="0" w:color="auto"/>
              <w:left w:val="nil"/>
              <w:bottom w:val="nil"/>
              <w:right w:val="nil"/>
            </w:tcBorders>
            <w:vAlign w:val="center"/>
          </w:tcPr>
          <w:p w14:paraId="42C31BC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87</w:t>
            </w:r>
          </w:p>
        </w:tc>
      </w:tr>
      <w:tr w:rsidR="00CA46DB" w:rsidRPr="00CA46DB" w14:paraId="5DCC68CD" w14:textId="77777777">
        <w:trPr>
          <w:trHeight w:val="1056"/>
        </w:trPr>
        <w:tc>
          <w:tcPr>
            <w:tcW w:w="2127" w:type="dxa"/>
            <w:tcBorders>
              <w:top w:val="nil"/>
              <w:left w:val="nil"/>
              <w:bottom w:val="single" w:sz="4" w:space="0" w:color="auto"/>
              <w:right w:val="nil"/>
            </w:tcBorders>
            <w:vAlign w:val="center"/>
          </w:tcPr>
          <w:p w14:paraId="0CCC41D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PEI</w:t>
            </w:r>
          </w:p>
          <w:p w14:paraId="1306623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20 vol% PEI/P(VDF-HFP)</w:t>
            </w:r>
          </w:p>
          <w:p w14:paraId="76F2D00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P(VDF-HFP)</w:t>
            </w:r>
          </w:p>
        </w:tc>
        <w:tc>
          <w:tcPr>
            <w:tcW w:w="1701" w:type="dxa"/>
            <w:tcBorders>
              <w:top w:val="nil"/>
              <w:left w:val="nil"/>
              <w:bottom w:val="single" w:sz="4" w:space="0" w:color="auto"/>
              <w:right w:val="nil"/>
            </w:tcBorders>
            <w:vAlign w:val="center"/>
          </w:tcPr>
          <w:p w14:paraId="5C2302D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single" w:sz="4" w:space="0" w:color="auto"/>
              <w:right w:val="nil"/>
            </w:tcBorders>
            <w:vAlign w:val="center"/>
          </w:tcPr>
          <w:p w14:paraId="4630E6C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5.2@10KHz</w:t>
            </w:r>
          </w:p>
        </w:tc>
        <w:tc>
          <w:tcPr>
            <w:tcW w:w="1843" w:type="dxa"/>
            <w:tcBorders>
              <w:top w:val="nil"/>
              <w:left w:val="nil"/>
              <w:bottom w:val="single" w:sz="4" w:space="0" w:color="auto"/>
              <w:right w:val="nil"/>
            </w:tcBorders>
            <w:vAlign w:val="center"/>
          </w:tcPr>
          <w:p w14:paraId="5D11E64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hint="eastAsia"/>
                <w:color w:val="000000" w:themeColor="text1"/>
                <w:sz w:val="18"/>
                <w:szCs w:val="18"/>
                <w:lang w:eastAsia="zh-CN"/>
              </w:rPr>
              <w:t>&lt;</w:t>
            </w:r>
            <w:r w:rsidRPr="00CA46DB">
              <w:rPr>
                <w:rFonts w:cstheme="minorHAnsi"/>
                <w:color w:val="000000" w:themeColor="text1"/>
                <w:sz w:val="18"/>
                <w:szCs w:val="18"/>
                <w:lang w:eastAsia="zh-CN"/>
              </w:rPr>
              <w:t xml:space="preserve"> </w:t>
            </w:r>
            <w:r w:rsidRPr="00CA46DB">
              <w:rPr>
                <w:rFonts w:cstheme="minorHAnsi"/>
                <w:color w:val="000000" w:themeColor="text1"/>
                <w:sz w:val="18"/>
                <w:szCs w:val="18"/>
              </w:rPr>
              <w:t>0.02@10KHz</w:t>
            </w:r>
          </w:p>
        </w:tc>
        <w:tc>
          <w:tcPr>
            <w:tcW w:w="1417" w:type="dxa"/>
            <w:tcBorders>
              <w:top w:val="nil"/>
              <w:left w:val="nil"/>
              <w:bottom w:val="single" w:sz="4" w:space="0" w:color="auto"/>
              <w:right w:val="nil"/>
            </w:tcBorders>
            <w:vAlign w:val="center"/>
          </w:tcPr>
          <w:p w14:paraId="12BC6CB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535</w:t>
            </w:r>
          </w:p>
        </w:tc>
        <w:tc>
          <w:tcPr>
            <w:tcW w:w="1701" w:type="dxa"/>
            <w:tcBorders>
              <w:top w:val="nil"/>
              <w:left w:val="nil"/>
              <w:bottom w:val="single" w:sz="4" w:space="0" w:color="auto"/>
              <w:right w:val="nil"/>
            </w:tcBorders>
            <w:vAlign w:val="center"/>
          </w:tcPr>
          <w:p w14:paraId="61A46FE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12.15</w:t>
            </w:r>
          </w:p>
        </w:tc>
        <w:tc>
          <w:tcPr>
            <w:tcW w:w="1418" w:type="dxa"/>
            <w:tcBorders>
              <w:top w:val="nil"/>
              <w:left w:val="nil"/>
              <w:bottom w:val="single" w:sz="4" w:space="0" w:color="auto"/>
              <w:right w:val="nil"/>
            </w:tcBorders>
            <w:vAlign w:val="center"/>
          </w:tcPr>
          <w:p w14:paraId="7C665B5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89.9%</w:t>
            </w:r>
          </w:p>
        </w:tc>
        <w:tc>
          <w:tcPr>
            <w:tcW w:w="1842" w:type="dxa"/>
            <w:tcBorders>
              <w:top w:val="nil"/>
              <w:left w:val="nil"/>
              <w:bottom w:val="single" w:sz="4" w:space="0" w:color="auto"/>
              <w:right w:val="nil"/>
            </w:tcBorders>
            <w:vAlign w:val="center"/>
          </w:tcPr>
          <w:p w14:paraId="7DCC0C8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Layer-by-layer, SC</w:t>
            </w:r>
          </w:p>
        </w:tc>
        <w:tc>
          <w:tcPr>
            <w:tcW w:w="568" w:type="dxa"/>
            <w:tcBorders>
              <w:top w:val="nil"/>
              <w:left w:val="nil"/>
              <w:bottom w:val="single" w:sz="4" w:space="0" w:color="auto"/>
              <w:right w:val="nil"/>
            </w:tcBorders>
            <w:vAlign w:val="center"/>
          </w:tcPr>
          <w:p w14:paraId="180A4A2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88</w:t>
            </w:r>
          </w:p>
        </w:tc>
      </w:tr>
      <w:tr w:rsidR="00CA46DB" w:rsidRPr="00CA46DB" w14:paraId="46C09F4D" w14:textId="77777777">
        <w:trPr>
          <w:trHeight w:val="680"/>
        </w:trPr>
        <w:tc>
          <w:tcPr>
            <w:tcW w:w="2127" w:type="dxa"/>
            <w:tcBorders>
              <w:top w:val="single" w:sz="4" w:space="0" w:color="auto"/>
              <w:left w:val="nil"/>
              <w:bottom w:val="nil"/>
              <w:right w:val="nil"/>
            </w:tcBorders>
            <w:vAlign w:val="center"/>
          </w:tcPr>
          <w:p w14:paraId="05DD731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0.084 vol% AgNWs / PI</w:t>
            </w:r>
          </w:p>
        </w:tc>
        <w:tc>
          <w:tcPr>
            <w:tcW w:w="1701" w:type="dxa"/>
            <w:tcBorders>
              <w:top w:val="single" w:sz="4" w:space="0" w:color="auto"/>
              <w:left w:val="nil"/>
              <w:bottom w:val="nil"/>
              <w:right w:val="nil"/>
            </w:tcBorders>
            <w:vAlign w:val="center"/>
          </w:tcPr>
          <w:p w14:paraId="1B95F5E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&gt; 500 / --</w:t>
            </w:r>
          </w:p>
        </w:tc>
        <w:tc>
          <w:tcPr>
            <w:tcW w:w="1559" w:type="dxa"/>
            <w:tcBorders>
              <w:top w:val="single" w:sz="4" w:space="0" w:color="auto"/>
              <w:left w:val="nil"/>
              <w:bottom w:val="nil"/>
              <w:right w:val="nil"/>
            </w:tcBorders>
            <w:vAlign w:val="center"/>
          </w:tcPr>
          <w:p w14:paraId="63086F7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126</w:t>
            </w:r>
          </w:p>
        </w:tc>
        <w:tc>
          <w:tcPr>
            <w:tcW w:w="1843" w:type="dxa"/>
            <w:tcBorders>
              <w:top w:val="single" w:sz="4" w:space="0" w:color="auto"/>
              <w:left w:val="nil"/>
              <w:bottom w:val="nil"/>
              <w:right w:val="nil"/>
            </w:tcBorders>
            <w:vAlign w:val="center"/>
          </w:tcPr>
          <w:p w14:paraId="55AA324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0.06</w:t>
            </w:r>
          </w:p>
        </w:tc>
        <w:tc>
          <w:tcPr>
            <w:tcW w:w="1417" w:type="dxa"/>
            <w:tcBorders>
              <w:top w:val="single" w:sz="4" w:space="0" w:color="auto"/>
              <w:left w:val="nil"/>
              <w:bottom w:val="nil"/>
              <w:right w:val="nil"/>
            </w:tcBorders>
            <w:vAlign w:val="center"/>
          </w:tcPr>
          <w:p w14:paraId="7D57B12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701" w:type="dxa"/>
            <w:tcBorders>
              <w:top w:val="single" w:sz="4" w:space="0" w:color="auto"/>
              <w:left w:val="nil"/>
              <w:bottom w:val="nil"/>
              <w:right w:val="nil"/>
            </w:tcBorders>
            <w:vAlign w:val="center"/>
          </w:tcPr>
          <w:p w14:paraId="2833D31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8" w:type="dxa"/>
            <w:tcBorders>
              <w:top w:val="single" w:sz="4" w:space="0" w:color="auto"/>
              <w:left w:val="nil"/>
              <w:bottom w:val="nil"/>
              <w:right w:val="nil"/>
            </w:tcBorders>
            <w:vAlign w:val="center"/>
          </w:tcPr>
          <w:p w14:paraId="67364D4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single" w:sz="4" w:space="0" w:color="auto"/>
              <w:left w:val="nil"/>
              <w:bottom w:val="nil"/>
              <w:right w:val="nil"/>
            </w:tcBorders>
            <w:vAlign w:val="center"/>
          </w:tcPr>
          <w:p w14:paraId="293EBB6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250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single" w:sz="4" w:space="0" w:color="auto"/>
              <w:left w:val="nil"/>
              <w:bottom w:val="nil"/>
              <w:right w:val="nil"/>
            </w:tcBorders>
            <w:vAlign w:val="center"/>
          </w:tcPr>
          <w:p w14:paraId="66A799B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91</w:t>
            </w:r>
          </w:p>
        </w:tc>
      </w:tr>
      <w:tr w:rsidR="00CA46DB" w:rsidRPr="00CA46DB" w14:paraId="108B85F5" w14:textId="77777777">
        <w:trPr>
          <w:trHeight w:val="440"/>
        </w:trPr>
        <w:tc>
          <w:tcPr>
            <w:tcW w:w="2127" w:type="dxa"/>
            <w:tcBorders>
              <w:top w:val="nil"/>
              <w:left w:val="nil"/>
              <w:bottom w:val="nil"/>
              <w:right w:val="nil"/>
            </w:tcBorders>
            <w:vAlign w:val="center"/>
          </w:tcPr>
          <w:p w14:paraId="66AC320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lastRenderedPageBreak/>
              <w:t>12 vol% MWCNTs / PI</w:t>
            </w:r>
          </w:p>
        </w:tc>
        <w:tc>
          <w:tcPr>
            <w:tcW w:w="1701" w:type="dxa"/>
            <w:tcBorders>
              <w:top w:val="nil"/>
              <w:left w:val="nil"/>
              <w:bottom w:val="nil"/>
              <w:right w:val="nil"/>
            </w:tcBorders>
            <w:vAlign w:val="center"/>
          </w:tcPr>
          <w:p w14:paraId="7708F7D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560(N</w:t>
            </w:r>
            <w:r w:rsidRPr="00CA46DB">
              <w:rPr>
                <w:rFonts w:cstheme="minorHAnsi"/>
                <w:color w:val="000000" w:themeColor="text1"/>
                <w:sz w:val="18"/>
                <w:szCs w:val="18"/>
                <w:vertAlign w:val="subscript"/>
              </w:rPr>
              <w:t>2</w:t>
            </w: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2E18A1C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145</w:t>
            </w:r>
          </w:p>
        </w:tc>
        <w:tc>
          <w:tcPr>
            <w:tcW w:w="1843" w:type="dxa"/>
            <w:tcBorders>
              <w:top w:val="nil"/>
              <w:left w:val="nil"/>
              <w:bottom w:val="nil"/>
              <w:right w:val="nil"/>
            </w:tcBorders>
            <w:vAlign w:val="center"/>
          </w:tcPr>
          <w:p w14:paraId="02037C2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0.05</w:t>
            </w:r>
          </w:p>
        </w:tc>
        <w:tc>
          <w:tcPr>
            <w:tcW w:w="1417" w:type="dxa"/>
            <w:tcBorders>
              <w:top w:val="nil"/>
              <w:left w:val="nil"/>
              <w:bottom w:val="nil"/>
              <w:right w:val="nil"/>
            </w:tcBorders>
            <w:vAlign w:val="center"/>
          </w:tcPr>
          <w:p w14:paraId="5ABEBFB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701" w:type="dxa"/>
            <w:tcBorders>
              <w:top w:val="nil"/>
              <w:left w:val="nil"/>
              <w:bottom w:val="nil"/>
              <w:right w:val="nil"/>
            </w:tcBorders>
            <w:vAlign w:val="center"/>
          </w:tcPr>
          <w:p w14:paraId="62CE416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1.957</w:t>
            </w:r>
          </w:p>
        </w:tc>
        <w:tc>
          <w:tcPr>
            <w:tcW w:w="1418" w:type="dxa"/>
            <w:tcBorders>
              <w:top w:val="nil"/>
              <w:left w:val="nil"/>
              <w:bottom w:val="nil"/>
              <w:right w:val="nil"/>
            </w:tcBorders>
            <w:vAlign w:val="center"/>
          </w:tcPr>
          <w:p w14:paraId="1DB0D0EF"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234C2E9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250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 hot-pressed at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568" w:type="dxa"/>
            <w:tcBorders>
              <w:top w:val="nil"/>
              <w:left w:val="nil"/>
              <w:bottom w:val="nil"/>
              <w:right w:val="nil"/>
            </w:tcBorders>
            <w:vAlign w:val="center"/>
          </w:tcPr>
          <w:p w14:paraId="3CA49240"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34</w:t>
            </w:r>
          </w:p>
        </w:tc>
      </w:tr>
      <w:tr w:rsidR="00CA46DB" w:rsidRPr="00CA46DB" w14:paraId="466D0629" w14:textId="77777777">
        <w:trPr>
          <w:trHeight w:val="680"/>
        </w:trPr>
        <w:tc>
          <w:tcPr>
            <w:tcW w:w="2127" w:type="dxa"/>
            <w:tcBorders>
              <w:top w:val="nil"/>
              <w:left w:val="nil"/>
              <w:bottom w:val="nil"/>
              <w:right w:val="nil"/>
            </w:tcBorders>
            <w:vAlign w:val="center"/>
          </w:tcPr>
          <w:p w14:paraId="539EC04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30 wt% rBT/PI</w:t>
            </w:r>
          </w:p>
        </w:tc>
        <w:tc>
          <w:tcPr>
            <w:tcW w:w="1701" w:type="dxa"/>
            <w:tcBorders>
              <w:top w:val="nil"/>
              <w:left w:val="nil"/>
              <w:bottom w:val="nil"/>
              <w:right w:val="nil"/>
            </w:tcBorders>
            <w:vAlign w:val="center"/>
          </w:tcPr>
          <w:p w14:paraId="0C43271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073F087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34</w:t>
            </w:r>
          </w:p>
        </w:tc>
        <w:tc>
          <w:tcPr>
            <w:tcW w:w="1843" w:type="dxa"/>
            <w:tcBorders>
              <w:top w:val="nil"/>
              <w:left w:val="nil"/>
              <w:bottom w:val="nil"/>
              <w:right w:val="nil"/>
            </w:tcBorders>
            <w:vAlign w:val="center"/>
          </w:tcPr>
          <w:p w14:paraId="183409F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0.075</w:t>
            </w:r>
          </w:p>
        </w:tc>
        <w:tc>
          <w:tcPr>
            <w:tcW w:w="1417" w:type="dxa"/>
            <w:tcBorders>
              <w:top w:val="nil"/>
              <w:left w:val="nil"/>
              <w:bottom w:val="nil"/>
              <w:right w:val="nil"/>
            </w:tcBorders>
            <w:vAlign w:val="center"/>
          </w:tcPr>
          <w:p w14:paraId="1F6FB2B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262.8</w:t>
            </w:r>
          </w:p>
        </w:tc>
        <w:tc>
          <w:tcPr>
            <w:tcW w:w="1701" w:type="dxa"/>
            <w:tcBorders>
              <w:top w:val="nil"/>
              <w:left w:val="nil"/>
              <w:bottom w:val="nil"/>
              <w:right w:val="nil"/>
            </w:tcBorders>
            <w:vAlign w:val="center"/>
          </w:tcPr>
          <w:p w14:paraId="1B2893E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9.7</w:t>
            </w:r>
          </w:p>
        </w:tc>
        <w:tc>
          <w:tcPr>
            <w:tcW w:w="1418" w:type="dxa"/>
            <w:tcBorders>
              <w:top w:val="nil"/>
              <w:left w:val="nil"/>
              <w:bottom w:val="nil"/>
              <w:right w:val="nil"/>
            </w:tcBorders>
            <w:vAlign w:val="center"/>
          </w:tcPr>
          <w:p w14:paraId="7EBE512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663BBE9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xml:space="preserve">TI,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nil"/>
              <w:right w:val="nil"/>
            </w:tcBorders>
            <w:vAlign w:val="center"/>
          </w:tcPr>
          <w:p w14:paraId="1D0AE7D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29</w:t>
            </w:r>
          </w:p>
        </w:tc>
      </w:tr>
      <w:tr w:rsidR="00CA46DB" w:rsidRPr="00CA46DB" w14:paraId="3D6D5B38" w14:textId="77777777">
        <w:trPr>
          <w:trHeight w:val="479"/>
        </w:trPr>
        <w:tc>
          <w:tcPr>
            <w:tcW w:w="2127" w:type="dxa"/>
            <w:tcBorders>
              <w:top w:val="nil"/>
              <w:left w:val="nil"/>
              <w:bottom w:val="nil"/>
              <w:right w:val="nil"/>
            </w:tcBorders>
            <w:vAlign w:val="center"/>
          </w:tcPr>
          <w:p w14:paraId="5F9231A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 vol% BaTiO</w:t>
            </w:r>
            <w:r w:rsidRPr="00CA46DB">
              <w:rPr>
                <w:rFonts w:cstheme="minorHAnsi"/>
                <w:color w:val="000000" w:themeColor="text1"/>
                <w:sz w:val="18"/>
                <w:szCs w:val="18"/>
                <w:vertAlign w:val="subscript"/>
              </w:rPr>
              <w:t>3</w:t>
            </w:r>
            <w:r w:rsidRPr="00CA46DB">
              <w:rPr>
                <w:rFonts w:cstheme="minorHAnsi"/>
                <w:color w:val="000000" w:themeColor="text1"/>
                <w:sz w:val="18"/>
                <w:szCs w:val="18"/>
              </w:rPr>
              <w:t>/PI</w:t>
            </w:r>
          </w:p>
        </w:tc>
        <w:tc>
          <w:tcPr>
            <w:tcW w:w="1701" w:type="dxa"/>
            <w:tcBorders>
              <w:top w:val="nil"/>
              <w:left w:val="nil"/>
              <w:bottom w:val="nil"/>
              <w:right w:val="nil"/>
            </w:tcBorders>
            <w:vAlign w:val="center"/>
          </w:tcPr>
          <w:p w14:paraId="0688B170"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450BC54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3.8</w:t>
            </w:r>
          </w:p>
        </w:tc>
        <w:tc>
          <w:tcPr>
            <w:tcW w:w="1843" w:type="dxa"/>
            <w:tcBorders>
              <w:top w:val="nil"/>
              <w:left w:val="nil"/>
              <w:bottom w:val="nil"/>
              <w:right w:val="nil"/>
            </w:tcBorders>
            <w:vAlign w:val="center"/>
          </w:tcPr>
          <w:p w14:paraId="6F9BA8A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0.025</w:t>
            </w:r>
          </w:p>
        </w:tc>
        <w:tc>
          <w:tcPr>
            <w:tcW w:w="1417" w:type="dxa"/>
            <w:tcBorders>
              <w:top w:val="nil"/>
              <w:left w:val="nil"/>
              <w:bottom w:val="nil"/>
              <w:right w:val="nil"/>
            </w:tcBorders>
            <w:vAlign w:val="center"/>
          </w:tcPr>
          <w:p w14:paraId="41A1FE8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550</w:t>
            </w:r>
          </w:p>
        </w:tc>
        <w:tc>
          <w:tcPr>
            <w:tcW w:w="1701" w:type="dxa"/>
            <w:tcBorders>
              <w:top w:val="nil"/>
              <w:left w:val="nil"/>
              <w:bottom w:val="nil"/>
              <w:right w:val="nil"/>
            </w:tcBorders>
            <w:vAlign w:val="center"/>
          </w:tcPr>
          <w:p w14:paraId="7EAEAEF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2.1@150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418" w:type="dxa"/>
            <w:tcBorders>
              <w:top w:val="nil"/>
              <w:left w:val="nil"/>
              <w:bottom w:val="nil"/>
              <w:right w:val="nil"/>
            </w:tcBorders>
            <w:vAlign w:val="center"/>
          </w:tcPr>
          <w:p w14:paraId="0E7A90A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0F0CDBA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nil"/>
              <w:right w:val="nil"/>
            </w:tcBorders>
            <w:vAlign w:val="center"/>
          </w:tcPr>
          <w:p w14:paraId="7B53158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120</w:t>
            </w:r>
          </w:p>
        </w:tc>
      </w:tr>
      <w:tr w:rsidR="00CA46DB" w:rsidRPr="00CA46DB" w14:paraId="21F7F478" w14:textId="77777777">
        <w:trPr>
          <w:trHeight w:val="438"/>
        </w:trPr>
        <w:tc>
          <w:tcPr>
            <w:tcW w:w="2127" w:type="dxa"/>
            <w:tcBorders>
              <w:top w:val="nil"/>
              <w:left w:val="nil"/>
              <w:bottom w:val="nil"/>
              <w:right w:val="nil"/>
            </w:tcBorders>
            <w:vAlign w:val="center"/>
          </w:tcPr>
          <w:p w14:paraId="27514D5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7 vol% Al</w:t>
            </w:r>
            <w:r w:rsidRPr="00CA46DB">
              <w:rPr>
                <w:rFonts w:cstheme="minorHAnsi"/>
                <w:color w:val="000000" w:themeColor="text1"/>
                <w:sz w:val="18"/>
                <w:szCs w:val="18"/>
                <w:vertAlign w:val="subscript"/>
              </w:rPr>
              <w:t>2</w:t>
            </w:r>
            <w:r w:rsidRPr="00CA46DB">
              <w:rPr>
                <w:rFonts w:cstheme="minorHAnsi"/>
                <w:color w:val="000000" w:themeColor="text1"/>
                <w:sz w:val="18"/>
                <w:szCs w:val="18"/>
              </w:rPr>
              <w:t>O</w:t>
            </w:r>
            <w:r w:rsidRPr="00CA46DB">
              <w:rPr>
                <w:rFonts w:cstheme="minorHAnsi"/>
                <w:color w:val="000000" w:themeColor="text1"/>
                <w:sz w:val="18"/>
                <w:szCs w:val="18"/>
                <w:vertAlign w:val="subscript"/>
              </w:rPr>
              <w:t>3</w:t>
            </w:r>
            <w:r w:rsidRPr="00CA46DB">
              <w:rPr>
                <w:rFonts w:cstheme="minorHAnsi"/>
                <w:color w:val="000000" w:themeColor="text1"/>
                <w:sz w:val="18"/>
                <w:szCs w:val="18"/>
              </w:rPr>
              <w:t>/PI</w:t>
            </w:r>
          </w:p>
        </w:tc>
        <w:tc>
          <w:tcPr>
            <w:tcW w:w="1701" w:type="dxa"/>
            <w:tcBorders>
              <w:top w:val="nil"/>
              <w:left w:val="nil"/>
              <w:bottom w:val="nil"/>
              <w:right w:val="nil"/>
            </w:tcBorders>
            <w:vAlign w:val="center"/>
          </w:tcPr>
          <w:p w14:paraId="7510957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1843AD8F"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3.6</w:t>
            </w:r>
          </w:p>
        </w:tc>
        <w:tc>
          <w:tcPr>
            <w:tcW w:w="1843" w:type="dxa"/>
            <w:tcBorders>
              <w:top w:val="nil"/>
              <w:left w:val="nil"/>
              <w:bottom w:val="nil"/>
              <w:right w:val="nil"/>
            </w:tcBorders>
            <w:vAlign w:val="center"/>
          </w:tcPr>
          <w:p w14:paraId="776615FF"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7" w:type="dxa"/>
            <w:tcBorders>
              <w:top w:val="nil"/>
              <w:left w:val="nil"/>
              <w:bottom w:val="nil"/>
              <w:right w:val="nil"/>
            </w:tcBorders>
            <w:vAlign w:val="center"/>
          </w:tcPr>
          <w:p w14:paraId="2266C9A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422</w:t>
            </w:r>
          </w:p>
        </w:tc>
        <w:tc>
          <w:tcPr>
            <w:tcW w:w="1701" w:type="dxa"/>
            <w:tcBorders>
              <w:top w:val="nil"/>
              <w:left w:val="nil"/>
              <w:bottom w:val="nil"/>
              <w:right w:val="nil"/>
            </w:tcBorders>
            <w:vAlign w:val="center"/>
          </w:tcPr>
          <w:p w14:paraId="5C53DD5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1.12@150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xml:space="preserve"> and 250 MV·m</w:t>
            </w:r>
            <w:r w:rsidRPr="00CA46DB">
              <w:rPr>
                <w:rFonts w:cstheme="minorHAnsi"/>
                <w:color w:val="000000" w:themeColor="text1"/>
                <w:sz w:val="18"/>
                <w:szCs w:val="18"/>
                <w:vertAlign w:val="superscript"/>
              </w:rPr>
              <w:t>−1</w:t>
            </w:r>
          </w:p>
        </w:tc>
        <w:tc>
          <w:tcPr>
            <w:tcW w:w="1418" w:type="dxa"/>
            <w:tcBorders>
              <w:top w:val="nil"/>
              <w:left w:val="nil"/>
              <w:bottom w:val="nil"/>
              <w:right w:val="nil"/>
            </w:tcBorders>
            <w:vAlign w:val="center"/>
          </w:tcPr>
          <w:p w14:paraId="1860521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93.7%@150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xml:space="preserve"> and 250 MV·m</w:t>
            </w:r>
            <w:r w:rsidRPr="00CA46DB">
              <w:rPr>
                <w:rFonts w:cstheme="minorHAnsi"/>
                <w:color w:val="000000" w:themeColor="text1"/>
                <w:sz w:val="18"/>
                <w:szCs w:val="18"/>
                <w:vertAlign w:val="superscript"/>
              </w:rPr>
              <w:t>−1</w:t>
            </w:r>
            <w:r w:rsidRPr="00CA46DB">
              <w:rPr>
                <w:rFonts w:cstheme="minorHAnsi"/>
                <w:color w:val="000000" w:themeColor="text1"/>
                <w:sz w:val="18"/>
                <w:szCs w:val="18"/>
              </w:rPr>
              <w:t xml:space="preserve"> </w:t>
            </w:r>
          </w:p>
        </w:tc>
        <w:tc>
          <w:tcPr>
            <w:tcW w:w="1842" w:type="dxa"/>
            <w:tcBorders>
              <w:top w:val="nil"/>
              <w:left w:val="nil"/>
              <w:bottom w:val="nil"/>
              <w:right w:val="nil"/>
            </w:tcBorders>
            <w:vAlign w:val="center"/>
          </w:tcPr>
          <w:p w14:paraId="423A084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nil"/>
              <w:right w:val="nil"/>
            </w:tcBorders>
            <w:vAlign w:val="center"/>
          </w:tcPr>
          <w:p w14:paraId="475BA5E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94</w:t>
            </w:r>
          </w:p>
        </w:tc>
      </w:tr>
      <w:tr w:rsidR="00CA46DB" w:rsidRPr="00CA46DB" w14:paraId="43BD1528" w14:textId="77777777">
        <w:trPr>
          <w:trHeight w:val="680"/>
        </w:trPr>
        <w:tc>
          <w:tcPr>
            <w:tcW w:w="2127" w:type="dxa"/>
            <w:tcBorders>
              <w:top w:val="nil"/>
              <w:left w:val="nil"/>
              <w:bottom w:val="single" w:sz="4" w:space="0" w:color="auto"/>
              <w:right w:val="nil"/>
            </w:tcBorders>
            <w:vAlign w:val="center"/>
          </w:tcPr>
          <w:p w14:paraId="406A74D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 vol% MoS</w:t>
            </w:r>
            <w:r w:rsidRPr="00CA46DB">
              <w:rPr>
                <w:rFonts w:cstheme="minorHAnsi"/>
                <w:color w:val="000000" w:themeColor="text1"/>
                <w:sz w:val="18"/>
                <w:szCs w:val="18"/>
                <w:vertAlign w:val="subscript"/>
              </w:rPr>
              <w:t>2</w:t>
            </w:r>
            <w:r w:rsidRPr="00CA46DB">
              <w:rPr>
                <w:rFonts w:cstheme="minorHAnsi"/>
                <w:color w:val="000000" w:themeColor="text1"/>
                <w:sz w:val="18"/>
                <w:szCs w:val="18"/>
              </w:rPr>
              <w:t>/PI</w:t>
            </w:r>
          </w:p>
        </w:tc>
        <w:tc>
          <w:tcPr>
            <w:tcW w:w="1701" w:type="dxa"/>
            <w:tcBorders>
              <w:top w:val="nil"/>
              <w:left w:val="nil"/>
              <w:bottom w:val="single" w:sz="4" w:space="0" w:color="auto"/>
              <w:right w:val="nil"/>
            </w:tcBorders>
            <w:vAlign w:val="center"/>
          </w:tcPr>
          <w:p w14:paraId="4F1210E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&gt; 540(N</w:t>
            </w:r>
            <w:r w:rsidRPr="00CA46DB">
              <w:rPr>
                <w:rFonts w:cstheme="minorHAnsi"/>
                <w:color w:val="000000" w:themeColor="text1"/>
                <w:sz w:val="18"/>
                <w:szCs w:val="18"/>
                <w:vertAlign w:val="subscript"/>
              </w:rPr>
              <w:t>2</w:t>
            </w:r>
            <w:r w:rsidRPr="00CA46DB">
              <w:rPr>
                <w:rFonts w:cstheme="minorHAnsi"/>
                <w:color w:val="000000" w:themeColor="text1"/>
                <w:sz w:val="18"/>
                <w:szCs w:val="18"/>
              </w:rPr>
              <w:t>) / --</w:t>
            </w:r>
          </w:p>
        </w:tc>
        <w:tc>
          <w:tcPr>
            <w:tcW w:w="1559" w:type="dxa"/>
            <w:tcBorders>
              <w:top w:val="nil"/>
              <w:left w:val="nil"/>
              <w:bottom w:val="single" w:sz="4" w:space="0" w:color="auto"/>
              <w:right w:val="nil"/>
            </w:tcBorders>
            <w:vAlign w:val="center"/>
          </w:tcPr>
          <w:p w14:paraId="031E9CB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4.4</w:t>
            </w:r>
          </w:p>
        </w:tc>
        <w:tc>
          <w:tcPr>
            <w:tcW w:w="1843" w:type="dxa"/>
            <w:tcBorders>
              <w:top w:val="nil"/>
              <w:left w:val="nil"/>
              <w:bottom w:val="single" w:sz="4" w:space="0" w:color="auto"/>
              <w:right w:val="nil"/>
            </w:tcBorders>
            <w:vAlign w:val="center"/>
          </w:tcPr>
          <w:p w14:paraId="486E3666" w14:textId="77777777" w:rsidR="00FC2A41" w:rsidRPr="00CA46DB" w:rsidRDefault="00166212">
            <w:pPr>
              <w:autoSpaceDE w:val="0"/>
              <w:spacing w:after="0" w:line="240" w:lineRule="exact"/>
              <w:jc w:val="center"/>
              <w:rPr>
                <w:rFonts w:cstheme="minorHAnsi"/>
                <w:color w:val="000000" w:themeColor="text1"/>
                <w:sz w:val="18"/>
                <w:szCs w:val="18"/>
                <w:lang w:eastAsia="zh-CN"/>
              </w:rPr>
            </w:pPr>
            <w:r w:rsidRPr="00CA46DB">
              <w:rPr>
                <w:rFonts w:cstheme="minorHAnsi" w:hint="eastAsia"/>
                <w:color w:val="000000" w:themeColor="text1"/>
                <w:sz w:val="18"/>
                <w:szCs w:val="18"/>
                <w:lang w:eastAsia="zh-CN"/>
              </w:rPr>
              <w:t>&lt;</w:t>
            </w:r>
            <w:r w:rsidRPr="00CA46DB">
              <w:rPr>
                <w:rFonts w:cstheme="minorHAnsi"/>
                <w:color w:val="000000" w:themeColor="text1"/>
                <w:sz w:val="18"/>
                <w:szCs w:val="18"/>
                <w:lang w:eastAsia="zh-CN"/>
              </w:rPr>
              <w:t xml:space="preserve"> </w:t>
            </w:r>
            <w:r w:rsidRPr="00CA46DB">
              <w:rPr>
                <w:rFonts w:cstheme="minorHAnsi"/>
                <w:color w:val="000000" w:themeColor="text1"/>
                <w:sz w:val="18"/>
                <w:szCs w:val="18"/>
              </w:rPr>
              <w:t>0.02</w:t>
            </w:r>
          </w:p>
        </w:tc>
        <w:tc>
          <w:tcPr>
            <w:tcW w:w="1417" w:type="dxa"/>
            <w:tcBorders>
              <w:top w:val="nil"/>
              <w:left w:val="nil"/>
              <w:bottom w:val="single" w:sz="4" w:space="0" w:color="auto"/>
              <w:right w:val="nil"/>
            </w:tcBorders>
            <w:vAlign w:val="center"/>
          </w:tcPr>
          <w:p w14:paraId="4729C9D0"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395</w:t>
            </w:r>
          </w:p>
        </w:tc>
        <w:tc>
          <w:tcPr>
            <w:tcW w:w="1701" w:type="dxa"/>
            <w:tcBorders>
              <w:top w:val="nil"/>
              <w:left w:val="nil"/>
              <w:bottom w:val="single" w:sz="4" w:space="0" w:color="auto"/>
              <w:right w:val="nil"/>
            </w:tcBorders>
            <w:vAlign w:val="center"/>
          </w:tcPr>
          <w:p w14:paraId="29300A7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3.35</w:t>
            </w:r>
          </w:p>
        </w:tc>
        <w:tc>
          <w:tcPr>
            <w:tcW w:w="1418" w:type="dxa"/>
            <w:tcBorders>
              <w:top w:val="nil"/>
              <w:left w:val="nil"/>
              <w:bottom w:val="single" w:sz="4" w:space="0" w:color="auto"/>
              <w:right w:val="nil"/>
            </w:tcBorders>
            <w:vAlign w:val="center"/>
          </w:tcPr>
          <w:p w14:paraId="330EC2F6" w14:textId="77777777" w:rsidR="00FC2A41" w:rsidRPr="00CA46DB" w:rsidRDefault="00FC2A41">
            <w:pPr>
              <w:autoSpaceDE w:val="0"/>
              <w:spacing w:after="0" w:line="240" w:lineRule="exact"/>
              <w:jc w:val="center"/>
              <w:rPr>
                <w:rFonts w:cstheme="minorHAnsi"/>
                <w:color w:val="000000" w:themeColor="text1"/>
                <w:sz w:val="18"/>
                <w:szCs w:val="18"/>
              </w:rPr>
            </w:pPr>
          </w:p>
        </w:tc>
        <w:tc>
          <w:tcPr>
            <w:tcW w:w="1842" w:type="dxa"/>
            <w:tcBorders>
              <w:top w:val="nil"/>
              <w:left w:val="nil"/>
              <w:bottom w:val="single" w:sz="4" w:space="0" w:color="auto"/>
              <w:right w:val="nil"/>
            </w:tcBorders>
            <w:vAlign w:val="center"/>
          </w:tcPr>
          <w:p w14:paraId="585A2CA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single" w:sz="4" w:space="0" w:color="auto"/>
              <w:right w:val="nil"/>
            </w:tcBorders>
            <w:vAlign w:val="center"/>
          </w:tcPr>
          <w:p w14:paraId="166F37D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96</w:t>
            </w:r>
          </w:p>
        </w:tc>
      </w:tr>
      <w:tr w:rsidR="00CA46DB" w:rsidRPr="00CA46DB" w14:paraId="554188DC" w14:textId="77777777">
        <w:trPr>
          <w:trHeight w:val="449"/>
        </w:trPr>
        <w:tc>
          <w:tcPr>
            <w:tcW w:w="2127" w:type="dxa"/>
            <w:tcBorders>
              <w:top w:val="nil"/>
              <w:left w:val="nil"/>
              <w:bottom w:val="nil"/>
              <w:right w:val="nil"/>
            </w:tcBorders>
            <w:vAlign w:val="center"/>
          </w:tcPr>
          <w:p w14:paraId="47E17D4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50 wt% PANI-HNTs/PI</w:t>
            </w:r>
          </w:p>
        </w:tc>
        <w:tc>
          <w:tcPr>
            <w:tcW w:w="1701" w:type="dxa"/>
            <w:tcBorders>
              <w:top w:val="nil"/>
              <w:left w:val="nil"/>
              <w:bottom w:val="nil"/>
              <w:right w:val="nil"/>
            </w:tcBorders>
            <w:vAlign w:val="center"/>
          </w:tcPr>
          <w:p w14:paraId="308F7C7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535(N</w:t>
            </w:r>
            <w:r w:rsidRPr="00CA46DB">
              <w:rPr>
                <w:rFonts w:cstheme="minorHAnsi"/>
                <w:color w:val="000000" w:themeColor="text1"/>
                <w:sz w:val="18"/>
                <w:szCs w:val="18"/>
                <w:vertAlign w:val="subscript"/>
              </w:rPr>
              <w:t>2</w:t>
            </w: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0BA67DC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12.4</w:t>
            </w:r>
          </w:p>
        </w:tc>
        <w:tc>
          <w:tcPr>
            <w:tcW w:w="1843" w:type="dxa"/>
            <w:tcBorders>
              <w:top w:val="nil"/>
              <w:left w:val="nil"/>
              <w:bottom w:val="nil"/>
              <w:right w:val="nil"/>
            </w:tcBorders>
            <w:vAlign w:val="center"/>
          </w:tcPr>
          <w:p w14:paraId="0D341D0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0.29</w:t>
            </w:r>
          </w:p>
        </w:tc>
        <w:tc>
          <w:tcPr>
            <w:tcW w:w="1417" w:type="dxa"/>
            <w:tcBorders>
              <w:top w:val="nil"/>
              <w:left w:val="nil"/>
              <w:bottom w:val="nil"/>
              <w:right w:val="nil"/>
            </w:tcBorders>
            <w:vAlign w:val="center"/>
          </w:tcPr>
          <w:p w14:paraId="23495D7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110</w:t>
            </w:r>
          </w:p>
        </w:tc>
        <w:tc>
          <w:tcPr>
            <w:tcW w:w="1701" w:type="dxa"/>
            <w:tcBorders>
              <w:top w:val="nil"/>
              <w:left w:val="nil"/>
              <w:bottom w:val="nil"/>
              <w:right w:val="nil"/>
            </w:tcBorders>
            <w:vAlign w:val="center"/>
          </w:tcPr>
          <w:p w14:paraId="5092AD1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0.93</w:t>
            </w:r>
          </w:p>
        </w:tc>
        <w:tc>
          <w:tcPr>
            <w:tcW w:w="1418" w:type="dxa"/>
            <w:tcBorders>
              <w:top w:val="nil"/>
              <w:left w:val="nil"/>
              <w:bottom w:val="nil"/>
              <w:right w:val="nil"/>
            </w:tcBorders>
            <w:vAlign w:val="center"/>
          </w:tcPr>
          <w:p w14:paraId="26071A8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7992933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 Fp</w:t>
            </w:r>
            <w:r w:rsidRPr="00CA46DB">
              <w:rPr>
                <w:rFonts w:cstheme="minorHAnsi"/>
                <w:color w:val="000000" w:themeColor="text1"/>
                <w:sz w:val="18"/>
                <w:szCs w:val="18"/>
                <w:vertAlign w:val="superscript"/>
              </w:rPr>
              <w:t>7</w:t>
            </w:r>
          </w:p>
        </w:tc>
        <w:tc>
          <w:tcPr>
            <w:tcW w:w="568" w:type="dxa"/>
            <w:tcBorders>
              <w:top w:val="nil"/>
              <w:left w:val="nil"/>
              <w:bottom w:val="nil"/>
              <w:right w:val="nil"/>
            </w:tcBorders>
            <w:vAlign w:val="center"/>
          </w:tcPr>
          <w:p w14:paraId="0725EEA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105</w:t>
            </w:r>
          </w:p>
        </w:tc>
      </w:tr>
      <w:tr w:rsidR="00CA46DB" w:rsidRPr="00CA46DB" w14:paraId="0B86D070" w14:textId="77777777">
        <w:trPr>
          <w:trHeight w:val="680"/>
        </w:trPr>
        <w:tc>
          <w:tcPr>
            <w:tcW w:w="2127" w:type="dxa"/>
            <w:tcBorders>
              <w:top w:val="nil"/>
              <w:left w:val="nil"/>
              <w:bottom w:val="nil"/>
              <w:right w:val="nil"/>
            </w:tcBorders>
            <w:vAlign w:val="center"/>
          </w:tcPr>
          <w:p w14:paraId="4E2C33F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 wt% PPD-CFGO/PI</w:t>
            </w:r>
          </w:p>
        </w:tc>
        <w:tc>
          <w:tcPr>
            <w:tcW w:w="1701" w:type="dxa"/>
            <w:tcBorders>
              <w:top w:val="nil"/>
              <w:left w:val="nil"/>
              <w:bottom w:val="nil"/>
              <w:right w:val="nil"/>
            </w:tcBorders>
            <w:vAlign w:val="center"/>
          </w:tcPr>
          <w:p w14:paraId="10D3697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602(N</w:t>
            </w:r>
            <w:r w:rsidRPr="00CA46DB">
              <w:rPr>
                <w:rFonts w:cstheme="minorHAnsi"/>
                <w:color w:val="000000" w:themeColor="text1"/>
                <w:sz w:val="18"/>
                <w:szCs w:val="18"/>
                <w:vertAlign w:val="subscript"/>
              </w:rPr>
              <w:t>2</w:t>
            </w: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1982046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36.9</w:t>
            </w:r>
          </w:p>
        </w:tc>
        <w:tc>
          <w:tcPr>
            <w:tcW w:w="1843" w:type="dxa"/>
            <w:tcBorders>
              <w:top w:val="nil"/>
              <w:left w:val="nil"/>
              <w:bottom w:val="nil"/>
              <w:right w:val="nil"/>
            </w:tcBorders>
            <w:vAlign w:val="center"/>
          </w:tcPr>
          <w:p w14:paraId="2BEF94C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0.0075</w:t>
            </w:r>
          </w:p>
        </w:tc>
        <w:tc>
          <w:tcPr>
            <w:tcW w:w="1417" w:type="dxa"/>
            <w:tcBorders>
              <w:top w:val="nil"/>
              <w:left w:val="nil"/>
              <w:bottom w:val="nil"/>
              <w:right w:val="nil"/>
            </w:tcBorders>
            <w:vAlign w:val="center"/>
          </w:tcPr>
          <w:p w14:paraId="212C247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132.5±9.3</w:t>
            </w:r>
          </w:p>
        </w:tc>
        <w:tc>
          <w:tcPr>
            <w:tcW w:w="1701" w:type="dxa"/>
            <w:tcBorders>
              <w:top w:val="nil"/>
              <w:left w:val="nil"/>
              <w:bottom w:val="nil"/>
              <w:right w:val="nil"/>
            </w:tcBorders>
            <w:vAlign w:val="center"/>
          </w:tcPr>
          <w:p w14:paraId="358082B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8" w:type="dxa"/>
            <w:tcBorders>
              <w:top w:val="nil"/>
              <w:left w:val="nil"/>
              <w:bottom w:val="nil"/>
              <w:right w:val="nil"/>
            </w:tcBorders>
            <w:vAlign w:val="center"/>
          </w:tcPr>
          <w:p w14:paraId="1E24506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722D145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400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 Fpg</w:t>
            </w:r>
            <w:r w:rsidRPr="00CA46DB">
              <w:rPr>
                <w:rFonts w:cstheme="minorHAnsi"/>
                <w:color w:val="000000" w:themeColor="text1"/>
                <w:sz w:val="18"/>
                <w:szCs w:val="18"/>
                <w:vertAlign w:val="superscript"/>
              </w:rPr>
              <w:t>8</w:t>
            </w:r>
          </w:p>
        </w:tc>
        <w:tc>
          <w:tcPr>
            <w:tcW w:w="568" w:type="dxa"/>
            <w:tcBorders>
              <w:top w:val="nil"/>
              <w:left w:val="nil"/>
              <w:bottom w:val="nil"/>
              <w:right w:val="nil"/>
            </w:tcBorders>
            <w:vAlign w:val="center"/>
          </w:tcPr>
          <w:p w14:paraId="467181A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w:t>
            </w:r>
          </w:p>
        </w:tc>
      </w:tr>
      <w:tr w:rsidR="00CA46DB" w:rsidRPr="00CA46DB" w14:paraId="64C25BB9" w14:textId="77777777">
        <w:trPr>
          <w:trHeight w:val="680"/>
        </w:trPr>
        <w:tc>
          <w:tcPr>
            <w:tcW w:w="2127" w:type="dxa"/>
            <w:tcBorders>
              <w:top w:val="nil"/>
              <w:left w:val="nil"/>
              <w:bottom w:val="nil"/>
              <w:right w:val="nil"/>
            </w:tcBorders>
            <w:vAlign w:val="center"/>
          </w:tcPr>
          <w:p w14:paraId="4DF70F1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20 wt% RGO@R-PANI/PI</w:t>
            </w:r>
          </w:p>
        </w:tc>
        <w:tc>
          <w:tcPr>
            <w:tcW w:w="1701" w:type="dxa"/>
            <w:tcBorders>
              <w:top w:val="nil"/>
              <w:left w:val="nil"/>
              <w:bottom w:val="nil"/>
              <w:right w:val="nil"/>
            </w:tcBorders>
            <w:vAlign w:val="center"/>
          </w:tcPr>
          <w:p w14:paraId="1A0A93E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480(N</w:t>
            </w:r>
            <w:r w:rsidRPr="00CA46DB">
              <w:rPr>
                <w:rFonts w:cstheme="minorHAnsi"/>
                <w:color w:val="000000" w:themeColor="text1"/>
                <w:sz w:val="18"/>
                <w:szCs w:val="18"/>
                <w:vertAlign w:val="subscript"/>
              </w:rPr>
              <w:t>2</w:t>
            </w: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22D83D9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25.84</w:t>
            </w:r>
          </w:p>
        </w:tc>
        <w:tc>
          <w:tcPr>
            <w:tcW w:w="1843" w:type="dxa"/>
            <w:tcBorders>
              <w:top w:val="nil"/>
              <w:left w:val="nil"/>
              <w:bottom w:val="nil"/>
              <w:right w:val="nil"/>
            </w:tcBorders>
            <w:vAlign w:val="center"/>
          </w:tcPr>
          <w:p w14:paraId="5CBF805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0.11</w:t>
            </w:r>
          </w:p>
        </w:tc>
        <w:tc>
          <w:tcPr>
            <w:tcW w:w="1417" w:type="dxa"/>
            <w:tcBorders>
              <w:top w:val="nil"/>
              <w:left w:val="nil"/>
              <w:bottom w:val="nil"/>
              <w:right w:val="nil"/>
            </w:tcBorders>
            <w:vAlign w:val="center"/>
          </w:tcPr>
          <w:p w14:paraId="39AAF26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701" w:type="dxa"/>
            <w:tcBorders>
              <w:top w:val="nil"/>
              <w:left w:val="nil"/>
              <w:bottom w:val="nil"/>
              <w:right w:val="nil"/>
            </w:tcBorders>
            <w:vAlign w:val="center"/>
          </w:tcPr>
          <w:p w14:paraId="6E21413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8" w:type="dxa"/>
            <w:tcBorders>
              <w:top w:val="nil"/>
              <w:left w:val="nil"/>
              <w:bottom w:val="nil"/>
              <w:right w:val="nil"/>
            </w:tcBorders>
            <w:vAlign w:val="center"/>
          </w:tcPr>
          <w:p w14:paraId="0CD09E60"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3A587AD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 Fpr</w:t>
            </w:r>
            <w:r w:rsidRPr="00CA46DB">
              <w:rPr>
                <w:rFonts w:cstheme="minorHAnsi"/>
                <w:color w:val="000000" w:themeColor="text1"/>
                <w:sz w:val="18"/>
                <w:szCs w:val="18"/>
                <w:vertAlign w:val="superscript"/>
              </w:rPr>
              <w:t>9</w:t>
            </w:r>
          </w:p>
        </w:tc>
        <w:tc>
          <w:tcPr>
            <w:tcW w:w="568" w:type="dxa"/>
            <w:tcBorders>
              <w:top w:val="nil"/>
              <w:left w:val="nil"/>
              <w:bottom w:val="nil"/>
              <w:right w:val="nil"/>
            </w:tcBorders>
            <w:vAlign w:val="center"/>
          </w:tcPr>
          <w:p w14:paraId="6F6DDCF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32</w:t>
            </w:r>
          </w:p>
        </w:tc>
      </w:tr>
      <w:tr w:rsidR="00CA46DB" w:rsidRPr="00CA46DB" w14:paraId="65E6248E" w14:textId="77777777">
        <w:trPr>
          <w:trHeight w:val="680"/>
        </w:trPr>
        <w:tc>
          <w:tcPr>
            <w:tcW w:w="2127" w:type="dxa"/>
            <w:tcBorders>
              <w:top w:val="nil"/>
              <w:left w:val="nil"/>
              <w:bottom w:val="nil"/>
              <w:right w:val="nil"/>
            </w:tcBorders>
            <w:vAlign w:val="center"/>
          </w:tcPr>
          <w:p w14:paraId="0F45B56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 vol% BT@PDA/PI</w:t>
            </w:r>
          </w:p>
        </w:tc>
        <w:tc>
          <w:tcPr>
            <w:tcW w:w="1701" w:type="dxa"/>
            <w:tcBorders>
              <w:top w:val="nil"/>
              <w:left w:val="nil"/>
              <w:bottom w:val="nil"/>
              <w:right w:val="nil"/>
            </w:tcBorders>
            <w:vAlign w:val="center"/>
          </w:tcPr>
          <w:p w14:paraId="004C16A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520(N</w:t>
            </w:r>
            <w:r w:rsidRPr="00CA46DB">
              <w:rPr>
                <w:rFonts w:cstheme="minorHAnsi"/>
                <w:color w:val="000000" w:themeColor="text1"/>
                <w:sz w:val="18"/>
                <w:szCs w:val="18"/>
                <w:vertAlign w:val="subscript"/>
              </w:rPr>
              <w:t>2</w:t>
            </w: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020E5C1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4.4</w:t>
            </w:r>
          </w:p>
        </w:tc>
        <w:tc>
          <w:tcPr>
            <w:tcW w:w="1843" w:type="dxa"/>
            <w:tcBorders>
              <w:top w:val="nil"/>
              <w:left w:val="nil"/>
              <w:bottom w:val="nil"/>
              <w:right w:val="nil"/>
            </w:tcBorders>
            <w:vAlign w:val="center"/>
          </w:tcPr>
          <w:p w14:paraId="7BEF9A2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0.007</w:t>
            </w:r>
          </w:p>
        </w:tc>
        <w:tc>
          <w:tcPr>
            <w:tcW w:w="1417" w:type="dxa"/>
            <w:tcBorders>
              <w:top w:val="nil"/>
              <w:left w:val="nil"/>
              <w:bottom w:val="nil"/>
              <w:right w:val="nil"/>
            </w:tcBorders>
            <w:vAlign w:val="center"/>
          </w:tcPr>
          <w:p w14:paraId="31F98A1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315</w:t>
            </w:r>
          </w:p>
        </w:tc>
        <w:tc>
          <w:tcPr>
            <w:tcW w:w="1701" w:type="dxa"/>
            <w:tcBorders>
              <w:top w:val="nil"/>
              <w:left w:val="nil"/>
              <w:bottom w:val="nil"/>
              <w:right w:val="nil"/>
            </w:tcBorders>
            <w:vAlign w:val="center"/>
          </w:tcPr>
          <w:p w14:paraId="4D32AC4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1.94</w:t>
            </w:r>
            <w:r w:rsidRPr="00CA46DB">
              <w:rPr>
                <w:rFonts w:cstheme="minorHAnsi"/>
                <w:color w:val="000000" w:themeColor="text1"/>
                <w:sz w:val="18"/>
                <w:szCs w:val="18"/>
                <w:vertAlign w:val="superscript"/>
              </w:rPr>
              <w:t>18</w:t>
            </w:r>
          </w:p>
        </w:tc>
        <w:tc>
          <w:tcPr>
            <w:tcW w:w="1418" w:type="dxa"/>
            <w:tcBorders>
              <w:top w:val="nil"/>
              <w:left w:val="nil"/>
              <w:bottom w:val="nil"/>
              <w:right w:val="nil"/>
            </w:tcBorders>
            <w:vAlign w:val="center"/>
          </w:tcPr>
          <w:p w14:paraId="2C08148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4D087F1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 Fosc</w:t>
            </w:r>
            <w:r w:rsidRPr="00CA46DB">
              <w:rPr>
                <w:rFonts w:cstheme="minorHAnsi"/>
                <w:color w:val="000000" w:themeColor="text1"/>
                <w:sz w:val="18"/>
                <w:szCs w:val="18"/>
                <w:vertAlign w:val="superscript"/>
              </w:rPr>
              <w:t>10</w:t>
            </w:r>
          </w:p>
        </w:tc>
        <w:tc>
          <w:tcPr>
            <w:tcW w:w="568" w:type="dxa"/>
            <w:tcBorders>
              <w:top w:val="nil"/>
              <w:left w:val="nil"/>
              <w:bottom w:val="nil"/>
              <w:right w:val="nil"/>
            </w:tcBorders>
            <w:vAlign w:val="center"/>
          </w:tcPr>
          <w:p w14:paraId="5A00A5D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104</w:t>
            </w:r>
          </w:p>
        </w:tc>
      </w:tr>
      <w:tr w:rsidR="00CA46DB" w:rsidRPr="00CA46DB" w14:paraId="43230A8C" w14:textId="77777777">
        <w:trPr>
          <w:trHeight w:val="683"/>
        </w:trPr>
        <w:tc>
          <w:tcPr>
            <w:tcW w:w="2127" w:type="dxa"/>
            <w:tcBorders>
              <w:top w:val="nil"/>
              <w:left w:val="nil"/>
              <w:bottom w:val="single" w:sz="4" w:space="0" w:color="auto"/>
              <w:right w:val="nil"/>
            </w:tcBorders>
            <w:vAlign w:val="center"/>
          </w:tcPr>
          <w:p w14:paraId="49154F6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 wt% MoS</w:t>
            </w:r>
            <w:r w:rsidRPr="00CA46DB">
              <w:rPr>
                <w:rFonts w:cstheme="minorHAnsi"/>
                <w:color w:val="000000" w:themeColor="text1"/>
                <w:sz w:val="18"/>
                <w:szCs w:val="18"/>
                <w:vertAlign w:val="subscript"/>
              </w:rPr>
              <w:t>2</w:t>
            </w:r>
            <w:r w:rsidRPr="00CA46DB">
              <w:rPr>
                <w:rFonts w:cstheme="minorHAnsi"/>
                <w:color w:val="000000" w:themeColor="text1"/>
                <w:sz w:val="18"/>
                <w:szCs w:val="18"/>
              </w:rPr>
              <w:t>-g-PMMA/PI</w:t>
            </w:r>
          </w:p>
        </w:tc>
        <w:tc>
          <w:tcPr>
            <w:tcW w:w="1701" w:type="dxa"/>
            <w:tcBorders>
              <w:top w:val="nil"/>
              <w:left w:val="nil"/>
              <w:bottom w:val="single" w:sz="4" w:space="0" w:color="auto"/>
              <w:right w:val="nil"/>
            </w:tcBorders>
            <w:vAlign w:val="center"/>
          </w:tcPr>
          <w:p w14:paraId="5194DB6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single" w:sz="4" w:space="0" w:color="auto"/>
              <w:right w:val="nil"/>
            </w:tcBorders>
            <w:vAlign w:val="center"/>
          </w:tcPr>
          <w:p w14:paraId="56B1808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4.2</w:t>
            </w:r>
          </w:p>
        </w:tc>
        <w:tc>
          <w:tcPr>
            <w:tcW w:w="1843" w:type="dxa"/>
            <w:tcBorders>
              <w:top w:val="nil"/>
              <w:left w:val="nil"/>
              <w:bottom w:val="single" w:sz="4" w:space="0" w:color="auto"/>
              <w:right w:val="nil"/>
            </w:tcBorders>
            <w:vAlign w:val="center"/>
          </w:tcPr>
          <w:p w14:paraId="729C251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0.015</w:t>
            </w:r>
          </w:p>
        </w:tc>
        <w:tc>
          <w:tcPr>
            <w:tcW w:w="1417" w:type="dxa"/>
            <w:tcBorders>
              <w:top w:val="nil"/>
              <w:left w:val="nil"/>
              <w:bottom w:val="single" w:sz="4" w:space="0" w:color="auto"/>
              <w:right w:val="nil"/>
            </w:tcBorders>
            <w:vAlign w:val="center"/>
          </w:tcPr>
          <w:p w14:paraId="6B47B4B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450</w:t>
            </w:r>
          </w:p>
        </w:tc>
        <w:tc>
          <w:tcPr>
            <w:tcW w:w="1701" w:type="dxa"/>
            <w:tcBorders>
              <w:top w:val="nil"/>
              <w:left w:val="nil"/>
              <w:bottom w:val="single" w:sz="4" w:space="0" w:color="auto"/>
              <w:right w:val="nil"/>
            </w:tcBorders>
            <w:vAlign w:val="center"/>
          </w:tcPr>
          <w:p w14:paraId="38ED279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3.92@150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418" w:type="dxa"/>
            <w:tcBorders>
              <w:top w:val="nil"/>
              <w:left w:val="nil"/>
              <w:bottom w:val="single" w:sz="4" w:space="0" w:color="auto"/>
              <w:right w:val="nil"/>
            </w:tcBorders>
            <w:vAlign w:val="center"/>
          </w:tcPr>
          <w:p w14:paraId="7D15054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61.7%@150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842" w:type="dxa"/>
            <w:tcBorders>
              <w:top w:val="nil"/>
              <w:left w:val="nil"/>
              <w:bottom w:val="single" w:sz="4" w:space="0" w:color="auto"/>
              <w:right w:val="nil"/>
            </w:tcBorders>
            <w:vAlign w:val="center"/>
          </w:tcPr>
          <w:p w14:paraId="2A794A5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200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 Fsep</w:t>
            </w:r>
            <w:r w:rsidRPr="00CA46DB">
              <w:rPr>
                <w:rFonts w:cstheme="minorHAnsi"/>
                <w:color w:val="000000" w:themeColor="text1"/>
                <w:sz w:val="18"/>
                <w:szCs w:val="18"/>
                <w:vertAlign w:val="superscript"/>
              </w:rPr>
              <w:t>11</w:t>
            </w:r>
          </w:p>
        </w:tc>
        <w:tc>
          <w:tcPr>
            <w:tcW w:w="568" w:type="dxa"/>
            <w:tcBorders>
              <w:top w:val="nil"/>
              <w:left w:val="nil"/>
              <w:bottom w:val="single" w:sz="4" w:space="0" w:color="auto"/>
              <w:right w:val="nil"/>
            </w:tcBorders>
            <w:vAlign w:val="center"/>
          </w:tcPr>
          <w:p w14:paraId="0A24DC4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121</w:t>
            </w:r>
          </w:p>
        </w:tc>
      </w:tr>
      <w:tr w:rsidR="00CA46DB" w:rsidRPr="00CA46DB" w14:paraId="381BEF3B" w14:textId="77777777">
        <w:trPr>
          <w:trHeight w:val="680"/>
        </w:trPr>
        <w:tc>
          <w:tcPr>
            <w:tcW w:w="2127" w:type="dxa"/>
            <w:tcBorders>
              <w:top w:val="single" w:sz="4" w:space="0" w:color="auto"/>
              <w:left w:val="nil"/>
              <w:bottom w:val="nil"/>
              <w:right w:val="nil"/>
            </w:tcBorders>
            <w:vAlign w:val="center"/>
          </w:tcPr>
          <w:p w14:paraId="325881A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 vol% BaTiO</w:t>
            </w:r>
            <w:r w:rsidRPr="00CA46DB">
              <w:rPr>
                <w:rFonts w:cstheme="minorHAnsi"/>
                <w:color w:val="000000" w:themeColor="text1"/>
                <w:sz w:val="18"/>
                <w:szCs w:val="18"/>
                <w:vertAlign w:val="subscript"/>
              </w:rPr>
              <w:t>3</w:t>
            </w:r>
            <w:r w:rsidRPr="00CA46DB">
              <w:rPr>
                <w:rFonts w:cstheme="minorHAnsi"/>
                <w:color w:val="000000" w:themeColor="text1"/>
                <w:sz w:val="18"/>
                <w:szCs w:val="18"/>
              </w:rPr>
              <w:t>@SiO</w:t>
            </w:r>
            <w:r w:rsidRPr="00CA46DB">
              <w:rPr>
                <w:rFonts w:cstheme="minorHAnsi"/>
                <w:color w:val="000000" w:themeColor="text1"/>
                <w:sz w:val="18"/>
                <w:szCs w:val="18"/>
                <w:vertAlign w:val="subscript"/>
              </w:rPr>
              <w:t>2</w:t>
            </w:r>
            <w:r w:rsidRPr="00CA46DB">
              <w:rPr>
                <w:rFonts w:cstheme="minorHAnsi"/>
                <w:color w:val="000000" w:themeColor="text1"/>
                <w:sz w:val="18"/>
                <w:szCs w:val="18"/>
              </w:rPr>
              <w:t>/PI</w:t>
            </w:r>
          </w:p>
        </w:tc>
        <w:tc>
          <w:tcPr>
            <w:tcW w:w="1701" w:type="dxa"/>
            <w:tcBorders>
              <w:top w:val="single" w:sz="4" w:space="0" w:color="auto"/>
              <w:left w:val="nil"/>
              <w:bottom w:val="nil"/>
              <w:right w:val="nil"/>
            </w:tcBorders>
            <w:vAlign w:val="center"/>
          </w:tcPr>
          <w:p w14:paraId="08722FD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576(N</w:t>
            </w:r>
            <w:r w:rsidRPr="00CA46DB">
              <w:rPr>
                <w:rFonts w:cstheme="minorHAnsi"/>
                <w:color w:val="000000" w:themeColor="text1"/>
                <w:sz w:val="18"/>
                <w:szCs w:val="18"/>
                <w:vertAlign w:val="subscript"/>
              </w:rPr>
              <w:t>2</w:t>
            </w:r>
            <w:r w:rsidRPr="00CA46DB">
              <w:rPr>
                <w:rFonts w:cstheme="minorHAnsi"/>
                <w:color w:val="000000" w:themeColor="text1"/>
                <w:sz w:val="18"/>
                <w:szCs w:val="18"/>
              </w:rPr>
              <w:t>) / --</w:t>
            </w:r>
          </w:p>
        </w:tc>
        <w:tc>
          <w:tcPr>
            <w:tcW w:w="1559" w:type="dxa"/>
            <w:tcBorders>
              <w:top w:val="single" w:sz="4" w:space="0" w:color="auto"/>
              <w:left w:val="nil"/>
              <w:bottom w:val="nil"/>
              <w:right w:val="nil"/>
            </w:tcBorders>
            <w:vAlign w:val="center"/>
          </w:tcPr>
          <w:p w14:paraId="1FA14A7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4.3</w:t>
            </w:r>
          </w:p>
        </w:tc>
        <w:tc>
          <w:tcPr>
            <w:tcW w:w="1843" w:type="dxa"/>
            <w:tcBorders>
              <w:top w:val="single" w:sz="4" w:space="0" w:color="auto"/>
              <w:left w:val="nil"/>
              <w:bottom w:val="nil"/>
              <w:right w:val="nil"/>
            </w:tcBorders>
            <w:vAlign w:val="center"/>
          </w:tcPr>
          <w:p w14:paraId="09B222B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0.095</w:t>
            </w:r>
          </w:p>
        </w:tc>
        <w:tc>
          <w:tcPr>
            <w:tcW w:w="1417" w:type="dxa"/>
            <w:tcBorders>
              <w:top w:val="single" w:sz="4" w:space="0" w:color="auto"/>
              <w:left w:val="nil"/>
              <w:bottom w:val="nil"/>
              <w:right w:val="nil"/>
            </w:tcBorders>
            <w:vAlign w:val="center"/>
          </w:tcPr>
          <w:p w14:paraId="11EA0FB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346</w:t>
            </w:r>
          </w:p>
        </w:tc>
        <w:tc>
          <w:tcPr>
            <w:tcW w:w="1701" w:type="dxa"/>
            <w:tcBorders>
              <w:top w:val="single" w:sz="4" w:space="0" w:color="auto"/>
              <w:left w:val="nil"/>
              <w:bottom w:val="nil"/>
              <w:right w:val="nil"/>
            </w:tcBorders>
            <w:vAlign w:val="center"/>
          </w:tcPr>
          <w:p w14:paraId="5B69750F"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2.31</w:t>
            </w:r>
          </w:p>
        </w:tc>
        <w:tc>
          <w:tcPr>
            <w:tcW w:w="1418" w:type="dxa"/>
            <w:tcBorders>
              <w:top w:val="single" w:sz="4" w:space="0" w:color="auto"/>
              <w:left w:val="nil"/>
              <w:bottom w:val="nil"/>
              <w:right w:val="nil"/>
            </w:tcBorders>
            <w:vAlign w:val="center"/>
          </w:tcPr>
          <w:p w14:paraId="77BCA64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single" w:sz="4" w:space="0" w:color="auto"/>
              <w:left w:val="nil"/>
              <w:bottom w:val="nil"/>
              <w:right w:val="nil"/>
            </w:tcBorders>
            <w:vAlign w:val="center"/>
          </w:tcPr>
          <w:p w14:paraId="1B43C5D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 Fsm</w:t>
            </w:r>
            <w:r w:rsidRPr="00CA46DB">
              <w:rPr>
                <w:rFonts w:cstheme="minorHAnsi"/>
                <w:color w:val="000000" w:themeColor="text1"/>
                <w:sz w:val="18"/>
                <w:szCs w:val="18"/>
                <w:vertAlign w:val="superscript"/>
              </w:rPr>
              <w:t>12</w:t>
            </w:r>
          </w:p>
        </w:tc>
        <w:tc>
          <w:tcPr>
            <w:tcW w:w="568" w:type="dxa"/>
            <w:tcBorders>
              <w:top w:val="single" w:sz="4" w:space="0" w:color="auto"/>
              <w:left w:val="nil"/>
              <w:bottom w:val="nil"/>
              <w:right w:val="nil"/>
            </w:tcBorders>
            <w:vAlign w:val="center"/>
          </w:tcPr>
          <w:p w14:paraId="120A81A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106</w:t>
            </w:r>
          </w:p>
        </w:tc>
      </w:tr>
      <w:tr w:rsidR="00CA46DB" w:rsidRPr="00CA46DB" w14:paraId="7A95AB23" w14:textId="77777777">
        <w:trPr>
          <w:trHeight w:val="680"/>
        </w:trPr>
        <w:tc>
          <w:tcPr>
            <w:tcW w:w="2127" w:type="dxa"/>
            <w:tcBorders>
              <w:top w:val="nil"/>
              <w:left w:val="nil"/>
              <w:bottom w:val="nil"/>
              <w:right w:val="nil"/>
            </w:tcBorders>
            <w:vAlign w:val="center"/>
          </w:tcPr>
          <w:p w14:paraId="22B579EF"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 vol% BT@ZrO</w:t>
            </w:r>
            <w:r w:rsidRPr="00CA46DB">
              <w:rPr>
                <w:rFonts w:cstheme="minorHAnsi"/>
                <w:color w:val="000000" w:themeColor="text1"/>
                <w:sz w:val="18"/>
                <w:szCs w:val="18"/>
                <w:vertAlign w:val="subscript"/>
              </w:rPr>
              <w:t>2</w:t>
            </w:r>
            <w:r w:rsidRPr="00CA46DB">
              <w:rPr>
                <w:rFonts w:cstheme="minorHAnsi"/>
                <w:color w:val="000000" w:themeColor="text1"/>
                <w:sz w:val="18"/>
                <w:szCs w:val="18"/>
              </w:rPr>
              <w:t>/PI</w:t>
            </w:r>
          </w:p>
        </w:tc>
        <w:tc>
          <w:tcPr>
            <w:tcW w:w="1701" w:type="dxa"/>
            <w:tcBorders>
              <w:top w:val="nil"/>
              <w:left w:val="nil"/>
              <w:bottom w:val="nil"/>
              <w:right w:val="nil"/>
            </w:tcBorders>
            <w:vAlign w:val="center"/>
          </w:tcPr>
          <w:p w14:paraId="271394F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354600E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3.9</w:t>
            </w:r>
          </w:p>
        </w:tc>
        <w:tc>
          <w:tcPr>
            <w:tcW w:w="1843" w:type="dxa"/>
            <w:tcBorders>
              <w:top w:val="nil"/>
              <w:left w:val="nil"/>
              <w:bottom w:val="nil"/>
              <w:right w:val="nil"/>
            </w:tcBorders>
            <w:vAlign w:val="center"/>
          </w:tcPr>
          <w:p w14:paraId="599E44F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0.008</w:t>
            </w:r>
          </w:p>
        </w:tc>
        <w:tc>
          <w:tcPr>
            <w:tcW w:w="1417" w:type="dxa"/>
            <w:tcBorders>
              <w:top w:val="nil"/>
              <w:left w:val="nil"/>
              <w:bottom w:val="nil"/>
              <w:right w:val="nil"/>
            </w:tcBorders>
            <w:vAlign w:val="center"/>
          </w:tcPr>
          <w:p w14:paraId="27C95CE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361</w:t>
            </w:r>
          </w:p>
        </w:tc>
        <w:tc>
          <w:tcPr>
            <w:tcW w:w="1701" w:type="dxa"/>
            <w:tcBorders>
              <w:top w:val="nil"/>
              <w:left w:val="nil"/>
              <w:bottom w:val="nil"/>
              <w:right w:val="nil"/>
            </w:tcBorders>
            <w:vAlign w:val="center"/>
          </w:tcPr>
          <w:p w14:paraId="72FEC0B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2.53</w:t>
            </w:r>
          </w:p>
        </w:tc>
        <w:tc>
          <w:tcPr>
            <w:tcW w:w="1418" w:type="dxa"/>
            <w:tcBorders>
              <w:top w:val="nil"/>
              <w:left w:val="nil"/>
              <w:bottom w:val="nil"/>
              <w:right w:val="nil"/>
            </w:tcBorders>
            <w:vAlign w:val="center"/>
          </w:tcPr>
          <w:p w14:paraId="32343DC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193269D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 Fe</w:t>
            </w:r>
            <w:r w:rsidRPr="00CA46DB">
              <w:rPr>
                <w:rFonts w:cstheme="minorHAnsi"/>
                <w:color w:val="000000" w:themeColor="text1"/>
                <w:sz w:val="18"/>
                <w:szCs w:val="18"/>
                <w:vertAlign w:val="superscript"/>
              </w:rPr>
              <w:t>13</w:t>
            </w:r>
          </w:p>
        </w:tc>
        <w:tc>
          <w:tcPr>
            <w:tcW w:w="568" w:type="dxa"/>
            <w:tcBorders>
              <w:top w:val="nil"/>
              <w:left w:val="nil"/>
              <w:bottom w:val="nil"/>
              <w:right w:val="nil"/>
            </w:tcBorders>
            <w:vAlign w:val="center"/>
          </w:tcPr>
          <w:p w14:paraId="3E13043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107</w:t>
            </w:r>
          </w:p>
        </w:tc>
      </w:tr>
      <w:tr w:rsidR="00CA46DB" w:rsidRPr="00CA46DB" w14:paraId="3262CED9" w14:textId="77777777">
        <w:trPr>
          <w:trHeight w:val="590"/>
        </w:trPr>
        <w:tc>
          <w:tcPr>
            <w:tcW w:w="2127" w:type="dxa"/>
            <w:tcBorders>
              <w:top w:val="nil"/>
              <w:left w:val="nil"/>
              <w:bottom w:val="nil"/>
              <w:right w:val="nil"/>
            </w:tcBorders>
            <w:vAlign w:val="center"/>
          </w:tcPr>
          <w:p w14:paraId="5AD352E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20 wt% SiO</w:t>
            </w:r>
            <w:r w:rsidRPr="00CA46DB">
              <w:rPr>
                <w:rFonts w:cstheme="minorHAnsi"/>
                <w:color w:val="000000" w:themeColor="text1"/>
                <w:sz w:val="18"/>
                <w:szCs w:val="18"/>
                <w:vertAlign w:val="subscript"/>
              </w:rPr>
              <w:t>2</w:t>
            </w:r>
            <w:r w:rsidRPr="00CA46DB">
              <w:rPr>
                <w:rFonts w:cstheme="minorHAnsi"/>
                <w:color w:val="000000" w:themeColor="text1"/>
                <w:sz w:val="18"/>
                <w:szCs w:val="18"/>
              </w:rPr>
              <w:t>@GO/PI</w:t>
            </w:r>
          </w:p>
        </w:tc>
        <w:tc>
          <w:tcPr>
            <w:tcW w:w="1701" w:type="dxa"/>
            <w:tcBorders>
              <w:top w:val="nil"/>
              <w:left w:val="nil"/>
              <w:bottom w:val="nil"/>
              <w:right w:val="nil"/>
            </w:tcBorders>
            <w:vAlign w:val="center"/>
          </w:tcPr>
          <w:p w14:paraId="7820450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0905FB7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40</w:t>
            </w:r>
          </w:p>
        </w:tc>
        <w:tc>
          <w:tcPr>
            <w:tcW w:w="1843" w:type="dxa"/>
            <w:tcBorders>
              <w:top w:val="nil"/>
              <w:left w:val="nil"/>
              <w:bottom w:val="nil"/>
              <w:right w:val="nil"/>
            </w:tcBorders>
            <w:vAlign w:val="center"/>
          </w:tcPr>
          <w:p w14:paraId="458C9B8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0.24</w:t>
            </w:r>
          </w:p>
        </w:tc>
        <w:tc>
          <w:tcPr>
            <w:tcW w:w="1417" w:type="dxa"/>
            <w:tcBorders>
              <w:top w:val="nil"/>
              <w:left w:val="nil"/>
              <w:bottom w:val="nil"/>
              <w:right w:val="nil"/>
            </w:tcBorders>
            <w:vAlign w:val="center"/>
          </w:tcPr>
          <w:p w14:paraId="3E379D0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701" w:type="dxa"/>
            <w:tcBorders>
              <w:top w:val="nil"/>
              <w:left w:val="nil"/>
              <w:bottom w:val="nil"/>
              <w:right w:val="nil"/>
            </w:tcBorders>
            <w:vAlign w:val="center"/>
          </w:tcPr>
          <w:p w14:paraId="7690E41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8" w:type="dxa"/>
            <w:tcBorders>
              <w:top w:val="nil"/>
              <w:left w:val="nil"/>
              <w:bottom w:val="nil"/>
              <w:right w:val="nil"/>
            </w:tcBorders>
            <w:vAlign w:val="center"/>
          </w:tcPr>
          <w:p w14:paraId="2F8B6DE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1303C9B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 Fsm</w:t>
            </w:r>
          </w:p>
        </w:tc>
        <w:tc>
          <w:tcPr>
            <w:tcW w:w="568" w:type="dxa"/>
            <w:tcBorders>
              <w:top w:val="nil"/>
              <w:left w:val="nil"/>
              <w:bottom w:val="nil"/>
              <w:right w:val="nil"/>
            </w:tcBorders>
            <w:vAlign w:val="center"/>
          </w:tcPr>
          <w:p w14:paraId="135EAEC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111</w:t>
            </w:r>
          </w:p>
        </w:tc>
      </w:tr>
      <w:tr w:rsidR="00CA46DB" w:rsidRPr="00CA46DB" w14:paraId="0932A88F" w14:textId="77777777">
        <w:trPr>
          <w:trHeight w:val="680"/>
        </w:trPr>
        <w:tc>
          <w:tcPr>
            <w:tcW w:w="2127" w:type="dxa"/>
            <w:tcBorders>
              <w:top w:val="nil"/>
              <w:left w:val="nil"/>
              <w:bottom w:val="nil"/>
              <w:right w:val="nil"/>
            </w:tcBorders>
            <w:vAlign w:val="center"/>
          </w:tcPr>
          <w:p w14:paraId="13A61F2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lastRenderedPageBreak/>
              <w:t>20 wt% BT@GO/PI</w:t>
            </w:r>
          </w:p>
        </w:tc>
        <w:tc>
          <w:tcPr>
            <w:tcW w:w="1701" w:type="dxa"/>
            <w:tcBorders>
              <w:top w:val="nil"/>
              <w:left w:val="nil"/>
              <w:bottom w:val="nil"/>
              <w:right w:val="nil"/>
            </w:tcBorders>
            <w:vAlign w:val="center"/>
          </w:tcPr>
          <w:p w14:paraId="6706814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7F9A2D4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1 37</w:t>
            </w:r>
          </w:p>
        </w:tc>
        <w:tc>
          <w:tcPr>
            <w:tcW w:w="1843" w:type="dxa"/>
            <w:tcBorders>
              <w:top w:val="nil"/>
              <w:left w:val="nil"/>
              <w:bottom w:val="nil"/>
              <w:right w:val="nil"/>
            </w:tcBorders>
            <w:vAlign w:val="center"/>
          </w:tcPr>
          <w:p w14:paraId="58C8B8C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0.65</w:t>
            </w:r>
          </w:p>
        </w:tc>
        <w:tc>
          <w:tcPr>
            <w:tcW w:w="1417" w:type="dxa"/>
            <w:tcBorders>
              <w:top w:val="nil"/>
              <w:left w:val="nil"/>
              <w:bottom w:val="nil"/>
              <w:right w:val="nil"/>
            </w:tcBorders>
            <w:vAlign w:val="center"/>
          </w:tcPr>
          <w:p w14:paraId="2765104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701" w:type="dxa"/>
            <w:tcBorders>
              <w:top w:val="nil"/>
              <w:left w:val="nil"/>
              <w:bottom w:val="nil"/>
              <w:right w:val="nil"/>
            </w:tcBorders>
            <w:vAlign w:val="center"/>
          </w:tcPr>
          <w:p w14:paraId="6B2EE5F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8" w:type="dxa"/>
            <w:tcBorders>
              <w:top w:val="nil"/>
              <w:left w:val="nil"/>
              <w:bottom w:val="nil"/>
              <w:right w:val="nil"/>
            </w:tcBorders>
            <w:vAlign w:val="center"/>
          </w:tcPr>
          <w:p w14:paraId="0138EA9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7F8D06D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 Fcc</w:t>
            </w:r>
            <w:r w:rsidRPr="00CA46DB">
              <w:rPr>
                <w:rFonts w:cstheme="minorHAnsi"/>
                <w:color w:val="000000" w:themeColor="text1"/>
                <w:sz w:val="18"/>
                <w:szCs w:val="18"/>
                <w:vertAlign w:val="superscript"/>
              </w:rPr>
              <w:t>14</w:t>
            </w:r>
          </w:p>
        </w:tc>
        <w:tc>
          <w:tcPr>
            <w:tcW w:w="568" w:type="dxa"/>
            <w:tcBorders>
              <w:top w:val="nil"/>
              <w:left w:val="nil"/>
              <w:bottom w:val="nil"/>
              <w:right w:val="nil"/>
            </w:tcBorders>
            <w:vAlign w:val="center"/>
          </w:tcPr>
          <w:p w14:paraId="604D1BD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110</w:t>
            </w:r>
          </w:p>
        </w:tc>
      </w:tr>
      <w:tr w:rsidR="00CA46DB" w:rsidRPr="00CA46DB" w14:paraId="3CC8E989" w14:textId="77777777">
        <w:trPr>
          <w:trHeight w:val="680"/>
        </w:trPr>
        <w:tc>
          <w:tcPr>
            <w:tcW w:w="2127" w:type="dxa"/>
            <w:tcBorders>
              <w:top w:val="nil"/>
              <w:left w:val="nil"/>
              <w:bottom w:val="nil"/>
              <w:right w:val="nil"/>
            </w:tcBorders>
            <w:vAlign w:val="center"/>
          </w:tcPr>
          <w:p w14:paraId="77791D0F"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 vol% CCTO@Ag/PI</w:t>
            </w:r>
          </w:p>
        </w:tc>
        <w:tc>
          <w:tcPr>
            <w:tcW w:w="1701" w:type="dxa"/>
            <w:tcBorders>
              <w:top w:val="nil"/>
              <w:left w:val="nil"/>
              <w:bottom w:val="nil"/>
              <w:right w:val="nil"/>
            </w:tcBorders>
            <w:vAlign w:val="center"/>
          </w:tcPr>
          <w:p w14:paraId="7C5CC19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0D7C4C9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100</w:t>
            </w:r>
          </w:p>
        </w:tc>
        <w:tc>
          <w:tcPr>
            <w:tcW w:w="1843" w:type="dxa"/>
            <w:tcBorders>
              <w:top w:val="nil"/>
              <w:left w:val="nil"/>
              <w:bottom w:val="nil"/>
              <w:right w:val="nil"/>
            </w:tcBorders>
            <w:vAlign w:val="center"/>
          </w:tcPr>
          <w:p w14:paraId="74926137"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0.018</w:t>
            </w:r>
          </w:p>
        </w:tc>
        <w:tc>
          <w:tcPr>
            <w:tcW w:w="1417" w:type="dxa"/>
            <w:tcBorders>
              <w:top w:val="nil"/>
              <w:left w:val="nil"/>
              <w:bottom w:val="nil"/>
              <w:right w:val="nil"/>
            </w:tcBorders>
            <w:vAlign w:val="center"/>
          </w:tcPr>
          <w:p w14:paraId="2EA8759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701" w:type="dxa"/>
            <w:tcBorders>
              <w:top w:val="nil"/>
              <w:left w:val="nil"/>
              <w:bottom w:val="nil"/>
              <w:right w:val="nil"/>
            </w:tcBorders>
            <w:vAlign w:val="center"/>
          </w:tcPr>
          <w:p w14:paraId="0FB2F57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8" w:type="dxa"/>
            <w:tcBorders>
              <w:top w:val="nil"/>
              <w:left w:val="nil"/>
              <w:bottom w:val="nil"/>
              <w:right w:val="nil"/>
            </w:tcBorders>
            <w:vAlign w:val="center"/>
          </w:tcPr>
          <w:p w14:paraId="5F7EF1F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2415DC50"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 Fsem</w:t>
            </w:r>
            <w:r w:rsidRPr="00CA46DB">
              <w:rPr>
                <w:rFonts w:cstheme="minorHAnsi"/>
                <w:color w:val="000000" w:themeColor="text1"/>
                <w:sz w:val="18"/>
                <w:szCs w:val="18"/>
                <w:vertAlign w:val="superscript"/>
              </w:rPr>
              <w:t>15</w:t>
            </w:r>
          </w:p>
        </w:tc>
        <w:tc>
          <w:tcPr>
            <w:tcW w:w="568" w:type="dxa"/>
            <w:tcBorders>
              <w:top w:val="nil"/>
              <w:left w:val="nil"/>
              <w:bottom w:val="nil"/>
              <w:right w:val="nil"/>
            </w:tcBorders>
            <w:vAlign w:val="center"/>
          </w:tcPr>
          <w:p w14:paraId="75B1B06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112</w:t>
            </w:r>
          </w:p>
        </w:tc>
      </w:tr>
      <w:tr w:rsidR="00CA46DB" w:rsidRPr="00CA46DB" w14:paraId="4A09BA44" w14:textId="77777777">
        <w:trPr>
          <w:trHeight w:val="680"/>
        </w:trPr>
        <w:tc>
          <w:tcPr>
            <w:tcW w:w="2127" w:type="dxa"/>
            <w:tcBorders>
              <w:top w:val="nil"/>
              <w:left w:val="nil"/>
              <w:bottom w:val="nil"/>
              <w:right w:val="nil"/>
            </w:tcBorders>
            <w:vAlign w:val="center"/>
          </w:tcPr>
          <w:p w14:paraId="02B3F45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8.4 vol% AgNW@C/PI</w:t>
            </w:r>
          </w:p>
        </w:tc>
        <w:tc>
          <w:tcPr>
            <w:tcW w:w="1701" w:type="dxa"/>
            <w:tcBorders>
              <w:top w:val="nil"/>
              <w:left w:val="nil"/>
              <w:bottom w:val="nil"/>
              <w:right w:val="nil"/>
            </w:tcBorders>
            <w:vAlign w:val="center"/>
          </w:tcPr>
          <w:p w14:paraId="4CB0FFE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&gt;500(Air) / --</w:t>
            </w:r>
          </w:p>
        </w:tc>
        <w:tc>
          <w:tcPr>
            <w:tcW w:w="1559" w:type="dxa"/>
            <w:tcBorders>
              <w:top w:val="nil"/>
              <w:left w:val="nil"/>
              <w:bottom w:val="nil"/>
              <w:right w:val="nil"/>
            </w:tcBorders>
            <w:vAlign w:val="center"/>
          </w:tcPr>
          <w:p w14:paraId="3D55FC0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126</w:t>
            </w:r>
          </w:p>
        </w:tc>
        <w:tc>
          <w:tcPr>
            <w:tcW w:w="1843" w:type="dxa"/>
            <w:tcBorders>
              <w:top w:val="nil"/>
              <w:left w:val="nil"/>
              <w:bottom w:val="nil"/>
              <w:right w:val="nil"/>
            </w:tcBorders>
            <w:vAlign w:val="center"/>
          </w:tcPr>
          <w:p w14:paraId="26B2E22D"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0.063</w:t>
            </w:r>
          </w:p>
        </w:tc>
        <w:tc>
          <w:tcPr>
            <w:tcW w:w="1417" w:type="dxa"/>
            <w:tcBorders>
              <w:top w:val="nil"/>
              <w:left w:val="nil"/>
              <w:bottom w:val="nil"/>
              <w:right w:val="nil"/>
            </w:tcBorders>
            <w:vAlign w:val="center"/>
          </w:tcPr>
          <w:p w14:paraId="379BAA5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701" w:type="dxa"/>
            <w:tcBorders>
              <w:top w:val="nil"/>
              <w:left w:val="nil"/>
              <w:bottom w:val="nil"/>
              <w:right w:val="nil"/>
            </w:tcBorders>
            <w:vAlign w:val="center"/>
          </w:tcPr>
          <w:p w14:paraId="69E1DAB0"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418" w:type="dxa"/>
            <w:tcBorders>
              <w:top w:val="nil"/>
              <w:left w:val="nil"/>
              <w:bottom w:val="nil"/>
              <w:right w:val="nil"/>
            </w:tcBorders>
            <w:vAlign w:val="center"/>
          </w:tcPr>
          <w:p w14:paraId="188F760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nil"/>
              <w:right w:val="nil"/>
            </w:tcBorders>
            <w:vAlign w:val="center"/>
          </w:tcPr>
          <w:p w14:paraId="52B0513F"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 Fhm</w:t>
            </w:r>
            <w:r w:rsidRPr="00CA46DB">
              <w:rPr>
                <w:rFonts w:cstheme="minorHAnsi"/>
                <w:color w:val="000000" w:themeColor="text1"/>
                <w:sz w:val="18"/>
                <w:szCs w:val="18"/>
                <w:vertAlign w:val="superscript"/>
              </w:rPr>
              <w:t>16</w:t>
            </w:r>
          </w:p>
        </w:tc>
        <w:tc>
          <w:tcPr>
            <w:tcW w:w="568" w:type="dxa"/>
            <w:tcBorders>
              <w:top w:val="nil"/>
              <w:left w:val="nil"/>
              <w:bottom w:val="nil"/>
              <w:right w:val="nil"/>
            </w:tcBorders>
            <w:vAlign w:val="center"/>
          </w:tcPr>
          <w:p w14:paraId="5129C224"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91</w:t>
            </w:r>
          </w:p>
        </w:tc>
      </w:tr>
      <w:tr w:rsidR="00CA46DB" w:rsidRPr="00CA46DB" w14:paraId="48BC33B0" w14:textId="77777777">
        <w:trPr>
          <w:trHeight w:val="515"/>
        </w:trPr>
        <w:tc>
          <w:tcPr>
            <w:tcW w:w="2127" w:type="dxa"/>
            <w:tcBorders>
              <w:top w:val="nil"/>
              <w:left w:val="nil"/>
              <w:bottom w:val="nil"/>
              <w:right w:val="nil"/>
            </w:tcBorders>
            <w:vAlign w:val="center"/>
          </w:tcPr>
          <w:p w14:paraId="723B9EB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11 vol% Al</w:t>
            </w:r>
            <w:r w:rsidRPr="00CA46DB">
              <w:rPr>
                <w:rFonts w:cstheme="minorHAnsi"/>
                <w:color w:val="000000" w:themeColor="text1"/>
                <w:sz w:val="18"/>
                <w:szCs w:val="18"/>
                <w:vertAlign w:val="subscript"/>
              </w:rPr>
              <w:t>2</w:t>
            </w:r>
            <w:r w:rsidRPr="00CA46DB">
              <w:rPr>
                <w:rFonts w:cstheme="minorHAnsi"/>
                <w:color w:val="000000" w:themeColor="text1"/>
                <w:sz w:val="18"/>
                <w:szCs w:val="18"/>
              </w:rPr>
              <w:t>O</w:t>
            </w:r>
            <w:r w:rsidRPr="00CA46DB">
              <w:rPr>
                <w:rFonts w:cstheme="minorHAnsi"/>
                <w:color w:val="000000" w:themeColor="text1"/>
                <w:sz w:val="18"/>
                <w:szCs w:val="18"/>
                <w:vertAlign w:val="subscript"/>
              </w:rPr>
              <w:t>3</w:t>
            </w:r>
            <w:r w:rsidRPr="00CA46DB">
              <w:rPr>
                <w:rFonts w:cstheme="minorHAnsi"/>
                <w:color w:val="000000" w:themeColor="text1"/>
                <w:sz w:val="18"/>
                <w:szCs w:val="18"/>
              </w:rPr>
              <w:t>@ZrO</w:t>
            </w:r>
            <w:r w:rsidRPr="00CA46DB">
              <w:rPr>
                <w:rFonts w:cstheme="minorHAnsi"/>
                <w:color w:val="000000" w:themeColor="text1"/>
                <w:sz w:val="18"/>
                <w:szCs w:val="18"/>
                <w:vertAlign w:val="subscript"/>
              </w:rPr>
              <w:t>2</w:t>
            </w:r>
            <w:r w:rsidRPr="00CA46DB">
              <w:rPr>
                <w:rFonts w:cstheme="minorHAnsi"/>
                <w:color w:val="000000" w:themeColor="text1"/>
                <w:sz w:val="18"/>
                <w:szCs w:val="18"/>
              </w:rPr>
              <w:t>/PEI</w:t>
            </w:r>
          </w:p>
        </w:tc>
        <w:tc>
          <w:tcPr>
            <w:tcW w:w="1701" w:type="dxa"/>
            <w:tcBorders>
              <w:top w:val="nil"/>
              <w:left w:val="nil"/>
              <w:bottom w:val="nil"/>
              <w:right w:val="nil"/>
            </w:tcBorders>
            <w:vAlign w:val="center"/>
          </w:tcPr>
          <w:p w14:paraId="7444AE6A"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nil"/>
              <w:right w:val="nil"/>
            </w:tcBorders>
            <w:vAlign w:val="center"/>
          </w:tcPr>
          <w:p w14:paraId="09E413EB"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3.89</w:t>
            </w:r>
          </w:p>
        </w:tc>
        <w:tc>
          <w:tcPr>
            <w:tcW w:w="1843" w:type="dxa"/>
            <w:tcBorders>
              <w:top w:val="nil"/>
              <w:left w:val="nil"/>
              <w:bottom w:val="nil"/>
              <w:right w:val="nil"/>
            </w:tcBorders>
            <w:vAlign w:val="center"/>
          </w:tcPr>
          <w:p w14:paraId="0DDCD825"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0.004</w:t>
            </w:r>
          </w:p>
        </w:tc>
        <w:tc>
          <w:tcPr>
            <w:tcW w:w="1417" w:type="dxa"/>
            <w:tcBorders>
              <w:top w:val="nil"/>
              <w:left w:val="nil"/>
              <w:bottom w:val="nil"/>
              <w:right w:val="nil"/>
            </w:tcBorders>
            <w:vAlign w:val="center"/>
          </w:tcPr>
          <w:p w14:paraId="6C5CB8A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585@150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701" w:type="dxa"/>
            <w:tcBorders>
              <w:top w:val="nil"/>
              <w:left w:val="nil"/>
              <w:bottom w:val="nil"/>
              <w:right w:val="nil"/>
            </w:tcBorders>
            <w:vAlign w:val="center"/>
          </w:tcPr>
          <w:p w14:paraId="3C24441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3.11@150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and 400 MV·m</w:t>
            </w:r>
            <w:r w:rsidRPr="00CA46DB">
              <w:rPr>
                <w:rFonts w:cstheme="minorHAnsi"/>
                <w:color w:val="000000" w:themeColor="text1"/>
                <w:sz w:val="18"/>
                <w:szCs w:val="18"/>
                <w:vertAlign w:val="superscript"/>
              </w:rPr>
              <w:t>−1</w:t>
            </w:r>
          </w:p>
        </w:tc>
        <w:tc>
          <w:tcPr>
            <w:tcW w:w="1418" w:type="dxa"/>
            <w:tcBorders>
              <w:top w:val="nil"/>
              <w:left w:val="nil"/>
              <w:bottom w:val="nil"/>
              <w:right w:val="nil"/>
            </w:tcBorders>
            <w:vAlign w:val="center"/>
          </w:tcPr>
          <w:p w14:paraId="56542DF2"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92.6%@150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xml:space="preserve"> and 400 MV·m</w:t>
            </w:r>
            <w:r w:rsidRPr="00CA46DB">
              <w:rPr>
                <w:rFonts w:cstheme="minorHAnsi"/>
                <w:color w:val="000000" w:themeColor="text1"/>
                <w:sz w:val="18"/>
                <w:szCs w:val="18"/>
                <w:vertAlign w:val="superscript"/>
              </w:rPr>
              <w:t>−1</w:t>
            </w:r>
          </w:p>
        </w:tc>
        <w:tc>
          <w:tcPr>
            <w:tcW w:w="1842" w:type="dxa"/>
            <w:tcBorders>
              <w:top w:val="nil"/>
              <w:left w:val="nil"/>
              <w:bottom w:val="nil"/>
              <w:right w:val="nil"/>
            </w:tcBorders>
            <w:vAlign w:val="center"/>
          </w:tcPr>
          <w:p w14:paraId="76737AB9"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SC, Fsgm</w:t>
            </w:r>
            <w:r w:rsidRPr="00CA46DB">
              <w:rPr>
                <w:rFonts w:cstheme="minorHAnsi"/>
                <w:color w:val="000000" w:themeColor="text1"/>
                <w:sz w:val="18"/>
                <w:szCs w:val="18"/>
                <w:vertAlign w:val="superscript"/>
              </w:rPr>
              <w:t>17</w:t>
            </w:r>
          </w:p>
        </w:tc>
        <w:tc>
          <w:tcPr>
            <w:tcW w:w="568" w:type="dxa"/>
            <w:tcBorders>
              <w:top w:val="nil"/>
              <w:left w:val="nil"/>
              <w:bottom w:val="nil"/>
              <w:right w:val="nil"/>
            </w:tcBorders>
            <w:vAlign w:val="center"/>
          </w:tcPr>
          <w:p w14:paraId="4737F4EE"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109</w:t>
            </w:r>
          </w:p>
        </w:tc>
      </w:tr>
      <w:tr w:rsidR="00CA46DB" w:rsidRPr="00CA46DB" w14:paraId="56556F46" w14:textId="77777777">
        <w:trPr>
          <w:trHeight w:val="680"/>
        </w:trPr>
        <w:tc>
          <w:tcPr>
            <w:tcW w:w="2127" w:type="dxa"/>
            <w:tcBorders>
              <w:top w:val="nil"/>
              <w:left w:val="nil"/>
              <w:bottom w:val="single" w:sz="4" w:space="0" w:color="auto"/>
              <w:right w:val="nil"/>
            </w:tcBorders>
            <w:vAlign w:val="center"/>
          </w:tcPr>
          <w:p w14:paraId="7717CFFC"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 vol% CCTO@TiO</w:t>
            </w:r>
            <w:r w:rsidRPr="00CA46DB">
              <w:rPr>
                <w:rFonts w:cstheme="minorHAnsi"/>
                <w:color w:val="000000" w:themeColor="text1"/>
                <w:sz w:val="18"/>
                <w:szCs w:val="18"/>
                <w:vertAlign w:val="subscript"/>
              </w:rPr>
              <w:t>2</w:t>
            </w:r>
            <w:r w:rsidRPr="00CA46DB">
              <w:rPr>
                <w:rFonts w:cstheme="minorHAnsi"/>
                <w:color w:val="000000" w:themeColor="text1"/>
                <w:sz w:val="18"/>
                <w:szCs w:val="18"/>
              </w:rPr>
              <w:t>/PI</w:t>
            </w:r>
          </w:p>
        </w:tc>
        <w:tc>
          <w:tcPr>
            <w:tcW w:w="1701" w:type="dxa"/>
            <w:tcBorders>
              <w:top w:val="nil"/>
              <w:left w:val="nil"/>
              <w:bottom w:val="single" w:sz="4" w:space="0" w:color="auto"/>
              <w:right w:val="nil"/>
            </w:tcBorders>
            <w:vAlign w:val="center"/>
          </w:tcPr>
          <w:p w14:paraId="6792E9B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 --</w:t>
            </w:r>
          </w:p>
        </w:tc>
        <w:tc>
          <w:tcPr>
            <w:tcW w:w="1559" w:type="dxa"/>
            <w:tcBorders>
              <w:top w:val="nil"/>
              <w:left w:val="nil"/>
              <w:bottom w:val="single" w:sz="4" w:space="0" w:color="auto"/>
              <w:right w:val="nil"/>
            </w:tcBorders>
            <w:vAlign w:val="center"/>
          </w:tcPr>
          <w:p w14:paraId="0A1CCC0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5.85</w:t>
            </w:r>
          </w:p>
        </w:tc>
        <w:tc>
          <w:tcPr>
            <w:tcW w:w="1843" w:type="dxa"/>
            <w:tcBorders>
              <w:top w:val="nil"/>
              <w:left w:val="nil"/>
              <w:bottom w:val="single" w:sz="4" w:space="0" w:color="auto"/>
              <w:right w:val="nil"/>
            </w:tcBorders>
            <w:vAlign w:val="center"/>
          </w:tcPr>
          <w:p w14:paraId="0DCAF08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 0.16</w:t>
            </w:r>
          </w:p>
        </w:tc>
        <w:tc>
          <w:tcPr>
            <w:tcW w:w="1417" w:type="dxa"/>
            <w:tcBorders>
              <w:top w:val="nil"/>
              <w:left w:val="nil"/>
              <w:bottom w:val="single" w:sz="4" w:space="0" w:color="auto"/>
              <w:right w:val="nil"/>
            </w:tcBorders>
            <w:vAlign w:val="center"/>
          </w:tcPr>
          <w:p w14:paraId="3D79F3F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236</w:t>
            </w:r>
          </w:p>
        </w:tc>
        <w:tc>
          <w:tcPr>
            <w:tcW w:w="1701" w:type="dxa"/>
            <w:tcBorders>
              <w:top w:val="nil"/>
              <w:left w:val="nil"/>
              <w:bottom w:val="single" w:sz="4" w:space="0" w:color="auto"/>
              <w:right w:val="nil"/>
            </w:tcBorders>
            <w:vAlign w:val="center"/>
          </w:tcPr>
          <w:p w14:paraId="0A90EF73"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1.6</w:t>
            </w:r>
          </w:p>
        </w:tc>
        <w:tc>
          <w:tcPr>
            <w:tcW w:w="1418" w:type="dxa"/>
            <w:tcBorders>
              <w:top w:val="nil"/>
              <w:left w:val="nil"/>
              <w:bottom w:val="single" w:sz="4" w:space="0" w:color="auto"/>
              <w:right w:val="nil"/>
            </w:tcBorders>
            <w:vAlign w:val="center"/>
          </w:tcPr>
          <w:p w14:paraId="753EC266"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w:t>
            </w:r>
          </w:p>
        </w:tc>
        <w:tc>
          <w:tcPr>
            <w:tcW w:w="1842" w:type="dxa"/>
            <w:tcBorders>
              <w:top w:val="nil"/>
              <w:left w:val="nil"/>
              <w:bottom w:val="single" w:sz="4" w:space="0" w:color="auto"/>
              <w:right w:val="nil"/>
            </w:tcBorders>
            <w:vAlign w:val="center"/>
          </w:tcPr>
          <w:p w14:paraId="03B4C908"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TI, 240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 Fe</w:t>
            </w:r>
          </w:p>
        </w:tc>
        <w:tc>
          <w:tcPr>
            <w:tcW w:w="568" w:type="dxa"/>
            <w:tcBorders>
              <w:top w:val="nil"/>
              <w:left w:val="nil"/>
              <w:bottom w:val="single" w:sz="4" w:space="0" w:color="auto"/>
              <w:right w:val="nil"/>
            </w:tcBorders>
            <w:vAlign w:val="center"/>
          </w:tcPr>
          <w:p w14:paraId="4990E2B1" w14:textId="77777777" w:rsidR="00FC2A41" w:rsidRPr="00CA46DB" w:rsidRDefault="00166212">
            <w:pPr>
              <w:autoSpaceDE w:val="0"/>
              <w:spacing w:after="0" w:line="240" w:lineRule="exact"/>
              <w:jc w:val="center"/>
              <w:rPr>
                <w:rFonts w:cstheme="minorHAnsi"/>
                <w:color w:val="000000" w:themeColor="text1"/>
                <w:sz w:val="18"/>
                <w:szCs w:val="18"/>
              </w:rPr>
            </w:pPr>
            <w:r w:rsidRPr="00CA46DB">
              <w:rPr>
                <w:rFonts w:cstheme="minorHAnsi"/>
                <w:color w:val="000000" w:themeColor="text1"/>
                <w:sz w:val="18"/>
                <w:szCs w:val="18"/>
              </w:rPr>
              <w:t>108</w:t>
            </w:r>
          </w:p>
        </w:tc>
      </w:tr>
      <w:tr w:rsidR="00CA46DB" w:rsidRPr="00CA46DB" w14:paraId="6E32DA74" w14:textId="77777777">
        <w:trPr>
          <w:trHeight w:val="727"/>
        </w:trPr>
        <w:tc>
          <w:tcPr>
            <w:tcW w:w="2127" w:type="dxa"/>
            <w:tcBorders>
              <w:top w:val="nil"/>
              <w:left w:val="nil"/>
              <w:bottom w:val="nil"/>
              <w:right w:val="nil"/>
            </w:tcBorders>
            <w:vAlign w:val="center"/>
          </w:tcPr>
          <w:p w14:paraId="269ABB81"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P(VDF-CTFE)</w:t>
            </w:r>
          </w:p>
          <w:p w14:paraId="19180CFF"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 xml:space="preserve"> 20 vol% BT/PI</w:t>
            </w:r>
          </w:p>
        </w:tc>
        <w:tc>
          <w:tcPr>
            <w:tcW w:w="1701" w:type="dxa"/>
            <w:tcBorders>
              <w:top w:val="nil"/>
              <w:left w:val="nil"/>
              <w:bottom w:val="nil"/>
              <w:right w:val="nil"/>
            </w:tcBorders>
            <w:vAlign w:val="center"/>
          </w:tcPr>
          <w:p w14:paraId="4AB750E7"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r w:rsidRPr="00CA46DB">
              <w:rPr>
                <w:rFonts w:cstheme="minorHAnsi"/>
                <w:color w:val="000000" w:themeColor="text1"/>
                <w:sz w:val="18"/>
                <w:szCs w:val="18"/>
              </w:rPr>
              <w:t xml:space="preserve"> / --</w:t>
            </w:r>
          </w:p>
        </w:tc>
        <w:tc>
          <w:tcPr>
            <w:tcW w:w="1559" w:type="dxa"/>
            <w:tcBorders>
              <w:top w:val="nil"/>
              <w:left w:val="nil"/>
              <w:bottom w:val="nil"/>
              <w:right w:val="nil"/>
            </w:tcBorders>
            <w:vAlign w:val="center"/>
          </w:tcPr>
          <w:p w14:paraId="75A78595"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7.9</w:t>
            </w:r>
          </w:p>
        </w:tc>
        <w:tc>
          <w:tcPr>
            <w:tcW w:w="1843" w:type="dxa"/>
            <w:tcBorders>
              <w:top w:val="nil"/>
              <w:left w:val="nil"/>
              <w:bottom w:val="nil"/>
              <w:right w:val="nil"/>
            </w:tcBorders>
            <w:vAlign w:val="center"/>
          </w:tcPr>
          <w:p w14:paraId="36BC92E6"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 0.025</w:t>
            </w:r>
          </w:p>
        </w:tc>
        <w:tc>
          <w:tcPr>
            <w:tcW w:w="1417" w:type="dxa"/>
            <w:tcBorders>
              <w:top w:val="nil"/>
              <w:left w:val="nil"/>
              <w:bottom w:val="nil"/>
              <w:right w:val="nil"/>
            </w:tcBorders>
            <w:vAlign w:val="center"/>
          </w:tcPr>
          <w:p w14:paraId="7B5C5F70"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370</w:t>
            </w:r>
          </w:p>
        </w:tc>
        <w:tc>
          <w:tcPr>
            <w:tcW w:w="1701" w:type="dxa"/>
            <w:tcBorders>
              <w:top w:val="nil"/>
              <w:left w:val="nil"/>
              <w:bottom w:val="nil"/>
              <w:right w:val="nil"/>
            </w:tcBorders>
            <w:vAlign w:val="center"/>
          </w:tcPr>
          <w:p w14:paraId="21C63C62"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14.2</w:t>
            </w:r>
          </w:p>
        </w:tc>
        <w:tc>
          <w:tcPr>
            <w:tcW w:w="1418" w:type="dxa"/>
            <w:tcBorders>
              <w:top w:val="nil"/>
              <w:left w:val="nil"/>
              <w:bottom w:val="nil"/>
              <w:right w:val="nil"/>
            </w:tcBorders>
            <w:vAlign w:val="center"/>
          </w:tcPr>
          <w:p w14:paraId="4D073645"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51.2</w:t>
            </w:r>
          </w:p>
        </w:tc>
        <w:tc>
          <w:tcPr>
            <w:tcW w:w="1842" w:type="dxa"/>
            <w:tcBorders>
              <w:top w:val="nil"/>
              <w:left w:val="nil"/>
              <w:bottom w:val="nil"/>
              <w:right w:val="nil"/>
            </w:tcBorders>
            <w:vAlign w:val="center"/>
          </w:tcPr>
          <w:p w14:paraId="28B9D786" w14:textId="77777777" w:rsidR="00FC2A41" w:rsidRPr="00CA46DB" w:rsidRDefault="00166212">
            <w:pPr>
              <w:autoSpaceDE w:val="0"/>
              <w:spacing w:after="0" w:line="240" w:lineRule="exact"/>
              <w:jc w:val="center"/>
              <w:rPr>
                <w:rFonts w:eastAsia="DengXian" w:cstheme="minorHAnsi"/>
                <w:color w:val="000000" w:themeColor="text1"/>
                <w:sz w:val="18"/>
                <w:szCs w:val="18"/>
              </w:rPr>
            </w:pPr>
            <w:r w:rsidRPr="00CA46DB">
              <w:rPr>
                <w:rFonts w:cstheme="minorHAnsi"/>
                <w:color w:val="000000" w:themeColor="text1"/>
                <w:sz w:val="18"/>
                <w:szCs w:val="18"/>
              </w:rPr>
              <w:t>TI,250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layer-by-layer, SC</w:t>
            </w:r>
          </w:p>
        </w:tc>
        <w:tc>
          <w:tcPr>
            <w:tcW w:w="568" w:type="dxa"/>
            <w:tcBorders>
              <w:top w:val="nil"/>
              <w:left w:val="nil"/>
              <w:bottom w:val="nil"/>
              <w:right w:val="nil"/>
            </w:tcBorders>
            <w:vAlign w:val="center"/>
          </w:tcPr>
          <w:p w14:paraId="7C8DFD14"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113</w:t>
            </w:r>
          </w:p>
        </w:tc>
      </w:tr>
      <w:tr w:rsidR="00CA46DB" w:rsidRPr="00CA46DB" w14:paraId="03A06853" w14:textId="77777777">
        <w:trPr>
          <w:trHeight w:val="1286"/>
        </w:trPr>
        <w:tc>
          <w:tcPr>
            <w:tcW w:w="2127" w:type="dxa"/>
            <w:tcBorders>
              <w:top w:val="nil"/>
              <w:left w:val="nil"/>
              <w:bottom w:val="nil"/>
              <w:right w:val="nil"/>
            </w:tcBorders>
            <w:vAlign w:val="center"/>
          </w:tcPr>
          <w:p w14:paraId="2FF38D73"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PI</w:t>
            </w:r>
          </w:p>
          <w:p w14:paraId="2D86519D"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5 wt% NH</w:t>
            </w:r>
            <w:r w:rsidRPr="00CA46DB">
              <w:rPr>
                <w:rFonts w:cstheme="minorHAnsi"/>
                <w:color w:val="000000" w:themeColor="text1"/>
                <w:sz w:val="18"/>
                <w:szCs w:val="18"/>
                <w:vertAlign w:val="subscript"/>
              </w:rPr>
              <w:t>2</w:t>
            </w:r>
            <w:r w:rsidRPr="00CA46DB">
              <w:rPr>
                <w:rFonts w:eastAsia="STSong" w:cstheme="minorHAnsi"/>
                <w:color w:val="000000" w:themeColor="text1"/>
                <w:sz w:val="18"/>
                <w:szCs w:val="18"/>
              </w:rPr>
              <w:t>-MWCNT/PI</w:t>
            </w:r>
          </w:p>
          <w:p w14:paraId="14F5CFE6"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PI</w:t>
            </w:r>
          </w:p>
        </w:tc>
        <w:tc>
          <w:tcPr>
            <w:tcW w:w="1701" w:type="dxa"/>
            <w:tcBorders>
              <w:top w:val="nil"/>
              <w:left w:val="nil"/>
              <w:bottom w:val="nil"/>
              <w:right w:val="nil"/>
            </w:tcBorders>
            <w:vAlign w:val="center"/>
          </w:tcPr>
          <w:p w14:paraId="3535788E"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&gt;560(Air)</w:t>
            </w:r>
            <w:r w:rsidRPr="00CA46DB">
              <w:rPr>
                <w:rFonts w:cstheme="minorHAnsi"/>
                <w:color w:val="000000" w:themeColor="text1"/>
                <w:sz w:val="18"/>
                <w:szCs w:val="18"/>
              </w:rPr>
              <w:t xml:space="preserve"> / --</w:t>
            </w:r>
          </w:p>
        </w:tc>
        <w:tc>
          <w:tcPr>
            <w:tcW w:w="1559" w:type="dxa"/>
            <w:tcBorders>
              <w:top w:val="nil"/>
              <w:left w:val="nil"/>
              <w:bottom w:val="nil"/>
              <w:right w:val="nil"/>
            </w:tcBorders>
            <w:vAlign w:val="center"/>
          </w:tcPr>
          <w:p w14:paraId="5F5EBCCC"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~26</w:t>
            </w:r>
          </w:p>
        </w:tc>
        <w:tc>
          <w:tcPr>
            <w:tcW w:w="1843" w:type="dxa"/>
            <w:tcBorders>
              <w:top w:val="nil"/>
              <w:left w:val="nil"/>
              <w:bottom w:val="nil"/>
              <w:right w:val="nil"/>
            </w:tcBorders>
            <w:vAlign w:val="center"/>
          </w:tcPr>
          <w:p w14:paraId="507DB673"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~0.0012</w:t>
            </w:r>
          </w:p>
        </w:tc>
        <w:tc>
          <w:tcPr>
            <w:tcW w:w="1417" w:type="dxa"/>
            <w:tcBorders>
              <w:top w:val="nil"/>
              <w:left w:val="nil"/>
              <w:bottom w:val="nil"/>
              <w:right w:val="nil"/>
            </w:tcBorders>
            <w:vAlign w:val="center"/>
          </w:tcPr>
          <w:p w14:paraId="01CD398A"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~130</w:t>
            </w:r>
          </w:p>
        </w:tc>
        <w:tc>
          <w:tcPr>
            <w:tcW w:w="1701" w:type="dxa"/>
            <w:tcBorders>
              <w:top w:val="nil"/>
              <w:left w:val="nil"/>
              <w:bottom w:val="nil"/>
              <w:right w:val="nil"/>
            </w:tcBorders>
            <w:vAlign w:val="center"/>
          </w:tcPr>
          <w:p w14:paraId="39251BDB"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1.95</w:t>
            </w:r>
          </w:p>
        </w:tc>
        <w:tc>
          <w:tcPr>
            <w:tcW w:w="1418" w:type="dxa"/>
            <w:tcBorders>
              <w:top w:val="nil"/>
              <w:left w:val="nil"/>
              <w:bottom w:val="nil"/>
              <w:right w:val="nil"/>
            </w:tcBorders>
            <w:vAlign w:val="center"/>
          </w:tcPr>
          <w:p w14:paraId="5FAA674B"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p>
        </w:tc>
        <w:tc>
          <w:tcPr>
            <w:tcW w:w="1842" w:type="dxa"/>
            <w:tcBorders>
              <w:top w:val="nil"/>
              <w:left w:val="nil"/>
              <w:bottom w:val="nil"/>
              <w:right w:val="nil"/>
            </w:tcBorders>
            <w:vAlign w:val="center"/>
          </w:tcPr>
          <w:p w14:paraId="274984B6"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cstheme="minorHAnsi"/>
                <w:color w:val="000000" w:themeColor="text1"/>
                <w:sz w:val="18"/>
                <w:szCs w:val="18"/>
              </w:rPr>
              <w:t>TI,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layer-by-layer, SC</w:t>
            </w:r>
          </w:p>
        </w:tc>
        <w:tc>
          <w:tcPr>
            <w:tcW w:w="568" w:type="dxa"/>
            <w:tcBorders>
              <w:top w:val="nil"/>
              <w:left w:val="nil"/>
              <w:bottom w:val="nil"/>
              <w:right w:val="nil"/>
            </w:tcBorders>
            <w:vAlign w:val="center"/>
          </w:tcPr>
          <w:p w14:paraId="4A74F323"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122</w:t>
            </w:r>
          </w:p>
        </w:tc>
      </w:tr>
      <w:tr w:rsidR="00CA46DB" w:rsidRPr="00CA46DB" w14:paraId="4E6CDEB5" w14:textId="77777777">
        <w:trPr>
          <w:trHeight w:val="1344"/>
        </w:trPr>
        <w:tc>
          <w:tcPr>
            <w:tcW w:w="2127" w:type="dxa"/>
            <w:tcBorders>
              <w:top w:val="nil"/>
              <w:left w:val="nil"/>
              <w:bottom w:val="nil"/>
              <w:right w:val="nil"/>
            </w:tcBorders>
            <w:vAlign w:val="center"/>
          </w:tcPr>
          <w:p w14:paraId="3BCEED21"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2 vol% KTN/PI</w:t>
            </w:r>
          </w:p>
          <w:p w14:paraId="0C6BCE94"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PI</w:t>
            </w:r>
          </w:p>
          <w:p w14:paraId="1EE0B119"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2 vol% KTN/PI</w:t>
            </w:r>
          </w:p>
        </w:tc>
        <w:tc>
          <w:tcPr>
            <w:tcW w:w="1701" w:type="dxa"/>
            <w:tcBorders>
              <w:top w:val="nil"/>
              <w:left w:val="nil"/>
              <w:bottom w:val="nil"/>
              <w:right w:val="nil"/>
            </w:tcBorders>
            <w:vAlign w:val="center"/>
          </w:tcPr>
          <w:p w14:paraId="2CF6E1CD"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 550(N</w:t>
            </w:r>
            <w:r w:rsidRPr="00CA46DB">
              <w:rPr>
                <w:rFonts w:cstheme="minorHAnsi"/>
                <w:color w:val="000000" w:themeColor="text1"/>
                <w:sz w:val="18"/>
                <w:szCs w:val="18"/>
                <w:vertAlign w:val="subscript"/>
              </w:rPr>
              <w:t>2</w:t>
            </w:r>
            <w:r w:rsidRPr="00CA46DB">
              <w:rPr>
                <w:rFonts w:eastAsia="STSong" w:cstheme="minorHAnsi"/>
                <w:color w:val="000000" w:themeColor="text1"/>
                <w:sz w:val="18"/>
                <w:szCs w:val="18"/>
              </w:rPr>
              <w:t>)</w:t>
            </w:r>
            <w:r w:rsidRPr="00CA46DB">
              <w:rPr>
                <w:rFonts w:cstheme="minorHAnsi"/>
                <w:color w:val="000000" w:themeColor="text1"/>
                <w:sz w:val="18"/>
                <w:szCs w:val="18"/>
              </w:rPr>
              <w:t xml:space="preserve"> / --</w:t>
            </w:r>
          </w:p>
        </w:tc>
        <w:tc>
          <w:tcPr>
            <w:tcW w:w="1559" w:type="dxa"/>
            <w:tcBorders>
              <w:top w:val="nil"/>
              <w:left w:val="nil"/>
              <w:bottom w:val="nil"/>
              <w:right w:val="nil"/>
            </w:tcBorders>
            <w:vAlign w:val="center"/>
          </w:tcPr>
          <w:p w14:paraId="16414786"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 4.7</w:t>
            </w:r>
          </w:p>
        </w:tc>
        <w:tc>
          <w:tcPr>
            <w:tcW w:w="1843" w:type="dxa"/>
            <w:tcBorders>
              <w:top w:val="nil"/>
              <w:left w:val="nil"/>
              <w:bottom w:val="nil"/>
              <w:right w:val="nil"/>
            </w:tcBorders>
            <w:vAlign w:val="center"/>
          </w:tcPr>
          <w:p w14:paraId="61618F2F"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 0.05</w:t>
            </w:r>
          </w:p>
        </w:tc>
        <w:tc>
          <w:tcPr>
            <w:tcW w:w="1417" w:type="dxa"/>
            <w:tcBorders>
              <w:top w:val="nil"/>
              <w:left w:val="nil"/>
              <w:bottom w:val="nil"/>
              <w:right w:val="nil"/>
            </w:tcBorders>
            <w:vAlign w:val="center"/>
          </w:tcPr>
          <w:p w14:paraId="76BEDE0E"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 315</w:t>
            </w:r>
          </w:p>
        </w:tc>
        <w:tc>
          <w:tcPr>
            <w:tcW w:w="1701" w:type="dxa"/>
            <w:tcBorders>
              <w:top w:val="nil"/>
              <w:left w:val="nil"/>
              <w:bottom w:val="nil"/>
              <w:right w:val="nil"/>
            </w:tcBorders>
            <w:vAlign w:val="center"/>
          </w:tcPr>
          <w:p w14:paraId="1359B314"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3.0</w:t>
            </w:r>
          </w:p>
        </w:tc>
        <w:tc>
          <w:tcPr>
            <w:tcW w:w="1418" w:type="dxa"/>
            <w:tcBorders>
              <w:top w:val="nil"/>
              <w:left w:val="nil"/>
              <w:bottom w:val="nil"/>
              <w:right w:val="nil"/>
            </w:tcBorders>
            <w:vAlign w:val="center"/>
          </w:tcPr>
          <w:p w14:paraId="7337C0A2" w14:textId="77777777" w:rsidR="00FC2A41" w:rsidRPr="00CA46DB" w:rsidRDefault="00166212">
            <w:pPr>
              <w:autoSpaceDE w:val="0"/>
              <w:spacing w:after="0" w:line="240" w:lineRule="exact"/>
              <w:jc w:val="center"/>
              <w:rPr>
                <w:rFonts w:eastAsia="STSong" w:cstheme="minorHAnsi"/>
                <w:color w:val="000000" w:themeColor="text1"/>
                <w:sz w:val="18"/>
                <w:szCs w:val="18"/>
                <w:lang w:eastAsia="zh-CN"/>
              </w:rPr>
            </w:pPr>
            <w:r w:rsidRPr="00CA46DB">
              <w:rPr>
                <w:rFonts w:eastAsia="STSong" w:cstheme="minorHAnsi"/>
                <w:color w:val="000000" w:themeColor="text1"/>
                <w:sz w:val="18"/>
                <w:szCs w:val="18"/>
              </w:rPr>
              <w:t>&gt; 88</w:t>
            </w:r>
            <w:r w:rsidRPr="00CA46DB">
              <w:rPr>
                <w:rFonts w:eastAsia="STSong" w:cstheme="minorHAnsi" w:hint="eastAsia"/>
                <w:color w:val="000000" w:themeColor="text1"/>
                <w:sz w:val="18"/>
                <w:szCs w:val="18"/>
                <w:lang w:eastAsia="zh-CN"/>
              </w:rPr>
              <w:t>%</w:t>
            </w:r>
          </w:p>
        </w:tc>
        <w:tc>
          <w:tcPr>
            <w:tcW w:w="1842" w:type="dxa"/>
            <w:tcBorders>
              <w:top w:val="nil"/>
              <w:left w:val="nil"/>
              <w:bottom w:val="nil"/>
              <w:right w:val="nil"/>
            </w:tcBorders>
            <w:vAlign w:val="center"/>
          </w:tcPr>
          <w:p w14:paraId="3CE5F3CC"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cstheme="minorHAnsi"/>
                <w:color w:val="000000" w:themeColor="text1"/>
                <w:sz w:val="18"/>
                <w:szCs w:val="18"/>
              </w:rPr>
              <w:t>TI, 330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layer-by-layer, SC</w:t>
            </w:r>
          </w:p>
        </w:tc>
        <w:tc>
          <w:tcPr>
            <w:tcW w:w="568" w:type="dxa"/>
            <w:tcBorders>
              <w:top w:val="nil"/>
              <w:left w:val="nil"/>
              <w:bottom w:val="nil"/>
              <w:right w:val="nil"/>
            </w:tcBorders>
            <w:vAlign w:val="center"/>
          </w:tcPr>
          <w:p w14:paraId="5CC6B725"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115</w:t>
            </w:r>
          </w:p>
        </w:tc>
      </w:tr>
      <w:tr w:rsidR="00CA46DB" w:rsidRPr="00CA46DB" w14:paraId="02A79FAE" w14:textId="77777777">
        <w:trPr>
          <w:trHeight w:val="680"/>
        </w:trPr>
        <w:tc>
          <w:tcPr>
            <w:tcW w:w="2127" w:type="dxa"/>
            <w:tcBorders>
              <w:top w:val="nil"/>
              <w:left w:val="nil"/>
              <w:bottom w:val="single" w:sz="4" w:space="0" w:color="auto"/>
              <w:right w:val="nil"/>
            </w:tcBorders>
            <w:vAlign w:val="center"/>
          </w:tcPr>
          <w:p w14:paraId="41A89E8B"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5 vol% h-BN/PI</w:t>
            </w:r>
          </w:p>
          <w:p w14:paraId="7CD71DB3"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 vo% BZT-BCT/PI</w:t>
            </w:r>
          </w:p>
          <w:p w14:paraId="639B48BF"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5 vol% h-BN/PI</w:t>
            </w:r>
          </w:p>
        </w:tc>
        <w:tc>
          <w:tcPr>
            <w:tcW w:w="1701" w:type="dxa"/>
            <w:tcBorders>
              <w:top w:val="nil"/>
              <w:left w:val="nil"/>
              <w:bottom w:val="single" w:sz="4" w:space="0" w:color="auto"/>
              <w:right w:val="nil"/>
            </w:tcBorders>
            <w:vAlign w:val="center"/>
          </w:tcPr>
          <w:p w14:paraId="5742B6CE"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 xml:space="preserve">-- </w:t>
            </w:r>
            <w:r w:rsidRPr="00CA46DB">
              <w:rPr>
                <w:rFonts w:cstheme="minorHAnsi"/>
                <w:color w:val="000000" w:themeColor="text1"/>
                <w:sz w:val="18"/>
                <w:szCs w:val="18"/>
              </w:rPr>
              <w:t>/ --</w:t>
            </w:r>
          </w:p>
        </w:tc>
        <w:tc>
          <w:tcPr>
            <w:tcW w:w="1559" w:type="dxa"/>
            <w:tcBorders>
              <w:top w:val="nil"/>
              <w:left w:val="nil"/>
              <w:bottom w:val="single" w:sz="4" w:space="0" w:color="auto"/>
              <w:right w:val="nil"/>
            </w:tcBorders>
            <w:vAlign w:val="center"/>
          </w:tcPr>
          <w:p w14:paraId="356BDA7F"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 3.82</w:t>
            </w:r>
          </w:p>
        </w:tc>
        <w:tc>
          <w:tcPr>
            <w:tcW w:w="1843" w:type="dxa"/>
            <w:tcBorders>
              <w:top w:val="nil"/>
              <w:left w:val="nil"/>
              <w:bottom w:val="single" w:sz="4" w:space="0" w:color="auto"/>
              <w:right w:val="nil"/>
            </w:tcBorders>
            <w:vAlign w:val="center"/>
          </w:tcPr>
          <w:p w14:paraId="05AA15EE"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&lt; 0.0025</w:t>
            </w:r>
          </w:p>
        </w:tc>
        <w:tc>
          <w:tcPr>
            <w:tcW w:w="1417" w:type="dxa"/>
            <w:tcBorders>
              <w:top w:val="nil"/>
              <w:left w:val="nil"/>
              <w:bottom w:val="single" w:sz="4" w:space="0" w:color="auto"/>
              <w:right w:val="nil"/>
            </w:tcBorders>
            <w:vAlign w:val="center"/>
          </w:tcPr>
          <w:p w14:paraId="6917EC21"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350@150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701" w:type="dxa"/>
            <w:tcBorders>
              <w:top w:val="nil"/>
              <w:left w:val="nil"/>
              <w:bottom w:val="single" w:sz="4" w:space="0" w:color="auto"/>
              <w:right w:val="nil"/>
            </w:tcBorders>
            <w:vAlign w:val="center"/>
          </w:tcPr>
          <w:p w14:paraId="55CA8F52"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1.83@150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418" w:type="dxa"/>
            <w:tcBorders>
              <w:top w:val="nil"/>
              <w:left w:val="nil"/>
              <w:bottom w:val="single" w:sz="4" w:space="0" w:color="auto"/>
              <w:right w:val="nil"/>
            </w:tcBorders>
            <w:vAlign w:val="center"/>
          </w:tcPr>
          <w:p w14:paraId="56E914C1"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p>
        </w:tc>
        <w:tc>
          <w:tcPr>
            <w:tcW w:w="1842" w:type="dxa"/>
            <w:tcBorders>
              <w:top w:val="nil"/>
              <w:left w:val="nil"/>
              <w:bottom w:val="single" w:sz="4" w:space="0" w:color="auto"/>
              <w:right w:val="nil"/>
            </w:tcBorders>
            <w:vAlign w:val="center"/>
          </w:tcPr>
          <w:p w14:paraId="46CE1365"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cstheme="minorHAnsi"/>
                <w:color w:val="000000" w:themeColor="text1"/>
                <w:sz w:val="18"/>
                <w:szCs w:val="18"/>
              </w:rPr>
              <w:t>TI, 350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layer-by-layer, SC</w:t>
            </w:r>
          </w:p>
        </w:tc>
        <w:tc>
          <w:tcPr>
            <w:tcW w:w="568" w:type="dxa"/>
            <w:tcBorders>
              <w:top w:val="nil"/>
              <w:left w:val="nil"/>
              <w:bottom w:val="single" w:sz="4" w:space="0" w:color="auto"/>
              <w:right w:val="nil"/>
            </w:tcBorders>
            <w:vAlign w:val="center"/>
          </w:tcPr>
          <w:p w14:paraId="6ACAD704"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101</w:t>
            </w:r>
          </w:p>
        </w:tc>
      </w:tr>
      <w:tr w:rsidR="00CA46DB" w:rsidRPr="00CA46DB" w14:paraId="7AF70F1D" w14:textId="77777777">
        <w:trPr>
          <w:trHeight w:val="991"/>
        </w:trPr>
        <w:tc>
          <w:tcPr>
            <w:tcW w:w="2127" w:type="dxa"/>
            <w:tcBorders>
              <w:top w:val="single" w:sz="4" w:space="0" w:color="auto"/>
              <w:left w:val="nil"/>
              <w:bottom w:val="nil"/>
              <w:right w:val="nil"/>
            </w:tcBorders>
            <w:vAlign w:val="center"/>
          </w:tcPr>
          <w:p w14:paraId="73A586FD"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 vol% SiO</w:t>
            </w:r>
            <w:r w:rsidRPr="00CA46DB">
              <w:rPr>
                <w:rFonts w:eastAsia="STSong" w:cstheme="minorHAnsi"/>
                <w:color w:val="000000" w:themeColor="text1"/>
                <w:sz w:val="18"/>
                <w:szCs w:val="18"/>
                <w:vertAlign w:val="subscript"/>
              </w:rPr>
              <w:t>2</w:t>
            </w:r>
            <w:r w:rsidRPr="00CA46DB">
              <w:rPr>
                <w:rFonts w:eastAsia="STSong" w:cstheme="minorHAnsi"/>
                <w:color w:val="000000" w:themeColor="text1"/>
                <w:sz w:val="18"/>
                <w:szCs w:val="18"/>
              </w:rPr>
              <w:t>@BCZT/PI</w:t>
            </w:r>
          </w:p>
          <w:p w14:paraId="30387B45"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 vol% BN/PI</w:t>
            </w:r>
          </w:p>
          <w:p w14:paraId="01DDCB14"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 vol% SiO</w:t>
            </w:r>
            <w:r w:rsidRPr="00CA46DB">
              <w:rPr>
                <w:rFonts w:eastAsia="STSong" w:cstheme="minorHAnsi"/>
                <w:color w:val="000000" w:themeColor="text1"/>
                <w:sz w:val="18"/>
                <w:szCs w:val="18"/>
                <w:vertAlign w:val="subscript"/>
              </w:rPr>
              <w:t>2</w:t>
            </w:r>
            <w:r w:rsidRPr="00CA46DB">
              <w:rPr>
                <w:rFonts w:eastAsia="STSong" w:cstheme="minorHAnsi"/>
                <w:color w:val="000000" w:themeColor="text1"/>
                <w:sz w:val="18"/>
                <w:szCs w:val="18"/>
              </w:rPr>
              <w:t>@BCZT/PI</w:t>
            </w:r>
          </w:p>
        </w:tc>
        <w:tc>
          <w:tcPr>
            <w:tcW w:w="1701" w:type="dxa"/>
            <w:tcBorders>
              <w:top w:val="single" w:sz="4" w:space="0" w:color="auto"/>
              <w:left w:val="nil"/>
              <w:bottom w:val="nil"/>
              <w:right w:val="nil"/>
            </w:tcBorders>
            <w:vAlign w:val="center"/>
          </w:tcPr>
          <w:p w14:paraId="34C47CE8"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r w:rsidRPr="00CA46DB">
              <w:rPr>
                <w:rFonts w:cstheme="minorHAnsi"/>
                <w:color w:val="000000" w:themeColor="text1"/>
                <w:sz w:val="18"/>
                <w:szCs w:val="18"/>
              </w:rPr>
              <w:t xml:space="preserve"> / --</w:t>
            </w:r>
          </w:p>
        </w:tc>
        <w:tc>
          <w:tcPr>
            <w:tcW w:w="1559" w:type="dxa"/>
            <w:tcBorders>
              <w:top w:val="single" w:sz="4" w:space="0" w:color="auto"/>
              <w:left w:val="nil"/>
              <w:bottom w:val="nil"/>
              <w:right w:val="nil"/>
            </w:tcBorders>
            <w:vAlign w:val="center"/>
          </w:tcPr>
          <w:p w14:paraId="70F8A46D"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 3.6</w:t>
            </w:r>
          </w:p>
        </w:tc>
        <w:tc>
          <w:tcPr>
            <w:tcW w:w="1843" w:type="dxa"/>
            <w:tcBorders>
              <w:top w:val="single" w:sz="4" w:space="0" w:color="auto"/>
              <w:left w:val="nil"/>
              <w:bottom w:val="nil"/>
              <w:right w:val="nil"/>
            </w:tcBorders>
            <w:vAlign w:val="center"/>
          </w:tcPr>
          <w:p w14:paraId="0DC8D9C5"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p>
        </w:tc>
        <w:tc>
          <w:tcPr>
            <w:tcW w:w="1417" w:type="dxa"/>
            <w:tcBorders>
              <w:top w:val="single" w:sz="4" w:space="0" w:color="auto"/>
              <w:left w:val="nil"/>
              <w:bottom w:val="nil"/>
              <w:right w:val="nil"/>
            </w:tcBorders>
            <w:vAlign w:val="center"/>
          </w:tcPr>
          <w:p w14:paraId="6D570AE5"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418.62</w:t>
            </w:r>
          </w:p>
        </w:tc>
        <w:tc>
          <w:tcPr>
            <w:tcW w:w="1701" w:type="dxa"/>
            <w:tcBorders>
              <w:top w:val="single" w:sz="4" w:space="0" w:color="auto"/>
              <w:left w:val="nil"/>
              <w:bottom w:val="nil"/>
              <w:right w:val="nil"/>
            </w:tcBorders>
            <w:vAlign w:val="center"/>
          </w:tcPr>
          <w:p w14:paraId="3F49D31A"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3.37</w:t>
            </w:r>
          </w:p>
        </w:tc>
        <w:tc>
          <w:tcPr>
            <w:tcW w:w="1418" w:type="dxa"/>
            <w:tcBorders>
              <w:top w:val="single" w:sz="4" w:space="0" w:color="auto"/>
              <w:left w:val="nil"/>
              <w:bottom w:val="nil"/>
              <w:right w:val="nil"/>
            </w:tcBorders>
            <w:vAlign w:val="center"/>
          </w:tcPr>
          <w:p w14:paraId="0E34531B"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84.89%</w:t>
            </w:r>
          </w:p>
        </w:tc>
        <w:tc>
          <w:tcPr>
            <w:tcW w:w="1842" w:type="dxa"/>
            <w:tcBorders>
              <w:top w:val="single" w:sz="4" w:space="0" w:color="auto"/>
              <w:left w:val="nil"/>
              <w:bottom w:val="nil"/>
              <w:right w:val="nil"/>
            </w:tcBorders>
            <w:vAlign w:val="center"/>
          </w:tcPr>
          <w:p w14:paraId="0864F14D"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cstheme="minorHAnsi"/>
                <w:color w:val="000000" w:themeColor="text1"/>
                <w:sz w:val="18"/>
                <w:szCs w:val="18"/>
              </w:rPr>
              <w:t>TI, 350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layer-by-layer, SC</w:t>
            </w:r>
          </w:p>
        </w:tc>
        <w:tc>
          <w:tcPr>
            <w:tcW w:w="568" w:type="dxa"/>
            <w:tcBorders>
              <w:top w:val="single" w:sz="4" w:space="0" w:color="auto"/>
              <w:left w:val="nil"/>
              <w:bottom w:val="nil"/>
              <w:right w:val="nil"/>
            </w:tcBorders>
            <w:vAlign w:val="center"/>
          </w:tcPr>
          <w:p w14:paraId="2389DD2F"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123</w:t>
            </w:r>
          </w:p>
        </w:tc>
      </w:tr>
      <w:tr w:rsidR="00CA46DB" w:rsidRPr="00CA46DB" w14:paraId="377EDC21" w14:textId="77777777">
        <w:trPr>
          <w:trHeight w:val="1129"/>
        </w:trPr>
        <w:tc>
          <w:tcPr>
            <w:tcW w:w="2127" w:type="dxa"/>
            <w:tcBorders>
              <w:top w:val="nil"/>
              <w:left w:val="nil"/>
              <w:bottom w:val="nil"/>
              <w:right w:val="nil"/>
            </w:tcBorders>
            <w:vAlign w:val="center"/>
          </w:tcPr>
          <w:p w14:paraId="730BD0D4"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lastRenderedPageBreak/>
              <w:t>19-layer h-BN</w:t>
            </w:r>
          </w:p>
          <w:p w14:paraId="27575A9D"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PEI</w:t>
            </w:r>
          </w:p>
          <w:p w14:paraId="5D3C0DC7"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19-layer h-BN</w:t>
            </w:r>
          </w:p>
        </w:tc>
        <w:tc>
          <w:tcPr>
            <w:tcW w:w="1701" w:type="dxa"/>
            <w:tcBorders>
              <w:top w:val="nil"/>
              <w:left w:val="nil"/>
              <w:bottom w:val="nil"/>
              <w:right w:val="nil"/>
            </w:tcBorders>
            <w:vAlign w:val="center"/>
          </w:tcPr>
          <w:p w14:paraId="63E975D7"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r w:rsidRPr="00CA46DB">
              <w:rPr>
                <w:rFonts w:cstheme="minorHAnsi"/>
                <w:color w:val="000000" w:themeColor="text1"/>
                <w:sz w:val="18"/>
                <w:szCs w:val="18"/>
              </w:rPr>
              <w:t xml:space="preserve"> / --</w:t>
            </w:r>
          </w:p>
        </w:tc>
        <w:tc>
          <w:tcPr>
            <w:tcW w:w="1559" w:type="dxa"/>
            <w:tcBorders>
              <w:top w:val="nil"/>
              <w:left w:val="nil"/>
              <w:bottom w:val="nil"/>
              <w:right w:val="nil"/>
            </w:tcBorders>
            <w:vAlign w:val="center"/>
          </w:tcPr>
          <w:p w14:paraId="0E5A9E30"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 3.2</w:t>
            </w:r>
          </w:p>
        </w:tc>
        <w:tc>
          <w:tcPr>
            <w:tcW w:w="1843" w:type="dxa"/>
            <w:tcBorders>
              <w:top w:val="nil"/>
              <w:left w:val="nil"/>
              <w:bottom w:val="nil"/>
              <w:right w:val="nil"/>
            </w:tcBorders>
            <w:vAlign w:val="center"/>
          </w:tcPr>
          <w:p w14:paraId="45734C30"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p>
        </w:tc>
        <w:tc>
          <w:tcPr>
            <w:tcW w:w="1417" w:type="dxa"/>
            <w:tcBorders>
              <w:top w:val="nil"/>
              <w:left w:val="nil"/>
              <w:bottom w:val="nil"/>
              <w:right w:val="nil"/>
            </w:tcBorders>
            <w:vAlign w:val="center"/>
          </w:tcPr>
          <w:p w14:paraId="733EA27A"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p>
        </w:tc>
        <w:tc>
          <w:tcPr>
            <w:tcW w:w="1701" w:type="dxa"/>
            <w:tcBorders>
              <w:top w:val="nil"/>
              <w:left w:val="nil"/>
              <w:bottom w:val="nil"/>
              <w:right w:val="nil"/>
            </w:tcBorders>
            <w:vAlign w:val="center"/>
          </w:tcPr>
          <w:p w14:paraId="44EC28BE"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 xml:space="preserve">2.93@100 </w:t>
            </w:r>
            <w:r w:rsidRPr="00CA46DB">
              <w:rPr>
                <w:rFonts w:ascii="Cambria Math" w:hAnsi="Cambria Math" w:cs="Cambria Math"/>
                <w:color w:val="000000" w:themeColor="text1"/>
                <w:sz w:val="18"/>
                <w:szCs w:val="18"/>
                <w:lang w:eastAsia="zh-CN"/>
              </w:rPr>
              <w:t>℃</w:t>
            </w:r>
          </w:p>
        </w:tc>
        <w:tc>
          <w:tcPr>
            <w:tcW w:w="1418" w:type="dxa"/>
            <w:tcBorders>
              <w:top w:val="nil"/>
              <w:left w:val="nil"/>
              <w:bottom w:val="nil"/>
              <w:right w:val="nil"/>
            </w:tcBorders>
            <w:vAlign w:val="center"/>
          </w:tcPr>
          <w:p w14:paraId="32E3D5C5"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&gt; 95</w:t>
            </w:r>
            <w:r w:rsidRPr="00CA46DB">
              <w:rPr>
                <w:rFonts w:eastAsia="STSong" w:cstheme="minorHAnsi" w:hint="eastAsia"/>
                <w:color w:val="000000" w:themeColor="text1"/>
                <w:sz w:val="18"/>
                <w:szCs w:val="18"/>
                <w:lang w:eastAsia="zh-CN"/>
              </w:rPr>
              <w:t>%</w:t>
            </w:r>
            <w:r w:rsidRPr="00CA46DB">
              <w:rPr>
                <w:rFonts w:eastAsia="STSong" w:cstheme="minorHAnsi"/>
                <w:color w:val="000000" w:themeColor="text1"/>
                <w:sz w:val="18"/>
                <w:szCs w:val="18"/>
              </w:rPr>
              <w:t xml:space="preserve">@100 </w:t>
            </w:r>
            <w:r w:rsidRPr="00CA46DB">
              <w:rPr>
                <w:rFonts w:ascii="Cambria Math" w:hAnsi="Cambria Math" w:cs="Cambria Math"/>
                <w:color w:val="000000" w:themeColor="text1"/>
                <w:sz w:val="18"/>
                <w:szCs w:val="18"/>
                <w:lang w:eastAsia="zh-CN"/>
              </w:rPr>
              <w:t>℃</w:t>
            </w:r>
          </w:p>
        </w:tc>
        <w:tc>
          <w:tcPr>
            <w:tcW w:w="1842" w:type="dxa"/>
            <w:tcBorders>
              <w:top w:val="nil"/>
              <w:left w:val="nil"/>
              <w:bottom w:val="nil"/>
              <w:right w:val="nil"/>
            </w:tcBorders>
            <w:vAlign w:val="center"/>
          </w:tcPr>
          <w:p w14:paraId="698CAAC0"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CVD</w:t>
            </w:r>
          </w:p>
        </w:tc>
        <w:tc>
          <w:tcPr>
            <w:tcW w:w="568" w:type="dxa"/>
            <w:tcBorders>
              <w:top w:val="nil"/>
              <w:left w:val="nil"/>
              <w:bottom w:val="nil"/>
              <w:right w:val="nil"/>
            </w:tcBorders>
            <w:vAlign w:val="center"/>
          </w:tcPr>
          <w:p w14:paraId="547F6CD4"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7</w:t>
            </w:r>
          </w:p>
        </w:tc>
      </w:tr>
      <w:tr w:rsidR="00CA46DB" w:rsidRPr="00CA46DB" w14:paraId="3C4A2139" w14:textId="77777777">
        <w:trPr>
          <w:trHeight w:val="990"/>
        </w:trPr>
        <w:tc>
          <w:tcPr>
            <w:tcW w:w="2127" w:type="dxa"/>
            <w:tcBorders>
              <w:top w:val="nil"/>
              <w:left w:val="nil"/>
              <w:bottom w:val="nil"/>
              <w:right w:val="nil"/>
            </w:tcBorders>
            <w:vAlign w:val="center"/>
          </w:tcPr>
          <w:p w14:paraId="18CFB309"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SiO</w:t>
            </w:r>
            <w:r w:rsidRPr="00CA46DB">
              <w:rPr>
                <w:rFonts w:cstheme="minorHAnsi"/>
                <w:color w:val="000000" w:themeColor="text1"/>
                <w:sz w:val="18"/>
                <w:szCs w:val="18"/>
                <w:vertAlign w:val="subscript"/>
              </w:rPr>
              <w:t>2</w:t>
            </w:r>
          </w:p>
          <w:p w14:paraId="731419F6"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PEI</w:t>
            </w:r>
          </w:p>
          <w:p w14:paraId="6534ED53"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SiO</w:t>
            </w:r>
            <w:r w:rsidRPr="00CA46DB">
              <w:rPr>
                <w:rFonts w:cstheme="minorHAnsi"/>
                <w:color w:val="000000" w:themeColor="text1"/>
                <w:sz w:val="18"/>
                <w:szCs w:val="18"/>
                <w:vertAlign w:val="subscript"/>
              </w:rPr>
              <w:t>2</w:t>
            </w:r>
          </w:p>
        </w:tc>
        <w:tc>
          <w:tcPr>
            <w:tcW w:w="1701" w:type="dxa"/>
            <w:tcBorders>
              <w:top w:val="nil"/>
              <w:left w:val="nil"/>
              <w:bottom w:val="nil"/>
              <w:right w:val="nil"/>
            </w:tcBorders>
            <w:vAlign w:val="center"/>
          </w:tcPr>
          <w:p w14:paraId="3A8165D7"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r w:rsidRPr="00CA46DB">
              <w:rPr>
                <w:rFonts w:cstheme="minorHAnsi"/>
                <w:color w:val="000000" w:themeColor="text1"/>
                <w:sz w:val="18"/>
                <w:szCs w:val="18"/>
              </w:rPr>
              <w:t xml:space="preserve"> / --</w:t>
            </w:r>
          </w:p>
        </w:tc>
        <w:tc>
          <w:tcPr>
            <w:tcW w:w="1559" w:type="dxa"/>
            <w:tcBorders>
              <w:top w:val="nil"/>
              <w:left w:val="nil"/>
              <w:bottom w:val="nil"/>
              <w:right w:val="nil"/>
            </w:tcBorders>
            <w:vAlign w:val="center"/>
          </w:tcPr>
          <w:p w14:paraId="112CB709"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p>
        </w:tc>
        <w:tc>
          <w:tcPr>
            <w:tcW w:w="1843" w:type="dxa"/>
            <w:tcBorders>
              <w:top w:val="nil"/>
              <w:left w:val="nil"/>
              <w:bottom w:val="nil"/>
              <w:right w:val="nil"/>
            </w:tcBorders>
            <w:vAlign w:val="center"/>
          </w:tcPr>
          <w:p w14:paraId="7B768425"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p>
        </w:tc>
        <w:tc>
          <w:tcPr>
            <w:tcW w:w="1417" w:type="dxa"/>
            <w:tcBorders>
              <w:top w:val="nil"/>
              <w:left w:val="nil"/>
              <w:bottom w:val="nil"/>
              <w:right w:val="nil"/>
            </w:tcBorders>
            <w:vAlign w:val="center"/>
          </w:tcPr>
          <w:p w14:paraId="0CB88245"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p>
        </w:tc>
        <w:tc>
          <w:tcPr>
            <w:tcW w:w="1701" w:type="dxa"/>
            <w:tcBorders>
              <w:top w:val="nil"/>
              <w:left w:val="nil"/>
              <w:bottom w:val="nil"/>
              <w:right w:val="nil"/>
            </w:tcBorders>
            <w:vAlign w:val="center"/>
          </w:tcPr>
          <w:p w14:paraId="1D6A4A3D"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2.12@150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418" w:type="dxa"/>
            <w:tcBorders>
              <w:top w:val="nil"/>
              <w:left w:val="nil"/>
              <w:bottom w:val="nil"/>
              <w:right w:val="nil"/>
            </w:tcBorders>
            <w:vAlign w:val="center"/>
          </w:tcPr>
          <w:p w14:paraId="11AED058"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&gt; 90</w:t>
            </w:r>
            <w:r w:rsidRPr="00CA46DB">
              <w:rPr>
                <w:rFonts w:eastAsia="STSong" w:cstheme="minorHAnsi" w:hint="eastAsia"/>
                <w:color w:val="000000" w:themeColor="text1"/>
                <w:sz w:val="18"/>
                <w:szCs w:val="18"/>
                <w:lang w:eastAsia="zh-CN"/>
              </w:rPr>
              <w:t>%</w:t>
            </w:r>
            <w:r w:rsidRPr="00CA46DB">
              <w:rPr>
                <w:rFonts w:eastAsia="STSong" w:cstheme="minorHAnsi"/>
                <w:color w:val="000000" w:themeColor="text1"/>
                <w:sz w:val="18"/>
                <w:szCs w:val="18"/>
              </w:rPr>
              <w:t>@150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842" w:type="dxa"/>
            <w:tcBorders>
              <w:top w:val="nil"/>
              <w:left w:val="nil"/>
              <w:bottom w:val="nil"/>
              <w:right w:val="nil"/>
            </w:tcBorders>
            <w:vAlign w:val="center"/>
          </w:tcPr>
          <w:p w14:paraId="7A7B6CB3"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PECVD and roll-to-roll processing</w:t>
            </w:r>
          </w:p>
        </w:tc>
        <w:tc>
          <w:tcPr>
            <w:tcW w:w="568" w:type="dxa"/>
            <w:tcBorders>
              <w:top w:val="nil"/>
              <w:left w:val="nil"/>
              <w:bottom w:val="nil"/>
              <w:right w:val="nil"/>
            </w:tcBorders>
            <w:vAlign w:val="center"/>
          </w:tcPr>
          <w:p w14:paraId="6C05F9B9"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90</w:t>
            </w:r>
          </w:p>
        </w:tc>
      </w:tr>
      <w:tr w:rsidR="00CA46DB" w:rsidRPr="00CA46DB" w14:paraId="133919E7" w14:textId="77777777">
        <w:trPr>
          <w:trHeight w:val="848"/>
        </w:trPr>
        <w:tc>
          <w:tcPr>
            <w:tcW w:w="2127" w:type="dxa"/>
            <w:tcBorders>
              <w:top w:val="nil"/>
              <w:left w:val="nil"/>
              <w:bottom w:val="nil"/>
              <w:right w:val="nil"/>
            </w:tcBorders>
            <w:vAlign w:val="center"/>
          </w:tcPr>
          <w:p w14:paraId="02E95AA8"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1.90 wt</w:t>
            </w:r>
            <w:r w:rsidRPr="00CA46DB">
              <w:rPr>
                <w:rFonts w:eastAsia="STSong" w:cstheme="minorHAnsi"/>
                <w:color w:val="000000" w:themeColor="text1"/>
                <w:sz w:val="18"/>
                <w:szCs w:val="18"/>
                <w:lang w:eastAsia="zh-CN"/>
              </w:rPr>
              <w:t>%</w:t>
            </w:r>
            <w:r w:rsidRPr="00CA46DB">
              <w:rPr>
                <w:rFonts w:eastAsia="STSong" w:cstheme="minorHAnsi"/>
                <w:color w:val="000000" w:themeColor="text1"/>
                <w:sz w:val="18"/>
                <w:szCs w:val="18"/>
              </w:rPr>
              <w:t xml:space="preserve"> RGO-PI</w:t>
            </w:r>
          </w:p>
          <w:p w14:paraId="4D47956E"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1.90 wt</w:t>
            </w:r>
            <w:r w:rsidRPr="00CA46DB">
              <w:rPr>
                <w:rFonts w:eastAsia="STSong" w:cstheme="minorHAnsi"/>
                <w:color w:val="000000" w:themeColor="text1"/>
                <w:sz w:val="18"/>
                <w:szCs w:val="18"/>
                <w:lang w:eastAsia="zh-CN"/>
              </w:rPr>
              <w:t>%</w:t>
            </w:r>
            <w:r w:rsidRPr="00CA46DB">
              <w:rPr>
                <w:rFonts w:eastAsia="STSong" w:cstheme="minorHAnsi"/>
                <w:color w:val="000000" w:themeColor="text1"/>
                <w:sz w:val="18"/>
                <w:szCs w:val="18"/>
              </w:rPr>
              <w:t xml:space="preserve"> BNNS-PI</w:t>
            </w:r>
          </w:p>
        </w:tc>
        <w:tc>
          <w:tcPr>
            <w:tcW w:w="1701" w:type="dxa"/>
            <w:tcBorders>
              <w:top w:val="nil"/>
              <w:left w:val="nil"/>
              <w:bottom w:val="nil"/>
              <w:right w:val="nil"/>
            </w:tcBorders>
            <w:vAlign w:val="center"/>
          </w:tcPr>
          <w:p w14:paraId="4E3C71DB"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r w:rsidRPr="00CA46DB">
              <w:rPr>
                <w:rFonts w:cstheme="minorHAnsi"/>
                <w:color w:val="000000" w:themeColor="text1"/>
                <w:sz w:val="18"/>
                <w:szCs w:val="18"/>
              </w:rPr>
              <w:t xml:space="preserve"> / --</w:t>
            </w:r>
          </w:p>
        </w:tc>
        <w:tc>
          <w:tcPr>
            <w:tcW w:w="1559" w:type="dxa"/>
            <w:tcBorders>
              <w:top w:val="nil"/>
              <w:left w:val="nil"/>
              <w:bottom w:val="nil"/>
              <w:right w:val="nil"/>
            </w:tcBorders>
            <w:vAlign w:val="center"/>
          </w:tcPr>
          <w:p w14:paraId="7FE8C7AE"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579</w:t>
            </w:r>
          </w:p>
        </w:tc>
        <w:tc>
          <w:tcPr>
            <w:tcW w:w="1843" w:type="dxa"/>
            <w:tcBorders>
              <w:top w:val="nil"/>
              <w:left w:val="nil"/>
              <w:bottom w:val="nil"/>
              <w:right w:val="nil"/>
            </w:tcBorders>
            <w:vAlign w:val="center"/>
          </w:tcPr>
          <w:p w14:paraId="20415859"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0.25</w:t>
            </w:r>
          </w:p>
        </w:tc>
        <w:tc>
          <w:tcPr>
            <w:tcW w:w="1417" w:type="dxa"/>
            <w:tcBorders>
              <w:top w:val="nil"/>
              <w:left w:val="nil"/>
              <w:bottom w:val="nil"/>
              <w:right w:val="nil"/>
            </w:tcBorders>
            <w:vAlign w:val="center"/>
          </w:tcPr>
          <w:p w14:paraId="05E704CF"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74.4</w:t>
            </w:r>
          </w:p>
        </w:tc>
        <w:tc>
          <w:tcPr>
            <w:tcW w:w="1701" w:type="dxa"/>
            <w:tcBorders>
              <w:top w:val="nil"/>
              <w:left w:val="nil"/>
              <w:bottom w:val="nil"/>
              <w:right w:val="nil"/>
            </w:tcBorders>
            <w:vAlign w:val="center"/>
          </w:tcPr>
          <w:p w14:paraId="0AB02EB4"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p>
        </w:tc>
        <w:tc>
          <w:tcPr>
            <w:tcW w:w="1418" w:type="dxa"/>
            <w:tcBorders>
              <w:top w:val="nil"/>
              <w:left w:val="nil"/>
              <w:bottom w:val="nil"/>
              <w:right w:val="nil"/>
            </w:tcBorders>
            <w:vAlign w:val="center"/>
          </w:tcPr>
          <w:p w14:paraId="23FC5708"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p>
        </w:tc>
        <w:tc>
          <w:tcPr>
            <w:tcW w:w="1842" w:type="dxa"/>
            <w:tcBorders>
              <w:top w:val="nil"/>
              <w:left w:val="nil"/>
              <w:bottom w:val="nil"/>
              <w:right w:val="nil"/>
            </w:tcBorders>
            <w:vAlign w:val="center"/>
          </w:tcPr>
          <w:p w14:paraId="22A384C2"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 xml:space="preserve">sequential bidirectional freeze casting technique, TI, </w:t>
            </w:r>
            <w:r w:rsidRPr="00CA46DB">
              <w:rPr>
                <w:rFonts w:cstheme="minorHAnsi"/>
                <w:color w:val="000000" w:themeColor="text1"/>
                <w:sz w:val="18"/>
                <w:szCs w:val="18"/>
              </w:rPr>
              <w:t>hot-pressed</w:t>
            </w:r>
          </w:p>
        </w:tc>
        <w:tc>
          <w:tcPr>
            <w:tcW w:w="568" w:type="dxa"/>
            <w:tcBorders>
              <w:top w:val="nil"/>
              <w:left w:val="nil"/>
              <w:bottom w:val="nil"/>
              <w:right w:val="nil"/>
            </w:tcBorders>
            <w:vAlign w:val="center"/>
          </w:tcPr>
          <w:p w14:paraId="7628B873"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102</w:t>
            </w:r>
          </w:p>
        </w:tc>
      </w:tr>
      <w:tr w:rsidR="00CA46DB" w:rsidRPr="00CA46DB" w14:paraId="5FDC6D88" w14:textId="77777777">
        <w:trPr>
          <w:trHeight w:val="680"/>
        </w:trPr>
        <w:tc>
          <w:tcPr>
            <w:tcW w:w="2127" w:type="dxa"/>
            <w:tcBorders>
              <w:top w:val="nil"/>
              <w:left w:val="nil"/>
              <w:bottom w:val="nil"/>
              <w:right w:val="nil"/>
            </w:tcBorders>
            <w:vAlign w:val="center"/>
          </w:tcPr>
          <w:p w14:paraId="10A36BCB"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0.05 wt% BT-PI</w:t>
            </w:r>
          </w:p>
          <w:p w14:paraId="686AF90D"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2 vol% BT-PI</w:t>
            </w:r>
          </w:p>
          <w:p w14:paraId="6AE14B4D"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0.05 wt% BT-PI</w:t>
            </w:r>
          </w:p>
        </w:tc>
        <w:tc>
          <w:tcPr>
            <w:tcW w:w="1701" w:type="dxa"/>
            <w:tcBorders>
              <w:top w:val="nil"/>
              <w:left w:val="nil"/>
              <w:bottom w:val="nil"/>
              <w:right w:val="nil"/>
            </w:tcBorders>
            <w:vAlign w:val="center"/>
          </w:tcPr>
          <w:p w14:paraId="6012B22C"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r w:rsidRPr="00CA46DB">
              <w:rPr>
                <w:rFonts w:cstheme="minorHAnsi"/>
                <w:color w:val="000000" w:themeColor="text1"/>
                <w:sz w:val="18"/>
                <w:szCs w:val="18"/>
              </w:rPr>
              <w:t xml:space="preserve"> / --</w:t>
            </w:r>
          </w:p>
        </w:tc>
        <w:tc>
          <w:tcPr>
            <w:tcW w:w="1559" w:type="dxa"/>
            <w:tcBorders>
              <w:top w:val="nil"/>
              <w:left w:val="nil"/>
              <w:bottom w:val="nil"/>
              <w:right w:val="nil"/>
            </w:tcBorders>
            <w:vAlign w:val="center"/>
          </w:tcPr>
          <w:p w14:paraId="484A1CB9"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4.1@100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843" w:type="dxa"/>
            <w:tcBorders>
              <w:top w:val="nil"/>
              <w:left w:val="nil"/>
              <w:bottom w:val="nil"/>
              <w:right w:val="nil"/>
            </w:tcBorders>
            <w:vAlign w:val="center"/>
          </w:tcPr>
          <w:p w14:paraId="5E3CBDC5"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0.0047@100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417" w:type="dxa"/>
            <w:tcBorders>
              <w:top w:val="nil"/>
              <w:left w:val="nil"/>
              <w:bottom w:val="nil"/>
              <w:right w:val="nil"/>
            </w:tcBorders>
            <w:vAlign w:val="center"/>
          </w:tcPr>
          <w:p w14:paraId="5B49233A"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500@100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701" w:type="dxa"/>
            <w:tcBorders>
              <w:top w:val="nil"/>
              <w:left w:val="nil"/>
              <w:bottom w:val="nil"/>
              <w:right w:val="nil"/>
            </w:tcBorders>
            <w:vAlign w:val="center"/>
          </w:tcPr>
          <w:p w14:paraId="1FD96128"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3.9@100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418" w:type="dxa"/>
            <w:tcBorders>
              <w:top w:val="nil"/>
              <w:left w:val="nil"/>
              <w:bottom w:val="nil"/>
              <w:right w:val="nil"/>
            </w:tcBorders>
            <w:vAlign w:val="center"/>
          </w:tcPr>
          <w:p w14:paraId="71710363"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54%@100</w:t>
            </w:r>
            <w:r w:rsidRPr="00CA46DB">
              <w:rPr>
                <w:rFonts w:ascii="Cambria Math" w:hAnsi="Cambria Math" w:cs="Cambria Math"/>
                <w:color w:val="000000" w:themeColor="text1"/>
                <w:sz w:val="18"/>
                <w:szCs w:val="18"/>
                <w:lang w:eastAsia="zh-CN"/>
              </w:rPr>
              <w:t>℃</w:t>
            </w:r>
          </w:p>
        </w:tc>
        <w:tc>
          <w:tcPr>
            <w:tcW w:w="1842" w:type="dxa"/>
            <w:tcBorders>
              <w:top w:val="nil"/>
              <w:left w:val="nil"/>
              <w:bottom w:val="nil"/>
              <w:right w:val="nil"/>
            </w:tcBorders>
            <w:vAlign w:val="center"/>
          </w:tcPr>
          <w:p w14:paraId="179BCE39"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cstheme="minorHAnsi"/>
                <w:color w:val="000000" w:themeColor="text1"/>
                <w:sz w:val="18"/>
                <w:szCs w:val="18"/>
              </w:rPr>
              <w:t>TI, 300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layer-by-layer, SC</w:t>
            </w:r>
          </w:p>
        </w:tc>
        <w:tc>
          <w:tcPr>
            <w:tcW w:w="568" w:type="dxa"/>
            <w:tcBorders>
              <w:top w:val="nil"/>
              <w:left w:val="nil"/>
              <w:bottom w:val="nil"/>
              <w:right w:val="nil"/>
            </w:tcBorders>
            <w:vAlign w:val="center"/>
          </w:tcPr>
          <w:p w14:paraId="4F4331DB"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124</w:t>
            </w:r>
          </w:p>
        </w:tc>
      </w:tr>
      <w:tr w:rsidR="00CA46DB" w:rsidRPr="00CA46DB" w14:paraId="511ECC6D" w14:textId="77777777">
        <w:trPr>
          <w:trHeight w:val="1351"/>
        </w:trPr>
        <w:tc>
          <w:tcPr>
            <w:tcW w:w="2127" w:type="dxa"/>
            <w:tcBorders>
              <w:top w:val="nil"/>
              <w:left w:val="nil"/>
              <w:bottom w:val="nil"/>
              <w:right w:val="nil"/>
            </w:tcBorders>
            <w:vAlign w:val="center"/>
          </w:tcPr>
          <w:p w14:paraId="2662E57B"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 vol% BNNS/PI</w:t>
            </w:r>
          </w:p>
          <w:p w14:paraId="3B0A68D0"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0.4 vol% ZnO/PI</w:t>
            </w:r>
          </w:p>
          <w:p w14:paraId="1963D832"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 vol% BNNS/PI</w:t>
            </w:r>
          </w:p>
        </w:tc>
        <w:tc>
          <w:tcPr>
            <w:tcW w:w="1701" w:type="dxa"/>
            <w:tcBorders>
              <w:top w:val="nil"/>
              <w:left w:val="nil"/>
              <w:bottom w:val="nil"/>
              <w:right w:val="nil"/>
            </w:tcBorders>
            <w:vAlign w:val="center"/>
          </w:tcPr>
          <w:p w14:paraId="2669A778"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r w:rsidRPr="00CA46DB">
              <w:rPr>
                <w:rFonts w:cstheme="minorHAnsi"/>
                <w:color w:val="000000" w:themeColor="text1"/>
                <w:sz w:val="18"/>
                <w:szCs w:val="18"/>
              </w:rPr>
              <w:t xml:space="preserve"> / --</w:t>
            </w:r>
          </w:p>
        </w:tc>
        <w:tc>
          <w:tcPr>
            <w:tcW w:w="1559" w:type="dxa"/>
            <w:tcBorders>
              <w:top w:val="nil"/>
              <w:left w:val="nil"/>
              <w:bottom w:val="nil"/>
              <w:right w:val="nil"/>
            </w:tcBorders>
            <w:vAlign w:val="center"/>
          </w:tcPr>
          <w:p w14:paraId="3E4A6E00"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4.96</w:t>
            </w:r>
          </w:p>
        </w:tc>
        <w:tc>
          <w:tcPr>
            <w:tcW w:w="1843" w:type="dxa"/>
            <w:tcBorders>
              <w:top w:val="nil"/>
              <w:left w:val="nil"/>
              <w:bottom w:val="nil"/>
              <w:right w:val="nil"/>
            </w:tcBorders>
            <w:vAlign w:val="center"/>
          </w:tcPr>
          <w:p w14:paraId="486AD3CF"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hint="eastAsia"/>
                <w:color w:val="000000" w:themeColor="text1"/>
                <w:sz w:val="18"/>
                <w:szCs w:val="18"/>
                <w:lang w:eastAsia="zh-CN"/>
              </w:rPr>
              <w:t>&lt;</w:t>
            </w:r>
            <w:r w:rsidRPr="00CA46DB">
              <w:rPr>
                <w:rFonts w:eastAsia="STSong" w:cstheme="minorHAnsi"/>
                <w:color w:val="000000" w:themeColor="text1"/>
                <w:sz w:val="18"/>
                <w:szCs w:val="18"/>
                <w:lang w:eastAsia="zh-CN"/>
              </w:rPr>
              <w:t xml:space="preserve"> </w:t>
            </w:r>
            <w:r w:rsidRPr="00CA46DB">
              <w:rPr>
                <w:rFonts w:eastAsia="STSong" w:cstheme="minorHAnsi"/>
                <w:color w:val="000000" w:themeColor="text1"/>
                <w:sz w:val="18"/>
                <w:szCs w:val="18"/>
              </w:rPr>
              <w:t>0.004</w:t>
            </w:r>
          </w:p>
        </w:tc>
        <w:tc>
          <w:tcPr>
            <w:tcW w:w="1417" w:type="dxa"/>
            <w:tcBorders>
              <w:top w:val="nil"/>
              <w:left w:val="nil"/>
              <w:bottom w:val="nil"/>
              <w:right w:val="nil"/>
            </w:tcBorders>
            <w:vAlign w:val="center"/>
          </w:tcPr>
          <w:p w14:paraId="454C95EC"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403@150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p>
        </w:tc>
        <w:tc>
          <w:tcPr>
            <w:tcW w:w="1701" w:type="dxa"/>
            <w:tcBorders>
              <w:top w:val="nil"/>
              <w:left w:val="nil"/>
              <w:bottom w:val="nil"/>
              <w:right w:val="nil"/>
            </w:tcBorders>
            <w:vAlign w:val="center"/>
          </w:tcPr>
          <w:p w14:paraId="262063E4"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5.29@150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xml:space="preserve"> </w:t>
            </w:r>
            <w:r w:rsidRPr="00CA46DB">
              <w:rPr>
                <w:rFonts w:cstheme="minorHAnsi"/>
                <w:color w:val="000000" w:themeColor="text1"/>
                <w:sz w:val="18"/>
                <w:szCs w:val="18"/>
                <w:lang w:eastAsia="zh-CN"/>
              </w:rPr>
              <w:t>and</w:t>
            </w:r>
            <w:r w:rsidRPr="00CA46DB">
              <w:rPr>
                <w:rFonts w:cstheme="minorHAnsi"/>
                <w:color w:val="000000" w:themeColor="text1"/>
                <w:sz w:val="18"/>
                <w:szCs w:val="18"/>
              </w:rPr>
              <w:t xml:space="preserve"> </w:t>
            </w:r>
            <w:r w:rsidRPr="00CA46DB">
              <w:rPr>
                <w:rFonts w:eastAsia="STSong" w:cstheme="minorHAnsi"/>
                <w:color w:val="000000" w:themeColor="text1"/>
                <w:sz w:val="18"/>
                <w:szCs w:val="18"/>
              </w:rPr>
              <w:t>400</w:t>
            </w:r>
            <w:r w:rsidRPr="00CA46DB">
              <w:rPr>
                <w:rFonts w:cstheme="minorHAnsi"/>
                <w:color w:val="000000" w:themeColor="text1"/>
                <w:sz w:val="18"/>
                <w:szCs w:val="18"/>
              </w:rPr>
              <w:t xml:space="preserve"> MV·m</w:t>
            </w:r>
            <w:r w:rsidRPr="00CA46DB">
              <w:rPr>
                <w:rFonts w:cstheme="minorHAnsi"/>
                <w:color w:val="000000" w:themeColor="text1"/>
                <w:sz w:val="18"/>
                <w:szCs w:val="18"/>
                <w:vertAlign w:val="superscript"/>
              </w:rPr>
              <w:t>−1</w:t>
            </w:r>
          </w:p>
        </w:tc>
        <w:tc>
          <w:tcPr>
            <w:tcW w:w="1418" w:type="dxa"/>
            <w:tcBorders>
              <w:top w:val="nil"/>
              <w:left w:val="nil"/>
              <w:bottom w:val="nil"/>
              <w:right w:val="nil"/>
            </w:tcBorders>
            <w:vAlign w:val="center"/>
          </w:tcPr>
          <w:p w14:paraId="43A4DD8C"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lang w:eastAsia="zh-CN"/>
              </w:rPr>
              <w:t xml:space="preserve">&gt; </w:t>
            </w:r>
            <w:r w:rsidRPr="00CA46DB">
              <w:rPr>
                <w:rFonts w:eastAsia="STSong" w:cstheme="minorHAnsi"/>
                <w:color w:val="000000" w:themeColor="text1"/>
                <w:sz w:val="18"/>
                <w:szCs w:val="18"/>
              </w:rPr>
              <w:t>90%@150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eastAsia="STSong" w:cstheme="minorHAnsi"/>
                <w:color w:val="000000" w:themeColor="text1"/>
                <w:sz w:val="18"/>
                <w:szCs w:val="18"/>
              </w:rPr>
              <w:t xml:space="preserve"> and 300</w:t>
            </w:r>
            <w:r w:rsidRPr="00CA46DB">
              <w:rPr>
                <w:rFonts w:cstheme="minorHAnsi"/>
                <w:color w:val="000000" w:themeColor="text1"/>
                <w:sz w:val="18"/>
                <w:szCs w:val="18"/>
              </w:rPr>
              <w:t xml:space="preserve"> MV·m</w:t>
            </w:r>
            <w:r w:rsidRPr="00CA46DB">
              <w:rPr>
                <w:rFonts w:cstheme="minorHAnsi"/>
                <w:color w:val="000000" w:themeColor="text1"/>
                <w:sz w:val="18"/>
                <w:szCs w:val="18"/>
                <w:vertAlign w:val="superscript"/>
              </w:rPr>
              <w:t>−1</w:t>
            </w:r>
          </w:p>
        </w:tc>
        <w:tc>
          <w:tcPr>
            <w:tcW w:w="1842" w:type="dxa"/>
            <w:tcBorders>
              <w:top w:val="nil"/>
              <w:left w:val="nil"/>
              <w:bottom w:val="nil"/>
              <w:right w:val="nil"/>
            </w:tcBorders>
            <w:vAlign w:val="center"/>
          </w:tcPr>
          <w:p w14:paraId="26D414C9"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cstheme="minorHAnsi"/>
                <w:color w:val="000000" w:themeColor="text1"/>
                <w:sz w:val="18"/>
                <w:szCs w:val="18"/>
              </w:rPr>
              <w:t>TI, 350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layer-by-layer, SC</w:t>
            </w:r>
          </w:p>
        </w:tc>
        <w:tc>
          <w:tcPr>
            <w:tcW w:w="568" w:type="dxa"/>
            <w:tcBorders>
              <w:top w:val="nil"/>
              <w:left w:val="nil"/>
              <w:bottom w:val="nil"/>
              <w:right w:val="nil"/>
            </w:tcBorders>
            <w:vAlign w:val="center"/>
          </w:tcPr>
          <w:p w14:paraId="312E1D17"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114</w:t>
            </w:r>
          </w:p>
        </w:tc>
      </w:tr>
      <w:tr w:rsidR="00FC2A41" w:rsidRPr="00CA46DB" w14:paraId="3F537945" w14:textId="77777777">
        <w:trPr>
          <w:trHeight w:val="680"/>
        </w:trPr>
        <w:tc>
          <w:tcPr>
            <w:tcW w:w="2127" w:type="dxa"/>
            <w:tcBorders>
              <w:top w:val="nil"/>
              <w:left w:val="nil"/>
              <w:bottom w:val="single" w:sz="4" w:space="0" w:color="auto"/>
              <w:right w:val="nil"/>
            </w:tcBorders>
            <w:vAlign w:val="center"/>
          </w:tcPr>
          <w:p w14:paraId="25955FF8"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PI</w:t>
            </w:r>
          </w:p>
          <w:p w14:paraId="6E8F75EC"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3 vol% BT-PI</w:t>
            </w:r>
          </w:p>
          <w:p w14:paraId="10ABCDDB"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PI</w:t>
            </w:r>
          </w:p>
        </w:tc>
        <w:tc>
          <w:tcPr>
            <w:tcW w:w="1701" w:type="dxa"/>
            <w:tcBorders>
              <w:top w:val="nil"/>
              <w:left w:val="nil"/>
              <w:bottom w:val="single" w:sz="4" w:space="0" w:color="auto"/>
              <w:right w:val="nil"/>
            </w:tcBorders>
            <w:vAlign w:val="center"/>
          </w:tcPr>
          <w:p w14:paraId="2A050C6C"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r w:rsidRPr="00CA46DB">
              <w:rPr>
                <w:rFonts w:cstheme="minorHAnsi"/>
                <w:color w:val="000000" w:themeColor="text1"/>
                <w:sz w:val="18"/>
                <w:szCs w:val="18"/>
              </w:rPr>
              <w:t xml:space="preserve"> / --</w:t>
            </w:r>
          </w:p>
        </w:tc>
        <w:tc>
          <w:tcPr>
            <w:tcW w:w="1559" w:type="dxa"/>
            <w:tcBorders>
              <w:top w:val="nil"/>
              <w:left w:val="nil"/>
              <w:bottom w:val="single" w:sz="4" w:space="0" w:color="auto"/>
              <w:right w:val="nil"/>
            </w:tcBorders>
            <w:vAlign w:val="center"/>
          </w:tcPr>
          <w:p w14:paraId="1EBA581D"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 3.85</w:t>
            </w:r>
          </w:p>
        </w:tc>
        <w:tc>
          <w:tcPr>
            <w:tcW w:w="1843" w:type="dxa"/>
            <w:tcBorders>
              <w:top w:val="nil"/>
              <w:left w:val="nil"/>
              <w:bottom w:val="single" w:sz="4" w:space="0" w:color="auto"/>
              <w:right w:val="nil"/>
            </w:tcBorders>
            <w:vAlign w:val="center"/>
          </w:tcPr>
          <w:p w14:paraId="6DD311F2"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 0.0024</w:t>
            </w:r>
          </w:p>
        </w:tc>
        <w:tc>
          <w:tcPr>
            <w:tcW w:w="1417" w:type="dxa"/>
            <w:tcBorders>
              <w:top w:val="nil"/>
              <w:left w:val="nil"/>
              <w:bottom w:val="single" w:sz="4" w:space="0" w:color="auto"/>
              <w:right w:val="nil"/>
            </w:tcBorders>
            <w:vAlign w:val="center"/>
          </w:tcPr>
          <w:p w14:paraId="556460B5"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344</w:t>
            </w:r>
          </w:p>
        </w:tc>
        <w:tc>
          <w:tcPr>
            <w:tcW w:w="1701" w:type="dxa"/>
            <w:tcBorders>
              <w:top w:val="nil"/>
              <w:left w:val="nil"/>
              <w:bottom w:val="single" w:sz="4" w:space="0" w:color="auto"/>
              <w:right w:val="nil"/>
            </w:tcBorders>
            <w:vAlign w:val="center"/>
          </w:tcPr>
          <w:p w14:paraId="06DED9E5"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1.94</w:t>
            </w:r>
          </w:p>
        </w:tc>
        <w:tc>
          <w:tcPr>
            <w:tcW w:w="1418" w:type="dxa"/>
            <w:tcBorders>
              <w:top w:val="nil"/>
              <w:left w:val="nil"/>
              <w:bottom w:val="single" w:sz="4" w:space="0" w:color="auto"/>
              <w:right w:val="nil"/>
            </w:tcBorders>
            <w:vAlign w:val="center"/>
          </w:tcPr>
          <w:p w14:paraId="2E59ED60"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w:t>
            </w:r>
          </w:p>
        </w:tc>
        <w:tc>
          <w:tcPr>
            <w:tcW w:w="1842" w:type="dxa"/>
            <w:tcBorders>
              <w:top w:val="nil"/>
              <w:left w:val="nil"/>
              <w:bottom w:val="single" w:sz="4" w:space="0" w:color="auto"/>
              <w:right w:val="nil"/>
            </w:tcBorders>
            <w:vAlign w:val="center"/>
          </w:tcPr>
          <w:p w14:paraId="4AF444C8" w14:textId="77777777" w:rsidR="00FC2A41" w:rsidRPr="00CA46DB" w:rsidRDefault="00166212">
            <w:pPr>
              <w:autoSpaceDE w:val="0"/>
              <w:spacing w:after="0" w:line="240" w:lineRule="exact"/>
              <w:jc w:val="center"/>
              <w:rPr>
                <w:rFonts w:eastAsia="DengXian" w:cstheme="minorHAnsi"/>
                <w:color w:val="000000" w:themeColor="text1"/>
                <w:sz w:val="18"/>
                <w:szCs w:val="18"/>
              </w:rPr>
            </w:pPr>
            <w:r w:rsidRPr="00CA46DB">
              <w:rPr>
                <w:rFonts w:cstheme="minorHAnsi"/>
                <w:color w:val="000000" w:themeColor="text1"/>
                <w:sz w:val="18"/>
                <w:szCs w:val="18"/>
              </w:rPr>
              <w:t>TI,350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lang w:eastAsia="zh-CN"/>
              </w:rPr>
              <w:t>℃</w:t>
            </w:r>
            <w:r w:rsidRPr="00CA46DB">
              <w:rPr>
                <w:rFonts w:cstheme="minorHAnsi"/>
                <w:color w:val="000000" w:themeColor="text1"/>
                <w:sz w:val="18"/>
                <w:szCs w:val="18"/>
              </w:rPr>
              <w:t>, SC</w:t>
            </w:r>
          </w:p>
        </w:tc>
        <w:tc>
          <w:tcPr>
            <w:tcW w:w="568" w:type="dxa"/>
            <w:tcBorders>
              <w:top w:val="nil"/>
              <w:left w:val="nil"/>
              <w:bottom w:val="single" w:sz="4" w:space="0" w:color="auto"/>
              <w:right w:val="nil"/>
            </w:tcBorders>
            <w:vAlign w:val="center"/>
          </w:tcPr>
          <w:p w14:paraId="17FF7C62" w14:textId="77777777" w:rsidR="00FC2A41" w:rsidRPr="00CA46DB" w:rsidRDefault="00166212">
            <w:pPr>
              <w:autoSpaceDE w:val="0"/>
              <w:spacing w:after="0" w:line="240" w:lineRule="exact"/>
              <w:jc w:val="center"/>
              <w:rPr>
                <w:rFonts w:eastAsia="STSong" w:cstheme="minorHAnsi"/>
                <w:color w:val="000000" w:themeColor="text1"/>
                <w:sz w:val="18"/>
                <w:szCs w:val="18"/>
              </w:rPr>
            </w:pPr>
            <w:r w:rsidRPr="00CA46DB">
              <w:rPr>
                <w:rFonts w:eastAsia="STSong" w:cstheme="minorHAnsi"/>
                <w:color w:val="000000" w:themeColor="text1"/>
                <w:sz w:val="18"/>
                <w:szCs w:val="18"/>
              </w:rPr>
              <w:t>125</w:t>
            </w:r>
          </w:p>
        </w:tc>
      </w:tr>
    </w:tbl>
    <w:p w14:paraId="0060125A" w14:textId="77777777" w:rsidR="00FC2A41" w:rsidRPr="00CA46DB" w:rsidRDefault="00FC2A41">
      <w:pPr>
        <w:tabs>
          <w:tab w:val="left" w:pos="3462"/>
        </w:tabs>
        <w:snapToGrid w:val="0"/>
        <w:spacing w:after="0" w:line="240" w:lineRule="exact"/>
        <w:jc w:val="both"/>
        <w:rPr>
          <w:rFonts w:cstheme="minorHAnsi"/>
          <w:color w:val="000000" w:themeColor="text1"/>
          <w:sz w:val="18"/>
          <w:szCs w:val="18"/>
        </w:rPr>
        <w:sectPr w:rsidR="00FC2A41" w:rsidRPr="00CA46DB">
          <w:type w:val="continuous"/>
          <w:pgSz w:w="16840" w:h="11907" w:orient="landscape"/>
          <w:pgMar w:top="851" w:right="1758" w:bottom="851" w:left="1009" w:header="851" w:footer="1049" w:gutter="0"/>
          <w:cols w:space="227"/>
          <w:docGrid w:linePitch="360"/>
        </w:sectPr>
      </w:pPr>
    </w:p>
    <w:p w14:paraId="00ACC8B6" w14:textId="77777777" w:rsidR="00FC2A41" w:rsidRPr="00CA46DB" w:rsidRDefault="00166212">
      <w:pPr>
        <w:tabs>
          <w:tab w:val="left" w:pos="3462"/>
        </w:tabs>
        <w:snapToGrid w:val="0"/>
        <w:spacing w:after="0" w:line="240" w:lineRule="exact"/>
        <w:jc w:val="both"/>
        <w:rPr>
          <w:rFonts w:cstheme="minorHAnsi"/>
          <w:color w:val="000000" w:themeColor="text1"/>
          <w:sz w:val="18"/>
          <w:szCs w:val="18"/>
          <w:lang w:eastAsia="zh-Hans"/>
        </w:rPr>
      </w:pPr>
      <w:r w:rsidRPr="00CA46DB">
        <w:rPr>
          <w:rFonts w:cstheme="minorHAnsi"/>
          <w:color w:val="000000" w:themeColor="text1"/>
          <w:sz w:val="18"/>
          <w:szCs w:val="18"/>
          <w:lang w:eastAsia="zh-Hans"/>
        </w:rPr>
        <w:t xml:space="preserve">All values, including </w:t>
      </w:r>
      <w:r w:rsidRPr="00CA46DB">
        <w:rPr>
          <w:rFonts w:cstheme="minorHAnsi"/>
          <w:i/>
          <w:iCs/>
          <w:color w:val="000000" w:themeColor="text1"/>
          <w:sz w:val="18"/>
          <w:szCs w:val="18"/>
          <w:lang w:eastAsia="zh-Hans"/>
        </w:rPr>
        <w:t>ε</w:t>
      </w:r>
      <w:r w:rsidRPr="00CA46DB">
        <w:rPr>
          <w:rFonts w:cstheme="minorHAnsi"/>
          <w:color w:val="000000" w:themeColor="text1"/>
          <w:sz w:val="18"/>
          <w:szCs w:val="18"/>
          <w:vertAlign w:val="subscript"/>
          <w:lang w:eastAsia="zh-Hans"/>
        </w:rPr>
        <w:t>r</w:t>
      </w:r>
      <w:r w:rsidRPr="00CA46DB">
        <w:rPr>
          <w:rFonts w:cstheme="minorHAnsi"/>
          <w:color w:val="000000" w:themeColor="text1"/>
          <w:sz w:val="18"/>
          <w:szCs w:val="18"/>
          <w:lang w:eastAsia="zh-Hans"/>
        </w:rPr>
        <w:t>, tan</w:t>
      </w:r>
      <w:r w:rsidRPr="00CA46DB">
        <w:rPr>
          <w:rFonts w:cstheme="minorHAnsi"/>
          <w:i/>
          <w:iCs/>
          <w:color w:val="000000" w:themeColor="text1"/>
          <w:sz w:val="18"/>
          <w:szCs w:val="18"/>
          <w:lang w:eastAsia="zh-Hans"/>
        </w:rPr>
        <w:t>δ</w:t>
      </w:r>
      <w:r w:rsidRPr="00CA46DB">
        <w:rPr>
          <w:rFonts w:cstheme="minorHAnsi"/>
          <w:color w:val="000000" w:themeColor="text1"/>
          <w:sz w:val="18"/>
          <w:szCs w:val="18"/>
          <w:lang w:eastAsia="zh-Hans"/>
        </w:rPr>
        <w:t xml:space="preserve">, </w:t>
      </w:r>
      <w:r w:rsidRPr="00CA46DB">
        <w:rPr>
          <w:rFonts w:cstheme="minorHAnsi"/>
          <w:i/>
          <w:iCs/>
          <w:color w:val="000000" w:themeColor="text1"/>
          <w:sz w:val="18"/>
          <w:szCs w:val="18"/>
          <w:lang w:eastAsia="zh-Hans"/>
        </w:rPr>
        <w:t>E</w:t>
      </w:r>
      <w:r w:rsidRPr="00CA46DB">
        <w:rPr>
          <w:rFonts w:cstheme="minorHAnsi"/>
          <w:color w:val="000000" w:themeColor="text1"/>
          <w:sz w:val="18"/>
          <w:szCs w:val="18"/>
          <w:vertAlign w:val="subscript"/>
          <w:lang w:eastAsia="zh-Hans"/>
        </w:rPr>
        <w:t>b</w:t>
      </w:r>
      <w:r w:rsidRPr="00CA46DB">
        <w:rPr>
          <w:rFonts w:cstheme="minorHAnsi"/>
          <w:color w:val="000000" w:themeColor="text1"/>
          <w:sz w:val="18"/>
          <w:szCs w:val="18"/>
          <w:lang w:eastAsia="zh-Hans"/>
        </w:rPr>
        <w:t xml:space="preserve">, </w:t>
      </w:r>
      <w:r w:rsidRPr="00CA46DB">
        <w:rPr>
          <w:rFonts w:cstheme="minorHAnsi"/>
          <w:i/>
          <w:iCs/>
          <w:color w:val="000000" w:themeColor="text1"/>
          <w:sz w:val="18"/>
          <w:szCs w:val="18"/>
          <w:lang w:eastAsia="zh-Hans"/>
        </w:rPr>
        <w:t>U</w:t>
      </w:r>
      <w:r w:rsidRPr="00CA46DB">
        <w:rPr>
          <w:rFonts w:cstheme="minorHAnsi"/>
          <w:color w:val="000000" w:themeColor="text1"/>
          <w:sz w:val="18"/>
          <w:szCs w:val="18"/>
          <w:vertAlign w:val="subscript"/>
          <w:lang w:eastAsia="zh-Hans"/>
        </w:rPr>
        <w:t>e</w:t>
      </w:r>
      <w:r w:rsidRPr="00CA46DB">
        <w:rPr>
          <w:rFonts w:cstheme="minorHAnsi"/>
          <w:color w:val="000000" w:themeColor="text1"/>
          <w:sz w:val="18"/>
          <w:szCs w:val="18"/>
          <w:lang w:eastAsia="zh-Hans"/>
        </w:rPr>
        <w:t xml:space="preserve"> and η, are measured at room temperature, unless the temperature is indicated at the back</w:t>
      </w:r>
    </w:p>
    <w:p w14:paraId="7F9CA291" w14:textId="77777777" w:rsidR="00FC2A41" w:rsidRPr="00CA46DB" w:rsidRDefault="00166212">
      <w:pPr>
        <w:tabs>
          <w:tab w:val="left" w:pos="3462"/>
        </w:tabs>
        <w:snapToGrid w:val="0"/>
        <w:spacing w:after="0" w:line="240" w:lineRule="exact"/>
        <w:jc w:val="both"/>
        <w:rPr>
          <w:rFonts w:cstheme="minorHAnsi"/>
          <w:color w:val="000000" w:themeColor="text1"/>
          <w:sz w:val="18"/>
          <w:szCs w:val="18"/>
          <w:lang w:eastAsia="zh-Hans"/>
        </w:rPr>
      </w:pPr>
      <w:r w:rsidRPr="00CA46DB">
        <w:rPr>
          <w:rFonts w:cstheme="minorHAnsi"/>
          <w:color w:val="000000" w:themeColor="text1"/>
          <w:sz w:val="18"/>
          <w:szCs w:val="18"/>
          <w:lang w:eastAsia="zh-Hans"/>
        </w:rPr>
        <w:t>1: The atmosphere of the TGA test is N</w:t>
      </w:r>
      <w:r w:rsidRPr="00CA46DB">
        <w:rPr>
          <w:rFonts w:cstheme="minorHAnsi"/>
          <w:color w:val="000000" w:themeColor="text1"/>
          <w:sz w:val="18"/>
          <w:szCs w:val="18"/>
          <w:vertAlign w:val="subscript"/>
          <w:lang w:eastAsia="zh-Hans"/>
        </w:rPr>
        <w:t>2</w:t>
      </w:r>
    </w:p>
    <w:p w14:paraId="37158295" w14:textId="77777777" w:rsidR="00FC2A41" w:rsidRPr="00CA46DB" w:rsidRDefault="00166212">
      <w:pPr>
        <w:tabs>
          <w:tab w:val="left" w:pos="3462"/>
        </w:tabs>
        <w:snapToGrid w:val="0"/>
        <w:spacing w:after="0" w:line="240" w:lineRule="exact"/>
        <w:jc w:val="both"/>
        <w:rPr>
          <w:rFonts w:cstheme="minorHAnsi"/>
          <w:color w:val="000000" w:themeColor="text1"/>
          <w:sz w:val="18"/>
          <w:szCs w:val="18"/>
          <w:lang w:eastAsia="zh-Hans"/>
        </w:rPr>
      </w:pPr>
      <w:r w:rsidRPr="00CA46DB">
        <w:rPr>
          <w:rFonts w:cstheme="minorHAnsi"/>
          <w:color w:val="000000" w:themeColor="text1"/>
          <w:sz w:val="18"/>
          <w:szCs w:val="18"/>
          <w:lang w:eastAsia="zh-Hans"/>
        </w:rPr>
        <w:t>2: Thermal imidization</w:t>
      </w:r>
    </w:p>
    <w:p w14:paraId="4F3F6E90" w14:textId="77777777" w:rsidR="00FC2A41" w:rsidRPr="00CA46DB" w:rsidRDefault="00166212">
      <w:pPr>
        <w:tabs>
          <w:tab w:val="left" w:pos="3462"/>
        </w:tabs>
        <w:snapToGrid w:val="0"/>
        <w:spacing w:after="0" w:line="240" w:lineRule="exact"/>
        <w:jc w:val="both"/>
        <w:rPr>
          <w:rFonts w:cstheme="minorHAnsi"/>
          <w:color w:val="000000" w:themeColor="text1"/>
          <w:sz w:val="18"/>
          <w:szCs w:val="18"/>
          <w:lang w:eastAsia="zh-Hans"/>
        </w:rPr>
      </w:pPr>
      <w:r w:rsidRPr="00CA46DB">
        <w:rPr>
          <w:rFonts w:cstheme="minorHAnsi"/>
          <w:color w:val="000000" w:themeColor="text1"/>
          <w:sz w:val="18"/>
          <w:szCs w:val="18"/>
          <w:lang w:eastAsia="zh-Hans"/>
        </w:rPr>
        <w:t>3: Solution casting</w:t>
      </w:r>
    </w:p>
    <w:p w14:paraId="4F815B62" w14:textId="77777777" w:rsidR="00FC2A41" w:rsidRPr="00CA46DB" w:rsidRDefault="00166212">
      <w:pPr>
        <w:tabs>
          <w:tab w:val="left" w:pos="3462"/>
        </w:tabs>
        <w:snapToGrid w:val="0"/>
        <w:spacing w:after="0" w:line="240" w:lineRule="exact"/>
        <w:jc w:val="both"/>
        <w:rPr>
          <w:rFonts w:cstheme="minorHAnsi"/>
          <w:color w:val="000000" w:themeColor="text1"/>
          <w:sz w:val="18"/>
          <w:szCs w:val="18"/>
          <w:lang w:eastAsia="zh-Hans"/>
        </w:rPr>
      </w:pPr>
      <w:r w:rsidRPr="00CA46DB">
        <w:rPr>
          <w:rFonts w:cstheme="minorHAnsi"/>
          <w:color w:val="000000" w:themeColor="text1"/>
          <w:sz w:val="18"/>
          <w:szCs w:val="18"/>
          <w:lang w:eastAsia="zh-Hans"/>
        </w:rPr>
        <w:t>4: Maximum temperature used for thermal imidization</w:t>
      </w:r>
    </w:p>
    <w:p w14:paraId="309BACF9" w14:textId="77777777" w:rsidR="00FC2A41" w:rsidRPr="00CA46DB" w:rsidRDefault="00166212">
      <w:pPr>
        <w:tabs>
          <w:tab w:val="left" w:pos="3462"/>
        </w:tabs>
        <w:snapToGrid w:val="0"/>
        <w:spacing w:after="0" w:line="240" w:lineRule="exact"/>
        <w:jc w:val="both"/>
        <w:rPr>
          <w:rFonts w:cstheme="minorHAnsi"/>
          <w:color w:val="000000" w:themeColor="text1"/>
          <w:sz w:val="18"/>
          <w:szCs w:val="18"/>
          <w:lang w:eastAsia="zh-Hans"/>
        </w:rPr>
      </w:pPr>
      <w:r w:rsidRPr="00CA46DB">
        <w:rPr>
          <w:rFonts w:cstheme="minorHAnsi"/>
          <w:color w:val="000000" w:themeColor="text1"/>
          <w:sz w:val="18"/>
          <w:szCs w:val="18"/>
          <w:lang w:eastAsia="zh-Hans"/>
        </w:rPr>
        <w:t>5: Chemcial imidization</w:t>
      </w:r>
    </w:p>
    <w:p w14:paraId="5F479549" w14:textId="77777777" w:rsidR="00FC2A41" w:rsidRPr="00CA46DB" w:rsidRDefault="00166212">
      <w:pPr>
        <w:tabs>
          <w:tab w:val="left" w:pos="3462"/>
        </w:tabs>
        <w:snapToGrid w:val="0"/>
        <w:spacing w:after="0" w:line="240" w:lineRule="exact"/>
        <w:jc w:val="both"/>
        <w:rPr>
          <w:rFonts w:cstheme="minorHAnsi"/>
          <w:color w:val="000000" w:themeColor="text1"/>
          <w:sz w:val="18"/>
          <w:szCs w:val="18"/>
          <w:lang w:eastAsia="zh-Hans"/>
        </w:rPr>
      </w:pPr>
      <w:r w:rsidRPr="00CA46DB">
        <w:rPr>
          <w:rFonts w:cstheme="minorHAnsi"/>
          <w:color w:val="000000" w:themeColor="text1"/>
          <w:sz w:val="18"/>
          <w:szCs w:val="18"/>
          <w:lang w:eastAsia="zh-Hans"/>
        </w:rPr>
        <w:t>6: Room temperature</w:t>
      </w:r>
    </w:p>
    <w:p w14:paraId="583700A3" w14:textId="77777777" w:rsidR="00FC2A41" w:rsidRPr="00CA46DB" w:rsidRDefault="00166212">
      <w:pPr>
        <w:tabs>
          <w:tab w:val="left" w:pos="3462"/>
        </w:tabs>
        <w:snapToGrid w:val="0"/>
        <w:spacing w:after="0" w:line="240" w:lineRule="exact"/>
        <w:jc w:val="both"/>
        <w:rPr>
          <w:rFonts w:cstheme="minorHAnsi"/>
          <w:color w:val="000000" w:themeColor="text1"/>
          <w:sz w:val="18"/>
          <w:szCs w:val="18"/>
          <w:lang w:eastAsia="zh-Hans"/>
        </w:rPr>
      </w:pPr>
      <w:r w:rsidRPr="00CA46DB">
        <w:rPr>
          <w:rFonts w:cstheme="minorHAnsi"/>
          <w:color w:val="000000" w:themeColor="text1"/>
          <w:sz w:val="18"/>
          <w:szCs w:val="18"/>
          <w:lang w:eastAsia="zh-Hans"/>
        </w:rPr>
        <w:t>7-17: Fp, Fpg, Fpr, Fosc, Fsep, Fsm, Fe, Fcc, Fsem, Fhm and Fsgm represent the filler processing methods as polymerization, polymer grafting, polymerization-reduction, one-step solution coating, seeded emulsion polymerization, stöber method, electrospinning, covalent coupling, seeding method, hydrothermal method and sol-gel method, respectively.</w:t>
      </w:r>
    </w:p>
    <w:p w14:paraId="5120555D" w14:textId="593DBE99" w:rsidR="00FC2A41" w:rsidRPr="00CA46DB" w:rsidRDefault="00166212">
      <w:pPr>
        <w:tabs>
          <w:tab w:val="left" w:pos="3462"/>
        </w:tabs>
        <w:snapToGrid w:val="0"/>
        <w:spacing w:after="0" w:line="240" w:lineRule="exact"/>
        <w:jc w:val="both"/>
        <w:rPr>
          <w:rFonts w:cstheme="minorHAnsi"/>
          <w:color w:val="000000" w:themeColor="text1"/>
          <w:sz w:val="18"/>
          <w:szCs w:val="18"/>
        </w:rPr>
      </w:pPr>
      <w:r w:rsidRPr="00CA46DB">
        <w:rPr>
          <w:rFonts w:cstheme="minorHAnsi"/>
          <w:color w:val="000000" w:themeColor="text1"/>
          <w:sz w:val="18"/>
          <w:szCs w:val="18"/>
          <w:lang w:eastAsia="zh-Hans"/>
        </w:rPr>
        <w:t>18: Energy storage density</w:t>
      </w:r>
      <w:r w:rsidRPr="00CA46DB">
        <w:rPr>
          <w:rFonts w:cstheme="minorHAnsi"/>
          <w:color w:val="000000" w:themeColor="text1"/>
          <w:sz w:val="18"/>
          <w:szCs w:val="18"/>
        </w:rPr>
        <w:t xml:space="preserve"> </w:t>
      </w:r>
    </w:p>
    <w:p w14:paraId="6077BD0E" w14:textId="77777777" w:rsidR="00FC2A41" w:rsidRPr="00CA46DB" w:rsidRDefault="00FC2A41">
      <w:pPr>
        <w:tabs>
          <w:tab w:val="left" w:pos="3462"/>
        </w:tabs>
        <w:snapToGrid w:val="0"/>
        <w:spacing w:after="0" w:line="240" w:lineRule="exact"/>
        <w:jc w:val="both"/>
        <w:rPr>
          <w:rFonts w:cstheme="minorHAnsi"/>
          <w:color w:val="000000" w:themeColor="text1"/>
          <w:sz w:val="18"/>
          <w:szCs w:val="18"/>
        </w:rPr>
        <w:sectPr w:rsidR="00FC2A41" w:rsidRPr="00CA46DB">
          <w:type w:val="continuous"/>
          <w:pgSz w:w="16840" w:h="11907" w:orient="landscape"/>
          <w:pgMar w:top="851" w:right="1758" w:bottom="851" w:left="1009" w:header="851" w:footer="1049" w:gutter="0"/>
          <w:cols w:space="227"/>
          <w:docGrid w:linePitch="360"/>
        </w:sectPr>
      </w:pPr>
    </w:p>
    <w:p w14:paraId="6C9CADFB" w14:textId="77777777" w:rsidR="00FC2A41" w:rsidRPr="00CA46DB" w:rsidRDefault="00FC2A41">
      <w:pPr>
        <w:tabs>
          <w:tab w:val="left" w:pos="3462"/>
        </w:tabs>
        <w:snapToGrid w:val="0"/>
        <w:spacing w:after="0" w:line="240" w:lineRule="exact"/>
        <w:jc w:val="both"/>
        <w:rPr>
          <w:rFonts w:cstheme="minorHAnsi"/>
          <w:color w:val="000000" w:themeColor="text1"/>
          <w:sz w:val="18"/>
          <w:szCs w:val="18"/>
        </w:rPr>
        <w:sectPr w:rsidR="00FC2A41" w:rsidRPr="00CA46DB">
          <w:type w:val="continuous"/>
          <w:pgSz w:w="16840" w:h="11907" w:orient="landscape"/>
          <w:pgMar w:top="851" w:right="1758" w:bottom="851" w:left="1009" w:header="851" w:footer="1049" w:gutter="0"/>
          <w:cols w:num="2" w:space="227"/>
          <w:docGrid w:linePitch="360"/>
        </w:sectPr>
      </w:pPr>
    </w:p>
    <w:p w14:paraId="51CB659A" w14:textId="77777777" w:rsidR="00FC2A41" w:rsidRPr="00CA46DB" w:rsidRDefault="00166212">
      <w:pPr>
        <w:tabs>
          <w:tab w:val="left" w:pos="3462"/>
        </w:tabs>
        <w:spacing w:after="0" w:line="240" w:lineRule="exact"/>
        <w:jc w:val="both"/>
        <w:rPr>
          <w:rFonts w:ascii="Calibri" w:eastAsia="SimSun" w:hAnsi="Calibri" w:cs="Calibri"/>
          <w:color w:val="000000" w:themeColor="text1"/>
          <w:sz w:val="18"/>
          <w:szCs w:val="18"/>
        </w:rPr>
      </w:pPr>
      <w:r w:rsidRPr="00CA46DB">
        <w:rPr>
          <w:rFonts w:ascii="Calibri" w:eastAsia="SimSun" w:hAnsi="Calibri" w:cs="Calibri"/>
          <w:color w:val="000000" w:themeColor="text1"/>
          <w:sz w:val="18"/>
          <w:szCs w:val="18"/>
        </w:rPr>
        <w:lastRenderedPageBreak/>
        <w:t xml:space="preserve">mainly due to the longest cross-conjugated system of the carbonyl bridge in the </w:t>
      </w:r>
      <w:r w:rsidRPr="00CA46DB">
        <w:rPr>
          <w:rFonts w:ascii="Calibri" w:eastAsia="SimSun" w:hAnsi="Calibri" w:cs="Calibri"/>
          <w:color w:val="000000" w:themeColor="text1"/>
          <w:sz w:val="18"/>
          <w:szCs w:val="18"/>
          <w:lang w:eastAsia="zh-Hans"/>
        </w:rPr>
        <w:t>benzophenone</w:t>
      </w:r>
      <w:r w:rsidRPr="00CA46DB">
        <w:rPr>
          <w:rFonts w:ascii="Calibri" w:eastAsia="SimSun" w:hAnsi="Calibri" w:cs="Calibri"/>
          <w:color w:val="000000" w:themeColor="text1"/>
          <w:sz w:val="18"/>
          <w:szCs w:val="18"/>
        </w:rPr>
        <w:t xml:space="preserve"> structure. Crown ether groups were also used to increase the polarization of molecular chains in PI films.</w:t>
      </w:r>
      <w:r w:rsidRPr="00CA46DB">
        <w:rPr>
          <w:rFonts w:ascii="Calibri" w:eastAsia="SimSun" w:hAnsi="Calibri" w:cs="Calibri"/>
          <w:color w:val="000000" w:themeColor="text1"/>
          <w:sz w:val="18"/>
          <w:szCs w:val="18"/>
          <w:vertAlign w:val="superscript"/>
        </w:rPr>
        <w:t>71</w:t>
      </w:r>
      <w:r w:rsidRPr="00CA46DB">
        <w:rPr>
          <w:rFonts w:ascii="Calibri" w:eastAsia="SimSun" w:hAnsi="Calibri" w:cs="Calibri"/>
          <w:color w:val="000000" w:themeColor="text1"/>
          <w:sz w:val="18"/>
          <w:szCs w:val="18"/>
        </w:rPr>
        <w:t xml:space="preserve"> High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(5.8−6.4) and low </w:t>
      </w:r>
      <w:r w:rsidRPr="00CA46DB">
        <w:rPr>
          <w:rFonts w:ascii="Calibri" w:eastAsia="楷体-简" w:hAnsi="Calibri" w:cs="Calibri"/>
          <w:color w:val="000000" w:themeColor="text1"/>
          <w:sz w:val="18"/>
          <w:szCs w:val="18"/>
        </w:rPr>
        <w:t>tan</w:t>
      </w:r>
      <w:r w:rsidRPr="00CA46DB">
        <w:rPr>
          <w:rFonts w:ascii="Calibri" w:eastAsia="楷体-简" w:hAnsi="Calibri" w:cs="Calibri"/>
          <w:i/>
          <w:iCs/>
          <w:color w:val="000000" w:themeColor="text1"/>
          <w:sz w:val="18"/>
          <w:szCs w:val="18"/>
        </w:rPr>
        <w:t>δ</w:t>
      </w:r>
      <w:r w:rsidRPr="00CA46DB">
        <w:rPr>
          <w:rFonts w:ascii="Calibri" w:eastAsia="SimSun" w:hAnsi="Calibri" w:cs="Calibri"/>
          <w:color w:val="000000" w:themeColor="text1"/>
          <w:sz w:val="18"/>
          <w:szCs w:val="18"/>
        </w:rPr>
        <w:t xml:space="preserve"> (&lt; 0.03) were obtained in the frequency range 10</w:t>
      </w:r>
      <w:r w:rsidRPr="00CA46DB">
        <w:rPr>
          <w:rFonts w:ascii="Calibri" w:eastAsia="SimSun" w:hAnsi="Calibri" w:cs="Calibri"/>
          <w:color w:val="000000" w:themeColor="text1"/>
          <w:sz w:val="18"/>
          <w:szCs w:val="18"/>
          <w:vertAlign w:val="superscript"/>
        </w:rPr>
        <w:t>2</w:t>
      </w:r>
      <w:r w:rsidRPr="00CA46DB">
        <w:rPr>
          <w:rFonts w:ascii="Calibri" w:eastAsia="SimSun" w:hAnsi="Calibri" w:cs="Calibri"/>
          <w:color w:val="000000" w:themeColor="text1"/>
          <w:sz w:val="18"/>
          <w:szCs w:val="18"/>
        </w:rPr>
        <w:t>−10</w:t>
      </w:r>
      <w:r w:rsidRPr="00CA46DB">
        <w:rPr>
          <w:rFonts w:ascii="Calibri" w:eastAsia="SimSun" w:hAnsi="Calibri" w:cs="Calibri"/>
          <w:color w:val="000000" w:themeColor="text1"/>
          <w:sz w:val="18"/>
          <w:szCs w:val="18"/>
          <w:vertAlign w:val="superscript"/>
        </w:rPr>
        <w:t>5</w:t>
      </w:r>
      <w:r w:rsidRPr="00CA46DB">
        <w:rPr>
          <w:rFonts w:ascii="Calibri" w:eastAsia="SimSun" w:hAnsi="Calibri" w:cs="Calibri"/>
          <w:color w:val="000000" w:themeColor="text1"/>
          <w:sz w:val="18"/>
          <w:szCs w:val="18"/>
        </w:rPr>
        <w:t xml:space="preserve"> Hz without loss of thermal stability (</w:t>
      </w:r>
      <w:r w:rsidRPr="00CA46DB">
        <w:rPr>
          <w:rFonts w:ascii="Calibri" w:eastAsia="SimSun" w:hAnsi="Calibri" w:cs="Calibri"/>
          <w:i/>
          <w:iCs/>
          <w:color w:val="000000" w:themeColor="text1"/>
          <w:sz w:val="18"/>
          <w:szCs w:val="18"/>
        </w:rPr>
        <w:t>T</w:t>
      </w:r>
      <w:r w:rsidRPr="00CA46DB">
        <w:rPr>
          <w:rFonts w:ascii="Calibri" w:eastAsia="SimSun" w:hAnsi="Calibri" w:cs="Calibri"/>
          <w:color w:val="000000" w:themeColor="text1"/>
          <w:sz w:val="18"/>
          <w:szCs w:val="18"/>
          <w:vertAlign w:val="subscript"/>
        </w:rPr>
        <w:t>g</w:t>
      </w:r>
      <w:r w:rsidRPr="00CA46DB">
        <w:rPr>
          <w:rFonts w:ascii="Calibri" w:eastAsia="SimSun" w:hAnsi="Calibri" w:cs="Calibri"/>
          <w:color w:val="000000" w:themeColor="text1"/>
          <w:sz w:val="18"/>
          <w:szCs w:val="18"/>
        </w:rPr>
        <w:t xml:space="preserve"> = 341−343 </w:t>
      </w:r>
      <w:r w:rsidRPr="00CA46DB">
        <w:rPr>
          <w:rFonts w:ascii="Cambria Math" w:eastAsia="SimSun" w:hAnsi="Cambria Math" w:cs="Cambria Math"/>
          <w:color w:val="000000" w:themeColor="text1"/>
          <w:sz w:val="18"/>
          <w:szCs w:val="18"/>
        </w:rPr>
        <w:t>℃</w:t>
      </w:r>
      <w:r w:rsidRPr="00CA46DB">
        <w:rPr>
          <w:rFonts w:ascii="Calibri" w:eastAsia="SimSun" w:hAnsi="Calibri" w:cs="Calibri"/>
          <w:color w:val="000000" w:themeColor="text1"/>
          <w:sz w:val="18"/>
          <w:szCs w:val="18"/>
        </w:rPr>
        <w:t>).</w:t>
      </w:r>
    </w:p>
    <w:p w14:paraId="0305A2AF" w14:textId="77777777" w:rsidR="00FC2A41" w:rsidRPr="00CA46DB" w:rsidRDefault="00166212">
      <w:pPr>
        <w:tabs>
          <w:tab w:val="left" w:pos="3462"/>
        </w:tabs>
        <w:spacing w:after="0" w:line="240" w:lineRule="exact"/>
        <w:ind w:firstLineChars="200" w:firstLine="360"/>
        <w:jc w:val="both"/>
        <w:rPr>
          <w:rFonts w:ascii="Calibri" w:eastAsia="SimSun" w:hAnsi="Calibri" w:cs="Calibri"/>
          <w:color w:val="000000" w:themeColor="text1"/>
          <w:sz w:val="18"/>
          <w:szCs w:val="18"/>
        </w:rPr>
        <w:sectPr w:rsidR="00FC2A41" w:rsidRPr="00CA46DB">
          <w:pgSz w:w="11907" w:h="16840"/>
          <w:pgMar w:top="1009" w:right="851" w:bottom="1758" w:left="851" w:header="851" w:footer="1049" w:gutter="0"/>
          <w:cols w:num="2" w:space="227"/>
          <w:docGrid w:linePitch="360"/>
        </w:sectPr>
      </w:pPr>
      <w:r w:rsidRPr="00CA46DB">
        <w:rPr>
          <w:rFonts w:ascii="Calibri" w:eastAsia="SimSun" w:hAnsi="Calibri" w:cs="Calibri"/>
          <w:color w:val="000000" w:themeColor="text1"/>
          <w:sz w:val="18"/>
          <w:szCs w:val="18"/>
        </w:rPr>
        <w:t xml:space="preserve">Tong et al. explored the impact of introducing highly polar carbonyl </w:t>
      </w:r>
      <w:r w:rsidRPr="00CA46DB">
        <w:rPr>
          <w:rFonts w:ascii="Calibri" w:eastAsia="SimSun" w:hAnsi="Calibri" w:cs="Calibri"/>
          <w:color w:val="000000" w:themeColor="text1"/>
          <w:sz w:val="18"/>
          <w:szCs w:val="18"/>
          <w:vertAlign w:val="superscript"/>
        </w:rPr>
        <w:t>50</w:t>
      </w:r>
      <w:r w:rsidRPr="00CA46DB">
        <w:rPr>
          <w:rFonts w:ascii="Calibri" w:eastAsia="SimSun" w:hAnsi="Calibri" w:cs="Calibri"/>
          <w:color w:val="000000" w:themeColor="text1"/>
          <w:sz w:val="18"/>
          <w:szCs w:val="18"/>
        </w:rPr>
        <w:t xml:space="preserve"> and sulfonyl groups </w:t>
      </w:r>
      <w:r w:rsidRPr="00CA46DB">
        <w:rPr>
          <w:rFonts w:ascii="Calibri" w:eastAsia="SimSun" w:hAnsi="Calibri" w:cs="Calibri"/>
          <w:color w:val="000000" w:themeColor="text1"/>
          <w:sz w:val="18"/>
          <w:szCs w:val="18"/>
          <w:vertAlign w:val="superscript"/>
        </w:rPr>
        <w:t>51</w:t>
      </w:r>
      <w:r w:rsidRPr="00CA46DB">
        <w:rPr>
          <w:rFonts w:ascii="Calibri" w:eastAsia="SimSun" w:hAnsi="Calibri" w:cs="Calibri"/>
          <w:color w:val="000000" w:themeColor="text1"/>
          <w:sz w:val="18"/>
          <w:szCs w:val="18"/>
        </w:rPr>
        <w:t xml:space="preserve"> on the improvement of PI energy storage performances. For example, polar sulfonyl groups with high dipole moment (4.30 D) and flexible linkages between various configurations of benzene rings </w:t>
      </w:r>
      <w:r w:rsidRPr="00CA46DB">
        <w:rPr>
          <w:rFonts w:ascii="Calibri" w:eastAsia="SimSun" w:hAnsi="Calibri" w:cs="Calibri"/>
          <w:color w:val="000000" w:themeColor="text1"/>
          <w:sz w:val="18"/>
          <w:szCs w:val="18"/>
          <w:lang w:eastAsia="zh-Hans"/>
        </w:rPr>
        <w:t xml:space="preserve">were </w:t>
      </w:r>
      <w:r w:rsidRPr="00CA46DB">
        <w:rPr>
          <w:rFonts w:ascii="Calibri" w:eastAsia="SimSun" w:hAnsi="Calibri" w:cs="Calibri"/>
          <w:color w:val="000000" w:themeColor="text1"/>
          <w:sz w:val="18"/>
          <w:szCs w:val="18"/>
        </w:rPr>
        <w:t>introduced into the PI chains to enhance dipole density (see Fig. 9</w:t>
      </w:r>
      <w:r w:rsidRPr="00CA46DB">
        <w:rPr>
          <w:rFonts w:ascii="Calibri" w:eastAsia="SimSun" w:hAnsi="Calibri" w:cs="Calibri" w:hint="eastAsia"/>
          <w:color w:val="000000" w:themeColor="text1"/>
          <w:sz w:val="18"/>
          <w:szCs w:val="18"/>
          <w:lang w:eastAsia="zh-CN"/>
        </w:rPr>
        <w:t>(</w:t>
      </w:r>
      <w:r w:rsidRPr="00CA46DB">
        <w:rPr>
          <w:rFonts w:ascii="Calibri" w:eastAsia="SimSun" w:hAnsi="Calibri" w:cs="Calibri"/>
          <w:color w:val="000000" w:themeColor="text1"/>
          <w:sz w:val="18"/>
          <w:szCs w:val="18"/>
        </w:rPr>
        <w:t xml:space="preserve">a)). The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 xml:space="preserve">r </w:t>
      </w:r>
      <w:r w:rsidRPr="00CA46DB">
        <w:rPr>
          <w:rFonts w:ascii="Calibri" w:eastAsia="SimSun" w:hAnsi="Calibri" w:cs="Calibri"/>
          <w:color w:val="000000" w:themeColor="text1"/>
          <w:sz w:val="18"/>
          <w:szCs w:val="18"/>
        </w:rPr>
        <w:t>and tan</w:t>
      </w:r>
      <w:r w:rsidRPr="00CA46DB">
        <w:rPr>
          <w:rFonts w:ascii="Calibri" w:eastAsia="SimSun" w:hAnsi="Calibri" w:cs="Calibri"/>
          <w:i/>
          <w:iCs/>
          <w:color w:val="000000" w:themeColor="text1"/>
          <w:sz w:val="18"/>
          <w:szCs w:val="18"/>
        </w:rPr>
        <w:t>δ</w:t>
      </w:r>
      <w:r w:rsidRPr="00CA46DB">
        <w:rPr>
          <w:rFonts w:ascii="Calibri" w:eastAsia="SimSun" w:hAnsi="Calibri" w:cs="Calibri"/>
          <w:color w:val="000000" w:themeColor="text1"/>
          <w:sz w:val="18"/>
          <w:szCs w:val="18"/>
        </w:rPr>
        <w:t xml:space="preserve"> over the frequency range of 10</w:t>
      </w:r>
      <w:r w:rsidRPr="00CA46DB">
        <w:rPr>
          <w:rFonts w:ascii="Calibri" w:eastAsia="SimSun" w:hAnsi="Calibri" w:cs="Calibri"/>
          <w:color w:val="000000" w:themeColor="text1"/>
          <w:sz w:val="18"/>
          <w:szCs w:val="18"/>
          <w:vertAlign w:val="superscript"/>
        </w:rPr>
        <w:t>1</w:t>
      </w:r>
      <w:r w:rsidRPr="00CA46DB">
        <w:rPr>
          <w:rFonts w:ascii="Calibri" w:eastAsia="SimSun" w:hAnsi="Calibri" w:cs="Calibri"/>
          <w:color w:val="000000" w:themeColor="text1"/>
          <w:sz w:val="18"/>
          <w:szCs w:val="18"/>
        </w:rPr>
        <w:t>–10</w:t>
      </w:r>
      <w:r w:rsidRPr="00CA46DB">
        <w:rPr>
          <w:rFonts w:ascii="Calibri" w:eastAsia="SimSun" w:hAnsi="Calibri" w:cs="Calibri"/>
          <w:color w:val="000000" w:themeColor="text1"/>
          <w:sz w:val="18"/>
          <w:szCs w:val="18"/>
          <w:vertAlign w:val="superscript"/>
        </w:rPr>
        <w:t>6</w:t>
      </w:r>
      <w:r w:rsidRPr="00CA46DB">
        <w:rPr>
          <w:rFonts w:ascii="Calibri" w:eastAsia="SimSun" w:hAnsi="Calibri" w:cs="Calibri"/>
          <w:color w:val="000000" w:themeColor="text1"/>
          <w:sz w:val="18"/>
          <w:szCs w:val="18"/>
        </w:rPr>
        <w:t xml:space="preserve"> Hz were shown in Fig. 9(b). Compared </w:t>
      </w:r>
      <w:r w:rsidRPr="00CA46DB">
        <w:rPr>
          <w:rFonts w:ascii="Calibri" w:eastAsia="SimSun" w:hAnsi="Calibri" w:cs="Calibri"/>
          <w:color w:val="000000" w:themeColor="text1"/>
          <w:sz w:val="18"/>
          <w:szCs w:val="18"/>
        </w:rPr>
        <w:br w:type="column"/>
      </w:r>
      <w:r w:rsidRPr="00CA46DB">
        <w:rPr>
          <w:rFonts w:ascii="Calibri" w:eastAsia="SimSun" w:hAnsi="Calibri" w:cs="Calibri"/>
          <w:color w:val="000000" w:themeColor="text1"/>
          <w:sz w:val="18"/>
          <w:szCs w:val="18"/>
        </w:rPr>
        <w:t>with SPI-3 and SPI-7, -SO</w:t>
      </w:r>
      <w:r w:rsidRPr="00CA46DB">
        <w:rPr>
          <w:rFonts w:ascii="Calibri" w:eastAsia="SimSun" w:hAnsi="Calibri" w:cs="Calibri"/>
          <w:color w:val="000000" w:themeColor="text1"/>
          <w:sz w:val="18"/>
          <w:szCs w:val="18"/>
          <w:vertAlign w:val="subscript"/>
        </w:rPr>
        <w:t>2</w:t>
      </w:r>
      <w:r w:rsidRPr="00CA46DB">
        <w:rPr>
          <w:rFonts w:ascii="Calibri" w:eastAsia="SimSun" w:hAnsi="Calibri" w:cs="Calibri"/>
          <w:color w:val="000000" w:themeColor="text1"/>
          <w:sz w:val="18"/>
          <w:szCs w:val="18"/>
        </w:rPr>
        <w:t xml:space="preserve">- in SPI-1 and SPI-2 had a higher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resulting from their greater mobility, i.e. more “effective dipoles”. Compared with meta-meta linked SPI-2, the para–para linked SPI-1 had more symmetry and a lower energy barrier in free rotation, which increased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and reduced tan</w:t>
      </w:r>
      <w:r w:rsidRPr="00CA46DB">
        <w:rPr>
          <w:rFonts w:ascii="Calibri" w:eastAsia="SimSun" w:hAnsi="Calibri" w:cs="Calibri"/>
          <w:i/>
          <w:iCs/>
          <w:color w:val="000000" w:themeColor="text1"/>
          <w:sz w:val="18"/>
          <w:szCs w:val="18"/>
        </w:rPr>
        <w:t>δ</w:t>
      </w:r>
      <w:r w:rsidRPr="00CA46DB">
        <w:rPr>
          <w:rFonts w:ascii="Calibri" w:eastAsia="SimSun" w:hAnsi="Calibri" w:cs="Calibri"/>
          <w:color w:val="000000" w:themeColor="text1"/>
          <w:sz w:val="18"/>
          <w:szCs w:val="18"/>
        </w:rPr>
        <w:t>. Below 10</w:t>
      </w:r>
      <w:r w:rsidRPr="00CA46DB">
        <w:rPr>
          <w:rFonts w:ascii="Calibri" w:eastAsia="SimSun" w:hAnsi="Calibri" w:cs="Calibri"/>
          <w:color w:val="000000" w:themeColor="text1"/>
          <w:sz w:val="18"/>
          <w:szCs w:val="18"/>
          <w:vertAlign w:val="superscript"/>
        </w:rPr>
        <w:t xml:space="preserve">3 </w:t>
      </w:r>
      <w:r w:rsidRPr="00CA46DB">
        <w:rPr>
          <w:rFonts w:ascii="Calibri" w:eastAsia="SimSun" w:hAnsi="Calibri" w:cs="Calibri"/>
          <w:color w:val="000000" w:themeColor="text1"/>
          <w:sz w:val="18"/>
          <w:szCs w:val="18"/>
        </w:rPr>
        <w:t>Hz, the tan</w:t>
      </w:r>
      <w:r w:rsidRPr="00CA46DB">
        <w:rPr>
          <w:rFonts w:ascii="Calibri" w:eastAsia="SimSun" w:hAnsi="Calibri" w:cs="Calibri"/>
          <w:i/>
          <w:iCs/>
          <w:color w:val="000000" w:themeColor="text1"/>
          <w:sz w:val="18"/>
          <w:szCs w:val="18"/>
        </w:rPr>
        <w:t>δ</w:t>
      </w:r>
      <w:r w:rsidRPr="00CA46DB">
        <w:rPr>
          <w:rFonts w:ascii="Calibri" w:eastAsia="SimSun" w:hAnsi="Calibri" w:cs="Calibri"/>
          <w:color w:val="000000" w:themeColor="text1"/>
          <w:sz w:val="18"/>
          <w:szCs w:val="18"/>
        </w:rPr>
        <w:t xml:space="preserve"> values of SPI-5 and SPI-7 were very close. As the frequency increased beyond 10</w:t>
      </w:r>
      <w:r w:rsidRPr="00CA46DB">
        <w:rPr>
          <w:rFonts w:ascii="Calibri" w:eastAsia="SimSun" w:hAnsi="Calibri" w:cs="Calibri"/>
          <w:color w:val="000000" w:themeColor="text1"/>
          <w:sz w:val="18"/>
          <w:szCs w:val="18"/>
          <w:vertAlign w:val="superscript"/>
        </w:rPr>
        <w:t xml:space="preserve">3 </w:t>
      </w:r>
      <w:r w:rsidRPr="00CA46DB">
        <w:rPr>
          <w:rFonts w:ascii="Calibri" w:eastAsia="SimSun" w:hAnsi="Calibri" w:cs="Calibri"/>
          <w:color w:val="000000" w:themeColor="text1"/>
          <w:sz w:val="18"/>
          <w:szCs w:val="18"/>
        </w:rPr>
        <w:t>Hz, SPI-5 maintained a relatively low tan</w:t>
      </w:r>
      <w:r w:rsidRPr="00CA46DB">
        <w:rPr>
          <w:rFonts w:ascii="Calibri" w:eastAsia="SimSun" w:hAnsi="Calibri" w:cs="Calibri"/>
          <w:i/>
          <w:iCs/>
          <w:color w:val="000000" w:themeColor="text1"/>
          <w:sz w:val="18"/>
          <w:szCs w:val="18"/>
        </w:rPr>
        <w:t>δ</w:t>
      </w:r>
      <w:r w:rsidRPr="00CA46DB">
        <w:rPr>
          <w:rFonts w:ascii="Calibri" w:eastAsia="SimSun" w:hAnsi="Calibri" w:cs="Calibri"/>
          <w:color w:val="000000" w:themeColor="text1"/>
          <w:sz w:val="18"/>
          <w:szCs w:val="18"/>
        </w:rPr>
        <w:t xml:space="preserve"> due to its more flexible ether linkage and symmetrical structure. Fig. 9(c) showed that the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of SPI-1 were almost constant above 100 </w:t>
      </w:r>
      <w:r w:rsidRPr="00CA46DB">
        <w:rPr>
          <w:rFonts w:ascii="Cambria Math" w:eastAsia="SimSun" w:hAnsi="Cambria Math" w:cs="Cambria Math"/>
          <w:color w:val="000000" w:themeColor="text1"/>
          <w:sz w:val="18"/>
          <w:szCs w:val="18"/>
        </w:rPr>
        <w:t>℃</w:t>
      </w:r>
      <w:r w:rsidRPr="00CA46DB">
        <w:rPr>
          <w:rFonts w:ascii="Calibri" w:eastAsia="SimSun" w:hAnsi="Calibri" w:cs="Calibri"/>
          <w:color w:val="000000" w:themeColor="text1"/>
          <w:sz w:val="18"/>
          <w:szCs w:val="18"/>
        </w:rPr>
        <w:t xml:space="preserve"> at each frequency, and stable up to 150 </w:t>
      </w:r>
      <w:r w:rsidRPr="00CA46DB">
        <w:rPr>
          <w:rFonts w:ascii="Cambria Math" w:eastAsia="SimSun" w:hAnsi="Cambria Math" w:cs="Cambria Math"/>
          <w:color w:val="000000" w:themeColor="text1"/>
          <w:sz w:val="18"/>
          <w:szCs w:val="18"/>
        </w:rPr>
        <w:t>℃</w:t>
      </w:r>
      <w:r w:rsidRPr="00CA46DB">
        <w:rPr>
          <w:rFonts w:ascii="Calibri" w:eastAsia="SimSun" w:hAnsi="Calibri" w:cs="Calibri"/>
          <w:color w:val="000000" w:themeColor="text1"/>
          <w:sz w:val="18"/>
          <w:szCs w:val="18"/>
        </w:rPr>
        <w:t xml:space="preserve">. This differed from BOPP which had a maximum operating temperature not exceeding 105 </w:t>
      </w:r>
      <w:r w:rsidRPr="00CA46DB">
        <w:rPr>
          <w:rFonts w:ascii="Cambria Math" w:eastAsia="SimSun" w:hAnsi="Cambria Math" w:cs="Cambria Math"/>
          <w:color w:val="000000" w:themeColor="text1"/>
          <w:sz w:val="18"/>
          <w:szCs w:val="18"/>
        </w:rPr>
        <w:t>℃</w:t>
      </w:r>
      <w:r w:rsidRPr="00CA46DB">
        <w:rPr>
          <w:rFonts w:ascii="Calibri" w:eastAsia="SimSun" w:hAnsi="Calibri" w:cs="Calibri"/>
          <w:color w:val="000000" w:themeColor="text1"/>
          <w:sz w:val="18"/>
          <w:szCs w:val="18"/>
        </w:rPr>
        <w:t>. And Fig. 9(d) illustrate</w:t>
      </w:r>
      <w:r w:rsidRPr="00CA46DB">
        <w:rPr>
          <w:rFonts w:ascii="Calibri" w:eastAsia="SimSun" w:hAnsi="Calibri" w:cs="Calibri" w:hint="eastAsia"/>
          <w:color w:val="000000" w:themeColor="text1"/>
          <w:sz w:val="18"/>
          <w:szCs w:val="18"/>
          <w:lang w:eastAsia="zh-CN"/>
        </w:rPr>
        <w:t>d</w:t>
      </w:r>
      <w:r w:rsidRPr="00CA46DB">
        <w:rPr>
          <w:rFonts w:ascii="Calibri" w:eastAsia="SimSun" w:hAnsi="Calibri" w:cs="Calibri"/>
          <w:color w:val="000000" w:themeColor="text1"/>
          <w:sz w:val="18"/>
          <w:szCs w:val="18"/>
        </w:rPr>
        <w:t xml:space="preserve"> that the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rPr>
        <w:t xml:space="preserve"> and η </w:t>
      </w:r>
      <w:r w:rsidRPr="00CA46DB">
        <w:rPr>
          <w:rFonts w:ascii="Calibri" w:eastAsia="SimSun" w:hAnsi="Calibri" w:cs="Calibri" w:hint="eastAsia"/>
          <w:color w:val="000000" w:themeColor="text1"/>
          <w:sz w:val="18"/>
          <w:szCs w:val="18"/>
          <w:lang w:eastAsia="zh-CN"/>
        </w:rPr>
        <w:t>were</w:t>
      </w:r>
      <w:r w:rsidRPr="00CA46DB">
        <w:rPr>
          <w:rFonts w:ascii="Calibri" w:eastAsia="SimSun" w:hAnsi="Calibri" w:cs="Calibri"/>
          <w:color w:val="000000" w:themeColor="text1"/>
          <w:sz w:val="18"/>
          <w:szCs w:val="18"/>
        </w:rPr>
        <w:t xml:space="preserve"> as high as 7.04 J·cm</w:t>
      </w:r>
      <w:r w:rsidRPr="00CA46DB">
        <w:rPr>
          <w:rFonts w:ascii="Calibri" w:eastAsia="SimSun" w:hAnsi="Calibri" w:cs="Calibri"/>
          <w:color w:val="000000" w:themeColor="text1"/>
          <w:sz w:val="18"/>
          <w:szCs w:val="18"/>
          <w:vertAlign w:val="superscript"/>
        </w:rPr>
        <w:t>−3</w:t>
      </w:r>
      <w:r w:rsidRPr="00CA46DB">
        <w:rPr>
          <w:rFonts w:ascii="Calibri" w:eastAsia="SimSun" w:hAnsi="Calibri" w:cs="Calibri"/>
          <w:color w:val="000000" w:themeColor="text1"/>
          <w:sz w:val="18"/>
          <w:szCs w:val="18"/>
        </w:rPr>
        <w:t xml:space="preserve"> and 91.3% at 500 MV·m</w:t>
      </w:r>
      <w:r w:rsidRPr="00CA46DB">
        <w:rPr>
          <w:rFonts w:ascii="Calibri" w:eastAsia="SimSun" w:hAnsi="Calibri" w:cs="Calibri"/>
          <w:color w:val="000000" w:themeColor="text1"/>
          <w:sz w:val="18"/>
          <w:szCs w:val="18"/>
          <w:vertAlign w:val="superscript"/>
        </w:rPr>
        <w:t>−1</w:t>
      </w:r>
      <w:r w:rsidRPr="00CA46DB">
        <w:rPr>
          <w:rFonts w:ascii="Calibri" w:eastAsia="SimSun" w:hAnsi="Calibri" w:cs="Calibri"/>
          <w:color w:val="000000" w:themeColor="text1"/>
          <w:sz w:val="18"/>
          <w:szCs w:val="18"/>
        </w:rPr>
        <w:t xml:space="preserve">, respectively. </w:t>
      </w:r>
      <w:r w:rsidRPr="00CA46DB">
        <w:rPr>
          <w:rFonts w:ascii="Calibri" w:eastAsia="SimSun" w:hAnsi="Calibri" w:cs="Calibri" w:hint="eastAsia"/>
          <w:color w:val="000000" w:themeColor="text1"/>
          <w:sz w:val="18"/>
          <w:szCs w:val="18"/>
          <w:lang w:eastAsia="zh-CN"/>
        </w:rPr>
        <w:t>T</w:t>
      </w:r>
      <w:r w:rsidRPr="00CA46DB">
        <w:rPr>
          <w:rFonts w:ascii="Calibri" w:eastAsia="SimSun" w:hAnsi="Calibri" w:cs="Calibri"/>
          <w:color w:val="000000" w:themeColor="text1"/>
          <w:sz w:val="18"/>
          <w:szCs w:val="18"/>
        </w:rPr>
        <w:t xml:space="preserve">he highly </w:t>
      </w:r>
    </w:p>
    <w:p w14:paraId="0A3ECFF8" w14:textId="77777777" w:rsidR="00FC2A41" w:rsidRPr="00CA46DB" w:rsidRDefault="00166212">
      <w:pPr>
        <w:tabs>
          <w:tab w:val="left" w:pos="3462"/>
        </w:tabs>
        <w:spacing w:line="240" w:lineRule="exact"/>
        <w:rPr>
          <w:rFonts w:ascii="Calibri" w:eastAsia="SimSun" w:hAnsi="Calibri" w:cs="Calibri"/>
          <w:color w:val="000000" w:themeColor="text1"/>
          <w:sz w:val="18"/>
          <w:szCs w:val="18"/>
        </w:rPr>
      </w:pPr>
      <w:r w:rsidRPr="00CA46DB">
        <w:rPr>
          <w:rFonts w:ascii="Calibri" w:eastAsia="SimSun" w:hAnsi="Calibri" w:cs="Calibri"/>
          <w:noProof/>
          <w:color w:val="000000" w:themeColor="text1"/>
          <w:lang w:eastAsia="zh-CN"/>
        </w:rPr>
        <w:drawing>
          <wp:anchor distT="0" distB="0" distL="114300" distR="114300" simplePos="0" relativeHeight="251680768" behindDoc="1" locked="0" layoutInCell="1" allowOverlap="1" wp14:anchorId="59679277" wp14:editId="756AC667">
            <wp:simplePos x="0" y="0"/>
            <wp:positionH relativeFrom="column">
              <wp:posOffset>407035</wp:posOffset>
            </wp:positionH>
            <wp:positionV relativeFrom="paragraph">
              <wp:posOffset>183515</wp:posOffset>
            </wp:positionV>
            <wp:extent cx="5579745" cy="2712085"/>
            <wp:effectExtent l="0" t="0" r="0" b="0"/>
            <wp:wrapTight wrapText="bothSides">
              <wp:wrapPolygon edited="0">
                <wp:start x="-1861" y="0"/>
                <wp:lineTo x="-1770" y="21600"/>
                <wp:lineTo x="23894" y="21600"/>
                <wp:lineTo x="23895" y="0"/>
                <wp:lineTo x="-1861" y="0"/>
              </wp:wrapPolygon>
            </wp:wrapTight>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79745" cy="2712085"/>
                    </a:xfrm>
                    <a:prstGeom prst="rect">
                      <a:avLst/>
                    </a:prstGeom>
                  </pic:spPr>
                </pic:pic>
              </a:graphicData>
            </a:graphic>
          </wp:anchor>
        </w:drawing>
      </w:r>
      <w:r w:rsidRPr="00CA46DB">
        <w:rPr>
          <w:rFonts w:ascii="Calibri" w:eastAsia="SimSun" w:hAnsi="Calibri" w:cs="Calibri"/>
          <w:noProof/>
          <w:color w:val="000000" w:themeColor="text1"/>
          <w:lang w:eastAsia="zh-CN"/>
        </w:rPr>
        <mc:AlternateContent>
          <mc:Choice Requires="wpg">
            <w:drawing>
              <wp:inline distT="0" distB="0" distL="0" distR="0" wp14:anchorId="1C4A6232" wp14:editId="6CA5C68B">
                <wp:extent cx="6480175" cy="10795"/>
                <wp:effectExtent l="0" t="0" r="0" b="0"/>
                <wp:docPr id="16" name="Group 4178"/>
                <wp:cNvGraphicFramePr/>
                <a:graphic xmlns:a="http://schemas.openxmlformats.org/drawingml/2006/main">
                  <a:graphicData uri="http://schemas.microsoft.com/office/word/2010/wordprocessingGroup">
                    <wpg:wgp>
                      <wpg:cNvGrpSpPr/>
                      <wpg:grpSpPr>
                        <a:xfrm>
                          <a:off x="0" y="0"/>
                          <a:ext cx="6480175" cy="10795"/>
                          <a:chOff x="0" y="0"/>
                          <a:chExt cx="6692405" cy="18974"/>
                        </a:xfrm>
                      </wpg:grpSpPr>
                      <wps:wsp>
                        <wps:cNvPr id="17" name="Shape 4839"/>
                        <wps:cNvSpPr/>
                        <wps:spPr>
                          <a:xfrm>
                            <a:off x="0" y="0"/>
                            <a:ext cx="6692405" cy="18974"/>
                          </a:xfrm>
                          <a:custGeom>
                            <a:avLst/>
                            <a:gdLst/>
                            <a:ahLst/>
                            <a:cxnLst/>
                            <a:rect l="0" t="0" r="0" b="0"/>
                            <a:pathLst>
                              <a:path w="6692405" h="18974">
                                <a:moveTo>
                                  <a:pt x="0" y="0"/>
                                </a:moveTo>
                                <a:lnTo>
                                  <a:pt x="6692405" y="0"/>
                                </a:lnTo>
                                <a:lnTo>
                                  <a:pt x="6692405" y="18974"/>
                                </a:lnTo>
                                <a:lnTo>
                                  <a:pt x="0" y="18974"/>
                                </a:lnTo>
                                <a:lnTo>
                                  <a:pt x="0" y="0"/>
                                </a:lnTo>
                              </a:path>
                            </a:pathLst>
                          </a:custGeom>
                          <a:solidFill>
                            <a:srgbClr val="DED9C9"/>
                          </a:solidFill>
                          <a:ln w="0" cap="flat">
                            <a:noFill/>
                            <a:miter lim="127000"/>
                          </a:ln>
                          <a:effectLst/>
                        </wps:spPr>
                        <wps:bodyPr/>
                      </wps:wsp>
                    </wpg:wgp>
                  </a:graphicData>
                </a:graphic>
              </wp:inline>
            </w:drawing>
          </mc:Choice>
          <mc:Fallback>
            <w:pict>
              <v:group w14:anchorId="2D76BFB1" id="Group 4178" o:spid="_x0000_s1026" style="width:510.25pt;height:.85pt;mso-position-horizontal-relative:char;mso-position-vertical-relative:line" coordsize="6692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">
                <v:shape id="Shape 4839" o:spid="_x0000_s1027" style="position:absolute;width:66924;height:189;visibility:visible;mso-wrap-style:square;v-text-anchor:top" coordsize="6692405,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" path="m,l6692405,r,18974l,18974,,e" fillcolor="#ded9c9" stroked="f" strokeweight="0">
                  <v:stroke miterlimit="83231f" joinstyle="miter"/>
                  <v:path arrowok="t" textboxrect="0,0,6692405,18974"/>
                </v:shape>
                <w10:anchorlock/>
              </v:group>
            </w:pict>
          </mc:Fallback>
        </mc:AlternateContent>
      </w:r>
    </w:p>
    <w:p w14:paraId="26BD2002" w14:textId="77777777" w:rsidR="00FC2A41" w:rsidRPr="00CA46DB" w:rsidRDefault="00166212">
      <w:pPr>
        <w:tabs>
          <w:tab w:val="left" w:pos="3462"/>
        </w:tabs>
        <w:spacing w:line="240" w:lineRule="exact"/>
        <w:rPr>
          <w:rFonts w:ascii="Times New Roman Regular" w:eastAsia="SimSun" w:hAnsi="Times New Roman Regular" w:cs="Times New Roman Regular"/>
          <w:color w:val="000000" w:themeColor="text1"/>
          <w:sz w:val="24"/>
        </w:rPr>
      </w:pPr>
      <w:r w:rsidRPr="00CA46DB">
        <w:rPr>
          <w:rFonts w:ascii="Calibri" w:eastAsia="SimSun" w:hAnsi="Calibri" w:cs="Calibri"/>
          <w:color w:val="000000" w:themeColor="text1"/>
          <w:sz w:val="18"/>
          <w:szCs w:val="18"/>
        </w:rPr>
        <w:t xml:space="preserve">Fig. 9. (a) Monomers of sulfonyl-containing polyimides. The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and </w:t>
      </w:r>
      <w:r w:rsidRPr="00CA46DB">
        <w:rPr>
          <w:rFonts w:ascii="Calibri" w:eastAsia="楷体-简" w:hAnsi="Calibri" w:cs="Calibri"/>
          <w:color w:val="000000" w:themeColor="text1"/>
          <w:sz w:val="18"/>
          <w:szCs w:val="18"/>
        </w:rPr>
        <w:t>tan</w:t>
      </w:r>
      <w:r w:rsidRPr="00CA46DB">
        <w:rPr>
          <w:rFonts w:ascii="Calibri" w:eastAsia="楷体-简" w:hAnsi="Calibri" w:cs="Calibri"/>
          <w:i/>
          <w:iCs/>
          <w:color w:val="000000" w:themeColor="text1"/>
          <w:sz w:val="18"/>
          <w:szCs w:val="18"/>
        </w:rPr>
        <w:t>δ</w:t>
      </w:r>
      <w:r w:rsidRPr="00CA46DB">
        <w:rPr>
          <w:rFonts w:ascii="Calibri" w:eastAsia="SimSun" w:hAnsi="Calibri" w:cs="Calibri"/>
          <w:color w:val="000000" w:themeColor="text1"/>
          <w:sz w:val="18"/>
          <w:szCs w:val="18"/>
        </w:rPr>
        <w:t xml:space="preserve"> of sulfonyl-containing polyimides:</w:t>
      </w:r>
      <w:r w:rsidRPr="00CA46DB">
        <w:rPr>
          <w:rFonts w:ascii="Calibri" w:eastAsia="SimSun" w:hAnsi="Calibri" w:cs="Calibri"/>
          <w:color w:val="000000" w:themeColor="text1"/>
          <w:sz w:val="18"/>
          <w:szCs w:val="18"/>
          <w:vertAlign w:val="superscript"/>
        </w:rPr>
        <w:t xml:space="preserve"> </w:t>
      </w:r>
      <w:r w:rsidRPr="00CA46DB">
        <w:rPr>
          <w:rFonts w:ascii="Calibri" w:eastAsia="SimSun" w:hAnsi="Calibri" w:cs="Calibri"/>
          <w:color w:val="000000" w:themeColor="text1"/>
          <w:sz w:val="18"/>
          <w:szCs w:val="18"/>
        </w:rPr>
        <w:t xml:space="preserve">(b) SPI-1 to SPI-7 at room temperature, (c) SPI-1 at elevated temperature. (d) The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rPr>
        <w:t xml:space="preserve"> and η of SPI-1.</w:t>
      </w:r>
      <w:r w:rsidRPr="00CA46DB">
        <w:rPr>
          <w:rFonts w:ascii="Calibri" w:eastAsia="SimSun" w:hAnsi="Calibri" w:cs="Calibri"/>
          <w:color w:val="000000" w:themeColor="text1"/>
          <w:sz w:val="18"/>
          <w:szCs w:val="18"/>
          <w:vertAlign w:val="superscript"/>
        </w:rPr>
        <w:t>51</w:t>
      </w:r>
      <w:r w:rsidRPr="00CA46DB">
        <w:rPr>
          <w:rFonts w:ascii="Calibri" w:eastAsia="SimSun" w:hAnsi="Calibri" w:cs="Calibri"/>
          <w:color w:val="000000" w:themeColor="text1"/>
          <w:sz w:val="18"/>
          <w:szCs w:val="18"/>
        </w:rPr>
        <w:t xml:space="preserve"> </w:t>
      </w:r>
    </w:p>
    <w:p w14:paraId="4081BF10" w14:textId="77777777" w:rsidR="00FC2A41" w:rsidRPr="00CA46DB" w:rsidRDefault="00FC2A41">
      <w:pPr>
        <w:tabs>
          <w:tab w:val="left" w:pos="3462"/>
        </w:tabs>
        <w:spacing w:line="240" w:lineRule="exact"/>
        <w:rPr>
          <w:rFonts w:ascii="Calibri" w:eastAsia="SimSun" w:hAnsi="Calibri" w:cs="Calibr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4C8BAB4E" w14:textId="77777777" w:rsidR="00FC2A41" w:rsidRPr="00CA46DB" w:rsidRDefault="00166212">
      <w:pPr>
        <w:tabs>
          <w:tab w:val="left" w:pos="3462"/>
        </w:tabs>
        <w:spacing w:line="240" w:lineRule="exact"/>
        <w:rPr>
          <w:rFonts w:ascii="Calibri" w:eastAsia="SimSun" w:hAnsi="Calibri" w:cs="Calibr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r w:rsidRPr="00CA46DB">
        <w:rPr>
          <w:rFonts w:ascii="Calibri" w:eastAsia="SimSun" w:hAnsi="Calibri" w:cs="Calibri"/>
          <w:noProof/>
          <w:color w:val="000000" w:themeColor="text1"/>
          <w:sz w:val="18"/>
          <w:szCs w:val="18"/>
          <w:lang w:eastAsia="zh-CN"/>
        </w:rPr>
        <w:drawing>
          <wp:anchor distT="0" distB="0" distL="114300" distR="114300" simplePos="0" relativeHeight="251670528" behindDoc="1" locked="0" layoutInCell="1" allowOverlap="1" wp14:anchorId="2EBEAD0C" wp14:editId="64016439">
            <wp:simplePos x="0" y="0"/>
            <wp:positionH relativeFrom="column">
              <wp:posOffset>1268095</wp:posOffset>
            </wp:positionH>
            <wp:positionV relativeFrom="paragraph">
              <wp:posOffset>65405</wp:posOffset>
            </wp:positionV>
            <wp:extent cx="4102735" cy="2752090"/>
            <wp:effectExtent l="0" t="0" r="0" b="0"/>
            <wp:wrapTight wrapText="bothSides">
              <wp:wrapPolygon edited="0">
                <wp:start x="-6454" y="0"/>
                <wp:lineTo x="-6328" y="21600"/>
                <wp:lineTo x="26777" y="21600"/>
                <wp:lineTo x="26777" y="0"/>
                <wp:lineTo x="-6454" y="0"/>
              </wp:wrapPolygon>
            </wp:wrapTight>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102735" cy="2751867"/>
                    </a:xfrm>
                    <a:prstGeom prst="rect">
                      <a:avLst/>
                    </a:prstGeom>
                  </pic:spPr>
                </pic:pic>
              </a:graphicData>
            </a:graphic>
          </wp:anchor>
        </w:drawing>
      </w:r>
    </w:p>
    <w:p w14:paraId="2537B371" w14:textId="77777777" w:rsidR="00FC2A41" w:rsidRPr="00CA46DB" w:rsidRDefault="00166212">
      <w:pPr>
        <w:tabs>
          <w:tab w:val="left" w:pos="3462"/>
        </w:tabs>
        <w:spacing w:line="240" w:lineRule="exact"/>
        <w:rPr>
          <w:rFonts w:ascii="Calibri" w:eastAsia="SimSun" w:hAnsi="Calibri" w:cs="Calibri"/>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r w:rsidRPr="00CA46DB">
        <w:rPr>
          <w:rFonts w:ascii="Calibri" w:eastAsia="SimSun" w:hAnsi="Calibri" w:cs="Calibri"/>
          <w:color w:val="000000" w:themeColor="text1"/>
          <w:sz w:val="18"/>
          <w:szCs w:val="18"/>
        </w:rPr>
        <w:br w:type="column"/>
      </w:r>
    </w:p>
    <w:p w14:paraId="64EBC34D" w14:textId="77777777" w:rsidR="00FC2A41" w:rsidRPr="00CA46DB" w:rsidRDefault="00166212">
      <w:pPr>
        <w:tabs>
          <w:tab w:val="left" w:pos="3462"/>
        </w:tabs>
        <w:spacing w:line="240" w:lineRule="exact"/>
        <w:rPr>
          <w:rFonts w:ascii="Calibri" w:eastAsia="SimSun" w:hAnsi="Calibri" w:cs="Calibri"/>
          <w:color w:val="000000" w:themeColor="text1"/>
          <w:sz w:val="18"/>
          <w:szCs w:val="18"/>
        </w:rPr>
      </w:pPr>
      <w:r w:rsidRPr="00CA46DB">
        <w:rPr>
          <w:rFonts w:ascii="Calibri" w:eastAsia="SimSun" w:hAnsi="Calibri" w:cs="Calibri"/>
          <w:color w:val="000000" w:themeColor="text1"/>
          <w:sz w:val="18"/>
          <w:szCs w:val="18"/>
        </w:rPr>
        <w:t xml:space="preserve">Fig. 10. (a) Monomers of Polyimides A1−D2. (b) DFT-based initial screening results. (c)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vs frequency for various types of PI at room temperature.</w:t>
      </w:r>
      <w:r w:rsidRPr="00CA46DB">
        <w:rPr>
          <w:rFonts w:ascii="Calibri" w:eastAsia="SimSun" w:hAnsi="Calibri" w:cs="Calibri"/>
          <w:color w:val="000000" w:themeColor="text1"/>
          <w:sz w:val="18"/>
          <w:szCs w:val="18"/>
          <w:vertAlign w:val="superscript"/>
        </w:rPr>
        <w:t>15</w:t>
      </w:r>
    </w:p>
    <w:p w14:paraId="43B0453A" w14:textId="77777777" w:rsidR="00FC2A41" w:rsidRPr="00CA46DB" w:rsidRDefault="00FC2A41">
      <w:pPr>
        <w:tabs>
          <w:tab w:val="left" w:pos="3462"/>
        </w:tabs>
        <w:spacing w:line="240" w:lineRule="exact"/>
        <w:ind w:firstLineChars="200" w:firstLine="360"/>
        <w:rPr>
          <w:rFonts w:ascii="Calibri" w:eastAsia="SimSun" w:hAnsi="Calibri" w:cs="Calibr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5C5C9D42" w14:textId="77777777" w:rsidR="00FC2A41" w:rsidRPr="00CA46DB" w:rsidRDefault="00166212">
      <w:pPr>
        <w:tabs>
          <w:tab w:val="left" w:pos="3462"/>
        </w:tabs>
        <w:spacing w:after="0" w:line="240" w:lineRule="exact"/>
        <w:jc w:val="both"/>
        <w:rPr>
          <w:rFonts w:ascii="Calibri" w:eastAsia="SimSun" w:hAnsi="Calibri" w:cs="Calibri"/>
          <w:color w:val="000000" w:themeColor="text1"/>
          <w:sz w:val="18"/>
          <w:szCs w:val="18"/>
        </w:rPr>
      </w:pPr>
      <w:r w:rsidRPr="00CA46DB">
        <w:rPr>
          <w:rFonts w:ascii="Calibri" w:eastAsia="SimSun" w:hAnsi="Calibri" w:cs="Calibri"/>
          <w:color w:val="000000" w:themeColor="text1"/>
          <w:sz w:val="18"/>
          <w:szCs w:val="18"/>
        </w:rPr>
        <w:lastRenderedPageBreak/>
        <w:t>polar sulfonyl moiety, moderately flexible structure and aromatic nature of the PI were the main reasons for the excellent heat resistance and dielectric properties.</w:t>
      </w:r>
    </w:p>
    <w:p w14:paraId="6809C8FD" w14:textId="77777777" w:rsidR="00FC2A41" w:rsidRPr="00CA46DB" w:rsidRDefault="00166212">
      <w:pPr>
        <w:tabs>
          <w:tab w:val="left" w:pos="3462"/>
        </w:tabs>
        <w:spacing w:after="0" w:line="240" w:lineRule="exact"/>
        <w:ind w:firstLineChars="200" w:firstLine="360"/>
        <w:jc w:val="both"/>
        <w:rPr>
          <w:rFonts w:ascii="Calibri" w:eastAsia="SimSun" w:hAnsi="Calibri" w:cs="Calibri"/>
          <w:color w:val="000000" w:themeColor="text1"/>
          <w:sz w:val="18"/>
          <w:szCs w:val="18"/>
        </w:rPr>
      </w:pPr>
      <w:r w:rsidRPr="00CA46DB">
        <w:rPr>
          <w:rFonts w:ascii="Calibri" w:eastAsia="SimSun" w:hAnsi="Calibri" w:cs="Calibri"/>
          <w:color w:val="000000" w:themeColor="text1"/>
          <w:sz w:val="18"/>
          <w:szCs w:val="18"/>
        </w:rPr>
        <w:t xml:space="preserve">Ma et al. used high-throughput DFT computations to identify polymers with high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and band gap.</w:t>
      </w:r>
      <w:r w:rsidRPr="00CA46DB">
        <w:rPr>
          <w:rFonts w:ascii="Calibri" w:eastAsia="SimSun" w:hAnsi="Calibri" w:cs="Calibri"/>
          <w:color w:val="000000" w:themeColor="text1"/>
          <w:sz w:val="18"/>
          <w:szCs w:val="18"/>
          <w:vertAlign w:val="superscript"/>
        </w:rPr>
        <w:t>15</w:t>
      </w:r>
      <w:r w:rsidRPr="00CA46DB">
        <w:rPr>
          <w:rFonts w:ascii="Calibri" w:eastAsia="SimSun" w:hAnsi="Calibri" w:cs="Calibri"/>
          <w:color w:val="000000" w:themeColor="text1"/>
          <w:sz w:val="18"/>
          <w:szCs w:val="18"/>
        </w:rPr>
        <w:t xml:space="preserve"> As shown in Fig. 10(a), a series of PIs were selected as potential polymer materials. PI of B2 (fabricated by B and 2) with the longest cross-conjugated system and polyether segment exhibited the highest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(7.80) of all samples, but lowest band gap (3.48</w:t>
      </w:r>
      <w:r w:rsidRPr="00CA46DB">
        <w:rPr>
          <w:rFonts w:ascii="Calibri" w:eastAsia="SimSun" w:hAnsi="Calibri" w:cs="Calibri" w:hint="eastAsia"/>
          <w:color w:val="000000" w:themeColor="text1"/>
          <w:sz w:val="18"/>
          <w:szCs w:val="18"/>
          <w:lang w:val="en-US" w:eastAsia="zh-CN"/>
        </w:rPr>
        <w:t xml:space="preserve"> </w:t>
      </w:r>
      <w:r w:rsidRPr="00CA46DB">
        <w:rPr>
          <w:rFonts w:ascii="Calibri" w:eastAsia="SimSun" w:hAnsi="Calibri" w:cs="Calibri"/>
          <w:color w:val="000000" w:themeColor="text1"/>
          <w:sz w:val="18"/>
          <w:szCs w:val="18"/>
          <w:lang w:val="en-US" w:eastAsia="zh-CN"/>
        </w:rPr>
        <w:t>eV</w:t>
      </w:r>
      <w:r w:rsidRPr="00CA46DB">
        <w:rPr>
          <w:rFonts w:ascii="Calibri" w:eastAsia="SimSun" w:hAnsi="Calibri" w:cs="Calibri"/>
          <w:color w:val="000000" w:themeColor="text1"/>
          <w:sz w:val="18"/>
          <w:szCs w:val="18"/>
        </w:rPr>
        <w:t xml:space="preserve">). A further PI with a trifluoromethyl group, which resulted in less efficient molecular packing, gave a much lower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(2.50), but exhibited the highest band gap (3.98). As a result, a negative correlation between the band gap and the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was observed for these samples shown in Fig. 10(b) and (c).</w:t>
      </w:r>
    </w:p>
    <w:p w14:paraId="5A706DD9" w14:textId="77777777" w:rsidR="00FC2A41" w:rsidRPr="00CA46DB" w:rsidRDefault="00166212">
      <w:pPr>
        <w:tabs>
          <w:tab w:val="left" w:pos="3462"/>
        </w:tabs>
        <w:spacing w:after="0" w:line="240" w:lineRule="exact"/>
        <w:ind w:firstLineChars="200" w:firstLine="361"/>
        <w:jc w:val="both"/>
        <w:rPr>
          <w:rFonts w:ascii="Calibri" w:eastAsia="SimSun" w:hAnsi="Calibri" w:cs="Calibri"/>
          <w:b/>
          <w:bCs/>
          <w:color w:val="000000" w:themeColor="text1"/>
          <w:sz w:val="18"/>
          <w:szCs w:val="18"/>
        </w:rPr>
      </w:pPr>
      <w:r w:rsidRPr="00CA46DB">
        <w:rPr>
          <w:rFonts w:ascii="Calibri" w:eastAsia="SimSun" w:hAnsi="Calibri" w:cs="Calibri"/>
          <w:b/>
          <w:bCs/>
          <w:color w:val="000000" w:themeColor="text1"/>
          <w:sz w:val="18"/>
          <w:szCs w:val="18"/>
        </w:rPr>
        <w:t>3.2.2. Introduction of side chains on PI</w:t>
      </w:r>
      <w:r w:rsidRPr="00CA46DB">
        <w:rPr>
          <w:rFonts w:ascii="Calibri" w:eastAsia="SimSun" w:hAnsi="Calibri" w:cs="Calibri" w:hint="eastAsia"/>
          <w:b/>
          <w:bCs/>
          <w:color w:val="000000" w:themeColor="text1"/>
          <w:sz w:val="18"/>
          <w:szCs w:val="18"/>
        </w:rPr>
        <w:t>.</w:t>
      </w:r>
      <w:r w:rsidRPr="00CA46DB">
        <w:rPr>
          <w:rFonts w:ascii="Calibri" w:eastAsia="SimSun" w:hAnsi="Calibri" w:cs="Calibri"/>
          <w:b/>
          <w:bCs/>
          <w:color w:val="000000" w:themeColor="text1"/>
          <w:sz w:val="18"/>
          <w:szCs w:val="18"/>
        </w:rPr>
        <w:t xml:space="preserve"> </w:t>
      </w:r>
      <w:r w:rsidRPr="00CA46DB">
        <w:rPr>
          <w:rFonts w:ascii="Calibri" w:eastAsia="SimSun" w:hAnsi="Calibri" w:cs="Calibri"/>
          <w:color w:val="000000" w:themeColor="text1"/>
          <w:sz w:val="18"/>
          <w:szCs w:val="18"/>
        </w:rPr>
        <w:t>Groups containing bulky or long molecular chains also have been introduced in the side chain of PI to improve its dielectric properties. Zuo et al. designed and synthesized novel polymers containing a cross-linkable olefin group and a long alkyl chain with biphenyl.</w:t>
      </w:r>
      <w:r w:rsidRPr="00CA46DB">
        <w:rPr>
          <w:rFonts w:ascii="Calibri" w:eastAsia="SimSun" w:hAnsi="Calibri" w:cs="Calibri"/>
          <w:color w:val="000000" w:themeColor="text1"/>
          <w:sz w:val="18"/>
          <w:szCs w:val="18"/>
          <w:vertAlign w:val="superscript"/>
        </w:rPr>
        <w:t>72</w:t>
      </w:r>
      <w:r w:rsidRPr="00CA46DB">
        <w:rPr>
          <w:rFonts w:ascii="Calibri" w:eastAsia="SimSun" w:hAnsi="Calibri" w:cs="Calibri"/>
          <w:color w:val="000000" w:themeColor="text1"/>
          <w:sz w:val="18"/>
          <w:szCs w:val="18"/>
        </w:rPr>
        <w:t xml:space="preserve"> These two polyimides showed low </w:t>
      </w:r>
      <w:r w:rsidRPr="00CA46DB">
        <w:rPr>
          <w:rFonts w:ascii="Calibri" w:eastAsia="楷体-简" w:hAnsi="Calibri" w:cs="Calibri"/>
          <w:color w:val="000000" w:themeColor="text1"/>
          <w:sz w:val="18"/>
          <w:szCs w:val="18"/>
        </w:rPr>
        <w:t>tan</w:t>
      </w:r>
      <w:r w:rsidRPr="00CA46DB">
        <w:rPr>
          <w:rFonts w:ascii="Calibri" w:eastAsia="楷体-简" w:hAnsi="Calibri" w:cs="Calibri"/>
          <w:i/>
          <w:iCs/>
          <w:color w:val="000000" w:themeColor="text1"/>
          <w:sz w:val="18"/>
          <w:szCs w:val="18"/>
        </w:rPr>
        <w:t>δ</w:t>
      </w:r>
      <w:r w:rsidRPr="00CA46DB">
        <w:rPr>
          <w:rFonts w:ascii="Calibri" w:eastAsia="SimSun" w:hAnsi="Calibri" w:cs="Calibri"/>
          <w:color w:val="000000" w:themeColor="text1"/>
          <w:sz w:val="18"/>
          <w:szCs w:val="18"/>
        </w:rPr>
        <w:t xml:space="preserve"> es (&lt;0.02; 10</w:t>
      </w:r>
      <w:r w:rsidRPr="00CA46DB">
        <w:rPr>
          <w:rFonts w:ascii="Calibri" w:eastAsia="SimSun" w:hAnsi="Calibri" w:cs="Calibri"/>
          <w:color w:val="000000" w:themeColor="text1"/>
          <w:sz w:val="18"/>
          <w:szCs w:val="18"/>
          <w:vertAlign w:val="superscript"/>
        </w:rPr>
        <w:t>3</w:t>
      </w:r>
      <w:r w:rsidRPr="00CA46DB">
        <w:rPr>
          <w:rFonts w:ascii="Calibri" w:eastAsia="SimSun" w:hAnsi="Calibri" w:cs="Calibri"/>
          <w:color w:val="000000" w:themeColor="text1"/>
          <w:sz w:val="18"/>
          <w:szCs w:val="18"/>
        </w:rPr>
        <w:t>−10</w:t>
      </w:r>
      <w:r w:rsidRPr="00CA46DB">
        <w:rPr>
          <w:rFonts w:ascii="Calibri" w:eastAsia="SimSun" w:hAnsi="Calibri" w:cs="Calibri"/>
          <w:color w:val="000000" w:themeColor="text1"/>
          <w:sz w:val="18"/>
          <w:szCs w:val="18"/>
          <w:vertAlign w:val="superscript"/>
        </w:rPr>
        <w:t>7</w:t>
      </w:r>
      <w:r w:rsidRPr="00CA46DB">
        <w:rPr>
          <w:rFonts w:ascii="Calibri" w:eastAsia="SimSun" w:hAnsi="Calibri" w:cs="Calibri"/>
          <w:color w:val="000000" w:themeColor="text1"/>
          <w:sz w:val="18"/>
          <w:szCs w:val="18"/>
        </w:rPr>
        <w:t xml:space="preserve"> Hz) and good thermal stability. The crosslinked polymer also showed a relatively low leakage current density due to the inhibition of ion migration and a pinhole-free surface morphology. Liaw et al. used a novel diamine to prepare poly(pyridine imide).</w:t>
      </w:r>
      <w:r w:rsidRPr="00CA46DB">
        <w:rPr>
          <w:rFonts w:ascii="Calibri" w:eastAsia="SimSun" w:hAnsi="Calibri" w:cs="Calibri"/>
          <w:color w:val="000000" w:themeColor="text1"/>
          <w:sz w:val="18"/>
          <w:szCs w:val="18"/>
          <w:vertAlign w:val="superscript"/>
        </w:rPr>
        <w:t>73</w:t>
      </w:r>
      <w:r w:rsidRPr="00CA46DB">
        <w:rPr>
          <w:rFonts w:ascii="Calibri" w:eastAsia="SimSun" w:hAnsi="Calibri" w:cs="Calibri"/>
          <w:color w:val="000000" w:themeColor="text1"/>
          <w:sz w:val="18"/>
          <w:szCs w:val="18"/>
        </w:rPr>
        <w:t xml:space="preserve"> The polymer also exhibited good thermal stability and high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(4.20 at 10</w:t>
      </w:r>
      <w:r w:rsidRPr="00CA46DB">
        <w:rPr>
          <w:rFonts w:ascii="Calibri" w:eastAsia="SimSun" w:hAnsi="Calibri" w:cs="Calibri"/>
          <w:color w:val="000000" w:themeColor="text1"/>
          <w:sz w:val="18"/>
          <w:szCs w:val="18"/>
          <w:vertAlign w:val="superscript"/>
        </w:rPr>
        <w:t>3</w:t>
      </w:r>
      <w:r w:rsidRPr="00CA46DB">
        <w:rPr>
          <w:rFonts w:ascii="Calibri" w:eastAsia="SimSun" w:hAnsi="Calibri" w:cs="Calibri"/>
          <w:color w:val="000000" w:themeColor="text1"/>
          <w:sz w:val="18"/>
          <w:szCs w:val="18"/>
        </w:rPr>
        <w:t xml:space="preserve"> Hz), which was attributed to the rigid pyridine heterocyclic diamine and the naphthyl group. Venkat et al. synthesized a fluorinated polyimide post-functionalized with pendant adamantyl esters.</w:t>
      </w:r>
      <w:r w:rsidRPr="00CA46DB">
        <w:rPr>
          <w:rFonts w:ascii="Calibri" w:eastAsia="SimSun" w:hAnsi="Calibri" w:cs="Calibri"/>
          <w:color w:val="000000" w:themeColor="text1"/>
          <w:sz w:val="18"/>
          <w:szCs w:val="18"/>
          <w:vertAlign w:val="superscript"/>
        </w:rPr>
        <w:t>74</w:t>
      </w:r>
      <w:r w:rsidRPr="00CA46DB">
        <w:rPr>
          <w:rFonts w:ascii="Calibri" w:eastAsia="SimSun" w:hAnsi="Calibri" w:cs="Calibri"/>
          <w:color w:val="000000" w:themeColor="text1"/>
          <w:sz w:val="18"/>
          <w:szCs w:val="18"/>
        </w:rPr>
        <w:t xml:space="preserve"> The PI had a high thermal stability (</w:t>
      </w:r>
      <w:r w:rsidRPr="00CA46DB">
        <w:rPr>
          <w:rFonts w:ascii="Calibri" w:eastAsia="SimSun" w:hAnsi="Calibri" w:cs="Calibri"/>
          <w:i/>
          <w:iCs/>
          <w:color w:val="000000" w:themeColor="text1"/>
          <w:sz w:val="18"/>
          <w:szCs w:val="18"/>
        </w:rPr>
        <w:t>T</w:t>
      </w:r>
      <w:r w:rsidRPr="00CA46DB">
        <w:rPr>
          <w:rFonts w:ascii="Calibri" w:eastAsia="SimSun" w:hAnsi="Calibri" w:cs="Calibri"/>
          <w:color w:val="000000" w:themeColor="text1"/>
          <w:sz w:val="18"/>
          <w:szCs w:val="18"/>
          <w:vertAlign w:val="subscript"/>
        </w:rPr>
        <w:t>g</w:t>
      </w:r>
      <w:r w:rsidRPr="00CA46DB">
        <w:rPr>
          <w:rFonts w:ascii="Calibri" w:eastAsia="SimSun" w:hAnsi="Calibri" w:cs="Calibri"/>
          <w:color w:val="000000" w:themeColor="text1"/>
          <w:sz w:val="18"/>
          <w:szCs w:val="18"/>
        </w:rPr>
        <w:t xml:space="preserve">=305 </w:t>
      </w:r>
      <w:r w:rsidRPr="00CA46DB">
        <w:rPr>
          <w:rFonts w:ascii="Cambria Math" w:eastAsia="SimSun" w:hAnsi="Cambria Math" w:cs="Cambria Math"/>
          <w:color w:val="000000" w:themeColor="text1"/>
          <w:sz w:val="18"/>
          <w:szCs w:val="18"/>
        </w:rPr>
        <w:t>℃</w:t>
      </w:r>
      <w:r w:rsidRPr="00CA46DB">
        <w:rPr>
          <w:rFonts w:ascii="Calibri" w:eastAsia="SimSun" w:hAnsi="Calibri" w:cs="Calibri"/>
          <w:color w:val="000000" w:themeColor="text1"/>
          <w:sz w:val="18"/>
          <w:szCs w:val="18"/>
        </w:rPr>
        <w:t xml:space="preserve">) and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was relatively stable (2.85−2.91) from room temperature to 250 </w:t>
      </w:r>
      <w:r w:rsidRPr="00CA46DB">
        <w:rPr>
          <w:rFonts w:ascii="Cambria Math" w:eastAsia="SimSun" w:hAnsi="Cambria Math" w:cs="Cambria Math"/>
          <w:color w:val="000000" w:themeColor="text1"/>
          <w:sz w:val="18"/>
          <w:szCs w:val="18"/>
        </w:rPr>
        <w:t>℃</w:t>
      </w:r>
      <w:r w:rsidRPr="00CA46DB">
        <w:rPr>
          <w:rFonts w:ascii="Calibri" w:eastAsia="SimSun" w:hAnsi="Calibri" w:cs="Calibri"/>
          <w:color w:val="000000" w:themeColor="text1"/>
          <w:sz w:val="18"/>
          <w:szCs w:val="18"/>
          <w:vertAlign w:val="superscript"/>
        </w:rPr>
        <w:t xml:space="preserve"> </w:t>
      </w:r>
      <w:r w:rsidRPr="00CA46DB">
        <w:rPr>
          <w:rFonts w:ascii="Calibri" w:eastAsia="SimSun" w:hAnsi="Calibri" w:cs="Calibri"/>
          <w:color w:val="000000" w:themeColor="text1"/>
          <w:sz w:val="18"/>
          <w:szCs w:val="18"/>
        </w:rPr>
        <w:t>at 10</w:t>
      </w:r>
      <w:r w:rsidRPr="00CA46DB">
        <w:rPr>
          <w:rFonts w:ascii="Calibri" w:eastAsia="SimSun" w:hAnsi="Calibri" w:cs="Calibri"/>
          <w:color w:val="000000" w:themeColor="text1"/>
          <w:sz w:val="18"/>
          <w:szCs w:val="18"/>
          <w:vertAlign w:val="superscript"/>
        </w:rPr>
        <w:t>4</w:t>
      </w:r>
      <w:r w:rsidRPr="00CA46DB">
        <w:rPr>
          <w:rFonts w:ascii="Calibri" w:eastAsia="SimSun" w:hAnsi="Calibri" w:cs="Calibri"/>
          <w:color w:val="000000" w:themeColor="text1"/>
          <w:sz w:val="18"/>
          <w:szCs w:val="18"/>
        </w:rPr>
        <w:t xml:space="preserve"> Hz.</w:t>
      </w:r>
    </w:p>
    <w:p w14:paraId="2632F2CD" w14:textId="77777777" w:rsidR="00FC2A41" w:rsidRPr="00CA46DB" w:rsidRDefault="00166212">
      <w:pPr>
        <w:tabs>
          <w:tab w:val="left" w:pos="3462"/>
        </w:tabs>
        <w:spacing w:after="0" w:line="240" w:lineRule="exact"/>
        <w:ind w:firstLineChars="200" w:firstLine="361"/>
        <w:jc w:val="both"/>
        <w:rPr>
          <w:rFonts w:ascii="Calibri" w:eastAsia="SimSun" w:hAnsi="Calibri" w:cs="Calibri"/>
          <w:b/>
          <w:bCs/>
          <w:color w:val="000000" w:themeColor="text1"/>
          <w:sz w:val="18"/>
          <w:szCs w:val="18"/>
        </w:rPr>
      </w:pPr>
      <w:r w:rsidRPr="00CA46DB">
        <w:rPr>
          <w:rFonts w:ascii="Calibri" w:eastAsia="SimSun" w:hAnsi="Calibri" w:cs="Calibri"/>
          <w:b/>
          <w:bCs/>
          <w:color w:val="000000" w:themeColor="text1"/>
          <w:sz w:val="18"/>
          <w:szCs w:val="18"/>
        </w:rPr>
        <w:t>3.2.3. PI copolymer</w:t>
      </w:r>
      <w:r w:rsidRPr="00CA46DB">
        <w:rPr>
          <w:rFonts w:ascii="Calibri" w:eastAsia="SimSun" w:hAnsi="Calibri" w:cs="Calibri" w:hint="eastAsia"/>
          <w:b/>
          <w:bCs/>
          <w:color w:val="000000" w:themeColor="text1"/>
          <w:sz w:val="18"/>
          <w:szCs w:val="18"/>
        </w:rPr>
        <w:t>.</w:t>
      </w:r>
      <w:r w:rsidRPr="00CA46DB">
        <w:rPr>
          <w:rFonts w:ascii="Calibri" w:eastAsia="SimSun" w:hAnsi="Calibri" w:cs="Calibri"/>
          <w:b/>
          <w:bCs/>
          <w:color w:val="000000" w:themeColor="text1"/>
          <w:sz w:val="18"/>
          <w:szCs w:val="18"/>
        </w:rPr>
        <w:t xml:space="preserve"> </w:t>
      </w:r>
      <w:r w:rsidRPr="00CA46DB">
        <w:rPr>
          <w:rFonts w:ascii="Calibri" w:eastAsia="SimSun" w:hAnsi="Calibri" w:cs="Calibri"/>
          <w:color w:val="000000" w:themeColor="text1"/>
          <w:sz w:val="18"/>
          <w:szCs w:val="18"/>
        </w:rPr>
        <w:t>PI copolymers with high energy density can be obtained by regulating the dipolar polarization at the molecular level. However, the dipoles are restricted because of the weak dipolar polarization caused by the rigid structure of PI</w:t>
      </w:r>
      <w:r w:rsidRPr="00CA46DB">
        <w:rPr>
          <w:rFonts w:ascii="Calibri" w:eastAsia="SimSun" w:hAnsi="Calibri" w:cs="Calibri"/>
          <w:color w:val="000000" w:themeColor="text1"/>
          <w:sz w:val="18"/>
          <w:szCs w:val="18"/>
          <w:lang w:eastAsia="zh-Hans"/>
        </w:rPr>
        <w:t>s</w:t>
      </w:r>
      <w:r w:rsidRPr="00CA46DB">
        <w:rPr>
          <w:rFonts w:ascii="Calibri" w:eastAsia="SimSun" w:hAnsi="Calibri" w:cs="Calibri"/>
          <w:color w:val="000000" w:themeColor="text1"/>
          <w:sz w:val="18"/>
          <w:szCs w:val="18"/>
        </w:rPr>
        <w:t xml:space="preserve">. Adding flexible segments to the backbone can provide the polymer chain rotational flexibility for partial segment movement and increase the dielectric permittivity. The combination of rigid and </w:t>
      </w:r>
      <w:r w:rsidRPr="00CA46DB">
        <w:rPr>
          <w:rFonts w:ascii="Calibri" w:eastAsia="SimSun" w:hAnsi="Calibri" w:cs="Calibri"/>
          <w:color w:val="000000" w:themeColor="text1"/>
          <w:sz w:val="18"/>
          <w:szCs w:val="18"/>
        </w:rPr>
        <w:br w:type="column"/>
      </w:r>
      <w:r w:rsidRPr="00CA46DB">
        <w:rPr>
          <w:rFonts w:ascii="Calibri" w:eastAsia="SimSun" w:hAnsi="Calibri" w:cs="Calibri"/>
          <w:color w:val="000000" w:themeColor="text1"/>
          <w:sz w:val="18"/>
          <w:szCs w:val="18"/>
        </w:rPr>
        <w:t xml:space="preserve">flexible segments create free volume in the polymer and reduces the restriction on dipoles, helping to reduce dielectric loss. For example, Li et al. prepared a PI copolymer (BTDA-HK25) that exhibits low </w:t>
      </w:r>
      <w:r w:rsidRPr="00CA46DB">
        <w:rPr>
          <w:rFonts w:ascii="Calibri" w:eastAsia="楷体-简" w:hAnsi="Calibri" w:cs="Calibri"/>
          <w:color w:val="000000" w:themeColor="text1"/>
          <w:sz w:val="18"/>
          <w:szCs w:val="18"/>
        </w:rPr>
        <w:t>tan</w:t>
      </w:r>
      <w:r w:rsidRPr="00CA46DB">
        <w:rPr>
          <w:rFonts w:ascii="Calibri" w:eastAsia="楷体-简" w:hAnsi="Calibri" w:cs="Calibri"/>
          <w:i/>
          <w:iCs/>
          <w:color w:val="000000" w:themeColor="text1"/>
          <w:sz w:val="18"/>
          <w:szCs w:val="18"/>
        </w:rPr>
        <w:t>δ</w:t>
      </w:r>
      <w:r w:rsidRPr="00CA46DB">
        <w:rPr>
          <w:rFonts w:ascii="Calibri" w:eastAsia="SimSun" w:hAnsi="Calibri" w:cs="Calibri"/>
          <w:color w:val="000000" w:themeColor="text1"/>
          <w:sz w:val="18"/>
          <w:szCs w:val="18"/>
        </w:rPr>
        <w:t xml:space="preserve"> (&lt; 0.01) and high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(4.5) and energy density (12 J·cm</w:t>
      </w:r>
      <w:r w:rsidRPr="00CA46DB">
        <w:rPr>
          <w:rFonts w:ascii="Calibri" w:eastAsia="SimSun" w:hAnsi="Calibri" w:cs="Calibri"/>
          <w:color w:val="000000" w:themeColor="text1"/>
          <w:sz w:val="18"/>
          <w:szCs w:val="18"/>
          <w:vertAlign w:val="superscript"/>
        </w:rPr>
        <w:t>−3</w:t>
      </w:r>
      <w:r w:rsidRPr="00CA46DB">
        <w:rPr>
          <w:rFonts w:ascii="Calibri" w:eastAsia="SimSun" w:hAnsi="Calibri" w:cs="Calibri"/>
          <w:color w:val="000000" w:themeColor="text1"/>
          <w:sz w:val="18"/>
          <w:szCs w:val="18"/>
        </w:rPr>
        <w:t>, η &gt; 90%).</w:t>
      </w:r>
      <w:r w:rsidRPr="00CA46DB">
        <w:rPr>
          <w:rFonts w:ascii="Calibri" w:eastAsia="SimSun" w:hAnsi="Calibri" w:cs="Calibri"/>
          <w:color w:val="000000" w:themeColor="text1"/>
          <w:sz w:val="18"/>
          <w:szCs w:val="18"/>
          <w:vertAlign w:val="superscript"/>
        </w:rPr>
        <w:t>75</w:t>
      </w:r>
      <w:r w:rsidRPr="00CA46DB">
        <w:rPr>
          <w:rFonts w:ascii="Calibri" w:eastAsia="SimSun" w:hAnsi="Calibri" w:cs="Calibri"/>
          <w:color w:val="000000" w:themeColor="text1"/>
          <w:sz w:val="18"/>
          <w:szCs w:val="18"/>
        </w:rPr>
        <w:t xml:space="preserve"> There are also cases of using physical methods (blending of two polymers) to reduce the restriction on the dipole to increase the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which will be explained in section 3.3. </w:t>
      </w:r>
    </w:p>
    <w:p w14:paraId="0B997B91" w14:textId="77777777" w:rsidR="00FC2A41" w:rsidRPr="00CA46DB" w:rsidRDefault="00166212">
      <w:pPr>
        <w:tabs>
          <w:tab w:val="left" w:pos="3462"/>
        </w:tabs>
        <w:spacing w:after="0" w:line="240" w:lineRule="exact"/>
        <w:ind w:firstLineChars="200" w:firstLine="360"/>
        <w:jc w:val="both"/>
        <w:rPr>
          <w:rFonts w:ascii="Calibri" w:eastAsia="SimSun" w:hAnsi="Calibri" w:cs="Calibri"/>
          <w:color w:val="000000" w:themeColor="text1"/>
          <w:sz w:val="18"/>
          <w:szCs w:val="18"/>
        </w:rPr>
      </w:pPr>
      <w:r w:rsidRPr="00CA46DB">
        <w:rPr>
          <w:rFonts w:ascii="Calibri" w:eastAsia="SimSun" w:hAnsi="Calibri" w:cs="Calibri"/>
          <w:color w:val="000000" w:themeColor="text1"/>
          <w:sz w:val="18"/>
          <w:szCs w:val="18"/>
        </w:rPr>
        <w:t>Ma et al. also used pyromellitic dianhydride and various short-chain diamines to produce PIs with high imide density.</w:t>
      </w:r>
      <w:r w:rsidRPr="00CA46DB">
        <w:rPr>
          <w:rFonts w:ascii="Calibri" w:eastAsia="SimSun" w:hAnsi="Calibri" w:cs="Calibri"/>
          <w:color w:val="000000" w:themeColor="text1"/>
          <w:sz w:val="18"/>
          <w:szCs w:val="18"/>
          <w:vertAlign w:val="superscript"/>
        </w:rPr>
        <w:t>76</w:t>
      </w:r>
      <w:r w:rsidRPr="00CA46DB">
        <w:rPr>
          <w:rFonts w:ascii="Calibri" w:eastAsia="SimSun" w:hAnsi="Calibri" w:cs="Calibri"/>
          <w:color w:val="000000" w:themeColor="text1"/>
          <w:sz w:val="18"/>
          <w:szCs w:val="18"/>
        </w:rPr>
        <w:t xml:space="preserve"> The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of the synthesized homopolymers and copolymers ranged from 3.96−6.57. An improved understanding of the structure-property relationship of these PIs was obtained by combining these experimental results with the theoretical dielectric calculations from DFT.</w:t>
      </w:r>
    </w:p>
    <w:p w14:paraId="1A261C08" w14:textId="77777777" w:rsidR="00FC2A41" w:rsidRPr="00CA46DB" w:rsidRDefault="00166212">
      <w:pPr>
        <w:tabs>
          <w:tab w:val="left" w:pos="3462"/>
        </w:tabs>
        <w:spacing w:after="0" w:line="240" w:lineRule="exact"/>
        <w:ind w:firstLineChars="200" w:firstLine="360"/>
        <w:jc w:val="both"/>
        <w:rPr>
          <w:rFonts w:ascii="Calibri" w:eastAsia="SimSun" w:hAnsi="Calibri" w:cs="Calibri"/>
          <w:color w:val="000000" w:themeColor="text1"/>
          <w:sz w:val="18"/>
          <w:szCs w:val="18"/>
        </w:rPr>
      </w:pPr>
      <w:r w:rsidRPr="00CA46DB">
        <w:rPr>
          <w:rFonts w:ascii="Calibri" w:eastAsia="SimSun" w:hAnsi="Calibri" w:cs="Calibri"/>
          <w:color w:val="000000" w:themeColor="text1"/>
          <w:sz w:val="18"/>
          <w:szCs w:val="18"/>
        </w:rPr>
        <w:t>Introducing conductive oligomers into the PI matrix is another strategy. Among them, copper phthalocyanine has attracted attention as a semiconductor. Chen et al. synthesized a homogeneous organometallic copolymer of copper phthalocyanine oligomer grafted to polyimide (CuPc–PI) via a polycondensation between copper phthalocyanine anhydride oligomer (o-CuPcA) and an amino-capped polyamic acid, as shown in Fig. 11(a) and (b).</w:t>
      </w:r>
      <w:r w:rsidRPr="00CA46DB">
        <w:rPr>
          <w:rFonts w:ascii="Calibri" w:eastAsia="SimSun" w:hAnsi="Calibri" w:cs="Calibri"/>
          <w:color w:val="000000" w:themeColor="text1"/>
          <w:sz w:val="18"/>
          <w:szCs w:val="18"/>
          <w:vertAlign w:val="superscript"/>
        </w:rPr>
        <w:t>14</w:t>
      </w:r>
      <w:r w:rsidRPr="00CA46DB">
        <w:rPr>
          <w:rFonts w:ascii="Calibri" w:eastAsia="SimSun" w:hAnsi="Calibri" w:cs="Calibri"/>
          <w:color w:val="000000" w:themeColor="text1"/>
          <w:sz w:val="18"/>
          <w:szCs w:val="18"/>
        </w:rPr>
        <w:t xml:space="preserve"> The CuPc-PI, containing 30 wt% o-CuPcA, showed high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(23.2; 10</w:t>
      </w:r>
      <w:r w:rsidRPr="00CA46DB">
        <w:rPr>
          <w:rFonts w:ascii="Calibri" w:eastAsia="SimSun" w:hAnsi="Calibri" w:cs="Calibri"/>
          <w:color w:val="000000" w:themeColor="text1"/>
          <w:sz w:val="18"/>
          <w:szCs w:val="18"/>
          <w:vertAlign w:val="superscript"/>
        </w:rPr>
        <w:t>2</w:t>
      </w:r>
      <w:r w:rsidRPr="00CA46DB">
        <w:rPr>
          <w:rFonts w:ascii="Calibri" w:eastAsia="SimSun" w:hAnsi="Calibri" w:cs="Calibri"/>
          <w:color w:val="000000" w:themeColor="text1"/>
          <w:sz w:val="18"/>
          <w:szCs w:val="18"/>
        </w:rPr>
        <w:t xml:space="preserve"> Hz) </w:t>
      </w:r>
      <w:r w:rsidRPr="00CA46DB">
        <w:rPr>
          <w:rFonts w:ascii="Calibri" w:eastAsia="SimSun" w:hAnsi="Calibri" w:cs="Calibri"/>
          <w:color w:val="000000" w:themeColor="text1"/>
          <w:sz w:val="18"/>
          <w:szCs w:val="18"/>
          <w:lang w:eastAsia="zh-Hans"/>
        </w:rPr>
        <w:t xml:space="preserve">and </w:t>
      </w:r>
      <w:r w:rsidRPr="00CA46DB">
        <w:rPr>
          <w:rFonts w:ascii="Calibri" w:eastAsia="SimSun" w:hAnsi="Calibri" w:cs="Calibri"/>
          <w:color w:val="000000" w:themeColor="text1"/>
          <w:sz w:val="18"/>
          <w:szCs w:val="18"/>
        </w:rPr>
        <w:t>energy density (0.55 J·cm</w:t>
      </w:r>
      <w:r w:rsidRPr="00CA46DB">
        <w:rPr>
          <w:rFonts w:ascii="Calibri" w:eastAsia="SimSun" w:hAnsi="Calibri" w:cs="Calibri"/>
          <w:color w:val="000000" w:themeColor="text1"/>
          <w:sz w:val="18"/>
          <w:szCs w:val="18"/>
          <w:vertAlign w:val="superscript"/>
        </w:rPr>
        <w:t>−3</w:t>
      </w:r>
      <w:r w:rsidRPr="00CA46DB">
        <w:rPr>
          <w:rFonts w:ascii="Calibri" w:eastAsia="SimSun" w:hAnsi="Calibri" w:cs="Calibri"/>
          <w:color w:val="000000" w:themeColor="text1"/>
          <w:sz w:val="18"/>
          <w:szCs w:val="18"/>
        </w:rPr>
        <w:t>) in Fig. 11(c) and (</w:t>
      </w:r>
      <w:r w:rsidRPr="00CA46DB">
        <w:rPr>
          <w:rFonts w:ascii="Calibri" w:eastAsia="SimSun" w:hAnsi="Calibri" w:cs="Calibri"/>
          <w:color w:val="000000" w:themeColor="text1"/>
          <w:sz w:val="18"/>
          <w:szCs w:val="18"/>
          <w:lang w:eastAsia="zh-Hans"/>
        </w:rPr>
        <w:t>d</w:t>
      </w:r>
      <w:r w:rsidRPr="00CA46DB">
        <w:rPr>
          <w:rFonts w:ascii="Calibri" w:eastAsia="SimSun" w:hAnsi="Calibri" w:cs="Calibri"/>
          <w:color w:val="000000" w:themeColor="text1"/>
          <w:sz w:val="18"/>
          <w:szCs w:val="18"/>
        </w:rPr>
        <w:t xml:space="preserve">). The </w:t>
      </w:r>
      <w:r w:rsidRPr="00CA46DB">
        <w:rPr>
          <w:rFonts w:ascii="Calibri" w:eastAsia="楷体-简" w:hAnsi="Calibri" w:cs="Calibri"/>
          <w:color w:val="000000" w:themeColor="text1"/>
          <w:sz w:val="18"/>
          <w:szCs w:val="18"/>
        </w:rPr>
        <w:t>tan</w:t>
      </w:r>
      <w:r w:rsidRPr="00CA46DB">
        <w:rPr>
          <w:rFonts w:ascii="Calibri" w:eastAsia="楷体-简" w:hAnsi="Calibri" w:cs="Calibri"/>
          <w:i/>
          <w:iCs/>
          <w:color w:val="000000" w:themeColor="text1"/>
          <w:sz w:val="18"/>
          <w:szCs w:val="18"/>
        </w:rPr>
        <w:t>δ</w:t>
      </w:r>
      <w:r w:rsidRPr="00CA46DB">
        <w:rPr>
          <w:rFonts w:ascii="Calibri" w:eastAsia="楷体-简" w:hAnsi="Calibri" w:cs="Calibri"/>
          <w:color w:val="000000" w:themeColor="text1"/>
          <w:sz w:val="18"/>
          <w:szCs w:val="18"/>
        </w:rPr>
        <w:t>,</w:t>
      </w:r>
      <w:r w:rsidRPr="00CA46DB">
        <w:rPr>
          <w:rFonts w:ascii="Calibri" w:eastAsia="SimSun" w:hAnsi="Calibri" w:cs="Calibri"/>
          <w:color w:val="000000" w:themeColor="text1"/>
          <w:sz w:val="18"/>
          <w:szCs w:val="18"/>
        </w:rPr>
        <w:t xml:space="preserve"> due to dipolar polarization and interfacial polarization, was increased by increasing the o-CuPcA content and reduced by increasing the frequency.</w:t>
      </w:r>
    </w:p>
    <w:p w14:paraId="430E14C8" w14:textId="77777777" w:rsidR="00FC2A41" w:rsidRPr="00CA46DB" w:rsidRDefault="00166212">
      <w:pPr>
        <w:tabs>
          <w:tab w:val="left" w:pos="3462"/>
        </w:tabs>
        <w:spacing w:before="80" w:after="80" w:line="240" w:lineRule="exact"/>
        <w:rPr>
          <w:rFonts w:ascii="Calibri" w:eastAsia="SimSun" w:hAnsi="Calibri" w:cs="Calibri"/>
          <w:color w:val="000000" w:themeColor="text1"/>
          <w:sz w:val="18"/>
          <w:szCs w:val="18"/>
        </w:rPr>
      </w:pPr>
      <w:r w:rsidRPr="00CA46DB">
        <w:rPr>
          <w:rFonts w:ascii="Calibri" w:eastAsia="SimSun" w:hAnsi="Calibri" w:cs="Calibri"/>
          <w:b/>
          <w:bCs/>
          <w:color w:val="000000" w:themeColor="text1"/>
          <w:sz w:val="18"/>
          <w:szCs w:val="18"/>
        </w:rPr>
        <w:t>3.3. PI blends</w:t>
      </w:r>
    </w:p>
    <w:p w14:paraId="0E400723" w14:textId="77777777" w:rsidR="00FC2A41" w:rsidRPr="00CA46DB" w:rsidRDefault="00166212">
      <w:pPr>
        <w:tabs>
          <w:tab w:val="left" w:pos="3462"/>
        </w:tabs>
        <w:spacing w:after="0" w:line="240" w:lineRule="exact"/>
        <w:jc w:val="both"/>
        <w:rPr>
          <w:rFonts w:ascii="Calibri" w:eastAsia="SimSun" w:hAnsi="Calibri" w:cs="Calibri"/>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r w:rsidRPr="00CA46DB">
        <w:rPr>
          <w:rFonts w:ascii="Calibri" w:eastAsia="SimSun" w:hAnsi="Calibri" w:cs="Calibri"/>
          <w:color w:val="000000" w:themeColor="text1"/>
          <w:sz w:val="18"/>
          <w:szCs w:val="18"/>
          <w:lang w:eastAsia="zh-Hans"/>
        </w:rPr>
        <w:t>By mixing two or more polymers with different molecular structures and dielectric properties to combine their respective advantages, the resulting blend can be improved in energy storage performance</w:t>
      </w:r>
      <w:r w:rsidRPr="00CA46DB">
        <w:rPr>
          <w:rFonts w:ascii="Calibri" w:eastAsia="SimSun" w:hAnsi="Calibri" w:cs="Calibri"/>
          <w:color w:val="000000" w:themeColor="text1"/>
          <w:sz w:val="18"/>
          <w:szCs w:val="18"/>
        </w:rPr>
        <w:t>s</w:t>
      </w:r>
      <w:r w:rsidRPr="00CA46DB">
        <w:rPr>
          <w:rFonts w:ascii="Calibri" w:eastAsia="SimSun" w:hAnsi="Calibri" w:cs="Calibri"/>
          <w:color w:val="000000" w:themeColor="text1"/>
          <w:sz w:val="18"/>
          <w:szCs w:val="18"/>
          <w:lang w:eastAsia="zh-Hans"/>
        </w:rPr>
        <w:t>. This is a simple and feasible preparation method</w:t>
      </w:r>
      <w:r w:rsidRPr="00CA46DB">
        <w:rPr>
          <w:color w:val="000000" w:themeColor="text1"/>
        </w:rPr>
        <w:t xml:space="preserve"> </w:t>
      </w:r>
      <w:r w:rsidRPr="00CA46DB">
        <w:rPr>
          <w:rFonts w:ascii="Calibri" w:eastAsia="SimSun" w:hAnsi="Calibri" w:cs="Calibri"/>
          <w:color w:val="000000" w:themeColor="text1"/>
          <w:sz w:val="18"/>
          <w:szCs w:val="18"/>
          <w:lang w:eastAsia="zh-Hans"/>
        </w:rPr>
        <w:t xml:space="preserve">that can obtain satisfactory interface compatibility. </w:t>
      </w:r>
      <w:r w:rsidRPr="00CA46DB">
        <w:rPr>
          <w:rFonts w:ascii="Calibri" w:eastAsia="SimSun" w:hAnsi="Calibri" w:cs="Calibri"/>
          <w:color w:val="000000" w:themeColor="text1"/>
          <w:sz w:val="18"/>
          <w:szCs w:val="18"/>
        </w:rPr>
        <w:t>Two high-</w:t>
      </w:r>
      <w:r w:rsidRPr="00CA46DB">
        <w:rPr>
          <w:rFonts w:ascii="Calibri" w:eastAsia="SimSun" w:hAnsi="Calibri" w:cs="Calibri"/>
          <w:i/>
          <w:iCs/>
          <w:color w:val="000000" w:themeColor="text1"/>
          <w:sz w:val="18"/>
          <w:szCs w:val="18"/>
        </w:rPr>
        <w:t>T</w:t>
      </w:r>
      <w:r w:rsidRPr="00CA46DB">
        <w:rPr>
          <w:rFonts w:ascii="Calibri" w:eastAsia="SimSun" w:hAnsi="Calibri" w:cs="Calibri"/>
          <w:color w:val="000000" w:themeColor="text1"/>
          <w:sz w:val="18"/>
          <w:szCs w:val="18"/>
          <w:vertAlign w:val="subscript"/>
        </w:rPr>
        <w:t>g</w:t>
      </w:r>
      <w:r w:rsidRPr="00CA46DB">
        <w:rPr>
          <w:rFonts w:ascii="Calibri" w:eastAsia="SimSun" w:hAnsi="Calibri" w:cs="Calibri"/>
          <w:color w:val="000000" w:themeColor="text1"/>
          <w:sz w:val="18"/>
          <w:szCs w:val="18"/>
        </w:rPr>
        <w:t xml:space="preserve"> glassy state dipolar polymers, i.e., PEI and poly(ether-methyl-ether-urea) are blended to improved free volume for dipoles in the composites.</w:t>
      </w:r>
      <w:r w:rsidRPr="00CA46DB">
        <w:rPr>
          <w:rFonts w:ascii="Calibri" w:eastAsia="SimSun" w:hAnsi="Calibri" w:cs="Calibri"/>
          <w:color w:val="000000" w:themeColor="text1"/>
          <w:sz w:val="18"/>
          <w:szCs w:val="18"/>
          <w:vertAlign w:val="superscript"/>
        </w:rPr>
        <w:t>77</w:t>
      </w:r>
      <w:r w:rsidRPr="00CA46DB">
        <w:rPr>
          <w:rFonts w:ascii="Calibri" w:eastAsia="SimSun" w:hAnsi="Calibri" w:cs="Calibri"/>
          <w:color w:val="000000" w:themeColor="text1"/>
          <w:sz w:val="18"/>
          <w:szCs w:val="18"/>
        </w:rPr>
        <w:t xml:space="preserve"> This proved that significantly reduces the constraints in dipoles produces a higher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without compromising the </w:t>
      </w:r>
      <w:r w:rsidRPr="00CA46DB">
        <w:rPr>
          <w:rFonts w:ascii="Calibri" w:eastAsia="楷体-简" w:hAnsi="Calibri" w:cs="Calibri"/>
          <w:color w:val="000000" w:themeColor="text1"/>
          <w:sz w:val="18"/>
          <w:szCs w:val="18"/>
        </w:rPr>
        <w:t>tan</w:t>
      </w:r>
      <w:r w:rsidRPr="00CA46DB">
        <w:rPr>
          <w:rFonts w:ascii="Calibri" w:eastAsia="楷体-简" w:hAnsi="Calibri" w:cs="Calibri"/>
          <w:i/>
          <w:iCs/>
          <w:color w:val="000000" w:themeColor="text1"/>
          <w:sz w:val="18"/>
          <w:szCs w:val="18"/>
        </w:rPr>
        <w:t>δ</w:t>
      </w:r>
      <w:r w:rsidRPr="00CA46DB">
        <w:rPr>
          <w:rFonts w:ascii="Calibri" w:eastAsia="SimSun" w:hAnsi="Calibri" w:cs="Calibri"/>
          <w:color w:val="000000" w:themeColor="text1"/>
          <w:sz w:val="18"/>
          <w:szCs w:val="18"/>
        </w:rPr>
        <w:t>.</w:t>
      </w:r>
    </w:p>
    <w:p w14:paraId="495E9252" w14:textId="77777777" w:rsidR="00FC2A41" w:rsidRPr="00CA46DB" w:rsidRDefault="00166212">
      <w:pPr>
        <w:tabs>
          <w:tab w:val="left" w:pos="3462"/>
        </w:tabs>
        <w:spacing w:line="240" w:lineRule="exact"/>
        <w:rPr>
          <w:rFonts w:ascii="Calibri" w:eastAsia="SimSun" w:hAnsi="Calibri" w:cs="Calibri"/>
          <w:color w:val="000000" w:themeColor="text1"/>
          <w:sz w:val="18"/>
          <w:szCs w:val="18"/>
        </w:rPr>
      </w:pPr>
      <w:r w:rsidRPr="00CA46DB">
        <w:rPr>
          <w:rFonts w:ascii="Calibri" w:eastAsia="SimSun" w:hAnsi="Calibri" w:cs="Calibri"/>
          <w:noProof/>
          <w:color w:val="000000" w:themeColor="text1"/>
          <w:sz w:val="18"/>
          <w:szCs w:val="18"/>
          <w:lang w:eastAsia="zh-CN"/>
        </w:rPr>
        <w:drawing>
          <wp:anchor distT="0" distB="0" distL="114300" distR="114300" simplePos="0" relativeHeight="251672576" behindDoc="1" locked="0" layoutInCell="1" allowOverlap="1" wp14:anchorId="246EC7C2" wp14:editId="48F22A47">
            <wp:simplePos x="0" y="0"/>
            <wp:positionH relativeFrom="column">
              <wp:posOffset>1070610</wp:posOffset>
            </wp:positionH>
            <wp:positionV relativeFrom="paragraph">
              <wp:posOffset>171450</wp:posOffset>
            </wp:positionV>
            <wp:extent cx="4564380" cy="2532380"/>
            <wp:effectExtent l="0" t="0" r="0" b="0"/>
            <wp:wrapTight wrapText="bothSides">
              <wp:wrapPolygon edited="0">
                <wp:start x="-4811" y="0"/>
                <wp:lineTo x="-4511" y="21600"/>
                <wp:lineTo x="25219" y="21167"/>
                <wp:lineTo x="26742" y="20851"/>
                <wp:lineTo x="26454" y="0"/>
                <wp:lineTo x="-4811" y="0"/>
              </wp:wrapPolygon>
            </wp:wrapTight>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64380" cy="2532380"/>
                    </a:xfrm>
                    <a:prstGeom prst="rect">
                      <a:avLst/>
                    </a:prstGeom>
                  </pic:spPr>
                </pic:pic>
              </a:graphicData>
            </a:graphic>
          </wp:anchor>
        </w:drawing>
      </w:r>
      <w:r w:rsidRPr="00CA46DB">
        <w:rPr>
          <w:rFonts w:ascii="Calibri" w:eastAsia="SimSun" w:hAnsi="Calibri" w:cs="Calibri"/>
          <w:noProof/>
          <w:color w:val="000000" w:themeColor="text1"/>
          <w:lang w:eastAsia="zh-CN"/>
        </w:rPr>
        <mc:AlternateContent>
          <mc:Choice Requires="wpg">
            <w:drawing>
              <wp:inline distT="0" distB="0" distL="0" distR="0" wp14:anchorId="0D4CC69B" wp14:editId="556BCF7F">
                <wp:extent cx="6480175" cy="10795"/>
                <wp:effectExtent l="0" t="0" r="0" b="0"/>
                <wp:docPr id="26" name="Group 4178"/>
                <wp:cNvGraphicFramePr/>
                <a:graphic xmlns:a="http://schemas.openxmlformats.org/drawingml/2006/main">
                  <a:graphicData uri="http://schemas.microsoft.com/office/word/2010/wordprocessingGroup">
                    <wpg:wgp>
                      <wpg:cNvGrpSpPr/>
                      <wpg:grpSpPr>
                        <a:xfrm>
                          <a:off x="0" y="0"/>
                          <a:ext cx="6480175" cy="10795"/>
                          <a:chOff x="0" y="0"/>
                          <a:chExt cx="6692405" cy="18974"/>
                        </a:xfrm>
                      </wpg:grpSpPr>
                      <wps:wsp>
                        <wps:cNvPr id="27" name="Shape 4839"/>
                        <wps:cNvSpPr/>
                        <wps:spPr>
                          <a:xfrm>
                            <a:off x="0" y="0"/>
                            <a:ext cx="6692405" cy="18974"/>
                          </a:xfrm>
                          <a:custGeom>
                            <a:avLst/>
                            <a:gdLst/>
                            <a:ahLst/>
                            <a:cxnLst/>
                            <a:rect l="0" t="0" r="0" b="0"/>
                            <a:pathLst>
                              <a:path w="6692405" h="18974">
                                <a:moveTo>
                                  <a:pt x="0" y="0"/>
                                </a:moveTo>
                                <a:lnTo>
                                  <a:pt x="6692405" y="0"/>
                                </a:lnTo>
                                <a:lnTo>
                                  <a:pt x="6692405" y="18974"/>
                                </a:lnTo>
                                <a:lnTo>
                                  <a:pt x="0" y="18974"/>
                                </a:lnTo>
                                <a:lnTo>
                                  <a:pt x="0" y="0"/>
                                </a:lnTo>
                              </a:path>
                            </a:pathLst>
                          </a:custGeom>
                          <a:solidFill>
                            <a:srgbClr val="DED9C9"/>
                          </a:solidFill>
                          <a:ln w="0" cap="flat">
                            <a:noFill/>
                            <a:miter lim="127000"/>
                          </a:ln>
                          <a:effectLst/>
                        </wps:spPr>
                        <wps:bodyPr/>
                      </wps:wsp>
                    </wpg:wgp>
                  </a:graphicData>
                </a:graphic>
              </wp:inline>
            </w:drawing>
          </mc:Choice>
          <mc:Fallback>
            <w:pict>
              <v:group w14:anchorId="59023B0F" id="Group 4178" o:spid="_x0000_s1026" style="width:510.25pt;height:.85pt;mso-position-horizontal-relative:char;mso-position-vertical-relative:line" coordsize="6692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">
                <v:shape id="Shape 4839" o:spid="_x0000_s1027" style="position:absolute;width:66924;height:189;visibility:visible;mso-wrap-style:square;v-text-anchor:top" coordsize="6692405,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" path="m,l6692405,r,18974l,18974,,e" fillcolor="#ded9c9" stroked="f" strokeweight="0">
                  <v:stroke miterlimit="83231f" joinstyle="miter"/>
                  <v:path arrowok="t" textboxrect="0,0,6692405,18974"/>
                </v:shape>
                <w10:anchorlock/>
              </v:group>
            </w:pict>
          </mc:Fallback>
        </mc:AlternateContent>
      </w:r>
    </w:p>
    <w:p w14:paraId="4C202E01" w14:textId="77777777" w:rsidR="00FC2A41" w:rsidRPr="00CA46DB" w:rsidRDefault="00FC2A41">
      <w:pPr>
        <w:tabs>
          <w:tab w:val="left" w:pos="3462"/>
        </w:tabs>
        <w:spacing w:line="240" w:lineRule="exact"/>
        <w:rPr>
          <w:rFonts w:ascii="Calibri" w:eastAsia="SimSun" w:hAnsi="Calibri" w:cs="Calibr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0991AA84" w14:textId="77777777" w:rsidR="00FC2A41" w:rsidRPr="00CA46DB" w:rsidRDefault="00166212">
      <w:pPr>
        <w:tabs>
          <w:tab w:val="left" w:pos="3462"/>
        </w:tabs>
        <w:spacing w:line="240" w:lineRule="exact"/>
        <w:rPr>
          <w:rFonts w:ascii="Calibri" w:eastAsia="SimSun" w:hAnsi="Calibri" w:cs="Calibri"/>
          <w:color w:val="000000" w:themeColor="text1"/>
          <w:sz w:val="18"/>
          <w:szCs w:val="18"/>
        </w:rPr>
      </w:pPr>
      <w:r w:rsidRPr="00CA46DB">
        <w:rPr>
          <w:rFonts w:ascii="Calibri" w:eastAsia="SimSun" w:hAnsi="Calibri" w:cs="Calibri"/>
          <w:color w:val="000000" w:themeColor="text1"/>
          <w:sz w:val="18"/>
          <w:szCs w:val="18"/>
        </w:rPr>
        <w:t xml:space="preserve">Fig. 11. (a) The polycondensation between o-CuPcA and amino-capped polyamic acid. (b) The chemical structure of o-CuPcA. (c) The frequency dependent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of the CuPc–PI films. (d) </w:t>
      </w:r>
      <w:r w:rsidRPr="00CA46DB">
        <w:rPr>
          <w:rFonts w:ascii="Calibri" w:eastAsia="SimSun" w:hAnsi="Calibri" w:cs="Calibri"/>
          <w:color w:val="000000" w:themeColor="text1"/>
          <w:sz w:val="18"/>
          <w:szCs w:val="18"/>
          <w:lang w:eastAsia="zh-Hans"/>
        </w:rPr>
        <w:t xml:space="preserve">The </w:t>
      </w:r>
      <w:r w:rsidRPr="00CA46DB">
        <w:rPr>
          <w:rFonts w:ascii="Calibri" w:eastAsia="SimSun" w:hAnsi="Calibri" w:cs="Calibri"/>
          <w:i/>
          <w:iCs/>
          <w:color w:val="000000" w:themeColor="text1"/>
          <w:sz w:val="18"/>
          <w:szCs w:val="18"/>
        </w:rPr>
        <w:t>E</w:t>
      </w:r>
      <w:r w:rsidRPr="00CA46DB">
        <w:rPr>
          <w:rFonts w:ascii="Calibri" w:eastAsia="SimSun" w:hAnsi="Calibri" w:cs="Calibri"/>
          <w:i/>
          <w:iCs/>
          <w:color w:val="000000" w:themeColor="text1"/>
          <w:sz w:val="18"/>
          <w:szCs w:val="18"/>
          <w:vertAlign w:val="subscript"/>
        </w:rPr>
        <w:t>b</w:t>
      </w:r>
      <w:r w:rsidRPr="00CA46DB">
        <w:rPr>
          <w:rFonts w:ascii="Calibri" w:eastAsia="SimSun" w:hAnsi="Calibri" w:cs="Calibri"/>
          <w:color w:val="000000" w:themeColor="text1"/>
          <w:sz w:val="18"/>
          <w:szCs w:val="18"/>
        </w:rPr>
        <w:t xml:space="preserve"> and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rPr>
        <w:t xml:space="preserve"> of the CuPc-PI films.</w:t>
      </w:r>
      <w:r w:rsidRPr="00CA46DB">
        <w:rPr>
          <w:rFonts w:ascii="Calibri" w:eastAsia="SimSun" w:hAnsi="Calibri" w:cs="Calibri"/>
          <w:color w:val="000000" w:themeColor="text1"/>
          <w:sz w:val="18"/>
          <w:szCs w:val="18"/>
          <w:vertAlign w:val="superscript"/>
        </w:rPr>
        <w:t>14</w:t>
      </w:r>
      <w:r w:rsidRPr="00CA46DB">
        <w:rPr>
          <w:rFonts w:ascii="Calibri" w:eastAsia="SimSun" w:hAnsi="Calibri" w:cs="Calibri"/>
          <w:color w:val="000000" w:themeColor="text1"/>
          <w:sz w:val="18"/>
          <w:szCs w:val="18"/>
        </w:rPr>
        <w:t xml:space="preserve"> </w:t>
      </w:r>
    </w:p>
    <w:p w14:paraId="34474EBD" w14:textId="77777777" w:rsidR="00FC2A41" w:rsidRPr="00CA46DB" w:rsidRDefault="00FC2A41">
      <w:pPr>
        <w:spacing w:line="240" w:lineRule="exact"/>
        <w:ind w:firstLineChars="200" w:firstLine="360"/>
        <w:rPr>
          <w:rFonts w:ascii="Calibri" w:eastAsia="SimSun" w:hAnsi="Calibri" w:cs="Calibr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2EA478C3" w14:textId="478EAA18" w:rsidR="00FC2A41" w:rsidRPr="00CA46DB" w:rsidRDefault="00166212">
      <w:pPr>
        <w:spacing w:after="0" w:line="240" w:lineRule="exact"/>
        <w:jc w:val="both"/>
        <w:rPr>
          <w:rFonts w:ascii="Calibri" w:eastAsia="SimSun" w:hAnsi="Calibri" w:cs="Calibri"/>
          <w:color w:val="000000" w:themeColor="text1"/>
          <w:sz w:val="18"/>
          <w:szCs w:val="18"/>
          <w:lang w:eastAsia="zh-Hans"/>
        </w:rPr>
      </w:pPr>
      <w:r w:rsidRPr="00CA46DB">
        <w:rPr>
          <w:rFonts w:ascii="Calibri" w:eastAsia="SimSun" w:hAnsi="Calibri" w:cs="Calibri"/>
          <w:color w:val="000000" w:themeColor="text1"/>
          <w:sz w:val="18"/>
          <w:szCs w:val="18"/>
          <w:lang w:eastAsia="zh-Hans"/>
        </w:rPr>
        <w:lastRenderedPageBreak/>
        <w:t>Researchers have tried to improve PI energy storage performance</w:t>
      </w:r>
      <w:r w:rsidRPr="00CA46DB">
        <w:rPr>
          <w:rFonts w:ascii="Calibri" w:eastAsia="SimSun" w:hAnsi="Calibri" w:cs="Calibri"/>
          <w:color w:val="000000" w:themeColor="text1"/>
          <w:sz w:val="18"/>
          <w:szCs w:val="18"/>
        </w:rPr>
        <w:t>s</w:t>
      </w:r>
      <w:r w:rsidRPr="00CA46DB">
        <w:rPr>
          <w:rFonts w:ascii="Calibri" w:eastAsia="SimSun" w:hAnsi="Calibri" w:cs="Calibri"/>
          <w:color w:val="000000" w:themeColor="text1"/>
          <w:sz w:val="18"/>
          <w:szCs w:val="18"/>
          <w:lang w:eastAsia="zh-Hans"/>
        </w:rPr>
        <w:t xml:space="preserve"> by introducing high-</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lang w:eastAsia="zh-Hans"/>
        </w:rPr>
        <w:t xml:space="preserve"> polymers such as of PSF,</w:t>
      </w:r>
      <w:r w:rsidRPr="00CA46DB">
        <w:rPr>
          <w:rFonts w:ascii="Calibri" w:eastAsia="SimSun" w:hAnsi="Calibri" w:cs="Calibri"/>
          <w:color w:val="000000" w:themeColor="text1"/>
          <w:sz w:val="18"/>
          <w:szCs w:val="18"/>
          <w:vertAlign w:val="superscript"/>
          <w:lang w:eastAsia="zh-Hans"/>
        </w:rPr>
        <w:t>78</w:t>
      </w:r>
      <w:r w:rsidRPr="00CA46DB">
        <w:rPr>
          <w:rFonts w:ascii="Calibri" w:eastAsia="SimSun" w:hAnsi="Calibri" w:cs="Calibri"/>
          <w:color w:val="000000" w:themeColor="text1"/>
          <w:sz w:val="18"/>
          <w:szCs w:val="18"/>
          <w:lang w:eastAsia="zh-Hans"/>
        </w:rPr>
        <w:t xml:space="preserve"> LNBR,</w:t>
      </w:r>
      <w:r w:rsidRPr="00CA46DB">
        <w:rPr>
          <w:rFonts w:ascii="Calibri" w:eastAsia="SimSun" w:hAnsi="Calibri" w:cs="Calibri"/>
          <w:color w:val="000000" w:themeColor="text1"/>
          <w:sz w:val="18"/>
          <w:szCs w:val="18"/>
          <w:vertAlign w:val="superscript"/>
          <w:lang w:eastAsia="zh-Hans"/>
        </w:rPr>
        <w:t>79</w:t>
      </w:r>
      <w:r w:rsidRPr="00CA46DB">
        <w:rPr>
          <w:rFonts w:ascii="Calibri" w:eastAsia="SimSun" w:hAnsi="Calibri" w:cs="Calibri"/>
          <w:color w:val="000000" w:themeColor="text1"/>
          <w:sz w:val="18"/>
          <w:szCs w:val="18"/>
          <w:lang w:eastAsia="zh-Hans"/>
        </w:rPr>
        <w:t xml:space="preserve"> PVDF,</w:t>
      </w:r>
      <w:r w:rsidRPr="00CA46DB">
        <w:rPr>
          <w:rFonts w:ascii="Calibri" w:eastAsia="SimSun" w:hAnsi="Calibri" w:cs="Calibri"/>
          <w:color w:val="000000" w:themeColor="text1"/>
          <w:sz w:val="18"/>
          <w:szCs w:val="18"/>
          <w:vertAlign w:val="superscript"/>
          <w:lang w:eastAsia="zh-Hans"/>
        </w:rPr>
        <w:t>80</w:t>
      </w:r>
      <w:r w:rsidRPr="00CA46DB">
        <w:rPr>
          <w:rFonts w:ascii="Calibri" w:eastAsia="SimSun" w:hAnsi="Calibri" w:cs="Calibri"/>
          <w:color w:val="000000" w:themeColor="text1"/>
          <w:sz w:val="18"/>
          <w:szCs w:val="18"/>
          <w:lang w:eastAsia="zh-Hans"/>
        </w:rPr>
        <w:t xml:space="preserve"> β-CD</w:t>
      </w:r>
      <w:r w:rsidRPr="00CA46DB">
        <w:rPr>
          <w:rFonts w:ascii="Calibri" w:eastAsia="SimSun" w:hAnsi="Calibri" w:cs="Calibri"/>
          <w:color w:val="000000" w:themeColor="text1"/>
          <w:sz w:val="18"/>
          <w:szCs w:val="18"/>
          <w:vertAlign w:val="superscript"/>
          <w:lang w:eastAsia="zh-Hans"/>
        </w:rPr>
        <w:t>81</w:t>
      </w:r>
      <w:r w:rsidRPr="00CA46DB">
        <w:rPr>
          <w:rFonts w:ascii="Calibri" w:eastAsia="SimSun" w:hAnsi="Calibri" w:cs="Calibri"/>
          <w:color w:val="000000" w:themeColor="text1"/>
          <w:sz w:val="18"/>
          <w:szCs w:val="18"/>
          <w:lang w:eastAsia="zh-Hans"/>
        </w:rPr>
        <w:t xml:space="preserve"> and Sn-polyester</w:t>
      </w:r>
      <w:r w:rsidRPr="00CA46DB">
        <w:rPr>
          <w:rFonts w:ascii="Calibri" w:eastAsia="SimSun" w:hAnsi="Calibri" w:cs="Calibri"/>
          <w:color w:val="000000" w:themeColor="text1"/>
          <w:sz w:val="18"/>
          <w:szCs w:val="18"/>
          <w:vertAlign w:val="superscript"/>
          <w:lang w:eastAsia="zh-Hans"/>
        </w:rPr>
        <w:t>82</w:t>
      </w:r>
      <w:r w:rsidRPr="00CA46DB">
        <w:rPr>
          <w:rFonts w:ascii="Calibri" w:eastAsia="SimSun" w:hAnsi="Calibri" w:cs="Calibri"/>
          <w:color w:val="000000" w:themeColor="text1"/>
          <w:sz w:val="18"/>
          <w:szCs w:val="18"/>
          <w:lang w:eastAsia="zh-Hans"/>
        </w:rPr>
        <w:t xml:space="preserve">. Regrettably, it comes at the cost of a drop in breakdown strength. A substantial increase in </w:t>
      </w:r>
      <w:r w:rsidRPr="00CA46DB">
        <w:rPr>
          <w:rFonts w:ascii="Calibri" w:eastAsia="SimSun" w:hAnsi="Calibri" w:cs="Calibri" w:hint="eastAsia"/>
          <w:color w:val="000000" w:themeColor="text1"/>
          <w:sz w:val="18"/>
          <w:szCs w:val="18"/>
          <w:lang w:eastAsia="zh-CN"/>
        </w:rPr>
        <w:t>energy density</w:t>
      </w:r>
      <w:r w:rsidRPr="00CA46DB">
        <w:rPr>
          <w:rFonts w:ascii="Calibri" w:eastAsia="SimSun" w:hAnsi="Calibri" w:cs="Calibri"/>
          <w:color w:val="000000" w:themeColor="text1"/>
          <w:sz w:val="18"/>
          <w:szCs w:val="18"/>
          <w:lang w:eastAsia="zh-Hans"/>
        </w:rPr>
        <w:t xml:space="preserve"> cannot be guaranteed. At present, researchers are more inclined to pay attention to the synergistic improvement of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lang w:eastAsia="zh-Hans"/>
        </w:rPr>
        <w:t xml:space="preserve"> and </w:t>
      </w:r>
      <w:r w:rsidRPr="00CA46DB">
        <w:rPr>
          <w:rFonts w:ascii="Calibri" w:eastAsia="SimSun" w:hAnsi="Calibri" w:cs="Calibri"/>
          <w:i/>
          <w:iCs/>
          <w:color w:val="000000" w:themeColor="text1"/>
          <w:sz w:val="18"/>
          <w:szCs w:val="18"/>
        </w:rPr>
        <w:t>E</w:t>
      </w:r>
      <w:r w:rsidRPr="00CA46DB">
        <w:rPr>
          <w:rFonts w:ascii="Calibri" w:eastAsia="SimSun" w:hAnsi="Calibri" w:cs="Calibri"/>
          <w:i/>
          <w:iCs/>
          <w:color w:val="000000" w:themeColor="text1"/>
          <w:sz w:val="18"/>
          <w:szCs w:val="18"/>
          <w:vertAlign w:val="subscript"/>
        </w:rPr>
        <w:t>b</w:t>
      </w:r>
      <w:r w:rsidRPr="00CA46DB">
        <w:rPr>
          <w:rFonts w:ascii="Calibri" w:eastAsia="SimSun" w:hAnsi="Calibri" w:cs="Calibri"/>
          <w:color w:val="000000" w:themeColor="text1"/>
          <w:sz w:val="18"/>
          <w:szCs w:val="18"/>
          <w:lang w:eastAsia="zh-Hans"/>
        </w:rPr>
        <w:t>.</w:t>
      </w:r>
    </w:p>
    <w:p w14:paraId="76B98AFB" w14:textId="77777777" w:rsidR="00FC2A41" w:rsidRPr="00CA46DB" w:rsidRDefault="00166212">
      <w:pPr>
        <w:tabs>
          <w:tab w:val="left" w:pos="3462"/>
        </w:tabs>
        <w:spacing w:after="0" w:line="240" w:lineRule="exact"/>
        <w:ind w:firstLineChars="200" w:firstLine="360"/>
        <w:jc w:val="both"/>
        <w:rPr>
          <w:rFonts w:ascii="Calibri" w:eastAsia="SimSun" w:hAnsi="Calibri" w:cs="Calibri"/>
          <w:color w:val="000000" w:themeColor="text1"/>
          <w:sz w:val="18"/>
          <w:szCs w:val="18"/>
        </w:rPr>
      </w:pPr>
      <w:r w:rsidRPr="00CA46DB">
        <w:rPr>
          <w:rFonts w:ascii="Calibri" w:eastAsia="SimSun" w:hAnsi="Calibri" w:cs="Calibri"/>
          <w:color w:val="000000" w:themeColor="text1"/>
          <w:sz w:val="18"/>
          <w:szCs w:val="18"/>
          <w:lang w:eastAsia="zh-Hans"/>
        </w:rPr>
        <w:t xml:space="preserve">Ahmad et al. designed all-organic blend films made of poly(arylene ether urea) (PEEU) and PI. The blend film with 15 wt% PEEU exhibited a high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lang w:eastAsia="zh-Hans"/>
        </w:rPr>
        <w:t xml:space="preserve"> of 4.73, low </w:t>
      </w:r>
      <w:r w:rsidRPr="00CA46DB">
        <w:rPr>
          <w:rFonts w:ascii="Calibri" w:eastAsia="SimSun" w:hAnsi="Calibri" w:cs="Calibri"/>
          <w:color w:val="000000" w:themeColor="text1"/>
          <w:sz w:val="18"/>
          <w:szCs w:val="18"/>
        </w:rPr>
        <w:t>tan</w:t>
      </w:r>
      <w:r w:rsidRPr="00CA46DB">
        <w:rPr>
          <w:rFonts w:ascii="Calibri" w:eastAsia="SimSun" w:hAnsi="Calibri" w:cs="Calibri"/>
          <w:i/>
          <w:iCs/>
          <w:color w:val="000000" w:themeColor="text1"/>
          <w:sz w:val="18"/>
          <w:szCs w:val="18"/>
        </w:rPr>
        <w:t>δ</w:t>
      </w:r>
      <w:r w:rsidRPr="00CA46DB">
        <w:rPr>
          <w:rFonts w:ascii="Calibri" w:eastAsia="SimSun" w:hAnsi="Calibri" w:cs="Calibri"/>
          <w:color w:val="000000" w:themeColor="text1"/>
          <w:sz w:val="18"/>
          <w:szCs w:val="18"/>
          <w:lang w:eastAsia="zh-Hans"/>
        </w:rPr>
        <w:t xml:space="preserve"> of 0.</w:t>
      </w:r>
      <w:r w:rsidRPr="00CA46DB">
        <w:rPr>
          <w:rFonts w:ascii="Calibri" w:eastAsia="SimSun" w:hAnsi="Calibri" w:cs="Calibri"/>
          <w:color w:val="000000" w:themeColor="text1"/>
          <w:sz w:val="18"/>
          <w:szCs w:val="18"/>
        </w:rPr>
        <w:t>3</w:t>
      </w:r>
      <w:r w:rsidRPr="00CA46DB">
        <w:rPr>
          <w:rFonts w:ascii="Calibri" w:eastAsia="SimSun" w:hAnsi="Calibri" w:cs="Calibri"/>
          <w:color w:val="000000" w:themeColor="text1"/>
          <w:sz w:val="18"/>
          <w:szCs w:val="18"/>
          <w:lang w:eastAsia="zh-Hans"/>
        </w:rPr>
        <w:t xml:space="preserve">%, high </w:t>
      </w:r>
      <w:r w:rsidRPr="00CA46DB">
        <w:rPr>
          <w:rFonts w:ascii="Calibri" w:eastAsia="SimSun" w:hAnsi="Calibri" w:cs="Calibri"/>
          <w:i/>
          <w:iCs/>
          <w:color w:val="000000" w:themeColor="text1"/>
          <w:sz w:val="18"/>
          <w:szCs w:val="18"/>
        </w:rPr>
        <w:t>T</w:t>
      </w:r>
      <w:r w:rsidRPr="00CA46DB">
        <w:rPr>
          <w:rFonts w:ascii="Calibri" w:eastAsia="SimSun" w:hAnsi="Calibri" w:cs="Calibri"/>
          <w:color w:val="000000" w:themeColor="text1"/>
          <w:sz w:val="18"/>
          <w:szCs w:val="18"/>
          <w:vertAlign w:val="subscript"/>
        </w:rPr>
        <w:t>g</w:t>
      </w:r>
      <w:r w:rsidRPr="00CA46DB">
        <w:rPr>
          <w:rFonts w:ascii="Calibri" w:eastAsia="SimSun" w:hAnsi="Calibri" w:cs="Calibri"/>
          <w:color w:val="000000" w:themeColor="text1"/>
          <w:sz w:val="18"/>
          <w:szCs w:val="18"/>
          <w:lang w:eastAsia="zh-Hans"/>
        </w:rPr>
        <w:t xml:space="preserve"> of 353</w:t>
      </w:r>
      <w:r w:rsidRPr="00CA46DB">
        <w:rPr>
          <w:rFonts w:ascii="Calibri" w:eastAsia="SimSun" w:hAnsi="Calibri" w:cs="Calibri"/>
          <w:color w:val="000000" w:themeColor="text1"/>
          <w:sz w:val="18"/>
          <w:szCs w:val="18"/>
        </w:rPr>
        <w:t xml:space="preserve"> </w:t>
      </w:r>
      <w:r w:rsidRPr="00CA46DB">
        <w:rPr>
          <w:rFonts w:ascii="Cambria Math" w:eastAsia="SimSun" w:hAnsi="Cambria Math" w:cs="Cambria Math"/>
          <w:color w:val="000000" w:themeColor="text1"/>
          <w:sz w:val="18"/>
          <w:szCs w:val="18"/>
        </w:rPr>
        <w:t>℃</w:t>
      </w:r>
      <w:r w:rsidRPr="00CA46DB">
        <w:rPr>
          <w:rFonts w:ascii="Calibri" w:eastAsia="SimSun" w:hAnsi="Calibri" w:cs="Calibri"/>
          <w:color w:val="000000" w:themeColor="text1"/>
          <w:sz w:val="18"/>
          <w:szCs w:val="18"/>
          <w:lang w:eastAsia="zh-Hans"/>
        </w:rPr>
        <w:t xml:space="preserve"> and the highest energy density of 5.14 </w:t>
      </w:r>
      <w:r w:rsidRPr="00CA46DB">
        <w:rPr>
          <w:rFonts w:ascii="Calibri" w:eastAsia="SimSun" w:hAnsi="Calibri" w:cs="Calibri"/>
          <w:color w:val="000000" w:themeColor="text1"/>
          <w:sz w:val="18"/>
          <w:szCs w:val="18"/>
        </w:rPr>
        <w:t>J·cm</w:t>
      </w:r>
      <w:r w:rsidRPr="00CA46DB">
        <w:rPr>
          <w:rFonts w:ascii="Calibri" w:eastAsia="SimSun" w:hAnsi="Calibri" w:cs="Calibri"/>
          <w:color w:val="000000" w:themeColor="text1"/>
          <w:sz w:val="18"/>
          <w:szCs w:val="18"/>
          <w:vertAlign w:val="superscript"/>
        </w:rPr>
        <w:t>−3</w:t>
      </w:r>
      <w:r w:rsidRPr="00CA46DB">
        <w:rPr>
          <w:rFonts w:ascii="Calibri" w:eastAsia="SimSun" w:hAnsi="Calibri" w:cs="Calibri"/>
          <w:color w:val="000000" w:themeColor="text1"/>
          <w:sz w:val="18"/>
          <w:szCs w:val="18"/>
          <w:lang w:eastAsia="zh-Hans"/>
        </w:rPr>
        <w:t xml:space="preserve"> at 495.65 </w:t>
      </w:r>
      <w:r w:rsidRPr="00CA46DB">
        <w:rPr>
          <w:rFonts w:ascii="Calibri" w:eastAsia="SimSun" w:hAnsi="Calibri" w:cs="Calibri"/>
          <w:color w:val="000000" w:themeColor="text1"/>
          <w:sz w:val="18"/>
          <w:szCs w:val="18"/>
        </w:rPr>
        <w:t>MV·m</w:t>
      </w:r>
      <w:r w:rsidRPr="00CA46DB">
        <w:rPr>
          <w:rFonts w:ascii="Calibri" w:eastAsia="SimSun" w:hAnsi="Calibri" w:cs="Calibri"/>
          <w:color w:val="000000" w:themeColor="text1"/>
          <w:sz w:val="18"/>
          <w:szCs w:val="18"/>
          <w:vertAlign w:val="superscript"/>
        </w:rPr>
        <w:t>−1</w:t>
      </w:r>
      <w:r w:rsidRPr="00CA46DB">
        <w:rPr>
          <w:rFonts w:ascii="Calibri" w:eastAsia="SimSun" w:hAnsi="Calibri" w:cs="Calibri"/>
          <w:color w:val="000000" w:themeColor="text1"/>
          <w:sz w:val="18"/>
          <w:szCs w:val="18"/>
          <w:lang w:eastAsia="zh-Hans"/>
        </w:rPr>
        <w:t>.</w:t>
      </w:r>
      <w:r w:rsidRPr="00CA46DB">
        <w:rPr>
          <w:rFonts w:ascii="Calibri" w:eastAsia="SimSun" w:hAnsi="Calibri" w:cs="Calibri"/>
          <w:color w:val="000000" w:themeColor="text1"/>
          <w:sz w:val="18"/>
          <w:szCs w:val="18"/>
          <w:vertAlign w:val="superscript"/>
          <w:lang w:eastAsia="zh-Hans"/>
        </w:rPr>
        <w:t>83</w:t>
      </w:r>
      <w:r w:rsidRPr="00CA46DB">
        <w:rPr>
          <w:rFonts w:ascii="Calibri" w:eastAsia="SimSun" w:hAnsi="Calibri" w:cs="Calibri"/>
          <w:color w:val="000000" w:themeColor="text1"/>
          <w:sz w:val="18"/>
          <w:szCs w:val="18"/>
          <w:lang w:eastAsia="zh-Hans"/>
        </w:rPr>
        <w:t xml:space="preserve"> Moreover, the dielectric properties of the PEEU/PI films showed excellent temperature stability in the range of </w:t>
      </w:r>
      <w:r w:rsidRPr="00CA46DB">
        <w:rPr>
          <w:rFonts w:ascii="Calibri" w:eastAsia="SimSun" w:hAnsi="Calibri" w:cs="Calibri"/>
          <w:color w:val="000000" w:themeColor="text1"/>
          <w:sz w:val="18"/>
          <w:szCs w:val="18"/>
        </w:rPr>
        <w:t>−</w:t>
      </w:r>
      <w:r w:rsidRPr="00CA46DB">
        <w:rPr>
          <w:rFonts w:ascii="Calibri" w:eastAsia="SimSun" w:hAnsi="Calibri" w:cs="Calibri"/>
          <w:color w:val="000000" w:themeColor="text1"/>
          <w:sz w:val="18"/>
          <w:szCs w:val="18"/>
          <w:lang w:eastAsia="zh-Hans"/>
        </w:rPr>
        <w:t>50</w:t>
      </w:r>
      <w:r w:rsidRPr="00CA46DB">
        <w:rPr>
          <w:rFonts w:ascii="Calibri" w:eastAsia="SimSun" w:hAnsi="Calibri" w:cs="Calibri"/>
          <w:color w:val="000000" w:themeColor="text1"/>
          <w:sz w:val="18"/>
          <w:szCs w:val="18"/>
        </w:rPr>
        <w:t xml:space="preserve"> </w:t>
      </w:r>
      <w:r w:rsidRPr="00CA46DB">
        <w:rPr>
          <w:rFonts w:ascii="Cambria Math" w:eastAsia="SimSun" w:hAnsi="Cambria Math" w:cs="Cambria Math"/>
          <w:color w:val="000000" w:themeColor="text1"/>
          <w:sz w:val="18"/>
          <w:szCs w:val="18"/>
        </w:rPr>
        <w:t>℃</w:t>
      </w:r>
      <w:r w:rsidRPr="00CA46DB">
        <w:rPr>
          <w:rFonts w:ascii="Calibri" w:eastAsia="SimSun" w:hAnsi="Calibri" w:cs="Calibri"/>
          <w:color w:val="000000" w:themeColor="text1"/>
          <w:sz w:val="18"/>
          <w:szCs w:val="18"/>
        </w:rPr>
        <w:t>−</w:t>
      </w:r>
      <w:r w:rsidRPr="00CA46DB">
        <w:rPr>
          <w:rFonts w:ascii="Calibri" w:eastAsia="SimSun" w:hAnsi="Calibri" w:cs="Calibri"/>
          <w:color w:val="000000" w:themeColor="text1"/>
          <w:sz w:val="18"/>
          <w:szCs w:val="18"/>
          <w:lang w:eastAsia="zh-Hans"/>
        </w:rPr>
        <w:t>250</w:t>
      </w:r>
      <w:r w:rsidRPr="00CA46DB">
        <w:rPr>
          <w:rFonts w:ascii="Calibri" w:eastAsia="SimSun" w:hAnsi="Calibri" w:cs="Calibri"/>
          <w:color w:val="000000" w:themeColor="text1"/>
          <w:sz w:val="18"/>
          <w:szCs w:val="18"/>
        </w:rPr>
        <w:t xml:space="preserve"> </w:t>
      </w:r>
      <w:r w:rsidRPr="00CA46DB">
        <w:rPr>
          <w:rFonts w:ascii="Cambria Math" w:eastAsia="SimSun" w:hAnsi="Cambria Math" w:cs="Cambria Math"/>
          <w:color w:val="000000" w:themeColor="text1"/>
          <w:sz w:val="18"/>
          <w:szCs w:val="18"/>
        </w:rPr>
        <w:t>℃</w:t>
      </w:r>
      <w:r w:rsidRPr="00CA46DB">
        <w:rPr>
          <w:rFonts w:ascii="Calibri" w:eastAsia="SimSun" w:hAnsi="Calibri" w:cs="Calibri"/>
          <w:color w:val="000000" w:themeColor="text1"/>
          <w:sz w:val="18"/>
          <w:szCs w:val="18"/>
          <w:lang w:eastAsia="zh-Hans"/>
        </w:rPr>
        <w:t>. Next, Ahmad et al. introduced aromatic polythiourea (ArPTU) into the PI matrix and found that the 10 wt% ArPTU blend film exhibit</w:t>
      </w:r>
      <w:r w:rsidRPr="00CA46DB">
        <w:rPr>
          <w:rFonts w:ascii="Calibri" w:eastAsia="SimSun" w:hAnsi="Calibri" w:cs="Calibri"/>
          <w:color w:val="000000" w:themeColor="text1"/>
          <w:sz w:val="18"/>
          <w:szCs w:val="18"/>
        </w:rPr>
        <w:t>ed</w:t>
      </w:r>
      <w:r w:rsidRPr="00CA46DB">
        <w:rPr>
          <w:rFonts w:ascii="Calibri" w:eastAsia="SimSun" w:hAnsi="Calibri" w:cs="Calibri"/>
          <w:color w:val="000000" w:themeColor="text1"/>
          <w:sz w:val="18"/>
          <w:szCs w:val="18"/>
          <w:lang w:eastAsia="zh-Hans"/>
        </w:rPr>
        <w:t xml:space="preserve"> the highest </w:t>
      </w:r>
      <w:r w:rsidRPr="00CA46DB">
        <w:rPr>
          <w:rFonts w:ascii="Calibri" w:eastAsia="SimSun" w:hAnsi="Calibri" w:cs="Calibri"/>
          <w:i/>
          <w:iCs/>
          <w:color w:val="000000" w:themeColor="text1"/>
          <w:sz w:val="18"/>
          <w:szCs w:val="18"/>
        </w:rPr>
        <w:t>E</w:t>
      </w:r>
      <w:r w:rsidRPr="00CA46DB">
        <w:rPr>
          <w:rFonts w:ascii="Calibri" w:eastAsia="SimSun" w:hAnsi="Calibri" w:cs="Calibri"/>
          <w:i/>
          <w:iCs/>
          <w:color w:val="000000" w:themeColor="text1"/>
          <w:sz w:val="18"/>
          <w:szCs w:val="18"/>
          <w:vertAlign w:val="subscript"/>
        </w:rPr>
        <w:t>b</w:t>
      </w:r>
      <w:r w:rsidRPr="00CA46DB">
        <w:rPr>
          <w:rFonts w:ascii="Calibri" w:eastAsia="SimSun" w:hAnsi="Calibri" w:cs="Calibri"/>
          <w:color w:val="000000" w:themeColor="text1"/>
          <w:sz w:val="18"/>
          <w:szCs w:val="18"/>
          <w:lang w:eastAsia="zh-Hans"/>
        </w:rPr>
        <w:t xml:space="preserve"> of 443 </w:t>
      </w:r>
      <w:r w:rsidRPr="00CA46DB">
        <w:rPr>
          <w:rFonts w:ascii="Calibri" w:eastAsia="SimSun" w:hAnsi="Calibri" w:cs="Calibri"/>
          <w:color w:val="000000" w:themeColor="text1"/>
          <w:sz w:val="18"/>
          <w:szCs w:val="18"/>
        </w:rPr>
        <w:t>MV·m</w:t>
      </w:r>
      <w:r w:rsidRPr="00CA46DB">
        <w:rPr>
          <w:rFonts w:ascii="Calibri" w:eastAsia="SimSun" w:hAnsi="Calibri" w:cs="Calibri"/>
          <w:color w:val="000000" w:themeColor="text1"/>
          <w:sz w:val="18"/>
          <w:szCs w:val="18"/>
          <w:vertAlign w:val="superscript"/>
        </w:rPr>
        <w:t>−1</w:t>
      </w:r>
      <w:r w:rsidRPr="00CA46DB">
        <w:rPr>
          <w:rFonts w:ascii="Calibri" w:eastAsia="SimSun" w:hAnsi="Calibri" w:cs="Calibri"/>
          <w:color w:val="000000" w:themeColor="text1"/>
          <w:sz w:val="18"/>
          <w:szCs w:val="18"/>
          <w:lang w:eastAsia="zh-Hans"/>
        </w:rPr>
        <w:t xml:space="preserve">, which </w:t>
      </w:r>
      <w:r w:rsidRPr="00CA46DB">
        <w:rPr>
          <w:rFonts w:ascii="Calibri" w:eastAsia="SimSun" w:hAnsi="Calibri" w:cs="Calibri"/>
          <w:color w:val="000000" w:themeColor="text1"/>
          <w:sz w:val="18"/>
          <w:szCs w:val="18"/>
        </w:rPr>
        <w:t>was</w:t>
      </w:r>
      <w:r w:rsidRPr="00CA46DB">
        <w:rPr>
          <w:rFonts w:ascii="Calibri" w:eastAsia="SimSun" w:hAnsi="Calibri" w:cs="Calibri"/>
          <w:color w:val="000000" w:themeColor="text1"/>
          <w:sz w:val="18"/>
          <w:szCs w:val="18"/>
          <w:lang w:eastAsia="zh-Hans"/>
        </w:rPr>
        <w:t xml:space="preserve"> 74% higher than pure PI, as well as high</w:t>
      </w:r>
      <w:r w:rsidRPr="00CA46DB">
        <w:rPr>
          <w:rFonts w:ascii="Calibri" w:eastAsia="SimSun" w:hAnsi="Calibri" w:cs="Calibri"/>
          <w:color w:val="000000" w:themeColor="text1"/>
          <w:sz w:val="18"/>
          <w:szCs w:val="18"/>
        </w:rPr>
        <w:t xml:space="preserve">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lang w:eastAsia="zh-Hans"/>
        </w:rPr>
        <w:t xml:space="preserve"> of 4</w:t>
      </w:r>
      <w:r w:rsidRPr="00CA46DB">
        <w:rPr>
          <w:rFonts w:ascii="Calibri" w:eastAsia="SimSun" w:hAnsi="Calibri" w:cs="Calibri"/>
          <w:color w:val="000000" w:themeColor="text1"/>
          <w:sz w:val="18"/>
          <w:szCs w:val="18"/>
        </w:rPr>
        <w:t xml:space="preserve"> J·cm</w:t>
      </w:r>
      <w:r w:rsidRPr="00CA46DB">
        <w:rPr>
          <w:rFonts w:ascii="Calibri" w:eastAsia="SimSun" w:hAnsi="Calibri" w:cs="Calibri"/>
          <w:color w:val="000000" w:themeColor="text1"/>
          <w:sz w:val="18"/>
          <w:szCs w:val="18"/>
          <w:vertAlign w:val="superscript"/>
        </w:rPr>
        <w:t>−3</w:t>
      </w:r>
      <w:r w:rsidRPr="00CA46DB">
        <w:rPr>
          <w:rFonts w:ascii="Calibri" w:eastAsia="SimSun" w:hAnsi="Calibri" w:cs="Calibri"/>
          <w:color w:val="000000" w:themeColor="text1"/>
          <w:sz w:val="18"/>
          <w:szCs w:val="18"/>
          <w:lang w:eastAsia="zh-Hans"/>
        </w:rPr>
        <w:t>.</w:t>
      </w:r>
      <w:r w:rsidRPr="00CA46DB">
        <w:rPr>
          <w:rFonts w:ascii="Calibri" w:eastAsia="SimSun" w:hAnsi="Calibri" w:cs="Calibri"/>
          <w:color w:val="000000" w:themeColor="text1"/>
          <w:sz w:val="18"/>
          <w:szCs w:val="18"/>
          <w:vertAlign w:val="superscript"/>
          <w:lang w:eastAsia="zh-Hans"/>
        </w:rPr>
        <w:t>84</w:t>
      </w:r>
    </w:p>
    <w:p w14:paraId="4715BD96" w14:textId="3D19D7DB" w:rsidR="00FC2A41" w:rsidRPr="00CA46DB" w:rsidRDefault="00166212">
      <w:pPr>
        <w:tabs>
          <w:tab w:val="left" w:pos="3462"/>
        </w:tabs>
        <w:spacing w:after="0" w:line="240" w:lineRule="exact"/>
        <w:ind w:firstLineChars="200" w:firstLine="360"/>
        <w:jc w:val="both"/>
        <w:rPr>
          <w:rFonts w:ascii="Calibri" w:eastAsia="SimSun" w:hAnsi="Calibri" w:cs="Calibri"/>
          <w:color w:val="000000" w:themeColor="text1"/>
          <w:sz w:val="18"/>
          <w:szCs w:val="18"/>
        </w:rPr>
      </w:pPr>
      <w:r w:rsidRPr="00CA46DB">
        <w:rPr>
          <w:rFonts w:ascii="Calibri" w:eastAsia="SimSun" w:hAnsi="Calibri" w:cs="Calibri"/>
          <w:color w:val="000000" w:themeColor="text1"/>
          <w:sz w:val="18"/>
          <w:szCs w:val="18"/>
          <w:lang w:eastAsia="zh-Hans"/>
        </w:rPr>
        <w:t>Molecular semiconductors have higher electron affinitie than dielectric polymers, which can capture injected and excited electrons through strong electrostatic attraction in Fig. 12(a) and (b). This can generate a larger trap energy level, compared with the insulating nanostructures in previous high-temperature polymer nanocomposites. As shown in Fig. 12(c), the latter mainly introduces trap sites by modifying the polymer chain conformation and the arrangement in the two-phase interface. Yuan et al. chose three molecular semiconductors, namely ITIC, PCBM, and DPDI, with electron affinities of 3.9, 4.2, and 4.0 eV, respectively.</w:t>
      </w:r>
      <w:r w:rsidRPr="00CA46DB">
        <w:rPr>
          <w:rFonts w:ascii="Calibri" w:eastAsia="SimSun" w:hAnsi="Calibri" w:cs="Calibri"/>
          <w:color w:val="000000" w:themeColor="text1"/>
          <w:sz w:val="18"/>
          <w:szCs w:val="18"/>
          <w:vertAlign w:val="superscript"/>
          <w:lang w:eastAsia="zh-Hans"/>
        </w:rPr>
        <w:t>85</w:t>
      </w:r>
      <w:r w:rsidRPr="00CA46DB">
        <w:rPr>
          <w:rFonts w:ascii="Calibri" w:eastAsia="SimSun" w:hAnsi="Calibri" w:cs="Calibri"/>
          <w:color w:val="000000" w:themeColor="text1"/>
          <w:sz w:val="18"/>
          <w:szCs w:val="18"/>
          <w:lang w:eastAsia="zh-Hans"/>
        </w:rPr>
        <w:t xml:space="preserve"> The electronegative elements in these molecules were shown in the DFT </w:t>
      </w:r>
      <w:r w:rsidRPr="00CA46DB">
        <w:rPr>
          <w:rFonts w:ascii="Calibri" w:eastAsia="SimSun" w:hAnsi="Calibri" w:cs="Calibri"/>
          <w:color w:val="000000" w:themeColor="text1"/>
          <w:sz w:val="18"/>
          <w:szCs w:val="18"/>
          <w:lang w:eastAsia="zh-Hans"/>
        </w:rPr>
        <w:br w:type="column"/>
      </w:r>
      <w:r w:rsidRPr="00CA46DB">
        <w:rPr>
          <w:rFonts w:ascii="Calibri" w:eastAsia="SimSun" w:hAnsi="Calibri" w:cs="Calibri"/>
          <w:color w:val="000000" w:themeColor="text1"/>
          <w:sz w:val="18"/>
          <w:szCs w:val="18"/>
          <w:lang w:eastAsia="zh-Hans"/>
        </w:rPr>
        <w:t xml:space="preserve"> calculation of the electrostatic potential distribution in Fig. 12(d)</w:t>
      </w:r>
      <w:r w:rsidRPr="00CA46DB">
        <w:rPr>
          <w:rFonts w:ascii="Calibri" w:eastAsia="SimSun" w:hAnsi="Calibri" w:cs="Calibri"/>
          <w:color w:val="000000" w:themeColor="text1"/>
          <w:sz w:val="18"/>
          <w:szCs w:val="18"/>
        </w:rPr>
        <w:t>−</w:t>
      </w:r>
      <w:r w:rsidRPr="00CA46DB">
        <w:rPr>
          <w:rFonts w:ascii="Calibri" w:eastAsia="SimSun" w:hAnsi="Calibri" w:cs="Calibri"/>
          <w:color w:val="000000" w:themeColor="text1"/>
          <w:sz w:val="18"/>
          <w:szCs w:val="18"/>
          <w:lang w:eastAsia="zh-Hans"/>
        </w:rPr>
        <w:t xml:space="preserve">(f). Quantitative molecular surface analysis revealed more positive electrostatic potential on their surface, indicating the attraction to electrons. The activation energy associated with carrier trapping was determined by the temperature-dependent electrical conductivity results in Fig. 12(g). Obviously, the all-organic composites had higher activation energies than PEI/BNNS, indicating </w:t>
      </w:r>
      <w:r w:rsidRPr="00CA46DB">
        <w:rPr>
          <w:rFonts w:ascii="Calibri" w:eastAsia="SimSun" w:hAnsi="Calibri" w:cs="Calibri"/>
          <w:color w:val="000000" w:themeColor="text1"/>
          <w:sz w:val="18"/>
          <w:szCs w:val="18"/>
        </w:rPr>
        <w:t>larger</w:t>
      </w:r>
      <w:r w:rsidRPr="00CA46DB">
        <w:rPr>
          <w:rFonts w:ascii="Calibri" w:eastAsia="SimSun" w:hAnsi="Calibri" w:cs="Calibri"/>
          <w:color w:val="000000" w:themeColor="text1"/>
          <w:sz w:val="18"/>
          <w:szCs w:val="18"/>
          <w:lang w:eastAsia="zh-Hans"/>
        </w:rPr>
        <w:t xml:space="preserve"> trap depth</w:t>
      </w:r>
      <w:r w:rsidRPr="00CA46DB">
        <w:rPr>
          <w:rFonts w:ascii="Calibri" w:eastAsia="SimSun" w:hAnsi="Calibri" w:cs="Calibri" w:hint="eastAsia"/>
          <w:color w:val="000000" w:themeColor="text1"/>
          <w:sz w:val="18"/>
          <w:szCs w:val="18"/>
          <w:lang w:val="en-US" w:eastAsia="zh-CN"/>
        </w:rPr>
        <w:t>s</w:t>
      </w:r>
      <w:r w:rsidRPr="00CA46DB">
        <w:rPr>
          <w:rFonts w:ascii="Calibri" w:eastAsia="SimSun" w:hAnsi="Calibri" w:cs="Calibri"/>
          <w:color w:val="000000" w:themeColor="text1"/>
          <w:sz w:val="18"/>
          <w:szCs w:val="18"/>
          <w:lang w:eastAsia="zh-Hans"/>
        </w:rPr>
        <w:t xml:space="preserve">. </w:t>
      </w:r>
      <w:r w:rsidRPr="00CA46DB">
        <w:rPr>
          <w:rFonts w:ascii="Calibri" w:eastAsia="SimSun" w:hAnsi="Calibri" w:cs="Calibri" w:hint="eastAsia"/>
          <w:color w:val="000000" w:themeColor="text1"/>
          <w:sz w:val="18"/>
          <w:szCs w:val="18"/>
          <w:lang w:eastAsia="zh-CN"/>
        </w:rPr>
        <w:t>M</w:t>
      </w:r>
      <w:r w:rsidRPr="00CA46DB">
        <w:rPr>
          <w:rFonts w:ascii="Calibri" w:eastAsia="SimSun" w:hAnsi="Calibri" w:cs="Calibri"/>
          <w:color w:val="000000" w:themeColor="text1"/>
          <w:sz w:val="18"/>
          <w:szCs w:val="18"/>
          <w:lang w:eastAsia="zh-Hans"/>
        </w:rPr>
        <w:t>olecular semiconductors ha</w:t>
      </w:r>
      <w:r w:rsidRPr="00CA46DB">
        <w:rPr>
          <w:rFonts w:ascii="Calibri" w:eastAsia="SimSun" w:hAnsi="Calibri" w:cs="Calibri"/>
          <w:color w:val="000000" w:themeColor="text1"/>
          <w:sz w:val="18"/>
          <w:szCs w:val="18"/>
        </w:rPr>
        <w:t>d</w:t>
      </w:r>
      <w:r w:rsidRPr="00CA46DB">
        <w:rPr>
          <w:rFonts w:ascii="Calibri" w:eastAsia="SimSun" w:hAnsi="Calibri" w:cs="Calibri"/>
          <w:color w:val="000000" w:themeColor="text1"/>
          <w:sz w:val="18"/>
          <w:szCs w:val="18"/>
          <w:lang w:eastAsia="zh-Hans"/>
        </w:rPr>
        <w:t xml:space="preserve"> a significant impact on the charge injection and transport in polymers, which </w:t>
      </w:r>
      <w:r w:rsidRPr="00CA46DB">
        <w:rPr>
          <w:rFonts w:ascii="Calibri" w:eastAsia="SimSun" w:hAnsi="Calibri" w:cs="Calibri"/>
          <w:color w:val="000000" w:themeColor="text1"/>
          <w:sz w:val="18"/>
          <w:szCs w:val="18"/>
        </w:rPr>
        <w:t>were</w:t>
      </w:r>
      <w:r w:rsidRPr="00CA46DB">
        <w:rPr>
          <w:rFonts w:ascii="Calibri" w:eastAsia="SimSun" w:hAnsi="Calibri" w:cs="Calibri"/>
          <w:color w:val="000000" w:themeColor="text1"/>
          <w:sz w:val="18"/>
          <w:szCs w:val="18"/>
          <w:lang w:eastAsia="zh-Hans"/>
        </w:rPr>
        <w:t xml:space="preserve"> more effective than insulating nanostructures in fixing free charges. The emphasis of the evaluation was on</w:t>
      </w:r>
      <w:r w:rsidRPr="00CA46DB">
        <w:rPr>
          <w:rFonts w:ascii="Calibri" w:eastAsia="SimSun" w:hAnsi="Calibri" w:cs="Calibri"/>
          <w:color w:val="000000" w:themeColor="text1"/>
          <w:sz w:val="18"/>
          <w:szCs w:val="18"/>
        </w:rPr>
        <w:t xml:space="preserve">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lang w:eastAsia="zh-Hans"/>
        </w:rPr>
        <w:t xml:space="preserve"> achieved at a high η level (above 90%), in order to avoid overwhelming device heating by the energy loss in the applications. At 150 </w:t>
      </w:r>
      <w:r w:rsidRPr="00CA46DB">
        <w:rPr>
          <w:rFonts w:ascii="Cambria Math" w:eastAsia="SimSun" w:hAnsi="Cambria Math" w:cs="Cambria Math"/>
          <w:color w:val="000000" w:themeColor="text1"/>
          <w:sz w:val="18"/>
          <w:szCs w:val="18"/>
        </w:rPr>
        <w:t>℃</w:t>
      </w:r>
      <w:r w:rsidRPr="00CA46DB">
        <w:rPr>
          <w:rFonts w:ascii="Calibri" w:eastAsia="SimSun" w:hAnsi="Calibri" w:cs="Calibri"/>
          <w:color w:val="000000" w:themeColor="text1"/>
          <w:sz w:val="18"/>
          <w:szCs w:val="18"/>
          <w:lang w:eastAsia="zh-Hans"/>
        </w:rPr>
        <w:t>, the</w:t>
      </w:r>
      <w:r w:rsidRPr="00CA46DB">
        <w:rPr>
          <w:rFonts w:ascii="Calibri" w:eastAsia="SimSun" w:hAnsi="Calibri" w:cs="Calibri"/>
          <w:color w:val="000000" w:themeColor="text1"/>
          <w:sz w:val="18"/>
          <w:szCs w:val="18"/>
        </w:rPr>
        <w:t xml:space="preserve">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lang w:eastAsia="zh-Hans"/>
        </w:rPr>
        <w:t xml:space="preserve"> of the composites ranged from 3.4 to 4.5 </w:t>
      </w:r>
      <w:r w:rsidRPr="00CA46DB">
        <w:rPr>
          <w:rFonts w:ascii="Calibri" w:eastAsia="SimSun" w:hAnsi="Calibri" w:cs="Calibri"/>
          <w:color w:val="000000" w:themeColor="text1"/>
          <w:sz w:val="18"/>
          <w:szCs w:val="18"/>
        </w:rPr>
        <w:t>J·cm</w:t>
      </w:r>
      <w:r w:rsidRPr="00CA46DB">
        <w:rPr>
          <w:rFonts w:ascii="Calibri" w:eastAsia="SimSun" w:hAnsi="Calibri" w:cs="Calibri"/>
          <w:color w:val="000000" w:themeColor="text1"/>
          <w:sz w:val="18"/>
          <w:szCs w:val="18"/>
          <w:vertAlign w:val="superscript"/>
        </w:rPr>
        <w:t>−3</w:t>
      </w:r>
      <w:r w:rsidRPr="00CA46DB">
        <w:rPr>
          <w:rFonts w:ascii="Calibri" w:eastAsia="SimSun" w:hAnsi="Calibri" w:cs="Calibri"/>
          <w:color w:val="000000" w:themeColor="text1"/>
          <w:sz w:val="18"/>
          <w:szCs w:val="18"/>
          <w:lang w:eastAsia="zh-Hans"/>
        </w:rPr>
        <w:t xml:space="preserve"> with η &gt; 90%, while that of pure PEI is only 1.0 </w:t>
      </w:r>
      <w:r w:rsidRPr="00CA46DB">
        <w:rPr>
          <w:rFonts w:ascii="Calibri" w:eastAsia="SimSun" w:hAnsi="Calibri" w:cs="Calibri"/>
          <w:color w:val="000000" w:themeColor="text1"/>
          <w:sz w:val="18"/>
          <w:szCs w:val="18"/>
        </w:rPr>
        <w:t>J·cm</w:t>
      </w:r>
      <w:r w:rsidRPr="00CA46DB">
        <w:rPr>
          <w:rFonts w:ascii="Calibri" w:eastAsia="SimSun" w:hAnsi="Calibri" w:cs="Calibri"/>
          <w:color w:val="000000" w:themeColor="text1"/>
          <w:sz w:val="18"/>
          <w:szCs w:val="18"/>
          <w:vertAlign w:val="superscript"/>
        </w:rPr>
        <w:t>−3</w:t>
      </w:r>
      <w:r w:rsidRPr="00CA46DB">
        <w:rPr>
          <w:rFonts w:ascii="Calibri" w:eastAsia="SimSun" w:hAnsi="Calibri" w:cs="Calibri"/>
          <w:color w:val="000000" w:themeColor="text1"/>
          <w:sz w:val="18"/>
          <w:szCs w:val="18"/>
          <w:lang w:eastAsia="zh-Hans"/>
        </w:rPr>
        <w:t xml:space="preserve"> (Fig. 12(h)). What is more noticeable was that the maximum</w:t>
      </w:r>
      <w:r w:rsidRPr="00CA46DB">
        <w:rPr>
          <w:rFonts w:ascii="Calibri" w:eastAsia="SimSun" w:hAnsi="Calibri" w:cs="Calibri"/>
          <w:color w:val="000000" w:themeColor="text1"/>
          <w:sz w:val="18"/>
          <w:szCs w:val="18"/>
        </w:rPr>
        <w:t xml:space="preserve">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lang w:eastAsia="zh-Hans"/>
        </w:rPr>
        <w:t xml:space="preserve"> of the composites with η &gt; 90% is still as high as 3.0 </w:t>
      </w:r>
      <w:r w:rsidRPr="00CA46DB">
        <w:rPr>
          <w:rFonts w:ascii="Calibri" w:eastAsia="SimSun" w:hAnsi="Calibri" w:cs="Calibri"/>
          <w:color w:val="000000" w:themeColor="text1"/>
          <w:sz w:val="18"/>
          <w:szCs w:val="18"/>
        </w:rPr>
        <w:t>J·cm</w:t>
      </w:r>
      <w:r w:rsidRPr="00CA46DB">
        <w:rPr>
          <w:rFonts w:ascii="Calibri" w:eastAsia="SimSun" w:hAnsi="Calibri" w:cs="Calibri"/>
          <w:color w:val="000000" w:themeColor="text1"/>
          <w:sz w:val="18"/>
          <w:szCs w:val="18"/>
          <w:vertAlign w:val="superscript"/>
        </w:rPr>
        <w:t>−3</w:t>
      </w:r>
      <w:r w:rsidRPr="00CA46DB">
        <w:rPr>
          <w:rFonts w:ascii="Calibri" w:eastAsia="SimSun" w:hAnsi="Calibri" w:cs="Calibri"/>
          <w:color w:val="000000" w:themeColor="text1"/>
          <w:sz w:val="18"/>
          <w:szCs w:val="18"/>
          <w:lang w:eastAsia="zh-Hans"/>
        </w:rPr>
        <w:t xml:space="preserve"> at 200 °C</w:t>
      </w:r>
      <w:r w:rsidRPr="00CA46DB">
        <w:rPr>
          <w:rFonts w:ascii="Calibri" w:eastAsia="SimSun" w:hAnsi="Calibri" w:cs="Calibri" w:hint="eastAsia"/>
          <w:color w:val="000000" w:themeColor="text1"/>
          <w:sz w:val="18"/>
          <w:szCs w:val="18"/>
          <w:lang w:val="en-US" w:eastAsia="zh-CN"/>
        </w:rPr>
        <w:t xml:space="preserve"> </w:t>
      </w:r>
      <w:r w:rsidRPr="00CA46DB">
        <w:rPr>
          <w:rFonts w:ascii="Calibri" w:eastAsia="SimSun" w:hAnsi="Calibri" w:cs="Calibri"/>
          <w:color w:val="000000" w:themeColor="text1"/>
          <w:sz w:val="18"/>
          <w:szCs w:val="18"/>
          <w:lang w:eastAsia="zh-Hans"/>
        </w:rPr>
        <w:t>in Fig. 12(i). The PI composite films containing polyconjugated ladder structure (PcLS) treated at high temperature (480</w:t>
      </w:r>
      <w:r w:rsidRPr="00CA46DB">
        <w:rPr>
          <w:rFonts w:ascii="Calibri" w:eastAsia="SimSun" w:hAnsi="Calibri" w:cs="Calibri"/>
          <w:color w:val="000000" w:themeColor="text1"/>
          <w:sz w:val="18"/>
          <w:szCs w:val="18"/>
        </w:rPr>
        <w:t xml:space="preserve"> </w:t>
      </w:r>
      <w:r w:rsidRPr="00CA46DB">
        <w:rPr>
          <w:rFonts w:ascii="Cambria Math" w:eastAsia="SimSun" w:hAnsi="Cambria Math" w:cs="Cambria Math"/>
          <w:color w:val="000000" w:themeColor="text1"/>
          <w:sz w:val="18"/>
          <w:szCs w:val="18"/>
        </w:rPr>
        <w:t>℃</w:t>
      </w:r>
      <w:r w:rsidRPr="00CA46DB">
        <w:rPr>
          <w:rFonts w:ascii="Calibri" w:eastAsia="SimSun" w:hAnsi="Calibri" w:cs="Calibri"/>
          <w:color w:val="000000" w:themeColor="text1"/>
          <w:sz w:val="18"/>
          <w:szCs w:val="18"/>
          <w:lang w:eastAsia="zh-Hans"/>
        </w:rPr>
        <w:t>) was also prepared. The PcLS-PI composite film achieved a maximum</w:t>
      </w:r>
      <w:r w:rsidRPr="00CA46DB">
        <w:rPr>
          <w:rFonts w:ascii="Calibri" w:eastAsia="SimSun" w:hAnsi="Calibri" w:cs="Calibri"/>
          <w:color w:val="000000" w:themeColor="text1"/>
          <w:sz w:val="18"/>
          <w:szCs w:val="18"/>
        </w:rPr>
        <w:t xml:space="preserve">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lang w:eastAsia="zh-Hans"/>
        </w:rPr>
        <w:t xml:space="preserve"> of 4.33 </w:t>
      </w:r>
      <w:r w:rsidRPr="00CA46DB">
        <w:rPr>
          <w:rFonts w:ascii="Calibri" w:eastAsia="SimSun" w:hAnsi="Calibri" w:cs="Calibri"/>
          <w:color w:val="000000" w:themeColor="text1"/>
          <w:sz w:val="18"/>
          <w:szCs w:val="18"/>
        </w:rPr>
        <w:t>J·cm</w:t>
      </w:r>
      <w:r w:rsidRPr="00CA46DB">
        <w:rPr>
          <w:rFonts w:ascii="Calibri" w:eastAsia="SimSun" w:hAnsi="Calibri" w:cs="Calibri"/>
          <w:color w:val="000000" w:themeColor="text1"/>
          <w:sz w:val="18"/>
          <w:szCs w:val="18"/>
          <w:vertAlign w:val="superscript"/>
        </w:rPr>
        <w:t>−3</w:t>
      </w:r>
      <w:r w:rsidRPr="00CA46DB">
        <w:rPr>
          <w:rFonts w:ascii="Calibri" w:eastAsia="SimSun" w:hAnsi="Calibri" w:cs="Calibri"/>
          <w:color w:val="000000" w:themeColor="text1"/>
          <w:sz w:val="18"/>
          <w:szCs w:val="18"/>
          <w:lang w:eastAsia="zh-Hans"/>
        </w:rPr>
        <w:t>.</w:t>
      </w:r>
      <w:r w:rsidRPr="00CA46DB">
        <w:rPr>
          <w:rFonts w:ascii="Calibri" w:eastAsia="SimSun" w:hAnsi="Calibri" w:cs="Calibri"/>
          <w:color w:val="000000" w:themeColor="text1"/>
          <w:sz w:val="18"/>
          <w:szCs w:val="18"/>
        </w:rPr>
        <w:t xml:space="preserve"> </w:t>
      </w:r>
    </w:p>
    <w:p w14:paraId="28170DD1" w14:textId="77777777" w:rsidR="00FC2A41" w:rsidRPr="00CA46DB" w:rsidRDefault="00166212">
      <w:pPr>
        <w:tabs>
          <w:tab w:val="left" w:pos="3462"/>
        </w:tabs>
        <w:spacing w:before="80" w:after="80" w:line="240" w:lineRule="exact"/>
        <w:rPr>
          <w:rFonts w:ascii="Calibri" w:eastAsia="SimSun" w:hAnsi="Calibri" w:cs="Calibri"/>
          <w:color w:val="000000" w:themeColor="text1"/>
          <w:sz w:val="18"/>
          <w:szCs w:val="18"/>
        </w:rPr>
      </w:pPr>
      <w:r w:rsidRPr="00CA46DB">
        <w:rPr>
          <w:rFonts w:ascii="Calibri" w:eastAsia="SimSun" w:hAnsi="Calibri" w:cs="Calibri"/>
          <w:b/>
          <w:bCs/>
          <w:color w:val="000000" w:themeColor="text1"/>
          <w:sz w:val="18"/>
          <w:szCs w:val="18"/>
        </w:rPr>
        <w:t>3.4. Multi-layer structure</w:t>
      </w:r>
    </w:p>
    <w:p w14:paraId="62DD1811" w14:textId="348DB198" w:rsidR="00285706" w:rsidRDefault="00166212">
      <w:pPr>
        <w:tabs>
          <w:tab w:val="left" w:pos="3462"/>
        </w:tabs>
        <w:spacing w:after="0" w:line="240" w:lineRule="exact"/>
        <w:jc w:val="both"/>
        <w:rPr>
          <w:rFonts w:ascii="Calibri" w:eastAsia="SimSun" w:hAnsi="Calibri" w:cs="Calibri"/>
          <w:color w:val="000000" w:themeColor="text1"/>
          <w:sz w:val="18"/>
          <w:szCs w:val="18"/>
        </w:rPr>
        <w:sectPr w:rsidR="00285706">
          <w:pgSz w:w="11907" w:h="16840"/>
          <w:pgMar w:top="1009" w:right="851" w:bottom="1758" w:left="851" w:header="851" w:footer="1049" w:gutter="0"/>
          <w:cols w:num="2" w:space="227"/>
          <w:docGrid w:linePitch="360"/>
        </w:sectPr>
      </w:pPr>
      <w:r w:rsidRPr="00CA46DB">
        <w:rPr>
          <w:rFonts w:ascii="Calibri" w:eastAsia="SimSun" w:hAnsi="Calibri" w:cs="Calibri"/>
          <w:color w:val="000000" w:themeColor="text1"/>
          <w:sz w:val="18"/>
          <w:szCs w:val="18"/>
        </w:rPr>
        <w:t xml:space="preserve">Compared with single-layer polymer composite films formed by blending different polymers, multi-layer polymer films can easily combine the advantages of different polymer layers. In addition, the interface between adjacent layers can form interfacial polarization and restrain the growth of breakdown paths, leading </w:t>
      </w:r>
    </w:p>
    <w:p w14:paraId="47D34709" w14:textId="2D05BB24" w:rsidR="00285706" w:rsidRDefault="00285706">
      <w:pPr>
        <w:tabs>
          <w:tab w:val="left" w:pos="3462"/>
        </w:tabs>
        <w:spacing w:after="0" w:line="240" w:lineRule="exact"/>
        <w:jc w:val="both"/>
        <w:rPr>
          <w:rFonts w:ascii="Calibri" w:eastAsia="SimSun" w:hAnsi="Calibri" w:cs="Calibri"/>
          <w:color w:val="000000" w:themeColor="text1"/>
          <w:sz w:val="18"/>
          <w:szCs w:val="18"/>
        </w:rPr>
      </w:pPr>
    </w:p>
    <w:p w14:paraId="1779DB1A" w14:textId="31F2B9EB" w:rsidR="00285706" w:rsidRPr="00CA46DB" w:rsidRDefault="00285706">
      <w:pPr>
        <w:tabs>
          <w:tab w:val="left" w:pos="3462"/>
        </w:tabs>
        <w:spacing w:after="0" w:line="240" w:lineRule="exact"/>
        <w:jc w:val="both"/>
        <w:rPr>
          <w:rFonts w:ascii="Calibri" w:eastAsia="SimSun" w:hAnsi="Calibri" w:cs="Calibri"/>
          <w:color w:val="000000" w:themeColor="text1"/>
          <w:sz w:val="18"/>
          <w:szCs w:val="18"/>
        </w:rPr>
        <w:sectPr w:rsidR="00285706" w:rsidRPr="00CA46DB" w:rsidSect="00285706">
          <w:type w:val="continuous"/>
          <w:pgSz w:w="11907" w:h="16840"/>
          <w:pgMar w:top="1009" w:right="851" w:bottom="1758" w:left="851" w:header="851" w:footer="1049" w:gutter="0"/>
          <w:cols w:space="227"/>
          <w:docGrid w:linePitch="360"/>
        </w:sectPr>
      </w:pPr>
    </w:p>
    <w:p w14:paraId="38D7358F" w14:textId="237AAEB9" w:rsidR="00FC2A41" w:rsidRPr="00CA46DB" w:rsidRDefault="00285706">
      <w:pPr>
        <w:tabs>
          <w:tab w:val="left" w:pos="3462"/>
        </w:tabs>
        <w:spacing w:after="0" w:line="240" w:lineRule="exact"/>
        <w:jc w:val="both"/>
        <w:rPr>
          <w:rFonts w:ascii="Calibri" w:eastAsia="SimSun" w:hAnsi="Calibri" w:cs="Calibri"/>
          <w:color w:val="000000" w:themeColor="text1"/>
          <w:sz w:val="18"/>
          <w:szCs w:val="18"/>
        </w:rPr>
      </w:pPr>
      <w:r w:rsidRPr="00CA46DB">
        <w:rPr>
          <w:rFonts w:ascii="Calibri" w:eastAsia="SimSun" w:hAnsi="Calibri" w:cs="Calibri"/>
          <w:noProof/>
          <w:color w:val="000000" w:themeColor="text1"/>
          <w:sz w:val="18"/>
          <w:szCs w:val="18"/>
          <w:lang w:eastAsia="zh-CN"/>
        </w:rPr>
        <w:drawing>
          <wp:anchor distT="0" distB="0" distL="114300" distR="114300" simplePos="0" relativeHeight="251673600" behindDoc="1" locked="0" layoutInCell="1" allowOverlap="1" wp14:anchorId="240414E7" wp14:editId="10766E5E">
            <wp:simplePos x="0" y="0"/>
            <wp:positionH relativeFrom="column">
              <wp:posOffset>834390</wp:posOffset>
            </wp:positionH>
            <wp:positionV relativeFrom="paragraph">
              <wp:posOffset>161290</wp:posOffset>
            </wp:positionV>
            <wp:extent cx="4788535" cy="3376930"/>
            <wp:effectExtent l="203200" t="304800" r="189865" b="293370"/>
            <wp:wrapTight wrapText="bothSides">
              <wp:wrapPolygon edited="0">
                <wp:start x="-3103" y="0"/>
                <wp:lineTo x="-3103" y="21600"/>
                <wp:lineTo x="24985" y="21600"/>
                <wp:lineTo x="25197" y="0"/>
                <wp:lineTo x="-3103" y="0"/>
              </wp:wrapPolygon>
            </wp:wrapTight>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88535" cy="3376930"/>
                    </a:xfrm>
                    <a:prstGeom prst="rect">
                      <a:avLst/>
                    </a:prstGeom>
                  </pic:spPr>
                </pic:pic>
              </a:graphicData>
            </a:graphic>
          </wp:anchor>
        </w:drawing>
      </w:r>
      <w:r w:rsidR="00166212" w:rsidRPr="00CA46DB">
        <w:rPr>
          <w:rFonts w:ascii="Calibri" w:eastAsia="SimSun" w:hAnsi="Calibri" w:cs="Calibri"/>
          <w:noProof/>
          <w:color w:val="000000" w:themeColor="text1"/>
          <w:lang w:eastAsia="zh-CN"/>
        </w:rPr>
        <mc:AlternateContent>
          <mc:Choice Requires="wpg">
            <w:drawing>
              <wp:inline distT="0" distB="0" distL="0" distR="0" wp14:anchorId="3AC52D46" wp14:editId="3966A448">
                <wp:extent cx="6480175" cy="10795"/>
                <wp:effectExtent l="0" t="0" r="0" b="0"/>
                <wp:docPr id="29" name="Group 4178"/>
                <wp:cNvGraphicFramePr/>
                <a:graphic xmlns:a="http://schemas.openxmlformats.org/drawingml/2006/main">
                  <a:graphicData uri="http://schemas.microsoft.com/office/word/2010/wordprocessingGroup">
                    <wpg:wgp>
                      <wpg:cNvGrpSpPr/>
                      <wpg:grpSpPr>
                        <a:xfrm>
                          <a:off x="0" y="0"/>
                          <a:ext cx="6480175" cy="10795"/>
                          <a:chOff x="0" y="0"/>
                          <a:chExt cx="6692405" cy="18974"/>
                        </a:xfrm>
                      </wpg:grpSpPr>
                      <wps:wsp>
                        <wps:cNvPr id="30" name="Shape 4839"/>
                        <wps:cNvSpPr/>
                        <wps:spPr>
                          <a:xfrm>
                            <a:off x="0" y="0"/>
                            <a:ext cx="6692405" cy="18974"/>
                          </a:xfrm>
                          <a:custGeom>
                            <a:avLst/>
                            <a:gdLst/>
                            <a:ahLst/>
                            <a:cxnLst/>
                            <a:rect l="0" t="0" r="0" b="0"/>
                            <a:pathLst>
                              <a:path w="6692405" h="18974">
                                <a:moveTo>
                                  <a:pt x="0" y="0"/>
                                </a:moveTo>
                                <a:lnTo>
                                  <a:pt x="6692405" y="0"/>
                                </a:lnTo>
                                <a:lnTo>
                                  <a:pt x="6692405" y="18974"/>
                                </a:lnTo>
                                <a:lnTo>
                                  <a:pt x="0" y="18974"/>
                                </a:lnTo>
                                <a:lnTo>
                                  <a:pt x="0" y="0"/>
                                </a:lnTo>
                              </a:path>
                            </a:pathLst>
                          </a:custGeom>
                          <a:solidFill>
                            <a:srgbClr val="DED9C9"/>
                          </a:solidFill>
                          <a:ln w="0" cap="flat">
                            <a:noFill/>
                            <a:miter lim="127000"/>
                          </a:ln>
                          <a:effectLst/>
                        </wps:spPr>
                        <wps:bodyPr/>
                      </wps:wsp>
                    </wpg:wgp>
                  </a:graphicData>
                </a:graphic>
              </wp:inline>
            </w:drawing>
          </mc:Choice>
          <mc:Fallback>
            <w:pict>
              <v:group w14:anchorId="206A7FC1" id="Group 4178" o:spid="_x0000_s1026" style="width:510.25pt;height:.85pt;mso-position-horizontal-relative:char;mso-position-vertical-relative:line" coordsize="6692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">
                <v:shape id="Shape 4839" o:spid="_x0000_s1027" style="position:absolute;width:66924;height:189;visibility:visible;mso-wrap-style:square;v-text-anchor:top" coordsize="6692405,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" path="m,l6692405,r,18974l,18974,,e" fillcolor="#ded9c9" stroked="f" strokeweight="0">
                  <v:stroke miterlimit="83231f" joinstyle="miter"/>
                  <v:path arrowok="t" textboxrect="0,0,6692405,18974"/>
                </v:shape>
                <w10:anchorlock/>
              </v:group>
            </w:pict>
          </mc:Fallback>
        </mc:AlternateContent>
      </w:r>
    </w:p>
    <w:p w14:paraId="332E82DF" w14:textId="77777777" w:rsidR="00FC2A41" w:rsidRPr="00CA46DB" w:rsidRDefault="00FC2A41">
      <w:pPr>
        <w:tabs>
          <w:tab w:val="left" w:pos="3462"/>
        </w:tabs>
        <w:spacing w:after="0" w:line="240" w:lineRule="exact"/>
        <w:jc w:val="both"/>
        <w:rPr>
          <w:rFonts w:ascii="Calibri" w:eastAsia="SimSun" w:hAnsi="Calibri" w:cs="Calibr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1A5F6946" w14:textId="77777777" w:rsidR="00FC2A41" w:rsidRPr="009C7CAC" w:rsidRDefault="00166212">
      <w:pPr>
        <w:tabs>
          <w:tab w:val="left" w:pos="3462"/>
        </w:tabs>
        <w:spacing w:after="0" w:line="240" w:lineRule="exact"/>
        <w:jc w:val="both"/>
        <w:rPr>
          <w:rFonts w:cstheme="minorHAnsi"/>
          <w:color w:val="000000" w:themeColor="text1"/>
          <w:sz w:val="18"/>
          <w:szCs w:val="18"/>
          <w:lang w:eastAsia="zh-Hans"/>
        </w:rPr>
      </w:pPr>
      <w:r w:rsidRPr="00CA46DB">
        <w:rPr>
          <w:rFonts w:cstheme="minorHAnsi"/>
          <w:color w:val="000000" w:themeColor="text1"/>
          <w:sz w:val="18"/>
          <w:szCs w:val="18"/>
        </w:rPr>
        <w:t xml:space="preserve">Fig. 12. </w:t>
      </w:r>
      <w:r w:rsidRPr="00CA46DB">
        <w:rPr>
          <w:rFonts w:cstheme="minorHAnsi"/>
          <w:color w:val="000000" w:themeColor="text1"/>
          <w:sz w:val="18"/>
          <w:szCs w:val="18"/>
          <w:lang w:eastAsia="zh-Hans"/>
        </w:rPr>
        <w:t xml:space="preserve">(a) Band diagram showing possible charge transfer in </w:t>
      </w:r>
      <w:r w:rsidRPr="00CA46DB">
        <w:rPr>
          <w:rFonts w:cstheme="minorHAnsi" w:hint="eastAsia"/>
          <w:color w:val="000000" w:themeColor="text1"/>
          <w:sz w:val="18"/>
          <w:szCs w:val="18"/>
          <w:lang w:eastAsia="zh-CN"/>
        </w:rPr>
        <w:t>the</w:t>
      </w:r>
      <w:r w:rsidRPr="00CA46DB">
        <w:rPr>
          <w:rFonts w:cstheme="minorHAnsi"/>
          <w:color w:val="000000" w:themeColor="text1"/>
          <w:sz w:val="18"/>
          <w:szCs w:val="18"/>
          <w:lang w:eastAsia="zh-Hans"/>
        </w:rPr>
        <w:t xml:space="preserve"> all-organic composites. Schematic illustrations of trap energy level in (b) all-organic composites and (c) polymer/insulating particle nanocomposites</w:t>
      </w:r>
      <w:r w:rsidRPr="00CA46DB">
        <w:rPr>
          <w:rFonts w:cstheme="minorHAnsi"/>
          <w:color w:val="000000" w:themeColor="text1"/>
          <w:sz w:val="18"/>
          <w:szCs w:val="18"/>
        </w:rPr>
        <w:t>.</w:t>
      </w:r>
      <w:r w:rsidRPr="00CA46DB">
        <w:rPr>
          <w:rFonts w:cstheme="minorHAnsi"/>
          <w:color w:val="000000" w:themeColor="text1"/>
          <w:sz w:val="18"/>
          <w:szCs w:val="18"/>
          <w:lang w:eastAsia="zh-Hans"/>
        </w:rPr>
        <w:t xml:space="preserve"> Electrostatic potential distribution and area percentage in each electrostatic potential range of (d) ITIC, (e) PCBM and (f) DPDI</w:t>
      </w:r>
      <w:r w:rsidRPr="00CA46DB">
        <w:rPr>
          <w:rFonts w:cstheme="minorHAnsi"/>
          <w:color w:val="000000" w:themeColor="text1"/>
          <w:sz w:val="18"/>
          <w:szCs w:val="18"/>
        </w:rPr>
        <w:t>.</w:t>
      </w:r>
      <w:r w:rsidRPr="00CA46DB">
        <w:rPr>
          <w:rFonts w:cstheme="minorHAnsi"/>
          <w:color w:val="000000" w:themeColor="text1"/>
          <w:sz w:val="18"/>
          <w:szCs w:val="18"/>
          <w:lang w:eastAsia="zh-Hans"/>
        </w:rPr>
        <w:t xml:space="preserve"> (g) Arrhenius function of conductivity for the pu</w:t>
      </w:r>
      <w:r w:rsidRPr="00CA46DB">
        <w:rPr>
          <w:rFonts w:cstheme="minorHAnsi" w:hint="eastAsia"/>
          <w:color w:val="000000" w:themeColor="text1"/>
          <w:sz w:val="18"/>
          <w:szCs w:val="18"/>
          <w:lang w:eastAsia="zh-CN"/>
        </w:rPr>
        <w:t>r</w:t>
      </w:r>
      <w:r w:rsidRPr="00CA46DB">
        <w:rPr>
          <w:rFonts w:cstheme="minorHAnsi"/>
          <w:color w:val="000000" w:themeColor="text1"/>
          <w:sz w:val="18"/>
          <w:szCs w:val="18"/>
          <w:lang w:eastAsia="zh-Hans"/>
        </w:rPr>
        <w:t>e PEI, all-organic composites and PEI/BNNS nanocomposite measured at 300</w:t>
      </w:r>
      <w:r w:rsidRPr="00CA46DB">
        <w:rPr>
          <w:rFonts w:cstheme="minorHAnsi"/>
          <w:color w:val="000000" w:themeColor="text1"/>
          <w:sz w:val="18"/>
          <w:szCs w:val="18"/>
        </w:rPr>
        <w:t xml:space="preserve"> MV·m</w:t>
      </w:r>
      <w:r w:rsidRPr="00CA46DB">
        <w:rPr>
          <w:rFonts w:cstheme="minorHAnsi"/>
          <w:color w:val="000000" w:themeColor="text1"/>
          <w:sz w:val="18"/>
          <w:szCs w:val="18"/>
          <w:vertAlign w:val="superscript"/>
        </w:rPr>
        <w:t>−1</w:t>
      </w:r>
      <w:r w:rsidRPr="00CA46DB">
        <w:rPr>
          <w:rFonts w:cstheme="minorHAnsi"/>
          <w:color w:val="000000" w:themeColor="text1"/>
          <w:sz w:val="18"/>
          <w:szCs w:val="18"/>
        </w:rPr>
        <w:t>.</w:t>
      </w:r>
      <w:r w:rsidRPr="00CA46DB">
        <w:rPr>
          <w:rFonts w:cstheme="minorHAnsi"/>
          <w:color w:val="000000" w:themeColor="text1"/>
          <w:sz w:val="18"/>
          <w:szCs w:val="18"/>
          <w:lang w:eastAsia="zh-Hans"/>
        </w:rPr>
        <w:t xml:space="preserve"> The energy density and discharge efficiency of PEI, PEI/PCBM, PEI/DPDI and PEI/ITIC composites at (h) 150</w:t>
      </w:r>
      <w:r w:rsidRPr="00CA46DB">
        <w:rPr>
          <w:rFonts w:cstheme="minorHAnsi"/>
          <w:color w:val="000000" w:themeColor="text1"/>
          <w:sz w:val="18"/>
          <w:szCs w:val="18"/>
        </w:rPr>
        <w:t xml:space="preserve"> </w:t>
      </w:r>
      <w:r w:rsidRPr="00CA46DB">
        <w:rPr>
          <w:rFonts w:ascii="Cambria Math" w:hAnsi="Cambria Math" w:cs="Cambria Math"/>
          <w:color w:val="000000" w:themeColor="text1"/>
          <w:sz w:val="18"/>
          <w:szCs w:val="18"/>
        </w:rPr>
        <w:t>℃</w:t>
      </w:r>
      <w:r w:rsidRPr="00CA46DB">
        <w:rPr>
          <w:rFonts w:cstheme="minorHAnsi"/>
          <w:color w:val="000000" w:themeColor="text1"/>
          <w:sz w:val="18"/>
          <w:szCs w:val="18"/>
          <w:lang w:eastAsia="zh-Hans"/>
        </w:rPr>
        <w:t xml:space="preserve"> and (i) 200 </w:t>
      </w:r>
      <w:r w:rsidRPr="00CA46DB">
        <w:rPr>
          <w:rFonts w:ascii="Cambria Math" w:hAnsi="Cambria Math" w:cs="Cambria Math"/>
          <w:color w:val="000000" w:themeColor="text1"/>
          <w:sz w:val="18"/>
          <w:szCs w:val="18"/>
        </w:rPr>
        <w:t>℃</w:t>
      </w:r>
      <w:r w:rsidRPr="00CA46DB">
        <w:rPr>
          <w:rFonts w:cstheme="minorHAnsi"/>
          <w:color w:val="000000" w:themeColor="text1"/>
          <w:sz w:val="18"/>
          <w:szCs w:val="18"/>
          <w:lang w:eastAsia="zh-Hans"/>
        </w:rPr>
        <w:t>.</w:t>
      </w:r>
      <w:r w:rsidRPr="00CA46DB">
        <w:rPr>
          <w:rFonts w:cstheme="minorHAnsi"/>
          <w:color w:val="000000" w:themeColor="text1"/>
          <w:sz w:val="18"/>
          <w:szCs w:val="18"/>
          <w:vertAlign w:val="superscript"/>
          <w:lang w:eastAsia="zh-Hans"/>
        </w:rPr>
        <w:t>85</w:t>
      </w:r>
    </w:p>
    <w:p w14:paraId="5956681D" w14:textId="77777777" w:rsidR="00FC2A41" w:rsidRPr="009C7CAC" w:rsidRDefault="00FC2A41">
      <w:pPr>
        <w:tabs>
          <w:tab w:val="left" w:pos="3462"/>
        </w:tabs>
        <w:spacing w:after="0" w:line="240" w:lineRule="exact"/>
        <w:jc w:val="both"/>
        <w:rPr>
          <w:rFonts w:cstheme="minorHAnsi"/>
          <w:color w:val="000000" w:themeColor="text1"/>
          <w:sz w:val="18"/>
          <w:szCs w:val="18"/>
          <w:lang w:eastAsia="zh-Hans"/>
        </w:rPr>
        <w:sectPr w:rsidR="00FC2A41" w:rsidRPr="009C7CAC">
          <w:type w:val="continuous"/>
          <w:pgSz w:w="11907" w:h="16840"/>
          <w:pgMar w:top="1009" w:right="851" w:bottom="1758" w:left="851" w:header="851" w:footer="1049" w:gutter="0"/>
          <w:cols w:space="227"/>
          <w:docGrid w:linePitch="360"/>
        </w:sectPr>
      </w:pPr>
    </w:p>
    <w:p w14:paraId="62E4F786" w14:textId="1A04840F" w:rsidR="00FC2A41" w:rsidRPr="00CA46DB" w:rsidRDefault="00166212">
      <w:pPr>
        <w:tabs>
          <w:tab w:val="left" w:pos="3462"/>
        </w:tabs>
        <w:spacing w:after="0" w:line="240" w:lineRule="exact"/>
        <w:jc w:val="both"/>
        <w:rPr>
          <w:rFonts w:ascii="Times New Roman Regular" w:hAnsi="Times New Roman Regular" w:cs="Times New Roman Regular"/>
          <w:color w:val="000000" w:themeColor="text1"/>
          <w:sz w:val="24"/>
          <w:lang w:eastAsia="zh-Hans"/>
        </w:rPr>
      </w:pPr>
      <w:r w:rsidRPr="00CA46DB">
        <w:rPr>
          <w:rFonts w:cstheme="minorHAnsi"/>
          <w:color w:val="000000" w:themeColor="text1"/>
          <w:sz w:val="18"/>
          <w:szCs w:val="18"/>
          <w:vertAlign w:val="superscript"/>
          <w:lang w:eastAsia="zh-Hans"/>
        </w:rPr>
        <w:br w:type="column"/>
      </w:r>
      <w:r w:rsidRPr="00CA46DB">
        <w:rPr>
          <w:rFonts w:ascii="Calibri" w:eastAsia="SimSun" w:hAnsi="Calibri" w:cs="Calibri" w:hint="eastAsia"/>
          <w:color w:val="000000" w:themeColor="text1"/>
          <w:sz w:val="18"/>
          <w:szCs w:val="18"/>
          <w:lang w:eastAsia="zh-CN"/>
        </w:rPr>
        <w:lastRenderedPageBreak/>
        <w:t>to</w:t>
      </w:r>
      <w:r w:rsidRPr="00CA46DB">
        <w:rPr>
          <w:rFonts w:ascii="Calibri" w:eastAsia="SimSun" w:hAnsi="Calibri" w:cs="Calibri"/>
          <w:color w:val="000000" w:themeColor="text1"/>
          <w:sz w:val="18"/>
          <w:szCs w:val="18"/>
          <w:lang w:eastAsia="zh-CN"/>
        </w:rPr>
        <w:t xml:space="preserve"> </w:t>
      </w:r>
      <w:r w:rsidRPr="00CA46DB">
        <w:rPr>
          <w:rFonts w:ascii="Calibri" w:eastAsia="SimSun" w:hAnsi="Calibri" w:cs="Calibri"/>
          <w:color w:val="000000" w:themeColor="text1"/>
          <w:sz w:val="18"/>
          <w:szCs w:val="18"/>
        </w:rPr>
        <w:t xml:space="preserve">an increase in </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and</w:t>
      </w:r>
      <w:r w:rsidRPr="00CA46DB">
        <w:rPr>
          <w:rFonts w:ascii="Calibri" w:eastAsia="SimSun" w:hAnsi="Calibri" w:cs="Calibri"/>
          <w:color w:val="000000" w:themeColor="text1"/>
          <w:sz w:val="18"/>
          <w:szCs w:val="18"/>
          <w:lang w:eastAsia="zh-Hans"/>
        </w:rPr>
        <w:t xml:space="preserve"> </w:t>
      </w:r>
      <w:r w:rsidRPr="00CA46DB">
        <w:rPr>
          <w:rFonts w:ascii="Calibri" w:eastAsia="SimSun" w:hAnsi="Calibri" w:cs="Calibri"/>
          <w:i/>
          <w:iCs/>
          <w:color w:val="000000" w:themeColor="text1"/>
          <w:sz w:val="18"/>
          <w:szCs w:val="18"/>
        </w:rPr>
        <w:t>E</w:t>
      </w:r>
      <w:r w:rsidRPr="00CA46DB">
        <w:rPr>
          <w:rFonts w:ascii="Calibri" w:eastAsia="SimSun" w:hAnsi="Calibri" w:cs="Calibri"/>
          <w:i/>
          <w:iCs/>
          <w:color w:val="000000" w:themeColor="text1"/>
          <w:sz w:val="18"/>
          <w:szCs w:val="18"/>
          <w:vertAlign w:val="subscript"/>
        </w:rPr>
        <w:t>b</w:t>
      </w:r>
      <w:r w:rsidRPr="00CA46DB">
        <w:rPr>
          <w:rFonts w:ascii="Calibri" w:eastAsia="SimSun" w:hAnsi="Calibri" w:cs="Calibri"/>
          <w:color w:val="000000" w:themeColor="text1"/>
          <w:sz w:val="18"/>
          <w:szCs w:val="18"/>
        </w:rPr>
        <w:t xml:space="preserve">. And the design of the film as a layered structure also provides conditions for further enhancing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rPr>
        <w:t xml:space="preserve"> by optimizing the stacking structures. Sandwich structure strategy is applied to improve the energy storage performance of </w:t>
      </w:r>
      <w:r w:rsidRPr="00CA46DB">
        <w:rPr>
          <w:rFonts w:ascii="Calibri" w:eastAsia="SimSun" w:hAnsi="Calibri" w:cs="Calibri" w:hint="eastAsia"/>
          <w:color w:val="000000" w:themeColor="text1"/>
          <w:sz w:val="18"/>
          <w:szCs w:val="18"/>
          <w:lang w:eastAsia="zh-CN"/>
        </w:rPr>
        <w:t>polymer</w:t>
      </w:r>
      <w:r w:rsidRPr="00CA46DB">
        <w:rPr>
          <w:rFonts w:ascii="Calibri" w:eastAsia="SimSun" w:hAnsi="Calibri" w:cs="Calibri"/>
          <w:color w:val="000000" w:themeColor="text1"/>
          <w:sz w:val="18"/>
          <w:szCs w:val="18"/>
        </w:rPr>
        <w:t xml:space="preserve"> composites, and can be divided into positive sandwich structure and reverse sandwich structure. The basic principle of the positive sandwich structure composite is to insert a high-</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polarization layer between two insulating layers with high </w:t>
      </w:r>
      <w:r w:rsidRPr="00CA46DB">
        <w:rPr>
          <w:rFonts w:ascii="Calibri" w:eastAsia="SimSun" w:hAnsi="Calibri" w:cs="Calibri"/>
          <w:i/>
          <w:iCs/>
          <w:color w:val="000000" w:themeColor="text1"/>
          <w:sz w:val="18"/>
          <w:szCs w:val="18"/>
        </w:rPr>
        <w:t>E</w:t>
      </w:r>
      <w:r w:rsidRPr="00CA46DB">
        <w:rPr>
          <w:rFonts w:ascii="Calibri" w:eastAsia="SimSun" w:hAnsi="Calibri" w:cs="Calibri"/>
          <w:i/>
          <w:iCs/>
          <w:color w:val="000000" w:themeColor="text1"/>
          <w:sz w:val="18"/>
          <w:szCs w:val="18"/>
          <w:vertAlign w:val="subscript"/>
        </w:rPr>
        <w:t>b</w:t>
      </w:r>
      <w:r w:rsidRPr="00CA46DB">
        <w:rPr>
          <w:rFonts w:ascii="Calibri" w:eastAsia="SimSun" w:hAnsi="Calibri" w:cs="Calibri"/>
          <w:color w:val="000000" w:themeColor="text1"/>
          <w:sz w:val="18"/>
          <w:szCs w:val="18"/>
        </w:rPr>
        <w:t>. The insulating layer will withstand most of the applied voltage and restrain the breakdown of the nanocomposites. The reverse sandwich structure composite has high-</w:t>
      </w:r>
      <w:r w:rsidRPr="00CA46DB">
        <w:rPr>
          <w:rFonts w:ascii="Calibri" w:eastAsia="SimSun" w:hAnsi="Calibri" w:cs="Calibri"/>
          <w:i/>
          <w:iCs/>
          <w:color w:val="000000" w:themeColor="text1"/>
          <w:sz w:val="18"/>
          <w:szCs w:val="18"/>
        </w:rPr>
        <w:t>ε</w:t>
      </w:r>
      <w:r w:rsidRPr="00CA46DB">
        <w:rPr>
          <w:rFonts w:ascii="Calibri" w:eastAsia="SimSun" w:hAnsi="Calibri" w:cs="Calibri"/>
          <w:color w:val="000000" w:themeColor="text1"/>
          <w:sz w:val="18"/>
          <w:szCs w:val="18"/>
          <w:vertAlign w:val="subscript"/>
        </w:rPr>
        <w:t>r</w:t>
      </w:r>
      <w:r w:rsidRPr="00CA46DB">
        <w:rPr>
          <w:rFonts w:ascii="Calibri" w:eastAsia="SimSun" w:hAnsi="Calibri" w:cs="Calibri"/>
          <w:color w:val="000000" w:themeColor="text1"/>
          <w:sz w:val="18"/>
          <w:szCs w:val="18"/>
        </w:rPr>
        <w:t xml:space="preserve"> polarization layers as the outer layers, and a high-</w:t>
      </w:r>
      <w:r w:rsidRPr="00CA46DB">
        <w:rPr>
          <w:rFonts w:ascii="Calibri" w:eastAsia="SimSun" w:hAnsi="Calibri" w:cs="Calibri"/>
          <w:i/>
          <w:iCs/>
          <w:color w:val="000000" w:themeColor="text1"/>
          <w:sz w:val="18"/>
          <w:szCs w:val="18"/>
        </w:rPr>
        <w:t>E</w:t>
      </w:r>
      <w:r w:rsidRPr="00CA46DB">
        <w:rPr>
          <w:rFonts w:ascii="Calibri" w:eastAsia="SimSun" w:hAnsi="Calibri" w:cs="Calibri"/>
          <w:color w:val="000000" w:themeColor="text1"/>
          <w:sz w:val="18"/>
          <w:szCs w:val="18"/>
          <w:vertAlign w:val="subscript"/>
        </w:rPr>
        <w:t>b</w:t>
      </w:r>
      <w:r w:rsidRPr="00CA46DB">
        <w:rPr>
          <w:rFonts w:ascii="Calibri" w:eastAsia="SimSun" w:hAnsi="Calibri" w:cs="Calibri"/>
          <w:color w:val="000000" w:themeColor="text1"/>
          <w:sz w:val="18"/>
          <w:szCs w:val="18"/>
        </w:rPr>
        <w:t xml:space="preserve"> insulating layer as the middle layer. Wang et al. prepared positive sandwich structure films (the middle PVTC layer and the outer PEI layers), reverse sandwich structure films and single-layer blend films for comparison.</w:t>
      </w:r>
      <w:r w:rsidRPr="00CA46DB">
        <w:rPr>
          <w:rFonts w:ascii="Calibri" w:eastAsia="SimSun" w:hAnsi="Calibri" w:cs="Calibri"/>
          <w:color w:val="000000" w:themeColor="text1"/>
          <w:sz w:val="18"/>
          <w:szCs w:val="18"/>
          <w:vertAlign w:val="superscript"/>
        </w:rPr>
        <w:t>87</w:t>
      </w:r>
      <w:r w:rsidRPr="00CA46DB">
        <w:rPr>
          <w:rFonts w:ascii="Calibri" w:eastAsia="SimSun" w:hAnsi="Calibri" w:cs="Calibri"/>
          <w:color w:val="000000" w:themeColor="text1"/>
          <w:sz w:val="18"/>
          <w:szCs w:val="18"/>
        </w:rPr>
        <w:t xml:space="preserve"> The positive sandwich film PEI-15vol%PVTC-PEI show</w:t>
      </w:r>
      <w:r w:rsidRPr="00CA46DB">
        <w:rPr>
          <w:rFonts w:ascii="Calibri" w:eastAsia="SimSun" w:hAnsi="Calibri" w:cs="Calibri"/>
          <w:color w:val="000000" w:themeColor="text1"/>
          <w:sz w:val="18"/>
          <w:szCs w:val="18"/>
          <w:lang w:eastAsia="zh-Hans"/>
        </w:rPr>
        <w:t>ed</w:t>
      </w:r>
      <w:r w:rsidRPr="00CA46DB">
        <w:rPr>
          <w:rFonts w:ascii="Calibri" w:eastAsia="SimSun" w:hAnsi="Calibri" w:cs="Calibri"/>
          <w:color w:val="000000" w:themeColor="text1"/>
          <w:sz w:val="18"/>
          <w:szCs w:val="18"/>
        </w:rPr>
        <w:t xml:space="preserve"> excellent temperature stability between 25 </w:t>
      </w:r>
      <w:r w:rsidRPr="00CA46DB">
        <w:rPr>
          <w:rFonts w:ascii="Cambria Math" w:eastAsia="SimSun" w:hAnsi="Cambria Math" w:cs="Cambria Math"/>
          <w:color w:val="000000" w:themeColor="text1"/>
          <w:sz w:val="18"/>
          <w:szCs w:val="18"/>
        </w:rPr>
        <w:t>℃</w:t>
      </w:r>
      <w:r w:rsidRPr="00CA46DB">
        <w:rPr>
          <w:rFonts w:ascii="Calibri" w:eastAsia="SimSun" w:hAnsi="Calibri" w:cs="Calibri"/>
          <w:color w:val="000000" w:themeColor="text1"/>
          <w:sz w:val="18"/>
          <w:szCs w:val="18"/>
        </w:rPr>
        <w:t xml:space="preserve"> and 100 </w:t>
      </w:r>
      <w:r w:rsidRPr="00CA46DB">
        <w:rPr>
          <w:rFonts w:ascii="Cambria Math" w:eastAsia="SimSun" w:hAnsi="Cambria Math" w:cs="Cambria Math"/>
          <w:color w:val="000000" w:themeColor="text1"/>
          <w:sz w:val="18"/>
          <w:szCs w:val="18"/>
        </w:rPr>
        <w:t>℃</w:t>
      </w:r>
      <w:r w:rsidRPr="00CA46DB">
        <w:rPr>
          <w:rFonts w:ascii="Calibri" w:eastAsia="SimSun" w:hAnsi="Calibri" w:cs="Calibri"/>
          <w:color w:val="000000" w:themeColor="text1"/>
          <w:sz w:val="18"/>
          <w:szCs w:val="18"/>
        </w:rPr>
        <w:t xml:space="preserve">. For example, its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rPr>
        <w:t xml:space="preserve"> and η were mainly maintained at about 8 J·cm</w:t>
      </w:r>
      <w:r w:rsidRPr="00CA46DB">
        <w:rPr>
          <w:rFonts w:ascii="Calibri" w:eastAsia="SimSun" w:hAnsi="Calibri" w:cs="Calibri"/>
          <w:color w:val="000000" w:themeColor="text1"/>
          <w:sz w:val="18"/>
          <w:szCs w:val="18"/>
          <w:vertAlign w:val="superscript"/>
        </w:rPr>
        <w:t>−3</w:t>
      </w:r>
      <w:r w:rsidRPr="00CA46DB">
        <w:rPr>
          <w:rFonts w:ascii="Calibri" w:eastAsia="SimSun" w:hAnsi="Calibri" w:cs="Calibri"/>
          <w:color w:val="000000" w:themeColor="text1"/>
          <w:sz w:val="18"/>
          <w:szCs w:val="18"/>
        </w:rPr>
        <w:t xml:space="preserve"> and 80%, respectively. However, the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rPr>
        <w:t xml:space="preserve"> of the reverse sandwich structure film 7.5 vol% PVTC-PEI-7.5 vol% PVTC had a sharp decline after 75 </w:t>
      </w:r>
      <w:r w:rsidRPr="00CA46DB">
        <w:rPr>
          <w:rFonts w:ascii="Cambria Math" w:eastAsia="SimSun" w:hAnsi="Cambria Math" w:cs="Cambria Math"/>
          <w:color w:val="000000" w:themeColor="text1"/>
          <w:sz w:val="18"/>
          <w:szCs w:val="18"/>
        </w:rPr>
        <w:t>℃</w:t>
      </w:r>
      <w:r w:rsidRPr="00CA46DB">
        <w:rPr>
          <w:rFonts w:ascii="Calibri" w:eastAsia="SimSun" w:hAnsi="Calibri" w:cs="Calibri"/>
          <w:color w:val="000000" w:themeColor="text1"/>
          <w:sz w:val="18"/>
          <w:szCs w:val="18"/>
        </w:rPr>
        <w:t xml:space="preserve">, which showed that the PEI outer layer can effectively protect the energy storage performances of the middle PVTC layer at high temperature condition. So far, the design of most layer-structured composite films is trying to achieve higher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rPr>
        <w:t xml:space="preserve">. However, enhanced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rPr>
        <w:t xml:space="preserve"> is always accompanied by suppressed η. As shown in Fig. 13(a), Sun et al. introduced a transition layer the PEI/P(VDF-HFP) blend composite between the linear dielectric layer PEI and the nonlinear dielectric layer P (VDF-HFP), forming a unique asymmetric trilayer linear-transition-nonlinear (LTN) structure.</w:t>
      </w:r>
      <w:r w:rsidRPr="00CA46DB">
        <w:rPr>
          <w:rFonts w:ascii="Calibri" w:eastAsia="SimSun" w:hAnsi="Calibri" w:cs="Calibri"/>
          <w:color w:val="000000" w:themeColor="text1"/>
          <w:sz w:val="18"/>
          <w:szCs w:val="18"/>
          <w:vertAlign w:val="superscript"/>
        </w:rPr>
        <w:t>88</w:t>
      </w:r>
      <w:r w:rsidRPr="00CA46DB">
        <w:rPr>
          <w:rFonts w:ascii="Calibri" w:eastAsia="SimSun" w:hAnsi="Calibri" w:cs="Calibri"/>
          <w:color w:val="000000" w:themeColor="text1"/>
          <w:sz w:val="18"/>
          <w:szCs w:val="18"/>
        </w:rPr>
        <w:t xml:space="preserve"> Compared to single-layer films (pure PEI, pure PVDF, blended PEI/PVDF ) and PEI-P(VDF-HFP) bilayer composites, asymmetric trilayer composites with LTN structure exhibited significantly excellent energy storage performance in Fig. 13(</w:t>
      </w:r>
      <w:r w:rsidRPr="00CA46DB">
        <w:rPr>
          <w:rFonts w:ascii="Calibri" w:eastAsia="SimSun" w:hAnsi="Calibri" w:cs="Calibri"/>
          <w:color w:val="000000" w:themeColor="text1"/>
          <w:sz w:val="18"/>
          <w:szCs w:val="18"/>
          <w:lang w:eastAsia="zh-Hans"/>
        </w:rPr>
        <w:t>d)</w:t>
      </w:r>
      <w:r w:rsidRPr="00CA46DB">
        <w:rPr>
          <w:rFonts w:ascii="Calibri" w:eastAsia="SimSun" w:hAnsi="Calibri" w:cs="Calibri"/>
          <w:color w:val="000000" w:themeColor="text1"/>
          <w:sz w:val="18"/>
          <w:szCs w:val="18"/>
        </w:rPr>
        <w:t xml:space="preserve"> and (</w:t>
      </w:r>
      <w:r w:rsidRPr="00CA46DB">
        <w:rPr>
          <w:rFonts w:ascii="Calibri" w:eastAsia="SimSun" w:hAnsi="Calibri" w:cs="Calibri"/>
          <w:color w:val="000000" w:themeColor="text1"/>
          <w:sz w:val="18"/>
          <w:szCs w:val="18"/>
          <w:lang w:eastAsia="zh-Hans"/>
        </w:rPr>
        <w:t>e)</w:t>
      </w:r>
      <w:r w:rsidRPr="00CA46DB">
        <w:rPr>
          <w:rFonts w:ascii="Calibri" w:eastAsia="SimSun" w:hAnsi="Calibri" w:cs="Calibri"/>
          <w:color w:val="000000" w:themeColor="text1"/>
          <w:sz w:val="18"/>
          <w:szCs w:val="18"/>
        </w:rPr>
        <w:t xml:space="preserve">. </w:t>
      </w:r>
      <w:r w:rsidRPr="00CA46DB">
        <w:rPr>
          <w:rFonts w:ascii="Calibri" w:eastAsia="SimSun" w:hAnsi="Calibri" w:cs="Calibri" w:hint="eastAsia"/>
          <w:color w:val="000000" w:themeColor="text1"/>
          <w:sz w:val="18"/>
          <w:szCs w:val="18"/>
          <w:lang w:eastAsia="zh-CN"/>
        </w:rPr>
        <w:t>The</w:t>
      </w:r>
      <w:r w:rsidRPr="00CA46DB">
        <w:rPr>
          <w:rFonts w:ascii="Calibri" w:eastAsia="SimSun" w:hAnsi="Calibri" w:cs="Calibri"/>
          <w:color w:val="000000" w:themeColor="text1"/>
          <w:sz w:val="18"/>
          <w:szCs w:val="18"/>
        </w:rPr>
        <w:t xml:space="preserve"> E-20 vol% E/F-F </w:t>
      </w:r>
      <w:r w:rsidRPr="00CA46DB">
        <w:rPr>
          <w:rFonts w:ascii="Calibri" w:eastAsia="SimSun" w:hAnsi="Calibri" w:cs="Calibri" w:hint="eastAsia"/>
          <w:color w:val="000000" w:themeColor="text1"/>
          <w:sz w:val="18"/>
          <w:szCs w:val="18"/>
          <w:lang w:eastAsia="zh-CN"/>
        </w:rPr>
        <w:t>composite</w:t>
      </w:r>
      <w:r w:rsidRPr="00CA46DB">
        <w:rPr>
          <w:rFonts w:ascii="Calibri" w:eastAsia="SimSun" w:hAnsi="Calibri" w:cs="Calibri"/>
          <w:color w:val="000000" w:themeColor="text1"/>
          <w:sz w:val="18"/>
          <w:szCs w:val="18"/>
          <w:lang w:eastAsia="zh-CN"/>
        </w:rPr>
        <w:t xml:space="preserve"> </w:t>
      </w:r>
      <w:r w:rsidRPr="00CA46DB">
        <w:rPr>
          <w:rFonts w:ascii="Calibri" w:eastAsia="SimSun" w:hAnsi="Calibri" w:cs="Calibri"/>
          <w:color w:val="000000" w:themeColor="text1"/>
          <w:sz w:val="18"/>
          <w:szCs w:val="18"/>
        </w:rPr>
        <w:t xml:space="preserve">had obtained both a high η of 89.9% and a </w:t>
      </w:r>
      <w:r w:rsidRPr="00CA46DB">
        <w:rPr>
          <w:rFonts w:ascii="Calibri" w:eastAsia="SimSun" w:hAnsi="Calibri" w:cs="Calibri"/>
          <w:color w:val="000000" w:themeColor="text1"/>
          <w:sz w:val="18"/>
          <w:szCs w:val="18"/>
        </w:rPr>
        <w:br w:type="column"/>
      </w:r>
      <w:r w:rsidRPr="00CA46DB">
        <w:rPr>
          <w:rFonts w:ascii="Calibri" w:eastAsia="SimSun" w:hAnsi="Calibri" w:cs="Calibri"/>
          <w:color w:val="000000" w:themeColor="text1"/>
          <w:sz w:val="18"/>
          <w:szCs w:val="18"/>
        </w:rPr>
        <w:t xml:space="preserve">high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rPr>
        <w:t xml:space="preserve"> of 12.15 J·cm</w:t>
      </w:r>
      <w:r w:rsidRPr="00CA46DB">
        <w:rPr>
          <w:rFonts w:ascii="Calibri" w:eastAsia="SimSun" w:hAnsi="Calibri" w:cs="Calibri"/>
          <w:color w:val="000000" w:themeColor="text1"/>
          <w:sz w:val="18"/>
          <w:szCs w:val="18"/>
          <w:vertAlign w:val="superscript"/>
        </w:rPr>
        <w:t>−3</w:t>
      </w:r>
      <w:r w:rsidRPr="00CA46DB">
        <w:rPr>
          <w:rFonts w:ascii="Calibri" w:eastAsia="SimSun" w:hAnsi="Calibri" w:cs="Calibri"/>
          <w:color w:val="000000" w:themeColor="text1"/>
          <w:sz w:val="18"/>
          <w:szCs w:val="18"/>
        </w:rPr>
        <w:t xml:space="preserve">. </w:t>
      </w:r>
      <w:r w:rsidRPr="00CA46DB">
        <w:rPr>
          <w:rFonts w:ascii="Calibri" w:eastAsia="SimSun" w:hAnsi="Calibri" w:cs="Calibri" w:hint="eastAsia"/>
          <w:color w:val="000000" w:themeColor="text1"/>
          <w:sz w:val="18"/>
          <w:szCs w:val="18"/>
          <w:lang w:eastAsia="zh-CN"/>
        </w:rPr>
        <w:t>The</w:t>
      </w:r>
      <w:r w:rsidRPr="00CA46DB">
        <w:rPr>
          <w:rFonts w:ascii="Calibri" w:eastAsia="SimSun" w:hAnsi="Calibri" w:cs="Calibri"/>
          <w:color w:val="000000" w:themeColor="text1"/>
          <w:sz w:val="18"/>
          <w:szCs w:val="18"/>
          <w:lang w:eastAsia="zh-CN"/>
        </w:rPr>
        <w:t xml:space="preserve"> </w:t>
      </w:r>
      <w:r w:rsidRPr="00CA46DB">
        <w:rPr>
          <w:rFonts w:ascii="Calibri" w:eastAsia="SimSun" w:hAnsi="Calibri" w:cs="Calibri"/>
          <w:color w:val="000000" w:themeColor="text1"/>
          <w:sz w:val="18"/>
          <w:szCs w:val="18"/>
        </w:rPr>
        <w:t xml:space="preserve">composite with LTN structure </w:t>
      </w:r>
      <w:r w:rsidRPr="00CA46DB">
        <w:rPr>
          <w:rFonts w:ascii="Calibri" w:eastAsia="SimSun" w:hAnsi="Calibri" w:cs="Calibri" w:hint="eastAsia"/>
          <w:color w:val="000000" w:themeColor="text1"/>
          <w:sz w:val="18"/>
          <w:szCs w:val="18"/>
          <w:lang w:eastAsia="zh-CN"/>
        </w:rPr>
        <w:t>was</w:t>
      </w:r>
      <w:r w:rsidRPr="00CA46DB">
        <w:rPr>
          <w:rFonts w:ascii="Calibri" w:eastAsia="SimSun" w:hAnsi="Calibri" w:cs="Calibri"/>
          <w:color w:val="000000" w:themeColor="text1"/>
          <w:sz w:val="18"/>
          <w:szCs w:val="18"/>
        </w:rPr>
        <w:t xml:space="preserve"> effective to realize the synergistic improvement of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rPr>
        <w:t xml:space="preserve"> and η. In Fig. 13(f), the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rPr>
        <w:t xml:space="preserve"> of E-20 vol% E/F-F films almost kep</w:t>
      </w:r>
      <w:r w:rsidRPr="00CA46DB">
        <w:rPr>
          <w:rFonts w:ascii="Calibri" w:eastAsia="SimSun" w:hAnsi="Calibri" w:cs="Calibri" w:hint="eastAsia"/>
          <w:color w:val="000000" w:themeColor="text1"/>
          <w:sz w:val="18"/>
          <w:szCs w:val="18"/>
          <w:lang w:eastAsia="zh-CN"/>
        </w:rPr>
        <w:t>t</w:t>
      </w:r>
      <w:r w:rsidRPr="00CA46DB">
        <w:rPr>
          <w:rFonts w:ascii="Calibri" w:eastAsia="SimSun" w:hAnsi="Calibri" w:cs="Calibri"/>
          <w:color w:val="000000" w:themeColor="text1"/>
          <w:sz w:val="18"/>
          <w:szCs w:val="18"/>
        </w:rPr>
        <w:t xml:space="preserve"> constant after 1.5×10</w:t>
      </w:r>
      <w:r w:rsidRPr="00CA46DB">
        <w:rPr>
          <w:rFonts w:ascii="Calibri" w:eastAsia="SimSun" w:hAnsi="Calibri" w:cs="Calibri"/>
          <w:color w:val="000000" w:themeColor="text1"/>
          <w:sz w:val="18"/>
          <w:szCs w:val="18"/>
          <w:vertAlign w:val="superscript"/>
        </w:rPr>
        <w:t>5</w:t>
      </w:r>
      <w:r w:rsidRPr="00CA46DB">
        <w:rPr>
          <w:rFonts w:ascii="Calibri" w:eastAsia="SimSun" w:hAnsi="Calibri" w:cs="Calibri"/>
          <w:color w:val="000000" w:themeColor="text1"/>
          <w:sz w:val="18"/>
          <w:szCs w:val="18"/>
        </w:rPr>
        <w:t xml:space="preserve"> charge-discharge cycles, indicating the outstanding cycling stability. Fig. 13(b) and (c) described that the radar plots intuitively illustrate</w:t>
      </w:r>
      <w:r w:rsidRPr="00CA46DB">
        <w:rPr>
          <w:rFonts w:ascii="Calibri" w:eastAsia="SimSun" w:hAnsi="Calibri" w:cs="Calibri" w:hint="eastAsia"/>
          <w:color w:val="000000" w:themeColor="text1"/>
          <w:sz w:val="18"/>
          <w:szCs w:val="18"/>
          <w:lang w:eastAsia="zh-CN"/>
        </w:rPr>
        <w:t>d</w:t>
      </w:r>
      <w:r w:rsidRPr="00CA46DB">
        <w:rPr>
          <w:rFonts w:ascii="Calibri" w:eastAsia="SimSun" w:hAnsi="Calibri" w:cs="Calibri"/>
          <w:color w:val="000000" w:themeColor="text1"/>
          <w:sz w:val="18"/>
          <w:szCs w:val="18"/>
        </w:rPr>
        <w:t xml:space="preserve"> the influence of the LTN structure configuration of the composite films on the energy storage performance. Compared with the symmetrical NTN structure, the asymmetrical LTN structure exhibited </w:t>
      </w:r>
      <w:r w:rsidRPr="00CA46DB">
        <w:rPr>
          <w:rFonts w:ascii="Calibri" w:eastAsia="SimSun" w:hAnsi="Calibri" w:cs="Calibri" w:hint="eastAsia"/>
          <w:color w:val="000000" w:themeColor="text1"/>
          <w:sz w:val="18"/>
          <w:szCs w:val="18"/>
          <w:lang w:eastAsia="zh-CN"/>
        </w:rPr>
        <w:t>a</w:t>
      </w:r>
      <w:r w:rsidRPr="00CA46DB">
        <w:rPr>
          <w:rFonts w:ascii="Calibri" w:eastAsia="SimSun" w:hAnsi="Calibri" w:cs="Calibri"/>
          <w:color w:val="000000" w:themeColor="text1"/>
          <w:sz w:val="18"/>
          <w:szCs w:val="18"/>
          <w:lang w:eastAsia="zh-CN"/>
        </w:rPr>
        <w:t xml:space="preserve"> </w:t>
      </w:r>
      <w:r w:rsidRPr="00CA46DB">
        <w:rPr>
          <w:rFonts w:ascii="Calibri" w:eastAsia="SimSun" w:hAnsi="Calibri" w:cs="Calibri"/>
          <w:color w:val="000000" w:themeColor="text1"/>
          <w:sz w:val="18"/>
          <w:szCs w:val="18"/>
        </w:rPr>
        <w:t>lower tan</w:t>
      </w:r>
      <w:r w:rsidRPr="00CA46DB">
        <w:rPr>
          <w:rFonts w:ascii="Calibri" w:eastAsia="SimSun" w:hAnsi="Calibri" w:cs="Calibri"/>
          <w:i/>
          <w:iCs/>
          <w:color w:val="000000" w:themeColor="text1"/>
          <w:sz w:val="18"/>
          <w:szCs w:val="18"/>
        </w:rPr>
        <w:t>δ</w:t>
      </w:r>
      <w:r w:rsidRPr="00CA46DB">
        <w:rPr>
          <w:rFonts w:ascii="Calibri" w:eastAsia="SimSun" w:hAnsi="Calibri" w:cs="Calibri"/>
          <w:color w:val="000000" w:themeColor="text1"/>
          <w:sz w:val="18"/>
          <w:szCs w:val="18"/>
        </w:rPr>
        <w:t xml:space="preserve">, higher </w:t>
      </w:r>
      <w:r w:rsidRPr="00CA46DB">
        <w:rPr>
          <w:rFonts w:ascii="Calibri" w:eastAsia="SimSun" w:hAnsi="Calibri" w:cs="Calibri"/>
          <w:i/>
          <w:iCs/>
          <w:color w:val="000000" w:themeColor="text1"/>
          <w:sz w:val="18"/>
          <w:szCs w:val="18"/>
        </w:rPr>
        <w:t>U</w:t>
      </w:r>
      <w:r w:rsidRPr="00CA46DB">
        <w:rPr>
          <w:rFonts w:ascii="Calibri" w:eastAsia="SimSun" w:hAnsi="Calibri" w:cs="Calibri"/>
          <w:i/>
          <w:iCs/>
          <w:color w:val="000000" w:themeColor="text1"/>
          <w:sz w:val="18"/>
          <w:szCs w:val="18"/>
          <w:vertAlign w:val="subscript"/>
        </w:rPr>
        <w:t>e</w:t>
      </w:r>
      <w:r w:rsidRPr="00CA46DB">
        <w:rPr>
          <w:rFonts w:ascii="Calibri" w:eastAsia="SimSun" w:hAnsi="Calibri" w:cs="Calibri"/>
          <w:color w:val="000000" w:themeColor="text1"/>
          <w:sz w:val="18"/>
          <w:szCs w:val="18"/>
        </w:rPr>
        <w:t xml:space="preserve"> and significantly improved η.</w:t>
      </w:r>
    </w:p>
    <w:p w14:paraId="04F8CB77" w14:textId="77777777" w:rsidR="00FC2A41" w:rsidRPr="00CA46DB" w:rsidRDefault="00166212">
      <w:pPr>
        <w:tabs>
          <w:tab w:val="left" w:pos="3462"/>
        </w:tabs>
        <w:spacing w:before="400" w:after="80" w:line="240" w:lineRule="exact"/>
        <w:rPr>
          <w:rFonts w:cstheme="minorHAnsi"/>
          <w:color w:val="000000" w:themeColor="text1"/>
          <w:sz w:val="24"/>
          <w:szCs w:val="24"/>
        </w:rPr>
      </w:pPr>
      <w:r w:rsidRPr="00CA46DB">
        <w:rPr>
          <w:rFonts w:cstheme="minorHAnsi"/>
          <w:b/>
          <w:bCs/>
          <w:color w:val="000000" w:themeColor="text1"/>
          <w:sz w:val="24"/>
          <w:szCs w:val="24"/>
        </w:rPr>
        <w:t>4. PI nanocomposite dielectrics</w:t>
      </w:r>
    </w:p>
    <w:p w14:paraId="57A24A67" w14:textId="77777777" w:rsidR="00FC2A41" w:rsidRPr="00CA46DB" w:rsidRDefault="00166212">
      <w:pPr>
        <w:tabs>
          <w:tab w:val="left" w:pos="3462"/>
        </w:tabs>
        <w:spacing w:after="0" w:line="240" w:lineRule="exact"/>
        <w:jc w:val="both"/>
        <w:rPr>
          <w:rFonts w:cstheme="minorHAnsi"/>
          <w:color w:val="000000" w:themeColor="text1"/>
          <w:sz w:val="18"/>
          <w:szCs w:val="18"/>
        </w:rPr>
      </w:pPr>
      <w:r w:rsidRPr="00CA46DB">
        <w:rPr>
          <w:rFonts w:cstheme="minorHAnsi"/>
          <w:color w:val="000000" w:themeColor="text1"/>
          <w:sz w:val="18"/>
          <w:szCs w:val="18"/>
        </w:rPr>
        <w:t>High-temperature performance is critical for next-generation of polymer dielectric capacitors operating in harsh environments. The properties of polymer matrices play an important role in determining the high temperature resistance and energy storage of composites. Composites of different polymer matrices exhibit different high-temperature dielectric properties, despite using the same fillers and preparation methods.</w:t>
      </w:r>
      <w:r w:rsidRPr="00CA46DB">
        <w:rPr>
          <w:rFonts w:cstheme="minorHAnsi"/>
          <w:color w:val="000000" w:themeColor="text1"/>
          <w:sz w:val="18"/>
          <w:szCs w:val="18"/>
          <w:vertAlign w:val="superscript"/>
        </w:rPr>
        <w:t>89</w:t>
      </w:r>
      <w:r w:rsidRPr="00CA46DB">
        <w:rPr>
          <w:rFonts w:cstheme="minorHAnsi"/>
          <w:color w:val="000000" w:themeColor="text1"/>
          <w:sz w:val="18"/>
          <w:szCs w:val="18"/>
        </w:rPr>
        <w:t xml:space="preserve"> Zhou et al. deposited SiO</w:t>
      </w:r>
      <w:r w:rsidRPr="00CA46DB">
        <w:rPr>
          <w:rFonts w:cstheme="minorHAnsi"/>
          <w:color w:val="000000" w:themeColor="text1"/>
          <w:sz w:val="18"/>
          <w:szCs w:val="18"/>
          <w:vertAlign w:val="subscript"/>
        </w:rPr>
        <w:t xml:space="preserve">2 </w:t>
      </w:r>
      <w:r w:rsidRPr="00CA46DB">
        <w:rPr>
          <w:rFonts w:cstheme="minorHAnsi"/>
          <w:color w:val="000000" w:themeColor="text1"/>
          <w:sz w:val="18"/>
          <w:szCs w:val="18"/>
        </w:rPr>
        <w:t>on both sides of a variety of polymer films (</w:t>
      </w:r>
      <w:bookmarkStart w:id="11" w:name="_Hlk53227722"/>
      <w:r w:rsidRPr="00CA46DB">
        <w:rPr>
          <w:rFonts w:cstheme="minorHAnsi"/>
          <w:color w:val="000000" w:themeColor="text1"/>
          <w:sz w:val="18"/>
          <w:szCs w:val="18"/>
        </w:rPr>
        <w:t>PEI-SiO</w:t>
      </w:r>
      <w:r w:rsidRPr="00CA46DB">
        <w:rPr>
          <w:rFonts w:cstheme="minorHAnsi"/>
          <w:color w:val="000000" w:themeColor="text1"/>
          <w:sz w:val="18"/>
          <w:szCs w:val="18"/>
          <w:vertAlign w:val="subscript"/>
        </w:rPr>
        <w:t>2</w:t>
      </w:r>
      <w:r w:rsidRPr="00CA46DB">
        <w:rPr>
          <w:rFonts w:cstheme="minorHAnsi"/>
          <w:color w:val="000000" w:themeColor="text1"/>
          <w:sz w:val="18"/>
          <w:szCs w:val="18"/>
        </w:rPr>
        <w:t>, PEN-SiO</w:t>
      </w:r>
      <w:r w:rsidRPr="00CA46DB">
        <w:rPr>
          <w:rFonts w:cstheme="minorHAnsi"/>
          <w:color w:val="000000" w:themeColor="text1"/>
          <w:sz w:val="18"/>
          <w:szCs w:val="18"/>
          <w:vertAlign w:val="subscript"/>
        </w:rPr>
        <w:t>2</w:t>
      </w:r>
      <w:r w:rsidRPr="00CA46DB">
        <w:rPr>
          <w:rFonts w:cstheme="minorHAnsi"/>
          <w:color w:val="000000" w:themeColor="text1"/>
          <w:sz w:val="18"/>
          <w:szCs w:val="18"/>
        </w:rPr>
        <w:t>, PI-SiO</w:t>
      </w:r>
      <w:r w:rsidRPr="00CA46DB">
        <w:rPr>
          <w:rFonts w:cstheme="minorHAnsi"/>
          <w:color w:val="000000" w:themeColor="text1"/>
          <w:sz w:val="18"/>
          <w:szCs w:val="18"/>
          <w:vertAlign w:val="subscript"/>
        </w:rPr>
        <w:t>2</w:t>
      </w:r>
      <w:r w:rsidRPr="00CA46DB">
        <w:rPr>
          <w:rFonts w:cstheme="minorHAnsi"/>
          <w:color w:val="000000" w:themeColor="text1"/>
          <w:sz w:val="18"/>
          <w:szCs w:val="18"/>
        </w:rPr>
        <w:t>, PC-SiO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and FPE-SiO</w:t>
      </w:r>
      <w:r w:rsidRPr="00CA46DB">
        <w:rPr>
          <w:rFonts w:cstheme="minorHAnsi"/>
          <w:color w:val="000000" w:themeColor="text1"/>
          <w:sz w:val="18"/>
          <w:szCs w:val="18"/>
          <w:vertAlign w:val="subscript"/>
        </w:rPr>
        <w:t>2</w:t>
      </w:r>
      <w:bookmarkEnd w:id="11"/>
      <w:r w:rsidRPr="00CA46DB">
        <w:rPr>
          <w:rFonts w:cstheme="minorHAnsi"/>
          <w:color w:val="000000" w:themeColor="text1"/>
          <w:sz w:val="18"/>
          <w:szCs w:val="18"/>
        </w:rPr>
        <w:t>) using the same production technique.</w:t>
      </w:r>
      <w:r w:rsidRPr="00CA46DB">
        <w:rPr>
          <w:rFonts w:cstheme="minorHAnsi"/>
          <w:color w:val="000000" w:themeColor="text1"/>
          <w:sz w:val="18"/>
          <w:szCs w:val="18"/>
          <w:vertAlign w:val="superscript"/>
        </w:rPr>
        <w:t>90</w:t>
      </w:r>
      <w:r w:rsidRPr="00CA46DB">
        <w:rPr>
          <w:rFonts w:cstheme="minorHAnsi"/>
          <w:color w:val="000000" w:themeColor="text1"/>
          <w:sz w:val="18"/>
          <w:szCs w:val="18"/>
        </w:rPr>
        <w:t xml:space="preserve"> At 150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when η &gt; 90%, the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value of the PEI-SiO</w:t>
      </w:r>
      <w:r w:rsidRPr="00CA46DB">
        <w:rPr>
          <w:rFonts w:cstheme="minorHAnsi"/>
          <w:color w:val="000000" w:themeColor="text1"/>
          <w:sz w:val="18"/>
          <w:szCs w:val="18"/>
          <w:vertAlign w:val="subscript"/>
        </w:rPr>
        <w:t>2</w:t>
      </w:r>
      <w:r w:rsidRPr="00CA46DB">
        <w:rPr>
          <w:rFonts w:cstheme="minorHAnsi"/>
          <w:color w:val="000000" w:themeColor="text1"/>
          <w:sz w:val="18"/>
          <w:szCs w:val="18"/>
        </w:rPr>
        <w:t>, PEN-SiO</w:t>
      </w:r>
      <w:r w:rsidRPr="00CA46DB">
        <w:rPr>
          <w:rFonts w:cstheme="minorHAnsi"/>
          <w:color w:val="000000" w:themeColor="text1"/>
          <w:sz w:val="18"/>
          <w:szCs w:val="18"/>
          <w:vertAlign w:val="subscript"/>
        </w:rPr>
        <w:t>2</w:t>
      </w:r>
      <w:r w:rsidRPr="00CA46DB">
        <w:rPr>
          <w:rFonts w:cstheme="minorHAnsi"/>
          <w:color w:val="000000" w:themeColor="text1"/>
          <w:sz w:val="18"/>
          <w:szCs w:val="18"/>
        </w:rPr>
        <w:t>, PI-SiO</w:t>
      </w:r>
      <w:r w:rsidRPr="00CA46DB">
        <w:rPr>
          <w:rFonts w:cstheme="minorHAnsi"/>
          <w:color w:val="000000" w:themeColor="text1"/>
          <w:sz w:val="18"/>
          <w:szCs w:val="18"/>
          <w:vertAlign w:val="subscript"/>
        </w:rPr>
        <w:t>2</w:t>
      </w:r>
      <w:r w:rsidRPr="00CA46DB">
        <w:rPr>
          <w:rFonts w:cstheme="minorHAnsi"/>
          <w:color w:val="000000" w:themeColor="text1"/>
          <w:sz w:val="18"/>
          <w:szCs w:val="18"/>
        </w:rPr>
        <w:t>, PC-SiO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and FPE-SiO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composite films reached 2.12, 1.75, 1.24, 1.79, and 2.06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which were 236, 672, 510, 1279 and 644% greater than the corresponding pure films, respectively. The preparation of various films demonstrated the versatility of this method. Both the PEI-SiO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and PI-SiO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films achieved satisfactory performance while and the former attained the highest </w:t>
      </w:r>
      <w:r w:rsidRPr="00CA46DB">
        <w:rPr>
          <w:rFonts w:cstheme="minorHAnsi"/>
          <w:i/>
          <w:iCs/>
          <w:color w:val="000000" w:themeColor="text1"/>
          <w:sz w:val="18"/>
          <w:szCs w:val="18"/>
        </w:rPr>
        <w:t>U</w:t>
      </w:r>
      <w:r w:rsidRPr="00CA46DB">
        <w:rPr>
          <w:rFonts w:cstheme="minorHAnsi"/>
          <w:i/>
          <w:iCs/>
          <w:color w:val="000000" w:themeColor="text1"/>
          <w:sz w:val="18"/>
          <w:szCs w:val="18"/>
          <w:vertAlign w:val="subscript"/>
        </w:rPr>
        <w:t>e</w:t>
      </w:r>
      <w:r w:rsidRPr="00CA46DB">
        <w:rPr>
          <w:rFonts w:cstheme="minorHAnsi"/>
          <w:color w:val="000000" w:themeColor="text1"/>
          <w:sz w:val="18"/>
          <w:szCs w:val="18"/>
        </w:rPr>
        <w:t xml:space="preserve"> value. </w:t>
      </w:r>
    </w:p>
    <w:p w14:paraId="080D37C6" w14:textId="77777777" w:rsidR="00FC2A41" w:rsidRPr="00CA46DB" w:rsidRDefault="00166212">
      <w:pPr>
        <w:tabs>
          <w:tab w:val="left" w:pos="3462"/>
        </w:tabs>
        <w:spacing w:before="80" w:after="80" w:line="240" w:lineRule="exact"/>
        <w:rPr>
          <w:rFonts w:cstheme="minorHAnsi"/>
          <w:b/>
          <w:bCs/>
          <w:color w:val="000000" w:themeColor="text1"/>
          <w:sz w:val="18"/>
          <w:szCs w:val="18"/>
        </w:rPr>
      </w:pPr>
      <w:r w:rsidRPr="00CA46DB">
        <w:rPr>
          <w:rFonts w:cstheme="minorHAnsi"/>
          <w:b/>
          <w:bCs/>
          <w:color w:val="000000" w:themeColor="text1"/>
          <w:sz w:val="18"/>
          <w:szCs w:val="18"/>
        </w:rPr>
        <w:t xml:space="preserve">4.1. </w:t>
      </w:r>
      <w:r w:rsidRPr="00CA46DB">
        <w:rPr>
          <w:rFonts w:cstheme="minorHAnsi"/>
          <w:b/>
          <w:bCs/>
          <w:color w:val="000000" w:themeColor="text1"/>
          <w:sz w:val="18"/>
          <w:szCs w:val="18"/>
          <w:lang w:eastAsia="zh-Hans"/>
        </w:rPr>
        <w:t>Effects</w:t>
      </w:r>
      <w:r w:rsidRPr="00CA46DB">
        <w:rPr>
          <w:rFonts w:cstheme="minorHAnsi"/>
          <w:b/>
          <w:bCs/>
          <w:color w:val="000000" w:themeColor="text1"/>
          <w:sz w:val="18"/>
          <w:szCs w:val="18"/>
        </w:rPr>
        <w:t xml:space="preserve"> of fillers on PI nanocomposites</w:t>
      </w:r>
    </w:p>
    <w:p w14:paraId="7E215F0C" w14:textId="390EA950" w:rsidR="00FC2A41" w:rsidRPr="00CA46DB" w:rsidRDefault="00166212">
      <w:pPr>
        <w:tabs>
          <w:tab w:val="left" w:pos="3462"/>
        </w:tabs>
        <w:spacing w:after="0" w:line="240" w:lineRule="exact"/>
        <w:jc w:val="both"/>
        <w:rPr>
          <w:rFonts w:cstheme="minorHAnsi"/>
          <w:b/>
          <w:bCs/>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r w:rsidRPr="00CA46DB">
        <w:rPr>
          <w:rFonts w:cstheme="minorHAnsi"/>
          <w:b/>
          <w:bCs/>
          <w:color w:val="000000" w:themeColor="text1"/>
          <w:sz w:val="18"/>
          <w:szCs w:val="18"/>
        </w:rPr>
        <w:t xml:space="preserve">4.1.1. Morphology of fillers. </w:t>
      </w:r>
      <w:r w:rsidRPr="00CA46DB">
        <w:rPr>
          <w:rFonts w:cstheme="minorHAnsi"/>
          <w:color w:val="000000" w:themeColor="text1"/>
          <w:sz w:val="18"/>
          <w:szCs w:val="18"/>
        </w:rPr>
        <w:t>The nanofillers used to reinforce the PI can be mainly divided into conductive and non-conductive</w:t>
      </w:r>
    </w:p>
    <w:p w14:paraId="6148516F" w14:textId="77777777" w:rsidR="00FC2A41" w:rsidRPr="00CA46DB" w:rsidRDefault="00166212">
      <w:pPr>
        <w:tabs>
          <w:tab w:val="left" w:pos="3462"/>
        </w:tabs>
        <w:spacing w:after="0" w:line="240" w:lineRule="exact"/>
        <w:jc w:val="both"/>
        <w:rPr>
          <w:rFonts w:cstheme="minorHAnsi"/>
          <w:color w:val="000000" w:themeColor="text1"/>
          <w:sz w:val="18"/>
          <w:szCs w:val="18"/>
          <w:lang w:eastAsia="zh-Hans"/>
        </w:rPr>
      </w:pPr>
      <w:r w:rsidRPr="00CA46DB">
        <w:rPr>
          <w:rFonts w:ascii="Calibri" w:eastAsia="SimSun" w:hAnsi="Calibri" w:cs="Calibri"/>
          <w:noProof/>
          <w:color w:val="000000" w:themeColor="text1"/>
          <w:sz w:val="18"/>
          <w:szCs w:val="18"/>
          <w:lang w:eastAsia="zh-CN"/>
        </w:rPr>
        <w:drawing>
          <wp:anchor distT="0" distB="0" distL="114300" distR="114300" simplePos="0" relativeHeight="251674624" behindDoc="1" locked="0" layoutInCell="1" allowOverlap="1" wp14:anchorId="31B92D6E" wp14:editId="2810B58C">
            <wp:simplePos x="0" y="0"/>
            <wp:positionH relativeFrom="column">
              <wp:posOffset>401955</wp:posOffset>
            </wp:positionH>
            <wp:positionV relativeFrom="paragraph">
              <wp:posOffset>265430</wp:posOffset>
            </wp:positionV>
            <wp:extent cx="5297805" cy="2618740"/>
            <wp:effectExtent l="0" t="0" r="0" b="0"/>
            <wp:wrapTight wrapText="bothSides">
              <wp:wrapPolygon edited="0">
                <wp:start x="-2893" y="0"/>
                <wp:lineTo x="-2742" y="21600"/>
                <wp:lineTo x="23814" y="21600"/>
                <wp:lineTo x="23890" y="0"/>
                <wp:lineTo x="-2893" y="0"/>
              </wp:wrapPolygon>
            </wp:wrapTight>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97805" cy="2618491"/>
                    </a:xfrm>
                    <a:prstGeom prst="rect">
                      <a:avLst/>
                    </a:prstGeom>
                  </pic:spPr>
                </pic:pic>
              </a:graphicData>
            </a:graphic>
          </wp:anchor>
        </w:drawing>
      </w:r>
      <w:r w:rsidRPr="00CA46DB">
        <w:rPr>
          <w:rFonts w:ascii="Calibri" w:eastAsia="SimSun" w:hAnsi="Calibri" w:cs="Calibri"/>
          <w:noProof/>
          <w:color w:val="000000" w:themeColor="text1"/>
          <w:lang w:eastAsia="zh-CN"/>
        </w:rPr>
        <mc:AlternateContent>
          <mc:Choice Requires="wpg">
            <w:drawing>
              <wp:inline distT="0" distB="0" distL="0" distR="0" wp14:anchorId="24117482" wp14:editId="4CAF5EFD">
                <wp:extent cx="6480175" cy="10795"/>
                <wp:effectExtent l="0" t="0" r="0" b="0"/>
                <wp:docPr id="32" name="Group 4178"/>
                <wp:cNvGraphicFramePr/>
                <a:graphic xmlns:a="http://schemas.openxmlformats.org/drawingml/2006/main">
                  <a:graphicData uri="http://schemas.microsoft.com/office/word/2010/wordprocessingGroup">
                    <wpg:wgp>
                      <wpg:cNvGrpSpPr/>
                      <wpg:grpSpPr>
                        <a:xfrm>
                          <a:off x="0" y="0"/>
                          <a:ext cx="6480175" cy="10795"/>
                          <a:chOff x="0" y="0"/>
                          <a:chExt cx="6692405" cy="18974"/>
                        </a:xfrm>
                      </wpg:grpSpPr>
                      <wps:wsp>
                        <wps:cNvPr id="33" name="Shape 4839"/>
                        <wps:cNvSpPr/>
                        <wps:spPr>
                          <a:xfrm>
                            <a:off x="0" y="0"/>
                            <a:ext cx="6692405" cy="18974"/>
                          </a:xfrm>
                          <a:custGeom>
                            <a:avLst/>
                            <a:gdLst/>
                            <a:ahLst/>
                            <a:cxnLst/>
                            <a:rect l="0" t="0" r="0" b="0"/>
                            <a:pathLst>
                              <a:path w="6692405" h="18974">
                                <a:moveTo>
                                  <a:pt x="0" y="0"/>
                                </a:moveTo>
                                <a:lnTo>
                                  <a:pt x="6692405" y="0"/>
                                </a:lnTo>
                                <a:lnTo>
                                  <a:pt x="6692405" y="18974"/>
                                </a:lnTo>
                                <a:lnTo>
                                  <a:pt x="0" y="18974"/>
                                </a:lnTo>
                                <a:lnTo>
                                  <a:pt x="0" y="0"/>
                                </a:lnTo>
                              </a:path>
                            </a:pathLst>
                          </a:custGeom>
                          <a:solidFill>
                            <a:srgbClr val="DED9C9"/>
                          </a:solidFill>
                          <a:ln w="0" cap="flat">
                            <a:noFill/>
                            <a:miter lim="127000"/>
                          </a:ln>
                          <a:effectLst/>
                        </wps:spPr>
                        <wps:bodyPr/>
                      </wps:wsp>
                    </wpg:wgp>
                  </a:graphicData>
                </a:graphic>
              </wp:inline>
            </w:drawing>
          </mc:Choice>
          <mc:Fallback>
            <w:pict>
              <v:group w14:anchorId="39ABB082" id="Group 4178" o:spid="_x0000_s1026" style="width:510.25pt;height:.85pt;mso-position-horizontal-relative:char;mso-position-vertical-relative:line" coordsize="6692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">
                <v:shape id="Shape 4839" o:spid="_x0000_s1027" style="position:absolute;width:66924;height:189;visibility:visible;mso-wrap-style:square;v-text-anchor:top" coordsize="6692405,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" path="m,l6692405,r,18974l,18974,,e" fillcolor="#ded9c9" stroked="f" strokeweight="0">
                  <v:stroke miterlimit="83231f" joinstyle="miter"/>
                  <v:path arrowok="t" textboxrect="0,0,6692405,18974"/>
                </v:shape>
                <w10:anchorlock/>
              </v:group>
            </w:pict>
          </mc:Fallback>
        </mc:AlternateContent>
      </w:r>
    </w:p>
    <w:p w14:paraId="2E68F5C1" w14:textId="77777777" w:rsidR="00FC2A41" w:rsidRPr="00CA46DB" w:rsidRDefault="00FC2A41">
      <w:pPr>
        <w:tabs>
          <w:tab w:val="left" w:pos="3462"/>
        </w:tabs>
        <w:spacing w:after="0" w:line="240" w:lineRule="exact"/>
        <w:jc w:val="both"/>
        <w:rPr>
          <w:rFonts w:cstheme="minorHAnsi"/>
          <w:color w:val="000000" w:themeColor="text1"/>
          <w:sz w:val="18"/>
          <w:szCs w:val="18"/>
          <w:lang w:eastAsia="zh-Hans"/>
        </w:rPr>
        <w:sectPr w:rsidR="00FC2A41" w:rsidRPr="00CA46DB">
          <w:type w:val="continuous"/>
          <w:pgSz w:w="11907" w:h="16840"/>
          <w:pgMar w:top="1009" w:right="851" w:bottom="1758" w:left="851" w:header="851" w:footer="1049" w:gutter="0"/>
          <w:cols w:space="227"/>
          <w:docGrid w:linePitch="360"/>
        </w:sectPr>
      </w:pPr>
    </w:p>
    <w:p w14:paraId="0BA8AC35" w14:textId="77777777" w:rsidR="00FC2A41" w:rsidRPr="00CA46DB" w:rsidRDefault="00166212">
      <w:pPr>
        <w:tabs>
          <w:tab w:val="left" w:pos="3462"/>
        </w:tabs>
        <w:spacing w:after="0" w:line="240" w:lineRule="exact"/>
        <w:jc w:val="both"/>
        <w:rPr>
          <w:rFonts w:cstheme="minorHAnsi"/>
          <w:color w:val="000000" w:themeColor="text1"/>
          <w:sz w:val="18"/>
          <w:szCs w:val="18"/>
        </w:rPr>
      </w:pPr>
      <w:r w:rsidRPr="00CA46DB">
        <w:rPr>
          <w:rFonts w:cstheme="minorHAnsi"/>
          <w:color w:val="000000" w:themeColor="text1"/>
          <w:sz w:val="18"/>
          <w:szCs w:val="18"/>
          <w:lang w:eastAsia="zh-Hans"/>
        </w:rPr>
        <w:t>Fig. 13. (a) Schematic illustration of the dielectric energy-storage characteristics of the asymmetric LTN structure</w:t>
      </w:r>
      <w:r w:rsidRPr="00CA46DB">
        <w:rPr>
          <w:rFonts w:cstheme="minorHAnsi"/>
          <w:color w:val="000000" w:themeColor="text1"/>
          <w:sz w:val="18"/>
          <w:szCs w:val="18"/>
        </w:rPr>
        <w:t>.</w:t>
      </w:r>
      <w:r w:rsidRPr="00CA46DB">
        <w:rPr>
          <w:rFonts w:cstheme="minorHAnsi"/>
          <w:color w:val="000000" w:themeColor="text1"/>
          <w:sz w:val="18"/>
          <w:szCs w:val="18"/>
          <w:lang w:eastAsia="zh-Hans"/>
        </w:rPr>
        <w:t xml:space="preserve"> The radar plots of the (b) F-20vol% E/F-F symmetric trilayer composite and (c) E-20vol% E/F-F asymmetric trilayer composite</w:t>
      </w:r>
      <w:r w:rsidRPr="00CA46DB">
        <w:rPr>
          <w:rFonts w:cstheme="minorHAnsi"/>
          <w:color w:val="000000" w:themeColor="text1"/>
          <w:sz w:val="18"/>
          <w:szCs w:val="18"/>
        </w:rPr>
        <w:t>.</w:t>
      </w:r>
      <w:r w:rsidRPr="00CA46DB">
        <w:rPr>
          <w:rFonts w:cstheme="minorHAnsi"/>
          <w:color w:val="000000" w:themeColor="text1"/>
          <w:sz w:val="18"/>
          <w:szCs w:val="18"/>
          <w:lang w:eastAsia="zh-Hans"/>
        </w:rPr>
        <w:t xml:space="preserve"> The (d)</w:t>
      </w:r>
      <w:r w:rsidRPr="00CA46DB">
        <w:rPr>
          <w:rFonts w:eastAsia="SimSun" w:cstheme="minorHAnsi"/>
          <w:color w:val="000000" w:themeColor="text1"/>
          <w:sz w:val="18"/>
          <w:szCs w:val="18"/>
        </w:rPr>
        <w:t xml:space="preserve">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lang w:eastAsia="zh-Hans"/>
        </w:rPr>
        <w:t xml:space="preserve"> and (e) </w:t>
      </w:r>
      <w:r w:rsidRPr="00CA46DB">
        <w:rPr>
          <w:rFonts w:cstheme="minorHAnsi"/>
          <w:color w:val="000000" w:themeColor="text1"/>
          <w:sz w:val="18"/>
          <w:szCs w:val="18"/>
        </w:rPr>
        <w:t>η</w:t>
      </w:r>
      <w:r w:rsidRPr="00CA46DB">
        <w:rPr>
          <w:rFonts w:cstheme="minorHAnsi"/>
          <w:color w:val="000000" w:themeColor="text1"/>
          <w:sz w:val="18"/>
          <w:szCs w:val="18"/>
          <w:lang w:eastAsia="zh-Hans"/>
        </w:rPr>
        <w:t xml:space="preserve"> of pure PEI, pure P(VDF-HFP), PEI-P(VDF-HFP) bilayer composite and asymmetric trilayer composites</w:t>
      </w:r>
      <w:r w:rsidRPr="00CA46DB">
        <w:rPr>
          <w:rFonts w:cstheme="minorHAnsi"/>
          <w:color w:val="000000" w:themeColor="text1"/>
          <w:sz w:val="18"/>
          <w:szCs w:val="18"/>
        </w:rPr>
        <w:t>.</w:t>
      </w:r>
      <w:r w:rsidRPr="00CA46DB">
        <w:rPr>
          <w:rFonts w:cstheme="minorHAnsi"/>
          <w:color w:val="000000" w:themeColor="text1"/>
          <w:sz w:val="18"/>
          <w:szCs w:val="18"/>
          <w:lang w:eastAsia="zh-Hans"/>
        </w:rPr>
        <w:t xml:space="preserve"> (f) The cycling stability performance of E-20vol% E/F-F asymmetric trilayer composite.</w:t>
      </w:r>
      <w:r w:rsidRPr="00CA46DB">
        <w:rPr>
          <w:rFonts w:cstheme="minorHAnsi"/>
          <w:color w:val="000000" w:themeColor="text1"/>
          <w:sz w:val="18"/>
          <w:szCs w:val="18"/>
          <w:vertAlign w:val="superscript"/>
          <w:lang w:eastAsia="zh-Hans"/>
        </w:rPr>
        <w:t>88</w:t>
      </w:r>
    </w:p>
    <w:p w14:paraId="60E31E7B" w14:textId="77777777" w:rsidR="00FC2A41" w:rsidRPr="00CA46DB" w:rsidRDefault="00FC2A41">
      <w:pPr>
        <w:tabs>
          <w:tab w:val="left" w:pos="3462"/>
        </w:tabs>
        <w:spacing w:after="0" w:line="240" w:lineRule="exact"/>
        <w:ind w:firstLineChars="200" w:firstLine="360"/>
        <w:jc w:val="both"/>
        <w:rPr>
          <w:rFonts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04153B7D" w14:textId="77777777" w:rsidR="00FC2A41" w:rsidRPr="00CA46DB" w:rsidRDefault="00166212">
      <w:pPr>
        <w:tabs>
          <w:tab w:val="left" w:pos="3462"/>
        </w:tabs>
        <w:spacing w:after="0" w:line="240" w:lineRule="exact"/>
        <w:jc w:val="both"/>
        <w:rPr>
          <w:rFonts w:cstheme="minorHAnsi"/>
          <w:color w:val="000000" w:themeColor="text1"/>
          <w:sz w:val="18"/>
          <w:szCs w:val="18"/>
        </w:rPr>
      </w:pPr>
      <w:r w:rsidRPr="00CA46DB">
        <w:rPr>
          <w:rFonts w:cstheme="minorHAnsi"/>
          <w:color w:val="000000" w:themeColor="text1"/>
          <w:sz w:val="18"/>
          <w:szCs w:val="18"/>
        </w:rPr>
        <w:lastRenderedPageBreak/>
        <w:t>fillers. When conductive fillers are introduced into polymers, the dielectric properties of nanocomposites are mainly determined by percolation mechanism. When the concentration of conductive fillers reaches a critical volume faction, the fillers will tend to contact each other to form conductive paths in the nanocomposites.</w:t>
      </w:r>
      <w:r w:rsidRPr="00CA46DB">
        <w:rPr>
          <w:rFonts w:cstheme="minorHAnsi"/>
          <w:color w:val="000000" w:themeColor="text1"/>
          <w:sz w:val="18"/>
          <w:szCs w:val="18"/>
          <w:vertAlign w:val="superscript"/>
        </w:rPr>
        <w:t>44</w:t>
      </w:r>
      <w:r w:rsidRPr="00CA46DB">
        <w:rPr>
          <w:rFonts w:cstheme="minorHAnsi"/>
          <w:color w:val="000000" w:themeColor="text1"/>
          <w:sz w:val="18"/>
          <w:szCs w:val="18"/>
        </w:rPr>
        <w:t xml:space="preserve"> A significantly higher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can be achieved by adding a small amount of conductive filler at concentrations below the percolation threshold. For example, when the content of silver nanowire (AgNW) in AgNW/PI composite film was 0.084, the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reached 126.</w:t>
      </w:r>
      <w:r w:rsidRPr="00CA46DB">
        <w:rPr>
          <w:rFonts w:cstheme="minorHAnsi"/>
          <w:color w:val="000000" w:themeColor="text1"/>
          <w:sz w:val="18"/>
          <w:szCs w:val="18"/>
          <w:vertAlign w:val="superscript"/>
        </w:rPr>
        <w:t>91</w:t>
      </w:r>
      <w:r w:rsidRPr="00CA46DB">
        <w:rPr>
          <w:rFonts w:cstheme="minorHAnsi"/>
          <w:color w:val="000000" w:themeColor="text1"/>
          <w:sz w:val="18"/>
          <w:szCs w:val="18"/>
        </w:rPr>
        <w:t xml:space="preserve"> Nanocomposites of PI with multiwalled CNT (PI/MWCNTs) containing 12 vol% MWCNT achieved a </w:t>
      </w:r>
      <w:r w:rsidRPr="00CA46DB">
        <w:rPr>
          <w:rFonts w:eastAsia="SimSun" w:cstheme="minorHAnsi"/>
          <w:i/>
          <w:iCs/>
          <w:color w:val="000000" w:themeColor="text1"/>
          <w:sz w:val="18"/>
          <w:szCs w:val="18"/>
        </w:rPr>
        <w:t>U</w:t>
      </w:r>
      <w:r w:rsidRPr="00CA46DB">
        <w:rPr>
          <w:rFonts w:cstheme="minorHAnsi"/>
          <w:color w:val="000000" w:themeColor="text1"/>
          <w:sz w:val="18"/>
          <w:szCs w:val="18"/>
        </w:rPr>
        <w:t xml:space="preserve"> of 1.96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and good thermal stability.</w:t>
      </w:r>
      <w:r w:rsidRPr="00CA46DB">
        <w:rPr>
          <w:rFonts w:cstheme="minorHAnsi"/>
          <w:color w:val="000000" w:themeColor="text1"/>
          <w:sz w:val="18"/>
          <w:szCs w:val="18"/>
          <w:vertAlign w:val="superscript"/>
        </w:rPr>
        <w:t>34</w:t>
      </w:r>
      <w:r w:rsidRPr="00CA46DB">
        <w:rPr>
          <w:rFonts w:cstheme="minorHAnsi"/>
          <w:color w:val="000000" w:themeColor="text1"/>
          <w:sz w:val="18"/>
          <w:szCs w:val="18"/>
        </w:rPr>
        <w:t xml:space="preserve"> Non-conductive fillers mainly comprise ceramic fillers with high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or wide band gap. For example, the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of the BaTiO</w:t>
      </w:r>
      <w:r w:rsidRPr="00CA46DB">
        <w:rPr>
          <w:rFonts w:cstheme="minorHAnsi"/>
          <w:color w:val="000000" w:themeColor="text1"/>
          <w:sz w:val="18"/>
          <w:szCs w:val="18"/>
          <w:vertAlign w:val="subscript"/>
        </w:rPr>
        <w:t>3</w:t>
      </w:r>
      <w:r w:rsidRPr="00CA46DB">
        <w:rPr>
          <w:rFonts w:cstheme="minorHAnsi"/>
          <w:color w:val="000000" w:themeColor="text1"/>
          <w:sz w:val="18"/>
          <w:szCs w:val="18"/>
        </w:rPr>
        <w:t xml:space="preserve"> nanofiber/PI composite film was &gt; 2.1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at 150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when the efficiency was &gt; 90%.</w:t>
      </w:r>
      <w:r w:rsidRPr="00CA46DB">
        <w:rPr>
          <w:rFonts w:cstheme="minorHAnsi"/>
          <w:color w:val="000000" w:themeColor="text1"/>
          <w:sz w:val="18"/>
          <w:szCs w:val="18"/>
          <w:vertAlign w:val="superscript"/>
        </w:rPr>
        <w:t>29</w:t>
      </w:r>
      <w:r w:rsidRPr="00CA46DB">
        <w:rPr>
          <w:rFonts w:cstheme="minorHAnsi"/>
          <w:color w:val="000000" w:themeColor="text1"/>
          <w:sz w:val="18"/>
          <w:szCs w:val="18"/>
        </w:rPr>
        <w:t xml:space="preserve"> Beier et al. prepared a Ba</w:t>
      </w:r>
      <w:r w:rsidRPr="00CA46DB">
        <w:rPr>
          <w:rFonts w:cstheme="minorHAnsi"/>
          <w:color w:val="000000" w:themeColor="text1"/>
          <w:sz w:val="18"/>
          <w:szCs w:val="18"/>
          <w:vertAlign w:val="subscript"/>
        </w:rPr>
        <w:t>0.7</w:t>
      </w:r>
      <w:r w:rsidRPr="00CA46DB">
        <w:rPr>
          <w:rFonts w:cstheme="minorHAnsi"/>
          <w:color w:val="000000" w:themeColor="text1"/>
          <w:sz w:val="18"/>
          <w:szCs w:val="18"/>
        </w:rPr>
        <w:t>Sr</w:t>
      </w:r>
      <w:r w:rsidRPr="00CA46DB">
        <w:rPr>
          <w:rFonts w:cstheme="minorHAnsi"/>
          <w:color w:val="000000" w:themeColor="text1"/>
          <w:sz w:val="18"/>
          <w:szCs w:val="18"/>
          <w:vertAlign w:val="subscript"/>
        </w:rPr>
        <w:t>0.3</w:t>
      </w:r>
      <w:r w:rsidRPr="00CA46DB">
        <w:rPr>
          <w:rFonts w:cstheme="minorHAnsi"/>
          <w:color w:val="000000" w:themeColor="text1"/>
          <w:sz w:val="18"/>
          <w:szCs w:val="18"/>
        </w:rPr>
        <w:t>TiO</w:t>
      </w:r>
      <w:r w:rsidRPr="00CA46DB">
        <w:rPr>
          <w:rFonts w:cstheme="minorHAnsi"/>
          <w:color w:val="000000" w:themeColor="text1"/>
          <w:sz w:val="18"/>
          <w:szCs w:val="18"/>
          <w:vertAlign w:val="subscript"/>
        </w:rPr>
        <w:t>3</w:t>
      </w:r>
      <w:r w:rsidRPr="00CA46DB">
        <w:rPr>
          <w:rFonts w:cstheme="minorHAnsi"/>
          <w:color w:val="000000" w:themeColor="text1"/>
          <w:sz w:val="18"/>
          <w:szCs w:val="18"/>
        </w:rPr>
        <w:t xml:space="preserve"> (BST)/PI nanocomposites.</w:t>
      </w:r>
      <w:r w:rsidRPr="00CA46DB">
        <w:rPr>
          <w:rFonts w:cstheme="minorHAnsi"/>
          <w:color w:val="000000" w:themeColor="text1"/>
          <w:sz w:val="18"/>
          <w:szCs w:val="18"/>
          <w:vertAlign w:val="superscript"/>
        </w:rPr>
        <w:t>92</w:t>
      </w:r>
      <w:r w:rsidRPr="00CA46DB">
        <w:rPr>
          <w:rFonts w:cstheme="minorHAnsi"/>
          <w:color w:val="000000" w:themeColor="text1"/>
          <w:sz w:val="18"/>
          <w:szCs w:val="18"/>
        </w:rPr>
        <w:t xml:space="preserve"> At an addition level of 10 vol% BST, the observed increases in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and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together</w:t>
      </w:r>
      <w:r w:rsidRPr="00CA46DB">
        <w:rPr>
          <w:rFonts w:cstheme="minorHAnsi"/>
          <w:i/>
          <w:iCs/>
          <w:color w:val="000000" w:themeColor="text1"/>
          <w:sz w:val="18"/>
          <w:szCs w:val="18"/>
        </w:rPr>
        <w:t xml:space="preserve"> </w:t>
      </w:r>
      <w:r w:rsidRPr="00CA46DB">
        <w:rPr>
          <w:rFonts w:cstheme="minorHAnsi"/>
          <w:color w:val="000000" w:themeColor="text1"/>
          <w:sz w:val="18"/>
          <w:szCs w:val="18"/>
        </w:rPr>
        <w:t xml:space="preserve">with a decrease in </w:t>
      </w:r>
      <w:r w:rsidRPr="00CA46DB">
        <w:rPr>
          <w:rFonts w:eastAsia="楷体-简" w:cstheme="minorHAnsi"/>
          <w:color w:val="000000" w:themeColor="text1"/>
          <w:sz w:val="18"/>
          <w:szCs w:val="18"/>
        </w:rPr>
        <w:t>tan</w:t>
      </w:r>
      <w:r w:rsidRPr="00CA46DB">
        <w:rPr>
          <w:rFonts w:eastAsia="楷体-简" w:cstheme="minorHAnsi"/>
          <w:i/>
          <w:iCs/>
          <w:color w:val="000000" w:themeColor="text1"/>
          <w:sz w:val="18"/>
          <w:szCs w:val="18"/>
        </w:rPr>
        <w:t>δ</w:t>
      </w:r>
      <w:r w:rsidRPr="00CA46DB">
        <w:rPr>
          <w:rFonts w:cstheme="minorHAnsi"/>
          <w:color w:val="000000" w:themeColor="text1"/>
          <w:sz w:val="18"/>
          <w:szCs w:val="18"/>
        </w:rPr>
        <w:t>, were desirable characteristics. Li et al. prepared a ternary PEI/BTNP/BNNS nanocomposite with optimized filler compositions to provide a</w:t>
      </w:r>
      <w:r w:rsidRPr="00CA46DB">
        <w:rPr>
          <w:rFonts w:eastAsia="SimSun" w:cstheme="minorHAnsi"/>
          <w:color w:val="000000" w:themeColor="text1"/>
          <w:sz w:val="18"/>
          <w:szCs w:val="18"/>
        </w:rPr>
        <w:t xml:space="preserve">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of 2.92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at 150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w:t>
      </w:r>
      <w:r w:rsidRPr="00CA46DB">
        <w:rPr>
          <w:rFonts w:cstheme="minorHAnsi"/>
          <w:color w:val="000000" w:themeColor="text1"/>
          <w:sz w:val="18"/>
          <w:szCs w:val="18"/>
          <w:vertAlign w:val="superscript"/>
        </w:rPr>
        <w:t>93</w:t>
      </w:r>
      <w:r w:rsidRPr="00CA46DB">
        <w:rPr>
          <w:rFonts w:cstheme="minorHAnsi"/>
          <w:color w:val="000000" w:themeColor="text1"/>
          <w:sz w:val="18"/>
          <w:szCs w:val="18"/>
        </w:rPr>
        <w:t xml:space="preserve"> Ai et al. also showed that the introduction of Al</w:t>
      </w:r>
      <w:r w:rsidRPr="00CA46DB">
        <w:rPr>
          <w:rFonts w:cstheme="minorHAnsi"/>
          <w:color w:val="000000" w:themeColor="text1"/>
          <w:sz w:val="18"/>
          <w:szCs w:val="18"/>
          <w:vertAlign w:val="subscript"/>
        </w:rPr>
        <w:t>2</w:t>
      </w:r>
      <w:r w:rsidRPr="00CA46DB">
        <w:rPr>
          <w:rFonts w:cstheme="minorHAnsi"/>
          <w:color w:val="000000" w:themeColor="text1"/>
          <w:sz w:val="18"/>
          <w:szCs w:val="18"/>
        </w:rPr>
        <w:t>O</w:t>
      </w:r>
      <w:r w:rsidRPr="00CA46DB">
        <w:rPr>
          <w:rFonts w:cstheme="minorHAnsi"/>
          <w:color w:val="000000" w:themeColor="text1"/>
          <w:sz w:val="18"/>
          <w:szCs w:val="18"/>
          <w:vertAlign w:val="subscript"/>
        </w:rPr>
        <w:t>3</w:t>
      </w:r>
      <w:r w:rsidRPr="00CA46DB">
        <w:rPr>
          <w:rFonts w:cstheme="minorHAnsi"/>
          <w:color w:val="000000" w:themeColor="text1"/>
          <w:sz w:val="18"/>
          <w:szCs w:val="18"/>
        </w:rPr>
        <w:t xml:space="preserve"> or HfO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which possessed a large band gap and a moderate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significantly improved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xml:space="preserve">,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and η of the composites.</w:t>
      </w:r>
      <w:r w:rsidRPr="00CA46DB">
        <w:rPr>
          <w:rFonts w:cstheme="minorHAnsi"/>
          <w:color w:val="000000" w:themeColor="text1"/>
          <w:sz w:val="18"/>
          <w:szCs w:val="18"/>
          <w:vertAlign w:val="superscript"/>
        </w:rPr>
        <w:t>94</w:t>
      </w:r>
      <w:r w:rsidRPr="00CA46DB">
        <w:rPr>
          <w:rFonts w:cstheme="minorHAnsi"/>
          <w:color w:val="000000" w:themeColor="text1"/>
          <w:sz w:val="18"/>
          <w:szCs w:val="18"/>
        </w:rPr>
        <w:t xml:space="preserve"> </w:t>
      </w:r>
    </w:p>
    <w:p w14:paraId="3D97E5FB" w14:textId="77777777" w:rsidR="00FC2A41" w:rsidRPr="00CA46DB" w:rsidRDefault="00166212">
      <w:pPr>
        <w:tabs>
          <w:tab w:val="left" w:pos="3462"/>
        </w:tabs>
        <w:spacing w:after="0" w:line="240" w:lineRule="exact"/>
        <w:ind w:firstLineChars="200" w:firstLine="360"/>
        <w:jc w:val="both"/>
        <w:rPr>
          <w:rFonts w:cstheme="minorHAnsi"/>
          <w:color w:val="000000" w:themeColor="text1"/>
          <w:sz w:val="18"/>
          <w:szCs w:val="18"/>
          <w:highlight w:val="yellow"/>
        </w:rPr>
      </w:pPr>
      <w:r w:rsidRPr="00CA46DB">
        <w:rPr>
          <w:rFonts w:cstheme="minorHAnsi"/>
          <w:noProof/>
          <w:color w:val="000000" w:themeColor="text1"/>
          <w:sz w:val="18"/>
          <w:szCs w:val="18"/>
          <w:lang w:eastAsia="zh-CN"/>
        </w:rPr>
        <w:drawing>
          <wp:anchor distT="0" distB="0" distL="114300" distR="114300" simplePos="0" relativeHeight="251675648" behindDoc="1" locked="0" layoutInCell="1" allowOverlap="1" wp14:anchorId="7EDBFFD9" wp14:editId="58F33645">
            <wp:simplePos x="0" y="0"/>
            <wp:positionH relativeFrom="column">
              <wp:posOffset>777875</wp:posOffset>
            </wp:positionH>
            <wp:positionV relativeFrom="paragraph">
              <wp:posOffset>2527300</wp:posOffset>
            </wp:positionV>
            <wp:extent cx="5071110" cy="2172970"/>
            <wp:effectExtent l="0" t="0" r="0" b="0"/>
            <wp:wrapTight wrapText="bothSides">
              <wp:wrapPolygon edited="0">
                <wp:start x="-2409" y="0"/>
                <wp:lineTo x="-2329" y="21600"/>
                <wp:lineTo x="24019" y="21600"/>
                <wp:lineTo x="23979" y="0"/>
                <wp:lineTo x="-2409" y="0"/>
              </wp:wrapPolygon>
            </wp:wrapTight>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71110" cy="2172970"/>
                    </a:xfrm>
                    <a:prstGeom prst="rect">
                      <a:avLst/>
                    </a:prstGeom>
                  </pic:spPr>
                </pic:pic>
              </a:graphicData>
            </a:graphic>
          </wp:anchor>
        </w:drawing>
      </w:r>
      <w:r w:rsidRPr="00CA46DB">
        <w:rPr>
          <w:rFonts w:cstheme="minorHAnsi"/>
          <w:color w:val="000000" w:themeColor="text1"/>
          <w:sz w:val="18"/>
          <w:szCs w:val="18"/>
        </w:rPr>
        <w:t>The diameter and shape of nanoparticle fillers in the PIs matrix cause changes in dielectric properties. Compared with BaTiO</w:t>
      </w:r>
      <w:r w:rsidRPr="00CA46DB">
        <w:rPr>
          <w:rFonts w:cstheme="minorHAnsi"/>
          <w:color w:val="000000" w:themeColor="text1"/>
          <w:sz w:val="18"/>
          <w:szCs w:val="18"/>
          <w:vertAlign w:val="subscript"/>
        </w:rPr>
        <w:t>3</w:t>
      </w:r>
      <w:r w:rsidRPr="00CA46DB">
        <w:rPr>
          <w:rFonts w:cstheme="minorHAnsi"/>
          <w:color w:val="000000" w:themeColor="text1"/>
          <w:sz w:val="18"/>
          <w:szCs w:val="18"/>
        </w:rPr>
        <w:t xml:space="preserve"> nanoparticles/PI (BT-NP/PI) composites, the introduction of BT nanowires showed more obvious improvement on the dielectric properties of the composites.</w:t>
      </w:r>
      <w:r w:rsidRPr="00CA46DB">
        <w:rPr>
          <w:rFonts w:cstheme="minorHAnsi"/>
          <w:color w:val="000000" w:themeColor="text1"/>
          <w:sz w:val="18"/>
          <w:szCs w:val="18"/>
          <w:vertAlign w:val="superscript"/>
        </w:rPr>
        <w:t>95</w:t>
      </w:r>
      <w:r w:rsidRPr="00CA46DB">
        <w:rPr>
          <w:rFonts w:cstheme="minorHAnsi"/>
          <w:color w:val="000000" w:themeColor="text1"/>
          <w:sz w:val="18"/>
          <w:szCs w:val="18"/>
        </w:rPr>
        <w:t xml:space="preserve"> Cheng et al. incorporated wide-band gap two-dimensional MoS</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into PI, and the energy density of the nanocomposite film increased to 3.35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w:t>
      </w:r>
      <w:r w:rsidRPr="00CA46DB">
        <w:rPr>
          <w:rFonts w:cstheme="minorHAnsi"/>
          <w:color w:val="000000" w:themeColor="text1"/>
          <w:sz w:val="18"/>
          <w:szCs w:val="18"/>
          <w:vertAlign w:val="superscript"/>
        </w:rPr>
        <w:t>96</w:t>
      </w:r>
      <w:r w:rsidRPr="00CA46DB">
        <w:rPr>
          <w:rFonts w:cstheme="minorHAnsi"/>
          <w:color w:val="000000" w:themeColor="text1"/>
          <w:sz w:val="18"/>
          <w:szCs w:val="18"/>
        </w:rPr>
        <w:t xml:space="preserve"> Li et al. also explored the strong dependence of conductive behavior and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xml:space="preserve"> on the filler morphology of polymer composites.</w:t>
      </w:r>
      <w:r w:rsidRPr="00CA46DB">
        <w:rPr>
          <w:rFonts w:cstheme="minorHAnsi"/>
          <w:color w:val="000000" w:themeColor="text1"/>
          <w:sz w:val="18"/>
          <w:szCs w:val="18"/>
          <w:vertAlign w:val="superscript"/>
        </w:rPr>
        <w:t>97</w:t>
      </w:r>
      <w:r w:rsidRPr="00CA46DB">
        <w:rPr>
          <w:rFonts w:cstheme="minorHAnsi"/>
          <w:color w:val="000000" w:themeColor="text1"/>
          <w:sz w:val="18"/>
          <w:szCs w:val="18"/>
        </w:rPr>
        <w:t xml:space="preserve"> In addition, the effect of filler particle size was also studied. For example, the effect of alumina nanofiller particle size on the dielectric response of PEI nanocomposites was investigated.</w:t>
      </w:r>
      <w:r w:rsidRPr="00CA46DB">
        <w:rPr>
          <w:rFonts w:cstheme="minorHAnsi"/>
          <w:color w:val="000000" w:themeColor="text1"/>
          <w:sz w:val="18"/>
          <w:szCs w:val="18"/>
          <w:vertAlign w:val="superscript"/>
        </w:rPr>
        <w:t>98</w:t>
      </w:r>
      <w:r w:rsidRPr="00CA46DB">
        <w:rPr>
          <w:rFonts w:cstheme="minorHAnsi"/>
          <w:color w:val="000000" w:themeColor="text1"/>
          <w:sz w:val="18"/>
          <w:szCs w:val="18"/>
        </w:rPr>
        <w:t xml:space="preserve"> The composition range in which the dielectric enhancement occur was broader for larger-size nanoparticles. Large size nanofillers required a higher volume content to achieve the similar interfacial effects of smaller size </w:t>
      </w:r>
      <w:r w:rsidRPr="00CA46DB">
        <w:rPr>
          <w:rFonts w:cstheme="minorHAnsi"/>
          <w:color w:val="000000" w:themeColor="text1"/>
          <w:sz w:val="18"/>
          <w:szCs w:val="18"/>
        </w:rPr>
        <w:br w:type="column"/>
      </w:r>
      <w:r w:rsidRPr="00CA46DB">
        <w:rPr>
          <w:rFonts w:cstheme="minorHAnsi"/>
          <w:color w:val="000000" w:themeColor="text1"/>
          <w:sz w:val="18"/>
          <w:szCs w:val="18"/>
        </w:rPr>
        <w:t>nanofillers.</w:t>
      </w:r>
    </w:p>
    <w:p w14:paraId="075E912C" w14:textId="77777777" w:rsidR="00FC2A41" w:rsidRPr="00CA46DB" w:rsidRDefault="00166212">
      <w:pPr>
        <w:tabs>
          <w:tab w:val="left" w:pos="3462"/>
        </w:tabs>
        <w:spacing w:after="0" w:line="240" w:lineRule="exact"/>
        <w:ind w:firstLineChars="200" w:firstLine="361"/>
        <w:jc w:val="both"/>
        <w:rPr>
          <w:rFonts w:cstheme="minorHAnsi"/>
          <w:b/>
          <w:bCs/>
          <w:color w:val="000000" w:themeColor="text1"/>
          <w:sz w:val="18"/>
          <w:szCs w:val="18"/>
        </w:rPr>
      </w:pPr>
      <w:r w:rsidRPr="00CA46DB">
        <w:rPr>
          <w:rFonts w:cstheme="minorHAnsi"/>
          <w:b/>
          <w:bCs/>
          <w:color w:val="000000" w:themeColor="text1"/>
          <w:sz w:val="18"/>
          <w:szCs w:val="18"/>
        </w:rPr>
        <w:t>4.1.2. Distribution of fillers</w:t>
      </w:r>
      <w:bookmarkStart w:id="12" w:name="OLE_LINK16"/>
      <w:bookmarkStart w:id="13" w:name="OLE_LINK15"/>
      <w:r w:rsidRPr="00CA46DB">
        <w:rPr>
          <w:rFonts w:cstheme="minorHAnsi" w:hint="eastAsia"/>
          <w:b/>
          <w:bCs/>
          <w:color w:val="000000" w:themeColor="text1"/>
          <w:sz w:val="18"/>
          <w:szCs w:val="18"/>
          <w:lang w:eastAsia="zh-CN"/>
        </w:rPr>
        <w:t>.</w:t>
      </w:r>
      <w:r w:rsidRPr="00CA46DB">
        <w:rPr>
          <w:rFonts w:cstheme="minorHAnsi"/>
          <w:b/>
          <w:bCs/>
          <w:color w:val="000000" w:themeColor="text1"/>
          <w:sz w:val="18"/>
          <w:szCs w:val="18"/>
          <w:lang w:eastAsia="zh-CN"/>
        </w:rPr>
        <w:t xml:space="preserve"> </w:t>
      </w:r>
      <w:r w:rsidRPr="00CA46DB">
        <w:rPr>
          <w:rFonts w:cstheme="minorHAnsi"/>
          <w:color w:val="000000" w:themeColor="text1"/>
          <w:sz w:val="18"/>
          <w:szCs w:val="18"/>
        </w:rPr>
        <w:t xml:space="preserve">Zero-dimension (0D) fillers, such as spherical nanoparticles, are generally dispersed in polymers by means of self-assembly. One-dimension (1D) and two-dimension (2D) fillers can be aligned to improve dielectric properties, as shown in Fig. 14(a)−(c). Dong et al. reported that the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of the parallel-aligned MWCNT@Fe</w:t>
      </w:r>
      <w:r w:rsidRPr="00CA46DB">
        <w:rPr>
          <w:rFonts w:cstheme="minorHAnsi"/>
          <w:color w:val="000000" w:themeColor="text1"/>
          <w:sz w:val="18"/>
          <w:szCs w:val="18"/>
          <w:vertAlign w:val="subscript"/>
        </w:rPr>
        <w:t>3</w:t>
      </w:r>
      <w:r w:rsidRPr="00CA46DB">
        <w:rPr>
          <w:rFonts w:cstheme="minorHAnsi"/>
          <w:color w:val="000000" w:themeColor="text1"/>
          <w:sz w:val="18"/>
          <w:szCs w:val="18"/>
        </w:rPr>
        <w:t>O</w:t>
      </w:r>
      <w:r w:rsidRPr="00CA46DB">
        <w:rPr>
          <w:rFonts w:cstheme="minorHAnsi"/>
          <w:color w:val="000000" w:themeColor="text1"/>
          <w:sz w:val="18"/>
          <w:szCs w:val="18"/>
          <w:vertAlign w:val="subscript"/>
        </w:rPr>
        <w:t>4</w:t>
      </w:r>
      <w:r w:rsidRPr="00CA46DB">
        <w:rPr>
          <w:rFonts w:cstheme="minorHAnsi"/>
          <w:color w:val="000000" w:themeColor="text1"/>
          <w:sz w:val="18"/>
          <w:szCs w:val="18"/>
        </w:rPr>
        <w:t>/PI film (1.6 wt%) was 52.75 at 58 Hz.</w:t>
      </w:r>
      <w:r w:rsidRPr="00CA46DB">
        <w:rPr>
          <w:rFonts w:cstheme="minorHAnsi"/>
          <w:color w:val="000000" w:themeColor="text1"/>
          <w:sz w:val="18"/>
          <w:szCs w:val="18"/>
          <w:vertAlign w:val="superscript"/>
        </w:rPr>
        <w:t>99</w:t>
      </w:r>
      <w:r w:rsidRPr="00CA46DB">
        <w:rPr>
          <w:rFonts w:cstheme="minorHAnsi"/>
          <w:color w:val="000000" w:themeColor="text1"/>
          <w:sz w:val="18"/>
          <w:szCs w:val="18"/>
        </w:rPr>
        <w:t xml:space="preserve"> Similar phenomenon was also observed in other polymer matrices. For example, BaTiO</w:t>
      </w:r>
      <w:r w:rsidRPr="00CA46DB">
        <w:rPr>
          <w:rFonts w:cstheme="minorHAnsi"/>
          <w:color w:val="000000" w:themeColor="text1"/>
          <w:sz w:val="18"/>
          <w:szCs w:val="18"/>
          <w:vertAlign w:val="subscript"/>
        </w:rPr>
        <w:t>3</w:t>
      </w:r>
      <w:r w:rsidRPr="00CA46DB">
        <w:rPr>
          <w:rFonts w:cstheme="minorHAnsi"/>
          <w:color w:val="000000" w:themeColor="text1"/>
          <w:sz w:val="18"/>
          <w:szCs w:val="18"/>
        </w:rPr>
        <w:t>/P (VDF-HFP) composites containing orthotropic-oriented BaTiO</w:t>
      </w:r>
      <w:r w:rsidRPr="00CA46DB">
        <w:rPr>
          <w:rFonts w:cstheme="minorHAnsi"/>
          <w:color w:val="000000" w:themeColor="text1"/>
          <w:sz w:val="18"/>
          <w:szCs w:val="18"/>
          <w:vertAlign w:val="subscript"/>
        </w:rPr>
        <w:t>3</w:t>
      </w:r>
      <w:r w:rsidRPr="00CA46DB">
        <w:rPr>
          <w:rFonts w:cstheme="minorHAnsi"/>
          <w:color w:val="000000" w:themeColor="text1"/>
          <w:sz w:val="18"/>
          <w:szCs w:val="18"/>
        </w:rPr>
        <w:t xml:space="preserve"> nanofibers exhibited the highest energy density of about 25.5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at 690 kV·mm</w:t>
      </w:r>
      <w:r w:rsidRPr="00CA46DB">
        <w:rPr>
          <w:rFonts w:cstheme="minorHAnsi"/>
          <w:color w:val="000000" w:themeColor="text1"/>
          <w:sz w:val="18"/>
          <w:szCs w:val="18"/>
          <w:vertAlign w:val="superscript"/>
        </w:rPr>
        <w:t>−1</w:t>
      </w:r>
      <w:r w:rsidRPr="00CA46DB">
        <w:rPr>
          <w:rFonts w:cstheme="minorHAnsi"/>
          <w:color w:val="000000" w:themeColor="text1"/>
          <w:sz w:val="18"/>
          <w:szCs w:val="18"/>
        </w:rPr>
        <w:t>, and the discharge efficiency was about 76.3%.</w:t>
      </w:r>
      <w:r w:rsidRPr="00CA46DB">
        <w:rPr>
          <w:rFonts w:cstheme="minorHAnsi"/>
          <w:color w:val="000000" w:themeColor="text1"/>
          <w:sz w:val="18"/>
          <w:szCs w:val="18"/>
          <w:vertAlign w:val="superscript"/>
        </w:rPr>
        <w:t>100</w:t>
      </w:r>
    </w:p>
    <w:p w14:paraId="51F4074C" w14:textId="028230F7" w:rsidR="00FC2A41" w:rsidRPr="00CA46DB" w:rsidRDefault="00166212">
      <w:pPr>
        <w:tabs>
          <w:tab w:val="left" w:pos="3462"/>
        </w:tabs>
        <w:spacing w:after="0" w:line="240" w:lineRule="exact"/>
        <w:ind w:firstLineChars="200" w:firstLine="360"/>
        <w:jc w:val="both"/>
        <w:rPr>
          <w:rFonts w:cstheme="minorHAnsi"/>
          <w:color w:val="000000" w:themeColor="text1"/>
          <w:sz w:val="18"/>
          <w:szCs w:val="18"/>
        </w:rPr>
      </w:pPr>
      <w:r w:rsidRPr="00CA46DB">
        <w:rPr>
          <w:rFonts w:cstheme="minorHAnsi"/>
          <w:color w:val="000000" w:themeColor="text1"/>
          <w:sz w:val="18"/>
          <w:szCs w:val="18"/>
        </w:rPr>
        <w:t>Multi-layer structures can be used to change the distribution of the physical field controlled by fillers, and thus improve the dielectric properties.</w:t>
      </w:r>
      <w:r w:rsidRPr="00CA46DB">
        <w:rPr>
          <w:rFonts w:cstheme="minorHAnsi"/>
          <w:color w:val="000000" w:themeColor="text1"/>
          <w:sz w:val="18"/>
          <w:szCs w:val="18"/>
          <w:vertAlign w:val="superscript"/>
        </w:rPr>
        <w:t>40</w:t>
      </w:r>
      <w:r w:rsidRPr="00CA46DB">
        <w:rPr>
          <w:rFonts w:cstheme="minorHAnsi"/>
          <w:color w:val="000000" w:themeColor="text1"/>
          <w:sz w:val="18"/>
          <w:szCs w:val="18"/>
        </w:rPr>
        <w:t xml:space="preserve"> The multilayer structure have been constructed by a variety of methods, such as layer-by-layer solution casting,</w:t>
      </w:r>
      <w:r w:rsidRPr="00CA46DB">
        <w:rPr>
          <w:rFonts w:cstheme="minorHAnsi"/>
          <w:color w:val="000000" w:themeColor="text1"/>
          <w:sz w:val="18"/>
          <w:szCs w:val="18"/>
          <w:vertAlign w:val="superscript"/>
        </w:rPr>
        <w:t>101</w:t>
      </w:r>
      <w:r w:rsidRPr="00CA46DB">
        <w:rPr>
          <w:rFonts w:cstheme="minorHAnsi"/>
          <w:color w:val="000000" w:themeColor="text1"/>
          <w:sz w:val="18"/>
          <w:szCs w:val="18"/>
        </w:rPr>
        <w:t xml:space="preserve"> freeze-drying,</w:t>
      </w:r>
      <w:r w:rsidRPr="00CA46DB">
        <w:rPr>
          <w:rFonts w:cstheme="minorHAnsi"/>
          <w:color w:val="000000" w:themeColor="text1"/>
          <w:sz w:val="18"/>
          <w:szCs w:val="18"/>
          <w:vertAlign w:val="superscript"/>
        </w:rPr>
        <w:t>102</w:t>
      </w:r>
      <w:r w:rsidRPr="00CA46DB">
        <w:rPr>
          <w:rFonts w:cstheme="minorHAnsi"/>
          <w:color w:val="000000" w:themeColor="text1"/>
          <w:sz w:val="18"/>
          <w:szCs w:val="18"/>
        </w:rPr>
        <w:t xml:space="preserve"> vapor deposition</w:t>
      </w:r>
      <w:r w:rsidRPr="00CA46DB">
        <w:rPr>
          <w:rFonts w:cstheme="minorHAnsi"/>
          <w:color w:val="000000" w:themeColor="text1"/>
          <w:sz w:val="18"/>
          <w:szCs w:val="18"/>
          <w:vertAlign w:val="superscript"/>
        </w:rPr>
        <w:t>7</w:t>
      </w:r>
      <w:r w:rsidRPr="00CA46DB">
        <w:rPr>
          <w:rFonts w:cstheme="minorHAnsi"/>
          <w:color w:val="000000" w:themeColor="text1"/>
          <w:sz w:val="18"/>
          <w:szCs w:val="18"/>
        </w:rPr>
        <w:t xml:space="preserve"> and magnetron sputtering,</w:t>
      </w:r>
      <w:r w:rsidRPr="00CA46DB">
        <w:rPr>
          <w:rFonts w:cstheme="minorHAnsi"/>
          <w:color w:val="000000" w:themeColor="text1"/>
          <w:sz w:val="18"/>
          <w:szCs w:val="18"/>
          <w:vertAlign w:val="superscript"/>
        </w:rPr>
        <w:t>103</w:t>
      </w:r>
      <w:r w:rsidRPr="00CA46DB">
        <w:rPr>
          <w:rFonts w:cstheme="minorHAnsi"/>
          <w:color w:val="000000" w:themeColor="text1"/>
          <w:sz w:val="18"/>
          <w:szCs w:val="18"/>
        </w:rPr>
        <w:t xml:space="preserve"> as shown in Fig. 14(d)−(f). For instance, when boron nitride nanosheets (BNNS) and reduced graphene oxide (RGO) were distributed in PI and assembled into a novel micro-sandwich structure, a high permittivity (~579) and high energy density (14.2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were obtained.</w:t>
      </w:r>
      <w:r w:rsidRPr="00CA46DB">
        <w:rPr>
          <w:rFonts w:cstheme="minorHAnsi"/>
          <w:color w:val="000000" w:themeColor="text1"/>
          <w:sz w:val="18"/>
          <w:szCs w:val="18"/>
          <w:vertAlign w:val="superscript"/>
        </w:rPr>
        <w:t>102</w:t>
      </w:r>
      <w:r w:rsidRPr="00CA46DB">
        <w:rPr>
          <w:rFonts w:cstheme="minorHAnsi"/>
          <w:color w:val="000000" w:themeColor="text1"/>
          <w:sz w:val="18"/>
          <w:szCs w:val="18"/>
        </w:rPr>
        <w:t xml:space="preserve"> When a hexagonal boron nitride (h-BN) film was prepared using chemical vapor deposition (CVD) and transferred to a PEI film, the energy density of the film was 1.19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at 200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w:t>
      </w:r>
      <w:bookmarkEnd w:id="12"/>
      <w:bookmarkEnd w:id="13"/>
      <w:r w:rsidRPr="00CA46DB">
        <w:rPr>
          <w:rFonts w:cstheme="minorHAnsi"/>
          <w:color w:val="000000" w:themeColor="text1"/>
          <w:sz w:val="18"/>
          <w:szCs w:val="18"/>
          <w:vertAlign w:val="superscript"/>
        </w:rPr>
        <w:t>7</w:t>
      </w:r>
    </w:p>
    <w:p w14:paraId="19C8BEEF" w14:textId="77777777" w:rsidR="00FC2A41" w:rsidRPr="00CA46DB" w:rsidRDefault="00166212">
      <w:pPr>
        <w:tabs>
          <w:tab w:val="left" w:pos="3462"/>
        </w:tabs>
        <w:spacing w:after="0" w:line="240" w:lineRule="exact"/>
        <w:ind w:firstLineChars="200" w:firstLine="361"/>
        <w:jc w:val="both"/>
        <w:rPr>
          <w:rFonts w:cstheme="minorHAnsi"/>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r w:rsidRPr="00CA46DB">
        <w:rPr>
          <w:rFonts w:cstheme="minorHAnsi"/>
          <w:b/>
          <w:bCs/>
          <w:color w:val="000000" w:themeColor="text1"/>
          <w:sz w:val="18"/>
          <w:szCs w:val="18"/>
        </w:rPr>
        <w:t>4.1.3. S</w:t>
      </w:r>
      <w:r w:rsidRPr="00CA46DB">
        <w:rPr>
          <w:rFonts w:cstheme="minorHAnsi"/>
          <w:b/>
          <w:bCs/>
          <w:color w:val="000000" w:themeColor="text1"/>
          <w:sz w:val="18"/>
          <w:szCs w:val="18"/>
          <w:lang w:eastAsia="zh-Hans"/>
        </w:rPr>
        <w:t>imple s</w:t>
      </w:r>
      <w:r w:rsidRPr="00CA46DB">
        <w:rPr>
          <w:rFonts w:cstheme="minorHAnsi"/>
          <w:b/>
          <w:bCs/>
          <w:color w:val="000000" w:themeColor="text1"/>
          <w:sz w:val="18"/>
          <w:szCs w:val="18"/>
        </w:rPr>
        <w:t xml:space="preserve">urface modification of fillers. </w:t>
      </w:r>
      <w:r w:rsidRPr="00CA46DB">
        <w:rPr>
          <w:rFonts w:cstheme="minorHAnsi"/>
          <w:color w:val="000000" w:themeColor="text1"/>
          <w:sz w:val="18"/>
          <w:szCs w:val="18"/>
        </w:rPr>
        <w:t>Nanoscale fillers are easily agglomerated in the matrix due to their high surface energy. The low surface energy of polymers makes a significant difference of surface energies between them, resulting in poor interface compatibility. This causes structural defects and an electric field concentration, resulting in a sharp decrease in</w:t>
      </w:r>
      <w:r w:rsidRPr="00CA46DB">
        <w:rPr>
          <w:rFonts w:cstheme="minorHAnsi"/>
          <w:color w:val="000000" w:themeColor="text1"/>
          <w:sz w:val="18"/>
          <w:szCs w:val="18"/>
          <w:lang w:eastAsia="zh-Hans"/>
        </w:rPr>
        <w:t xml:space="preserv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xml:space="preserve"> of the dielectric</w:t>
      </w:r>
      <w:r w:rsidRPr="00CA46DB">
        <w:rPr>
          <w:rFonts w:cstheme="minorHAnsi"/>
          <w:color w:val="000000" w:themeColor="text1"/>
          <w:sz w:val="18"/>
          <w:szCs w:val="18"/>
          <w:lang w:eastAsia="zh-Hans"/>
        </w:rPr>
        <w:t>s</w:t>
      </w:r>
      <w:r w:rsidRPr="00CA46DB">
        <w:rPr>
          <w:rFonts w:cstheme="minorHAnsi"/>
          <w:color w:val="000000" w:themeColor="text1"/>
          <w:sz w:val="18"/>
          <w:szCs w:val="18"/>
        </w:rPr>
        <w:t>. Therefore, improving interfac</w:t>
      </w:r>
      <w:r w:rsidRPr="00CA46DB">
        <w:rPr>
          <w:rFonts w:cstheme="minorHAnsi"/>
          <w:color w:val="000000" w:themeColor="text1"/>
          <w:sz w:val="18"/>
          <w:szCs w:val="18"/>
          <w:lang w:eastAsia="zh-Hans"/>
        </w:rPr>
        <w:t>e</w:t>
      </w:r>
      <w:r w:rsidRPr="00CA46DB">
        <w:rPr>
          <w:rFonts w:cstheme="minorHAnsi"/>
          <w:color w:val="000000" w:themeColor="text1"/>
          <w:sz w:val="18"/>
          <w:szCs w:val="18"/>
        </w:rPr>
        <w:t xml:space="preserve"> compatibility and filler dispersion is vital to nanocomposites. At present, the surface of nanoparticles has been modified by hydroxylation, carboxylation and the use of other molecules. However, these methods still have some limitations, as the modifier does not usually contribute to the performance enhancement of nanocomposites.</w:t>
      </w:r>
      <w:r w:rsidRPr="00CA46DB">
        <w:rPr>
          <w:rFonts w:cstheme="minorHAnsi"/>
          <w:color w:val="000000" w:themeColor="text1"/>
          <w:sz w:val="18"/>
          <w:szCs w:val="18"/>
          <w:vertAlign w:val="superscript"/>
        </w:rPr>
        <w:t>46</w:t>
      </w:r>
      <w:r w:rsidRPr="00CA46DB">
        <w:rPr>
          <w:rFonts w:cstheme="minorHAnsi"/>
          <w:color w:val="000000" w:themeColor="text1"/>
          <w:sz w:val="18"/>
          <w:szCs w:val="18"/>
        </w:rPr>
        <w:t xml:space="preserve"> To realize the full potential of nanofillers, researchers prefer to use core-shell </w:t>
      </w:r>
      <w:bookmarkStart w:id="14" w:name="OLE_LINK26"/>
      <w:bookmarkStart w:id="15" w:name="OLE_LINK25"/>
    </w:p>
    <w:p w14:paraId="4551A5E0" w14:textId="77777777" w:rsidR="00FC2A41" w:rsidRPr="00CA46DB" w:rsidRDefault="00166212">
      <w:pPr>
        <w:tabs>
          <w:tab w:val="left" w:pos="3462"/>
        </w:tabs>
        <w:spacing w:after="0" w:line="240" w:lineRule="exact"/>
        <w:jc w:val="both"/>
        <w:rPr>
          <w:rFonts w:cstheme="minorHAnsi"/>
          <w:color w:val="000000" w:themeColor="text1"/>
          <w:sz w:val="18"/>
          <w:szCs w:val="18"/>
        </w:rPr>
      </w:pPr>
      <w:r w:rsidRPr="00CA46DB">
        <w:rPr>
          <w:rFonts w:ascii="Calibri" w:eastAsia="SimSun" w:hAnsi="Calibri" w:cs="Calibri"/>
          <w:noProof/>
          <w:color w:val="000000" w:themeColor="text1"/>
          <w:lang w:eastAsia="zh-CN"/>
        </w:rPr>
        <mc:AlternateContent>
          <mc:Choice Requires="wpg">
            <w:drawing>
              <wp:inline distT="0" distB="0" distL="0" distR="0" wp14:anchorId="0575DA73" wp14:editId="154A180A">
                <wp:extent cx="6480175" cy="10795"/>
                <wp:effectExtent l="0" t="0" r="0" b="0"/>
                <wp:docPr id="36" name="Group 4178"/>
                <wp:cNvGraphicFramePr/>
                <a:graphic xmlns:a="http://schemas.openxmlformats.org/drawingml/2006/main">
                  <a:graphicData uri="http://schemas.microsoft.com/office/word/2010/wordprocessingGroup">
                    <wpg:wgp>
                      <wpg:cNvGrpSpPr/>
                      <wpg:grpSpPr>
                        <a:xfrm>
                          <a:off x="0" y="0"/>
                          <a:ext cx="6480175" cy="10795"/>
                          <a:chOff x="0" y="0"/>
                          <a:chExt cx="6692405" cy="18974"/>
                        </a:xfrm>
                      </wpg:grpSpPr>
                      <wps:wsp>
                        <wps:cNvPr id="37" name="Shape 4839"/>
                        <wps:cNvSpPr/>
                        <wps:spPr>
                          <a:xfrm>
                            <a:off x="0" y="0"/>
                            <a:ext cx="6692405" cy="18974"/>
                          </a:xfrm>
                          <a:custGeom>
                            <a:avLst/>
                            <a:gdLst/>
                            <a:ahLst/>
                            <a:cxnLst/>
                            <a:rect l="0" t="0" r="0" b="0"/>
                            <a:pathLst>
                              <a:path w="6692405" h="18974">
                                <a:moveTo>
                                  <a:pt x="0" y="0"/>
                                </a:moveTo>
                                <a:lnTo>
                                  <a:pt x="6692405" y="0"/>
                                </a:lnTo>
                                <a:lnTo>
                                  <a:pt x="6692405" y="18974"/>
                                </a:lnTo>
                                <a:lnTo>
                                  <a:pt x="0" y="18974"/>
                                </a:lnTo>
                                <a:lnTo>
                                  <a:pt x="0" y="0"/>
                                </a:lnTo>
                              </a:path>
                            </a:pathLst>
                          </a:custGeom>
                          <a:solidFill>
                            <a:srgbClr val="DED9C9"/>
                          </a:solidFill>
                          <a:ln w="0" cap="flat">
                            <a:noFill/>
                            <a:miter lim="127000"/>
                          </a:ln>
                          <a:effectLst/>
                        </wps:spPr>
                        <wps:bodyPr/>
                      </wps:wsp>
                    </wpg:wgp>
                  </a:graphicData>
                </a:graphic>
              </wp:inline>
            </w:drawing>
          </mc:Choice>
          <mc:Fallback>
            <w:pict>
              <v:group w14:anchorId="2692A5B2" id="Group 4178" o:spid="_x0000_s1026" style="width:510.25pt;height:.85pt;mso-position-horizontal-relative:char;mso-position-vertical-relative:line" coordsize="6692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">
                <v:shape id="Shape 4839" o:spid="_x0000_s1027" style="position:absolute;width:66924;height:189;visibility:visible;mso-wrap-style:square;v-text-anchor:top" coordsize="6692405,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" path="m,l6692405,r,18974l,18974,,e" fillcolor="#ded9c9" stroked="f" strokeweight="0">
                  <v:stroke miterlimit="83231f" joinstyle="miter"/>
                  <v:path arrowok="t" textboxrect="0,0,6692405,18974"/>
                </v:shape>
                <w10:anchorlock/>
              </v:group>
            </w:pict>
          </mc:Fallback>
        </mc:AlternateContent>
      </w:r>
    </w:p>
    <w:p w14:paraId="68554E0D" w14:textId="77777777" w:rsidR="00FC2A41" w:rsidRPr="00CA46DB" w:rsidRDefault="00FC2A41">
      <w:pPr>
        <w:tabs>
          <w:tab w:val="left" w:pos="3462"/>
        </w:tabs>
        <w:spacing w:after="0" w:line="240" w:lineRule="exact"/>
        <w:ind w:firstLineChars="200" w:firstLine="360"/>
        <w:jc w:val="both"/>
        <w:rPr>
          <w:rFonts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2BA03419" w14:textId="77777777" w:rsidR="00FC2A41" w:rsidRPr="00CA46DB" w:rsidRDefault="00166212">
      <w:pPr>
        <w:tabs>
          <w:tab w:val="left" w:pos="3462"/>
        </w:tabs>
        <w:spacing w:after="0" w:line="240" w:lineRule="exact"/>
        <w:ind w:firstLineChars="200" w:firstLine="360"/>
        <w:jc w:val="both"/>
        <w:rPr>
          <w:rFonts w:ascii="Times New Roman Regular" w:hAnsi="Times New Roman Regular" w:cs="Times New Roman Regular"/>
          <w:color w:val="000000" w:themeColor="text1"/>
          <w:sz w:val="24"/>
        </w:rPr>
      </w:pPr>
      <w:r w:rsidRPr="00CA46DB">
        <w:rPr>
          <w:rFonts w:cstheme="minorHAnsi"/>
          <w:color w:val="000000" w:themeColor="text1"/>
          <w:sz w:val="18"/>
          <w:szCs w:val="18"/>
        </w:rPr>
        <w:t>Fig. 14. Distribution of fillers in polymer: (a) 0D fillers, (b) self-assembled 1D or 2D fillers and (c) oriented 1D or 2D fillers. Multilayer films preparation process: (d) layer-by-layer solution casting, (e) freeze-drying and (f) vapor deposition or magnetron sputtering.</w:t>
      </w:r>
      <w:bookmarkEnd w:id="14"/>
      <w:bookmarkEnd w:id="15"/>
    </w:p>
    <w:p w14:paraId="3BFB61B9" w14:textId="77777777" w:rsidR="00FC2A41" w:rsidRPr="00CA46DB" w:rsidRDefault="00FC2A41">
      <w:pPr>
        <w:tabs>
          <w:tab w:val="left" w:pos="3462"/>
        </w:tabs>
        <w:spacing w:after="0" w:line="240" w:lineRule="exact"/>
        <w:jc w:val="both"/>
        <w:rPr>
          <w:rFonts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35E0CA5A" w14:textId="77777777" w:rsidR="00FC2A41" w:rsidRPr="00CA46DB" w:rsidRDefault="00166212">
      <w:pPr>
        <w:tabs>
          <w:tab w:val="left" w:pos="3462"/>
        </w:tabs>
        <w:spacing w:after="0" w:line="240" w:lineRule="exact"/>
        <w:jc w:val="both"/>
        <w:rPr>
          <w:rFonts w:cstheme="minorHAnsi"/>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r w:rsidRPr="00CA46DB">
        <w:rPr>
          <w:rFonts w:cstheme="minorHAnsi"/>
          <w:color w:val="000000" w:themeColor="text1"/>
          <w:sz w:val="18"/>
          <w:szCs w:val="18"/>
        </w:rPr>
        <w:br w:type="column"/>
      </w:r>
    </w:p>
    <w:p w14:paraId="0BBFB7DD" w14:textId="77777777" w:rsidR="00FC2A41" w:rsidRPr="00CA46DB" w:rsidRDefault="00166212">
      <w:pPr>
        <w:tabs>
          <w:tab w:val="left" w:pos="3462"/>
        </w:tabs>
        <w:spacing w:after="0" w:line="240" w:lineRule="exact"/>
        <w:jc w:val="both"/>
        <w:rPr>
          <w:rFonts w:cstheme="minorHAnsi"/>
          <w:b/>
          <w:bCs/>
          <w:color w:val="000000" w:themeColor="text1"/>
          <w:sz w:val="18"/>
          <w:szCs w:val="18"/>
        </w:rPr>
      </w:pPr>
      <w:r w:rsidRPr="00CA46DB">
        <w:rPr>
          <w:rFonts w:cstheme="minorHAnsi"/>
          <w:color w:val="000000" w:themeColor="text1"/>
          <w:sz w:val="18"/>
          <w:szCs w:val="18"/>
        </w:rPr>
        <w:lastRenderedPageBreak/>
        <w:t>structures (see section 4.1.4).</w:t>
      </w:r>
    </w:p>
    <w:p w14:paraId="54FD529B" w14:textId="77777777" w:rsidR="00FC2A41" w:rsidRPr="00CA46DB" w:rsidRDefault="00166212">
      <w:pPr>
        <w:tabs>
          <w:tab w:val="left" w:pos="3462"/>
        </w:tabs>
        <w:spacing w:after="0" w:line="240" w:lineRule="exact"/>
        <w:ind w:firstLineChars="200" w:firstLine="361"/>
        <w:jc w:val="both"/>
        <w:rPr>
          <w:rFonts w:cstheme="minorHAnsi"/>
          <w:color w:val="000000" w:themeColor="text1"/>
          <w:sz w:val="18"/>
          <w:szCs w:val="18"/>
        </w:rPr>
      </w:pPr>
      <w:r w:rsidRPr="00CA46DB">
        <w:rPr>
          <w:rFonts w:cstheme="minorHAnsi"/>
          <w:b/>
          <w:bCs/>
          <w:color w:val="000000" w:themeColor="text1"/>
          <w:sz w:val="18"/>
          <w:szCs w:val="18"/>
        </w:rPr>
        <w:t>4.1.4. Core-shell structure nanofillers</w:t>
      </w:r>
      <w:r w:rsidRPr="00CA46DB">
        <w:rPr>
          <w:rFonts w:cstheme="minorHAnsi" w:hint="eastAsia"/>
          <w:b/>
          <w:bCs/>
          <w:color w:val="000000" w:themeColor="text1"/>
          <w:sz w:val="18"/>
          <w:szCs w:val="18"/>
          <w:lang w:eastAsia="zh-CN"/>
        </w:rPr>
        <w:t>.</w:t>
      </w:r>
      <w:r w:rsidRPr="00CA46DB">
        <w:rPr>
          <w:rFonts w:cstheme="minorHAnsi"/>
          <w:b/>
          <w:bCs/>
          <w:color w:val="000000" w:themeColor="text1"/>
          <w:sz w:val="18"/>
          <w:szCs w:val="18"/>
          <w:lang w:eastAsia="zh-CN"/>
        </w:rPr>
        <w:t xml:space="preserve"> </w:t>
      </w:r>
      <w:r w:rsidRPr="00CA46DB">
        <w:rPr>
          <w:rFonts w:cstheme="minorHAnsi"/>
          <w:color w:val="000000" w:themeColor="text1"/>
          <w:sz w:val="18"/>
          <w:szCs w:val="18"/>
        </w:rPr>
        <w:t>To increase the energy density and high temperature resistance of PI nanocomposites, considerable progress has been made in the design and synthesis of core-shell structure nanofillers. They can be divided into two types, i.e. organic shell structure and non-organic shell structure, as shown in Fig. 15. The organic shell layer contains organic molecules with specific functions coated on the surface of the nanofiller, which can be connected to the monomers or terminal-groups through physical or chemical methods. The non-organic shell layer (e.g. ceramic shell, metal shell, carbon shell) is deposited on the surface of the nanofillers by various methods.</w:t>
      </w:r>
      <w:r w:rsidRPr="00CA46DB">
        <w:rPr>
          <w:rFonts w:cstheme="minorHAnsi"/>
          <w:color w:val="000000" w:themeColor="text1"/>
          <w:sz w:val="18"/>
          <w:szCs w:val="18"/>
          <w:vertAlign w:val="superscript"/>
        </w:rPr>
        <w:t>46</w:t>
      </w:r>
      <w:r w:rsidRPr="00CA46DB">
        <w:rPr>
          <w:rFonts w:cstheme="minorHAnsi"/>
          <w:color w:val="000000" w:themeColor="text1"/>
          <w:sz w:val="18"/>
          <w:szCs w:val="18"/>
        </w:rPr>
        <w:t xml:space="preserve"> The commonly used methods contain hydrothermal, sol-gel and electrostatic spinning </w:t>
      </w:r>
      <w:r w:rsidRPr="00CA46DB">
        <w:rPr>
          <w:rFonts w:cstheme="minorHAnsi"/>
          <w:i/>
          <w:iCs/>
          <w:color w:val="000000" w:themeColor="text1"/>
          <w:sz w:val="18"/>
          <w:szCs w:val="18"/>
        </w:rPr>
        <w:t>etc</w:t>
      </w:r>
      <w:r w:rsidRPr="00CA46DB">
        <w:rPr>
          <w:rFonts w:cstheme="minorHAnsi"/>
          <w:color w:val="000000" w:themeColor="text1"/>
          <w:sz w:val="18"/>
          <w:szCs w:val="18"/>
        </w:rPr>
        <w:t>. The selection of a method depends on the nature and thickness of the non-organic shell and the morphology of the core. Table 3 summarizes the dielectric properties of PI nanocomposites containing different core-shell structure fillers.</w:t>
      </w:r>
    </w:p>
    <w:p w14:paraId="1556DC6D" w14:textId="77777777" w:rsidR="00FC2A41" w:rsidRPr="00CA46DB" w:rsidRDefault="00166212">
      <w:pPr>
        <w:tabs>
          <w:tab w:val="left" w:pos="3462"/>
        </w:tabs>
        <w:spacing w:after="0" w:line="240" w:lineRule="exact"/>
        <w:ind w:firstLineChars="200" w:firstLine="361"/>
        <w:jc w:val="both"/>
        <w:rPr>
          <w:rFonts w:cstheme="minorHAnsi"/>
          <w:b/>
          <w:bCs/>
          <w:color w:val="000000" w:themeColor="text1"/>
          <w:sz w:val="18"/>
          <w:szCs w:val="18"/>
        </w:rPr>
      </w:pPr>
      <w:r w:rsidRPr="00CA46DB">
        <w:rPr>
          <w:rFonts w:cstheme="minorHAnsi"/>
          <w:b/>
          <w:bCs/>
          <w:color w:val="000000" w:themeColor="text1"/>
          <w:sz w:val="18"/>
          <w:szCs w:val="18"/>
        </w:rPr>
        <w:t>4.1.4.1. Organic shell layer</w:t>
      </w:r>
      <w:r w:rsidRPr="00CA46DB">
        <w:rPr>
          <w:rFonts w:cstheme="minorHAnsi" w:hint="eastAsia"/>
          <w:b/>
          <w:bCs/>
          <w:color w:val="000000" w:themeColor="text1"/>
          <w:sz w:val="18"/>
          <w:szCs w:val="18"/>
          <w:lang w:eastAsia="zh-CN"/>
        </w:rPr>
        <w:t>.</w:t>
      </w:r>
      <w:r w:rsidRPr="00CA46DB">
        <w:rPr>
          <w:rFonts w:cstheme="minorHAnsi"/>
          <w:b/>
          <w:bCs/>
          <w:color w:val="000000" w:themeColor="text1"/>
          <w:sz w:val="18"/>
          <w:szCs w:val="18"/>
          <w:lang w:eastAsia="zh-CN"/>
        </w:rPr>
        <w:t xml:space="preserve"> </w:t>
      </w:r>
      <w:r w:rsidRPr="00CA46DB">
        <w:rPr>
          <w:rFonts w:cstheme="minorHAnsi"/>
          <w:color w:val="000000" w:themeColor="text1"/>
          <w:sz w:val="18"/>
          <w:szCs w:val="18"/>
        </w:rPr>
        <w:t>The interaction between nanoparticles and polymers is critical to the microstructure and even the final performances of nanocomposites. Organic shells can provide strong interaction with nanofillers and polymer matrix, thereby improving uniform dispersion of the nanoparticles. And because of the similar chemical structure, the polymer matrix and the nanofillers with organic shells have better compatibility.</w:t>
      </w:r>
    </w:p>
    <w:p w14:paraId="40530C74" w14:textId="1E738680" w:rsidR="00FC2A41" w:rsidRPr="00CA46DB" w:rsidRDefault="00166212">
      <w:pPr>
        <w:tabs>
          <w:tab w:val="left" w:pos="3462"/>
        </w:tabs>
        <w:spacing w:after="0" w:line="240" w:lineRule="exact"/>
        <w:ind w:firstLineChars="200" w:firstLine="360"/>
        <w:jc w:val="both"/>
        <w:rPr>
          <w:rFonts w:cstheme="minorHAnsi"/>
          <w:color w:val="000000" w:themeColor="text1"/>
          <w:sz w:val="18"/>
          <w:szCs w:val="18"/>
        </w:rPr>
      </w:pPr>
      <w:r w:rsidRPr="00CA46DB">
        <w:rPr>
          <w:rFonts w:cstheme="minorHAnsi"/>
          <w:color w:val="000000" w:themeColor="text1"/>
          <w:sz w:val="18"/>
          <w:szCs w:val="18"/>
        </w:rPr>
        <w:t>Wu et al. designed PI nanocomposites with core-shell structure of barium titanate @polydopamine (BT@PDA) nanoparticles.</w:t>
      </w:r>
      <w:r w:rsidRPr="00CA46DB">
        <w:rPr>
          <w:rFonts w:cstheme="minorHAnsi"/>
          <w:color w:val="000000" w:themeColor="text1"/>
          <w:sz w:val="18"/>
          <w:szCs w:val="18"/>
          <w:vertAlign w:val="superscript"/>
        </w:rPr>
        <w:t>104</w:t>
      </w:r>
      <w:r w:rsidRPr="00CA46DB">
        <w:rPr>
          <w:rFonts w:cstheme="minorHAnsi"/>
          <w:color w:val="000000" w:themeColor="text1"/>
          <w:sz w:val="18"/>
          <w:szCs w:val="18"/>
        </w:rPr>
        <w:t xml:space="preserve"> The existence of the PDA shell</w:t>
      </w:r>
      <w:r w:rsidRPr="00CA46DB">
        <w:rPr>
          <w:rFonts w:cstheme="minorHAnsi"/>
          <w:color w:val="000000" w:themeColor="text1"/>
          <w:sz w:val="18"/>
          <w:szCs w:val="18"/>
          <w:lang w:eastAsia="zh-Hans"/>
        </w:rPr>
        <w:t>s</w:t>
      </w:r>
      <w:r w:rsidRPr="00CA46DB">
        <w:rPr>
          <w:rFonts w:cstheme="minorHAnsi"/>
          <w:color w:val="000000" w:themeColor="text1"/>
          <w:sz w:val="18"/>
          <w:szCs w:val="18"/>
        </w:rPr>
        <w:t xml:space="preserve"> optimize</w:t>
      </w:r>
      <w:r w:rsidRPr="00CA46DB">
        <w:rPr>
          <w:rFonts w:cstheme="minorHAnsi"/>
          <w:color w:val="000000" w:themeColor="text1"/>
          <w:sz w:val="18"/>
          <w:szCs w:val="18"/>
          <w:lang w:eastAsia="zh-Hans"/>
        </w:rPr>
        <w:t>d</w:t>
      </w:r>
      <w:r w:rsidRPr="00CA46DB">
        <w:rPr>
          <w:rFonts w:cstheme="minorHAnsi"/>
          <w:color w:val="000000" w:themeColor="text1"/>
          <w:sz w:val="18"/>
          <w:szCs w:val="18"/>
        </w:rPr>
        <w:t xml:space="preserve"> the dispersion uniformity and interface compatibility of BT nanoparticles in the PI matrix, thereby reducing the local electric field distortion in the nanocomposites. The PI </w:t>
      </w:r>
      <w:r w:rsidRPr="00CA46DB">
        <w:rPr>
          <w:rFonts w:cstheme="minorHAnsi"/>
          <w:color w:val="000000" w:themeColor="text1"/>
          <w:sz w:val="18"/>
          <w:szCs w:val="18"/>
          <w:lang w:eastAsia="zh-Hans"/>
        </w:rPr>
        <w:t>nano</w:t>
      </w:r>
      <w:r w:rsidRPr="00CA46DB">
        <w:rPr>
          <w:rFonts w:cstheme="minorHAnsi"/>
          <w:color w:val="000000" w:themeColor="text1"/>
          <w:sz w:val="18"/>
          <w:szCs w:val="18"/>
        </w:rPr>
        <w:t xml:space="preserve">composite containing 1 vol% BT@PDA nanoparticles exhibited the highest </w:t>
      </w:r>
      <w:r w:rsidRPr="00CA46DB">
        <w:rPr>
          <w:rFonts w:cstheme="minorHAnsi" w:hint="eastAsia"/>
          <w:color w:val="000000" w:themeColor="text1"/>
          <w:sz w:val="18"/>
          <w:szCs w:val="18"/>
          <w:lang w:eastAsia="zh-CN"/>
        </w:rPr>
        <w:t>energy density</w:t>
      </w:r>
      <w:r w:rsidRPr="00CA46DB">
        <w:rPr>
          <w:rFonts w:cstheme="minorHAnsi"/>
          <w:color w:val="000000" w:themeColor="text1"/>
          <w:sz w:val="18"/>
          <w:szCs w:val="18"/>
        </w:rPr>
        <w:t xml:space="preserve"> of 1.94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at 315 MV·m</w:t>
      </w:r>
      <w:r w:rsidRPr="00CA46DB">
        <w:rPr>
          <w:rFonts w:cstheme="minorHAnsi"/>
          <w:color w:val="000000" w:themeColor="text1"/>
          <w:sz w:val="18"/>
          <w:szCs w:val="18"/>
          <w:vertAlign w:val="superscript"/>
        </w:rPr>
        <w:t>−1</w:t>
      </w:r>
      <w:r w:rsidRPr="00CA46DB">
        <w:rPr>
          <w:rFonts w:cstheme="minorHAnsi"/>
          <w:color w:val="000000" w:themeColor="text1"/>
          <w:sz w:val="18"/>
          <w:szCs w:val="18"/>
        </w:rPr>
        <w:t xml:space="preserve">. </w:t>
      </w:r>
    </w:p>
    <w:p w14:paraId="4D118339" w14:textId="193B36DA" w:rsidR="00FC2A41" w:rsidRPr="00CA46DB" w:rsidRDefault="00166212">
      <w:pPr>
        <w:tabs>
          <w:tab w:val="left" w:pos="3462"/>
        </w:tabs>
        <w:spacing w:after="0" w:line="240" w:lineRule="exact"/>
        <w:ind w:firstLineChars="200" w:firstLine="360"/>
        <w:jc w:val="both"/>
        <w:rPr>
          <w:rFonts w:cstheme="minorHAnsi"/>
          <w:color w:val="000000" w:themeColor="text1"/>
          <w:sz w:val="18"/>
          <w:szCs w:val="18"/>
        </w:rPr>
      </w:pPr>
      <w:r w:rsidRPr="00CA46DB">
        <w:rPr>
          <w:rFonts w:cstheme="minorHAnsi"/>
          <w:color w:val="000000" w:themeColor="text1"/>
          <w:sz w:val="18"/>
          <w:szCs w:val="18"/>
        </w:rPr>
        <w:t xml:space="preserve">Zhu et al. modified the surface of halloysite nanotubes (HNTs) with polyaniline (PANI) to prepare PANI-HNTs/PI nanocomposite film, which possessed the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of 17.3 with a low tan</w:t>
      </w:r>
      <w:r w:rsidRPr="00CA46DB">
        <w:rPr>
          <w:rFonts w:cstheme="minorHAnsi"/>
          <w:i/>
          <w:iCs/>
          <w:color w:val="000000" w:themeColor="text1"/>
          <w:sz w:val="18"/>
          <w:szCs w:val="18"/>
        </w:rPr>
        <w:t>δ</w:t>
      </w:r>
      <w:r w:rsidRPr="00CA46DB">
        <w:rPr>
          <w:rFonts w:cstheme="minorHAnsi"/>
          <w:color w:val="000000" w:themeColor="text1"/>
          <w:sz w:val="18"/>
          <w:szCs w:val="18"/>
        </w:rPr>
        <w:t xml:space="preserve"> of 0.2 at 100 Hz, and the</w:t>
      </w:r>
      <w:r w:rsidRPr="00CA46DB">
        <w:rPr>
          <w:rFonts w:eastAsia="SimSun" w:cstheme="minorHAnsi"/>
          <w:color w:val="000000" w:themeColor="text1"/>
          <w:sz w:val="18"/>
          <w:szCs w:val="18"/>
        </w:rPr>
        <w:t xml:space="preserve">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of 0.93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w:t>
      </w:r>
      <w:r w:rsidRPr="00CA46DB">
        <w:rPr>
          <w:rFonts w:cstheme="minorHAnsi"/>
          <w:color w:val="000000" w:themeColor="text1"/>
          <w:sz w:val="18"/>
          <w:szCs w:val="18"/>
          <w:vertAlign w:val="superscript"/>
        </w:rPr>
        <w:t>105</w:t>
      </w:r>
      <w:r w:rsidRPr="00CA46DB">
        <w:rPr>
          <w:rFonts w:cstheme="minorHAnsi"/>
          <w:color w:val="000000" w:themeColor="text1"/>
          <w:sz w:val="18"/>
          <w:szCs w:val="18"/>
        </w:rPr>
        <w:t xml:space="preserve"> Fang et al. coated PANI on graphene</w:t>
      </w:r>
      <w:r w:rsidR="00493862" w:rsidRPr="00493862">
        <w:rPr>
          <w:rFonts w:cstheme="minorHAnsi"/>
          <w:color w:val="000000" w:themeColor="text1"/>
          <w:sz w:val="18"/>
          <w:szCs w:val="18"/>
        </w:rPr>
        <w:t xml:space="preserve"> </w:t>
      </w:r>
      <w:r w:rsidR="00493862" w:rsidRPr="00CA46DB">
        <w:rPr>
          <w:rFonts w:cstheme="minorHAnsi"/>
          <w:color w:val="000000" w:themeColor="text1"/>
          <w:sz w:val="18"/>
          <w:szCs w:val="18"/>
        </w:rPr>
        <w:t>oxide (GO) using in situ polymerization to obtain GO@PANI, which</w:t>
      </w:r>
      <w:r w:rsidRPr="00CA46DB">
        <w:rPr>
          <w:rFonts w:cstheme="minorHAnsi"/>
          <w:color w:val="000000" w:themeColor="text1"/>
          <w:sz w:val="18"/>
          <w:szCs w:val="18"/>
        </w:rPr>
        <w:t xml:space="preserve"> </w:t>
      </w:r>
      <w:r w:rsidRPr="00CA46DB">
        <w:rPr>
          <w:rFonts w:cstheme="minorHAnsi"/>
          <w:color w:val="000000" w:themeColor="text1"/>
          <w:sz w:val="18"/>
          <w:szCs w:val="18"/>
        </w:rPr>
        <w:br w:type="column"/>
      </w:r>
      <w:r w:rsidRPr="00CA46DB">
        <w:rPr>
          <w:rFonts w:cstheme="minorHAnsi"/>
          <w:color w:val="000000" w:themeColor="text1"/>
          <w:sz w:val="18"/>
          <w:szCs w:val="18"/>
        </w:rPr>
        <w:t>then reduced with hydrazine to fabricate RGO@R-PANI.</w:t>
      </w:r>
      <w:r w:rsidRPr="00CA46DB">
        <w:rPr>
          <w:rFonts w:cstheme="minorHAnsi"/>
          <w:color w:val="000000" w:themeColor="text1"/>
          <w:sz w:val="18"/>
          <w:szCs w:val="18"/>
          <w:vertAlign w:val="superscript"/>
        </w:rPr>
        <w:t>32</w:t>
      </w:r>
      <w:r w:rsidRPr="00CA46DB">
        <w:rPr>
          <w:rFonts w:cstheme="minorHAnsi"/>
          <w:color w:val="000000" w:themeColor="text1"/>
          <w:sz w:val="18"/>
          <w:szCs w:val="18"/>
        </w:rPr>
        <w:t xml:space="preserve"> The obtained "insulator-conductor-insulator" structures were evenly distributed in the PI matrix. RGO nanosheets were completely isolated by R-PANI, which was conducive to the formation of a microcapacitor structure and prevented current leakage. The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and tan</w:t>
      </w:r>
      <w:r w:rsidRPr="00CA46DB">
        <w:rPr>
          <w:rFonts w:cstheme="minorHAnsi"/>
          <w:i/>
          <w:iCs/>
          <w:color w:val="000000" w:themeColor="text1"/>
          <w:sz w:val="18"/>
          <w:szCs w:val="18"/>
        </w:rPr>
        <w:t>δ</w:t>
      </w:r>
      <w:r w:rsidRPr="00CA46DB">
        <w:rPr>
          <w:rFonts w:cstheme="minorHAnsi"/>
          <w:color w:val="000000" w:themeColor="text1"/>
          <w:sz w:val="18"/>
          <w:szCs w:val="18"/>
        </w:rPr>
        <w:t xml:space="preserve"> of the 20 wt% RGO@R-PANI/PI nanocomposite film were</w:t>
      </w:r>
      <w:r w:rsidR="00856AB8" w:rsidRPr="00CA46DB">
        <w:rPr>
          <w:rFonts w:cstheme="minorHAnsi"/>
          <w:color w:val="000000" w:themeColor="text1"/>
          <w:sz w:val="18"/>
          <w:szCs w:val="18"/>
        </w:rPr>
        <w:t xml:space="preserve"> </w:t>
      </w:r>
      <w:r w:rsidRPr="00CA46DB">
        <w:rPr>
          <w:rFonts w:cstheme="minorHAnsi"/>
          <w:color w:val="000000" w:themeColor="text1"/>
          <w:sz w:val="18"/>
          <w:szCs w:val="18"/>
        </w:rPr>
        <w:t xml:space="preserve">25.84 and 0.11, respectively. Furthermore, the </w:t>
      </w:r>
      <w:r w:rsidRPr="00CA46DB">
        <w:rPr>
          <w:rFonts w:cstheme="minorHAnsi"/>
          <w:i/>
          <w:iCs/>
          <w:color w:val="000000" w:themeColor="text1"/>
          <w:sz w:val="18"/>
          <w:szCs w:val="18"/>
        </w:rPr>
        <w:t>T</w:t>
      </w:r>
      <w:r w:rsidRPr="00CA46DB">
        <w:rPr>
          <w:rFonts w:cstheme="minorHAnsi"/>
          <w:i/>
          <w:iCs/>
          <w:color w:val="000000" w:themeColor="text1"/>
          <w:sz w:val="18"/>
          <w:szCs w:val="18"/>
          <w:vertAlign w:val="subscript"/>
        </w:rPr>
        <w:t>d5%</w:t>
      </w:r>
      <w:r w:rsidRPr="00CA46DB">
        <w:rPr>
          <w:rFonts w:cstheme="minorHAnsi"/>
          <w:color w:val="000000" w:themeColor="text1"/>
          <w:sz w:val="18"/>
          <w:szCs w:val="18"/>
        </w:rPr>
        <w:t xml:space="preserve"> of the 20 wt% RGO@R-PANI/PI was 480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indicating that the nanocomposite film had great potential in the field of high temperature dielectric materials. </w:t>
      </w:r>
    </w:p>
    <w:p w14:paraId="33E40DAE" w14:textId="77777777" w:rsidR="00FC2A41" w:rsidRPr="00CA46DB" w:rsidRDefault="00166212">
      <w:pPr>
        <w:tabs>
          <w:tab w:val="left" w:pos="3462"/>
        </w:tabs>
        <w:spacing w:after="0" w:line="240" w:lineRule="exact"/>
        <w:ind w:firstLineChars="200" w:firstLine="360"/>
        <w:jc w:val="both"/>
        <w:rPr>
          <w:rFonts w:cstheme="minorHAnsi"/>
          <w:color w:val="000000" w:themeColor="text1"/>
          <w:sz w:val="18"/>
          <w:szCs w:val="18"/>
          <w:highlight w:val="yellow"/>
        </w:rPr>
      </w:pPr>
      <w:r w:rsidRPr="00CA46DB">
        <w:rPr>
          <w:rFonts w:cstheme="minorHAnsi"/>
          <w:color w:val="000000" w:themeColor="text1"/>
          <w:sz w:val="18"/>
          <w:szCs w:val="18"/>
        </w:rPr>
        <w:t>Fang et al. introduced the oxygen functional groups on the surface of GO to prepare NH</w:t>
      </w:r>
      <w:r w:rsidRPr="00CA46DB">
        <w:rPr>
          <w:rFonts w:cstheme="minorHAnsi"/>
          <w:color w:val="000000" w:themeColor="text1"/>
          <w:sz w:val="18"/>
          <w:szCs w:val="18"/>
          <w:vertAlign w:val="subscript"/>
        </w:rPr>
        <w:t>2</w:t>
      </w:r>
      <w:r w:rsidRPr="00CA46DB">
        <w:rPr>
          <w:rFonts w:cstheme="minorHAnsi"/>
          <w:color w:val="000000" w:themeColor="text1"/>
          <w:sz w:val="18"/>
          <w:szCs w:val="18"/>
        </w:rPr>
        <w:t>- and carboxyl-functionalized GO (PPD-CFGO), which participated in the in-situ polymerization of PI.</w:t>
      </w:r>
      <w:r w:rsidRPr="00CA46DB">
        <w:rPr>
          <w:rFonts w:cstheme="minorHAnsi"/>
          <w:color w:val="000000" w:themeColor="text1"/>
          <w:sz w:val="18"/>
          <w:szCs w:val="18"/>
          <w:vertAlign w:val="superscript"/>
        </w:rPr>
        <w:t>1</w:t>
      </w:r>
      <w:r w:rsidRPr="00CA46DB">
        <w:rPr>
          <w:rFonts w:cstheme="minorHAnsi"/>
          <w:color w:val="000000" w:themeColor="text1"/>
          <w:sz w:val="18"/>
          <w:szCs w:val="18"/>
        </w:rPr>
        <w:t xml:space="preserve"> Since the polymer chains were anchored on the surface, the GO was effectively prevented from irreversible agglomeration. The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of the 4 wt% PPD-CFGO/PI nanocomposite film was up to 36.9, which was 12.5 times higher than that of pure PI, while the tan</w:t>
      </w:r>
      <w:r w:rsidRPr="00CA46DB">
        <w:rPr>
          <w:rFonts w:cstheme="minorHAnsi"/>
          <w:i/>
          <w:iCs/>
          <w:color w:val="000000" w:themeColor="text1"/>
          <w:sz w:val="18"/>
          <w:szCs w:val="18"/>
        </w:rPr>
        <w:t>δ</w:t>
      </w:r>
      <w:r w:rsidRPr="00CA46DB">
        <w:rPr>
          <w:rFonts w:cstheme="minorHAnsi"/>
          <w:color w:val="000000" w:themeColor="text1"/>
          <w:sz w:val="18"/>
          <w:szCs w:val="18"/>
        </w:rPr>
        <w:t xml:space="preserve"> was only 0.0075.  </w:t>
      </w:r>
    </w:p>
    <w:p w14:paraId="4EED9C3C" w14:textId="14AA176E" w:rsidR="00FC2A41" w:rsidRPr="00CA46DB" w:rsidRDefault="00166212">
      <w:pPr>
        <w:tabs>
          <w:tab w:val="left" w:pos="3462"/>
        </w:tabs>
        <w:spacing w:after="0" w:line="240" w:lineRule="exact"/>
        <w:ind w:firstLineChars="200" w:firstLine="361"/>
        <w:jc w:val="both"/>
        <w:rPr>
          <w:rFonts w:cstheme="minorHAnsi"/>
          <w:color w:val="000000" w:themeColor="text1"/>
          <w:sz w:val="18"/>
          <w:szCs w:val="18"/>
        </w:rPr>
        <w:sectPr w:rsidR="00FC2A41" w:rsidRPr="00CA46DB">
          <w:pgSz w:w="11907" w:h="16840"/>
          <w:pgMar w:top="1009" w:right="851" w:bottom="1758" w:left="851" w:header="851" w:footer="1049" w:gutter="0"/>
          <w:cols w:num="2" w:space="227"/>
          <w:docGrid w:linePitch="360"/>
        </w:sectPr>
      </w:pPr>
      <w:r w:rsidRPr="00CA46DB">
        <w:rPr>
          <w:rFonts w:cstheme="minorHAnsi"/>
          <w:b/>
          <w:bCs/>
          <w:color w:val="000000" w:themeColor="text1"/>
          <w:sz w:val="18"/>
          <w:szCs w:val="18"/>
        </w:rPr>
        <w:t>4.1.4.2. Non-organic shell layer</w:t>
      </w:r>
      <w:r w:rsidRPr="00CA46DB">
        <w:rPr>
          <w:rFonts w:cstheme="minorHAnsi" w:hint="eastAsia"/>
          <w:color w:val="000000" w:themeColor="text1"/>
          <w:sz w:val="18"/>
          <w:szCs w:val="18"/>
          <w:lang w:eastAsia="zh-CN"/>
        </w:rPr>
        <w:t>.</w:t>
      </w:r>
      <w:r w:rsidRPr="00CA46DB">
        <w:rPr>
          <w:rFonts w:cstheme="minorHAnsi"/>
          <w:color w:val="000000" w:themeColor="text1"/>
          <w:sz w:val="18"/>
          <w:szCs w:val="18"/>
          <w:lang w:eastAsia="zh-CN"/>
        </w:rPr>
        <w:t xml:space="preserve"> </w:t>
      </w:r>
      <w:r w:rsidRPr="00CA46DB">
        <w:rPr>
          <w:rFonts w:cstheme="minorHAnsi"/>
          <w:color w:val="000000" w:themeColor="text1"/>
          <w:sz w:val="18"/>
          <w:szCs w:val="18"/>
        </w:rPr>
        <w:t>Organic shells may cause additional energy loss at high temperatures due to molecular relaxation and relatively poor thermal stability.</w:t>
      </w:r>
      <w:r w:rsidRPr="00CA46DB">
        <w:rPr>
          <w:rFonts w:cstheme="minorHAnsi"/>
          <w:color w:val="000000" w:themeColor="text1"/>
          <w:sz w:val="18"/>
          <w:szCs w:val="18"/>
          <w:vertAlign w:val="superscript"/>
          <w:lang w:eastAsia="zh-Hans"/>
        </w:rPr>
        <w:t>10,44</w:t>
      </w:r>
      <w:r w:rsidRPr="00CA46DB">
        <w:rPr>
          <w:rFonts w:cstheme="minorHAnsi"/>
          <w:color w:val="000000" w:themeColor="text1"/>
          <w:sz w:val="18"/>
          <w:szCs w:val="18"/>
        </w:rPr>
        <w:t xml:space="preserve"> It is expected that inorganic shell</w:t>
      </w:r>
      <w:r w:rsidRPr="00CA46DB">
        <w:rPr>
          <w:rFonts w:cstheme="minorHAnsi"/>
          <w:color w:val="000000" w:themeColor="text1"/>
          <w:sz w:val="18"/>
          <w:szCs w:val="18"/>
          <w:lang w:eastAsia="zh-Hans"/>
        </w:rPr>
        <w:t>s</w:t>
      </w:r>
      <w:r w:rsidRPr="00CA46DB">
        <w:rPr>
          <w:rFonts w:cstheme="minorHAnsi"/>
          <w:color w:val="000000" w:themeColor="text1"/>
          <w:sz w:val="18"/>
          <w:szCs w:val="18"/>
        </w:rPr>
        <w:t xml:space="preserve"> ha</w:t>
      </w:r>
      <w:r w:rsidRPr="00CA46DB">
        <w:rPr>
          <w:rFonts w:cstheme="minorHAnsi"/>
          <w:color w:val="000000" w:themeColor="text1"/>
          <w:sz w:val="18"/>
          <w:szCs w:val="18"/>
          <w:lang w:eastAsia="zh-Hans"/>
        </w:rPr>
        <w:t>ve</w:t>
      </w:r>
      <w:r w:rsidRPr="00CA46DB">
        <w:rPr>
          <w:rFonts w:cstheme="minorHAnsi"/>
          <w:color w:val="000000" w:themeColor="text1"/>
          <w:sz w:val="18"/>
          <w:szCs w:val="18"/>
        </w:rPr>
        <w:t xml:space="preserve"> better thermal stability, allowing nanofiller</w:t>
      </w:r>
      <w:r w:rsidRPr="00CA46DB">
        <w:rPr>
          <w:rFonts w:cstheme="minorHAnsi"/>
          <w:color w:val="000000" w:themeColor="text1"/>
          <w:sz w:val="18"/>
          <w:szCs w:val="18"/>
          <w:lang w:eastAsia="zh-Hans"/>
        </w:rPr>
        <w:t>s</w:t>
      </w:r>
      <w:r w:rsidRPr="00CA46DB">
        <w:rPr>
          <w:rFonts w:cstheme="minorHAnsi"/>
          <w:color w:val="000000" w:themeColor="text1"/>
          <w:sz w:val="18"/>
          <w:szCs w:val="18"/>
        </w:rPr>
        <w:t xml:space="preserve"> to obtain low energy loss. When high-</w:t>
      </w:r>
      <w:r w:rsidRPr="00CA46DB">
        <w:rPr>
          <w:rFonts w:eastAsia="SimSun" w:cstheme="minorHAnsi"/>
          <w:i/>
          <w:iCs/>
          <w:color w:val="000000" w:themeColor="text1"/>
          <w:sz w:val="18"/>
          <w:szCs w:val="18"/>
        </w:rPr>
        <w:t>ε</w:t>
      </w:r>
      <w:r w:rsidRPr="00CA46DB">
        <w:rPr>
          <w:rFonts w:eastAsia="SimSun" w:cstheme="minorHAnsi"/>
          <w:color w:val="000000" w:themeColor="text1"/>
          <w:sz w:val="18"/>
          <w:szCs w:val="18"/>
          <w:vertAlign w:val="subscript"/>
        </w:rPr>
        <w:t>r</w:t>
      </w:r>
      <w:r w:rsidRPr="00CA46DB">
        <w:rPr>
          <w:rFonts w:cstheme="minorHAnsi"/>
          <w:color w:val="000000" w:themeColor="text1"/>
          <w:sz w:val="18"/>
          <w:szCs w:val="18"/>
        </w:rPr>
        <w:t xml:space="preserve"> fillers are introduced into low-</w:t>
      </w:r>
      <w:r w:rsidRPr="00CA46DB">
        <w:rPr>
          <w:rFonts w:eastAsia="SimSun" w:cstheme="minorHAnsi"/>
          <w:i/>
          <w:iCs/>
          <w:color w:val="000000" w:themeColor="text1"/>
          <w:sz w:val="18"/>
          <w:szCs w:val="18"/>
        </w:rPr>
        <w:t>ε</w:t>
      </w:r>
      <w:r w:rsidRPr="00CA46DB">
        <w:rPr>
          <w:rFonts w:eastAsia="SimSun" w:cstheme="minorHAnsi"/>
          <w:color w:val="000000" w:themeColor="text1"/>
          <w:sz w:val="18"/>
          <w:szCs w:val="18"/>
          <w:vertAlign w:val="subscript"/>
        </w:rPr>
        <w:t>r</w:t>
      </w:r>
      <w:r w:rsidRPr="00CA46DB">
        <w:rPr>
          <w:rFonts w:cstheme="minorHAnsi"/>
          <w:color w:val="000000" w:themeColor="text1"/>
          <w:sz w:val="18"/>
          <w:szCs w:val="18"/>
        </w:rPr>
        <w:t xml:space="preserve"> polymers, the large difference in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between the two phases can cause a local electric field concentration. The introduction of an inorganic buffer layer with a moderate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is usually an effective method to achieve the desired dielectric properties of the nanocomposites. Wang et al. prepared BaTiO</w:t>
      </w:r>
      <w:r w:rsidRPr="00CA46DB">
        <w:rPr>
          <w:rFonts w:cstheme="minorHAnsi"/>
          <w:color w:val="000000" w:themeColor="text1"/>
          <w:sz w:val="18"/>
          <w:szCs w:val="18"/>
          <w:vertAlign w:val="subscript"/>
        </w:rPr>
        <w:t>3</w:t>
      </w:r>
      <w:r w:rsidRPr="00CA46DB">
        <w:rPr>
          <w:rFonts w:cstheme="minorHAnsi"/>
          <w:color w:val="000000" w:themeColor="text1"/>
          <w:sz w:val="18"/>
          <w:szCs w:val="18"/>
        </w:rPr>
        <w:t>@SiO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nanofibers by electrospinning prior to the preparation of BT@SiO</w:t>
      </w:r>
      <w:r w:rsidRPr="00CA46DB">
        <w:rPr>
          <w:rFonts w:cstheme="minorHAnsi"/>
          <w:color w:val="000000" w:themeColor="text1"/>
          <w:sz w:val="18"/>
          <w:szCs w:val="18"/>
          <w:vertAlign w:val="subscript"/>
        </w:rPr>
        <w:t>2</w:t>
      </w:r>
      <w:r w:rsidRPr="00CA46DB">
        <w:rPr>
          <w:rFonts w:cstheme="minorHAnsi"/>
          <w:color w:val="000000" w:themeColor="text1"/>
          <w:sz w:val="18"/>
          <w:szCs w:val="18"/>
        </w:rPr>
        <w:t>/PI nanocomposite films.</w:t>
      </w:r>
      <w:r w:rsidRPr="00CA46DB">
        <w:rPr>
          <w:rFonts w:cstheme="minorHAnsi"/>
          <w:color w:val="000000" w:themeColor="text1"/>
          <w:sz w:val="18"/>
          <w:szCs w:val="18"/>
          <w:vertAlign w:val="superscript"/>
        </w:rPr>
        <w:t>106</w:t>
      </w:r>
      <w:r w:rsidRPr="00CA46DB">
        <w:rPr>
          <w:rFonts w:cstheme="minorHAnsi"/>
          <w:color w:val="000000" w:themeColor="text1"/>
          <w:sz w:val="18"/>
          <w:szCs w:val="18"/>
        </w:rPr>
        <w:t xml:space="preserve"> 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has an extremely low </w:t>
      </w:r>
      <w:r w:rsidRPr="00CA46DB">
        <w:rPr>
          <w:rFonts w:eastAsia="楷体-简" w:cstheme="minorHAnsi"/>
          <w:color w:val="000000" w:themeColor="text1"/>
          <w:sz w:val="18"/>
          <w:szCs w:val="18"/>
        </w:rPr>
        <w:t>tan</w:t>
      </w:r>
      <w:r w:rsidRPr="00CA46DB">
        <w:rPr>
          <w:rFonts w:eastAsia="楷体-简" w:cstheme="minorHAnsi"/>
          <w:i/>
          <w:iCs/>
          <w:color w:val="000000" w:themeColor="text1"/>
          <w:sz w:val="18"/>
          <w:szCs w:val="18"/>
        </w:rPr>
        <w:t>δ</w:t>
      </w:r>
      <w:r w:rsidRPr="00CA46DB">
        <w:rPr>
          <w:rFonts w:cstheme="minorHAnsi"/>
          <w:color w:val="000000" w:themeColor="text1"/>
          <w:sz w:val="18"/>
          <w:szCs w:val="18"/>
        </w:rPr>
        <w:t xml:space="preserve"> and moderate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The 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layers that isolated the PI and BT nanofibers alleviated the electric field concentration between the two phases and enhanced the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xml:space="preserve"> of the PI nanocomposite films. Compared with the pure PI (maximum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hint="eastAsia"/>
          <w:color w:val="000000" w:themeColor="text1"/>
          <w:sz w:val="18"/>
          <w:szCs w:val="18"/>
          <w:lang w:val="en-US" w:eastAsia="zh-CN"/>
        </w:rPr>
        <w:t>=</w:t>
      </w:r>
      <w:r w:rsidRPr="00CA46DB">
        <w:rPr>
          <w:rFonts w:cstheme="minorHAnsi"/>
          <w:color w:val="000000" w:themeColor="text1"/>
          <w:sz w:val="18"/>
          <w:szCs w:val="18"/>
        </w:rPr>
        <w:t>1.42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hint="eastAsia"/>
          <w:i/>
          <w:iCs/>
          <w:color w:val="000000" w:themeColor="text1"/>
          <w:sz w:val="18"/>
          <w:szCs w:val="18"/>
          <w:lang w:val="en-US" w:eastAsia="zh-CN"/>
        </w:rPr>
        <w:t>=</w:t>
      </w:r>
      <w:r w:rsidRPr="00CA46DB">
        <w:rPr>
          <w:rFonts w:cstheme="minorHAnsi"/>
          <w:color w:val="000000" w:themeColor="text1"/>
          <w:sz w:val="18"/>
          <w:szCs w:val="18"/>
        </w:rPr>
        <w:t>308 MV·m</w:t>
      </w:r>
      <w:r w:rsidRPr="00CA46DB">
        <w:rPr>
          <w:rFonts w:cstheme="minorHAnsi"/>
          <w:color w:val="000000" w:themeColor="text1"/>
          <w:sz w:val="18"/>
          <w:szCs w:val="18"/>
          <w:vertAlign w:val="superscript"/>
        </w:rPr>
        <w:t>−1</w:t>
      </w:r>
      <w:r w:rsidRPr="00CA46DB">
        <w:rPr>
          <w:rFonts w:cstheme="minorHAnsi"/>
          <w:color w:val="000000" w:themeColor="text1"/>
          <w:sz w:val="18"/>
          <w:szCs w:val="18"/>
        </w:rPr>
        <w:t>), the composite film containing 3 vol% BT@SiO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had a maximum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of 2.31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at an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i/>
          <w:iCs/>
          <w:color w:val="000000" w:themeColor="text1"/>
          <w:sz w:val="18"/>
          <w:szCs w:val="18"/>
        </w:rPr>
        <w:t xml:space="preserve"> </w:t>
      </w:r>
      <w:r w:rsidRPr="00CA46DB">
        <w:rPr>
          <w:rFonts w:cstheme="minorHAnsi"/>
          <w:color w:val="000000" w:themeColor="text1"/>
          <w:sz w:val="18"/>
          <w:szCs w:val="18"/>
        </w:rPr>
        <w:t>of 346 MV·m</w:t>
      </w:r>
      <w:r w:rsidRPr="00CA46DB">
        <w:rPr>
          <w:rFonts w:cstheme="minorHAnsi"/>
          <w:color w:val="000000" w:themeColor="text1"/>
          <w:sz w:val="18"/>
          <w:szCs w:val="18"/>
          <w:vertAlign w:val="superscript"/>
        </w:rPr>
        <w:t>−1</w:t>
      </w:r>
      <w:r w:rsidRPr="00CA46DB">
        <w:rPr>
          <w:rFonts w:cstheme="minorHAnsi"/>
          <w:color w:val="000000" w:themeColor="text1"/>
          <w:sz w:val="18"/>
          <w:szCs w:val="18"/>
        </w:rPr>
        <w:t>. The TGA results</w:t>
      </w:r>
    </w:p>
    <w:p w14:paraId="0C8F8357" w14:textId="03B8F6C2" w:rsidR="00FC2A41" w:rsidRPr="00CA46DB" w:rsidRDefault="00493862">
      <w:pPr>
        <w:tabs>
          <w:tab w:val="left" w:pos="3462"/>
        </w:tabs>
        <w:spacing w:after="0" w:line="240" w:lineRule="exact"/>
        <w:jc w:val="both"/>
        <w:rPr>
          <w:rFonts w:cstheme="minorHAnsi"/>
          <w:color w:val="000000" w:themeColor="text1"/>
          <w:sz w:val="18"/>
          <w:szCs w:val="18"/>
        </w:rPr>
      </w:pPr>
      <w:r w:rsidRPr="00CA46DB">
        <w:rPr>
          <w:rFonts w:eastAsia="楷体-简" w:cstheme="minorHAnsi"/>
          <w:noProof/>
          <w:color w:val="000000" w:themeColor="text1"/>
          <w:sz w:val="18"/>
          <w:szCs w:val="18"/>
          <w:lang w:eastAsia="zh-CN"/>
        </w:rPr>
        <w:drawing>
          <wp:anchor distT="0" distB="0" distL="114300" distR="114300" simplePos="0" relativeHeight="251676672" behindDoc="1" locked="0" layoutInCell="1" allowOverlap="1" wp14:anchorId="5688FC31" wp14:editId="3E22432A">
            <wp:simplePos x="0" y="0"/>
            <wp:positionH relativeFrom="column">
              <wp:posOffset>843915</wp:posOffset>
            </wp:positionH>
            <wp:positionV relativeFrom="paragraph">
              <wp:posOffset>165100</wp:posOffset>
            </wp:positionV>
            <wp:extent cx="4845050" cy="2616200"/>
            <wp:effectExtent l="0" t="0" r="0" b="0"/>
            <wp:wrapTight wrapText="bothSides">
              <wp:wrapPolygon edited="0">
                <wp:start x="-2773" y="0"/>
                <wp:lineTo x="-2857" y="21600"/>
                <wp:lineTo x="24724" y="21989"/>
                <wp:lineTo x="24891" y="0"/>
                <wp:lineTo x="-2773" y="0"/>
              </wp:wrapPolygon>
            </wp:wrapTight>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45050" cy="2616200"/>
                    </a:xfrm>
                    <a:prstGeom prst="rect">
                      <a:avLst/>
                    </a:prstGeom>
                  </pic:spPr>
                </pic:pic>
              </a:graphicData>
            </a:graphic>
          </wp:anchor>
        </w:drawing>
      </w:r>
      <w:r w:rsidR="00166212" w:rsidRPr="00CA46DB">
        <w:rPr>
          <w:rFonts w:ascii="Calibri" w:eastAsia="SimSun" w:hAnsi="Calibri" w:cs="Calibri"/>
          <w:noProof/>
          <w:color w:val="000000" w:themeColor="text1"/>
          <w:lang w:eastAsia="zh-CN"/>
        </w:rPr>
        <mc:AlternateContent>
          <mc:Choice Requires="wpg">
            <w:drawing>
              <wp:inline distT="0" distB="0" distL="0" distR="0" wp14:anchorId="098320EF" wp14:editId="06932162">
                <wp:extent cx="6480175" cy="10795"/>
                <wp:effectExtent l="0" t="0" r="0" b="0"/>
                <wp:docPr id="39" name="Group 4178"/>
                <wp:cNvGraphicFramePr/>
                <a:graphic xmlns:a="http://schemas.openxmlformats.org/drawingml/2006/main">
                  <a:graphicData uri="http://schemas.microsoft.com/office/word/2010/wordprocessingGroup">
                    <wpg:wgp>
                      <wpg:cNvGrpSpPr/>
                      <wpg:grpSpPr>
                        <a:xfrm>
                          <a:off x="0" y="0"/>
                          <a:ext cx="6480175" cy="10795"/>
                          <a:chOff x="0" y="0"/>
                          <a:chExt cx="6692405" cy="18974"/>
                        </a:xfrm>
                      </wpg:grpSpPr>
                      <wps:wsp>
                        <wps:cNvPr id="40" name="Shape 4839"/>
                        <wps:cNvSpPr/>
                        <wps:spPr>
                          <a:xfrm>
                            <a:off x="0" y="0"/>
                            <a:ext cx="6692405" cy="18974"/>
                          </a:xfrm>
                          <a:custGeom>
                            <a:avLst/>
                            <a:gdLst/>
                            <a:ahLst/>
                            <a:cxnLst/>
                            <a:rect l="0" t="0" r="0" b="0"/>
                            <a:pathLst>
                              <a:path w="6692405" h="18974">
                                <a:moveTo>
                                  <a:pt x="0" y="0"/>
                                </a:moveTo>
                                <a:lnTo>
                                  <a:pt x="6692405" y="0"/>
                                </a:lnTo>
                                <a:lnTo>
                                  <a:pt x="6692405" y="18974"/>
                                </a:lnTo>
                                <a:lnTo>
                                  <a:pt x="0" y="18974"/>
                                </a:lnTo>
                                <a:lnTo>
                                  <a:pt x="0" y="0"/>
                                </a:lnTo>
                              </a:path>
                            </a:pathLst>
                          </a:custGeom>
                          <a:solidFill>
                            <a:srgbClr val="DED9C9"/>
                          </a:solidFill>
                          <a:ln w="0" cap="flat">
                            <a:noFill/>
                            <a:miter lim="127000"/>
                          </a:ln>
                          <a:effectLst/>
                        </wps:spPr>
                        <wps:bodyPr/>
                      </wps:wsp>
                    </wpg:wgp>
                  </a:graphicData>
                </a:graphic>
              </wp:inline>
            </w:drawing>
          </mc:Choice>
          <mc:Fallback>
            <w:pict>
              <v:group w14:anchorId="707F0870" id="Group 4178" o:spid="_x0000_s1026" style="width:510.25pt;height:.85pt;mso-position-horizontal-relative:char;mso-position-vertical-relative:line" coordsize="6692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">
                <v:shape id="Shape 4839" o:spid="_x0000_s1027" style="position:absolute;width:66924;height:189;visibility:visible;mso-wrap-style:square;v-text-anchor:top" coordsize="6692405,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" path="m,l6692405,r,18974l,18974,,e" fillcolor="#ded9c9" stroked="f" strokeweight="0">
                  <v:stroke miterlimit="83231f" joinstyle="miter"/>
                  <v:path arrowok="t" textboxrect="0,0,6692405,18974"/>
                </v:shape>
                <w10:anchorlock/>
              </v:group>
            </w:pict>
          </mc:Fallback>
        </mc:AlternateContent>
      </w:r>
    </w:p>
    <w:p w14:paraId="78AE5667" w14:textId="77777777" w:rsidR="00FC2A41" w:rsidRPr="00CA46DB" w:rsidRDefault="00FC2A41">
      <w:pPr>
        <w:tabs>
          <w:tab w:val="left" w:pos="3462"/>
        </w:tabs>
        <w:spacing w:after="0" w:line="240" w:lineRule="exact"/>
        <w:jc w:val="both"/>
        <w:rPr>
          <w:rFonts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5335974A" w14:textId="77777777" w:rsidR="00FC2A41" w:rsidRPr="00CA46DB" w:rsidRDefault="00166212">
      <w:pPr>
        <w:tabs>
          <w:tab w:val="left" w:pos="3462"/>
        </w:tabs>
        <w:spacing w:after="0" w:line="240" w:lineRule="exact"/>
        <w:jc w:val="both"/>
        <w:rPr>
          <w:rFonts w:cstheme="minorHAnsi"/>
          <w:color w:val="000000" w:themeColor="text1"/>
          <w:sz w:val="21"/>
          <w:szCs w:val="21"/>
        </w:rPr>
      </w:pPr>
      <w:r w:rsidRPr="00CA46DB">
        <w:rPr>
          <w:rFonts w:cstheme="minorHAnsi"/>
          <w:color w:val="000000" w:themeColor="text1"/>
          <w:sz w:val="21"/>
          <w:szCs w:val="21"/>
        </w:rPr>
        <w:t>Fig. 15. General methods for the synthesis of core-shell nanofillers for PI nanocomposites.</w:t>
      </w:r>
    </w:p>
    <w:p w14:paraId="49F9E50C" w14:textId="77777777" w:rsidR="00FC2A41" w:rsidRPr="00CA46DB" w:rsidRDefault="00FC2A41">
      <w:pPr>
        <w:tabs>
          <w:tab w:val="left" w:pos="3462"/>
        </w:tabs>
        <w:spacing w:after="0" w:line="240" w:lineRule="exact"/>
        <w:jc w:val="both"/>
        <w:rPr>
          <w:rFonts w:cstheme="minorHAnsi"/>
          <w:color w:val="000000" w:themeColor="text1"/>
          <w:sz w:val="21"/>
          <w:szCs w:val="21"/>
        </w:rPr>
        <w:sectPr w:rsidR="00FC2A41" w:rsidRPr="00CA46DB">
          <w:type w:val="continuous"/>
          <w:pgSz w:w="11907" w:h="16840"/>
          <w:pgMar w:top="1009" w:right="851" w:bottom="1758" w:left="851" w:header="851" w:footer="1049" w:gutter="0"/>
          <w:cols w:space="227"/>
          <w:docGrid w:linePitch="360"/>
        </w:sectPr>
      </w:pPr>
    </w:p>
    <w:p w14:paraId="12D4DE2B" w14:textId="77777777" w:rsidR="00FC2A41" w:rsidRPr="00CA46DB" w:rsidRDefault="00166212">
      <w:pPr>
        <w:tabs>
          <w:tab w:val="left" w:pos="3462"/>
        </w:tabs>
        <w:spacing w:after="0" w:line="240" w:lineRule="exact"/>
        <w:jc w:val="both"/>
        <w:rPr>
          <w:rFonts w:cstheme="minorHAnsi"/>
          <w:color w:val="000000" w:themeColor="text1"/>
          <w:sz w:val="18"/>
          <w:szCs w:val="18"/>
        </w:rPr>
      </w:pPr>
      <w:r w:rsidRPr="00CA46DB">
        <w:rPr>
          <w:rFonts w:cstheme="minorHAnsi"/>
          <w:color w:val="000000" w:themeColor="text1"/>
          <w:sz w:val="18"/>
          <w:szCs w:val="18"/>
        </w:rPr>
        <w:lastRenderedPageBreak/>
        <w:t>indicated that the BT@SiO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/PI nanocomposite films had good thermal stability below 500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Wang et al. also adopted the same method to prepare the 2 vol% BT@ZrO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/PI composite film, which achieved a maximum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of 2.53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at an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i/>
          <w:iCs/>
          <w:color w:val="000000" w:themeColor="text1"/>
          <w:sz w:val="18"/>
          <w:szCs w:val="18"/>
        </w:rPr>
        <w:t xml:space="preserve"> </w:t>
      </w:r>
      <w:r w:rsidRPr="00CA46DB">
        <w:rPr>
          <w:rFonts w:cstheme="minorHAnsi"/>
          <w:color w:val="000000" w:themeColor="text1"/>
          <w:sz w:val="18"/>
          <w:szCs w:val="18"/>
        </w:rPr>
        <w:t>of 361 MV·m</w:t>
      </w:r>
      <w:r w:rsidRPr="00CA46DB">
        <w:rPr>
          <w:rFonts w:cstheme="minorHAnsi"/>
          <w:color w:val="000000" w:themeColor="text1"/>
          <w:sz w:val="18"/>
          <w:szCs w:val="18"/>
          <w:vertAlign w:val="superscript"/>
        </w:rPr>
        <w:t>−1</w:t>
      </w:r>
      <w:r w:rsidRPr="00CA46DB">
        <w:rPr>
          <w:rFonts w:cstheme="minorHAnsi"/>
          <w:color w:val="000000" w:themeColor="text1"/>
          <w:sz w:val="18"/>
          <w:szCs w:val="18"/>
        </w:rPr>
        <w:t>.</w:t>
      </w:r>
      <w:r w:rsidRPr="00CA46DB">
        <w:rPr>
          <w:rFonts w:cstheme="minorHAnsi"/>
          <w:color w:val="000000" w:themeColor="text1"/>
          <w:sz w:val="18"/>
          <w:szCs w:val="18"/>
          <w:vertAlign w:val="superscript"/>
        </w:rPr>
        <w:t>107</w:t>
      </w:r>
      <w:r w:rsidRPr="00CA46DB">
        <w:rPr>
          <w:rFonts w:cstheme="minorHAnsi"/>
          <w:color w:val="000000" w:themeColor="text1"/>
          <w:sz w:val="18"/>
          <w:szCs w:val="18"/>
        </w:rPr>
        <w:t xml:space="preserve"> </w:t>
      </w:r>
      <w:r w:rsidRPr="00CA46DB">
        <w:rPr>
          <w:rFonts w:cstheme="minorHAnsi" w:hint="eastAsia"/>
          <w:color w:val="000000" w:themeColor="text1"/>
          <w:sz w:val="18"/>
          <w:szCs w:val="18"/>
          <w:lang w:eastAsia="zh-CN"/>
        </w:rPr>
        <w:t>The</w:t>
      </w:r>
      <w:r w:rsidRPr="00CA46DB">
        <w:rPr>
          <w:rFonts w:cstheme="minorHAnsi"/>
          <w:color w:val="000000" w:themeColor="text1"/>
          <w:sz w:val="18"/>
          <w:szCs w:val="18"/>
          <w:lang w:eastAsia="zh-CN"/>
        </w:rPr>
        <w:t xml:space="preserve"> </w:t>
      </w:r>
      <w:r w:rsidRPr="00CA46DB">
        <w:rPr>
          <w:rFonts w:cstheme="minorHAnsi"/>
          <w:color w:val="000000" w:themeColor="text1"/>
          <w:sz w:val="18"/>
          <w:szCs w:val="18"/>
        </w:rPr>
        <w:t xml:space="preserve">PI </w:t>
      </w:r>
      <w:r w:rsidRPr="00CA46DB">
        <w:rPr>
          <w:rFonts w:cstheme="minorHAnsi"/>
          <w:color w:val="000000" w:themeColor="text1"/>
          <w:sz w:val="18"/>
          <w:szCs w:val="18"/>
          <w:lang w:eastAsia="zh-Hans"/>
        </w:rPr>
        <w:t>nano</w:t>
      </w:r>
      <w:r w:rsidRPr="00CA46DB">
        <w:rPr>
          <w:rFonts w:cstheme="minorHAnsi"/>
          <w:color w:val="000000" w:themeColor="text1"/>
          <w:sz w:val="18"/>
          <w:szCs w:val="18"/>
        </w:rPr>
        <w:t>composites filled with CaCu</w:t>
      </w:r>
      <w:r w:rsidRPr="00CA46DB">
        <w:rPr>
          <w:rFonts w:cstheme="minorHAnsi"/>
          <w:color w:val="000000" w:themeColor="text1"/>
          <w:sz w:val="18"/>
          <w:szCs w:val="18"/>
          <w:vertAlign w:val="subscript"/>
        </w:rPr>
        <w:t>3</w:t>
      </w:r>
      <w:r w:rsidRPr="00CA46DB">
        <w:rPr>
          <w:rFonts w:cstheme="minorHAnsi"/>
          <w:color w:val="000000" w:themeColor="text1"/>
          <w:sz w:val="18"/>
          <w:szCs w:val="18"/>
        </w:rPr>
        <w:t>Ti</w:t>
      </w:r>
      <w:r w:rsidRPr="00CA46DB">
        <w:rPr>
          <w:rFonts w:cstheme="minorHAnsi"/>
          <w:color w:val="000000" w:themeColor="text1"/>
          <w:sz w:val="18"/>
          <w:szCs w:val="18"/>
          <w:vertAlign w:val="subscript"/>
        </w:rPr>
        <w:t>4</w:t>
      </w:r>
      <w:r w:rsidRPr="00CA46DB">
        <w:rPr>
          <w:rFonts w:cstheme="minorHAnsi"/>
          <w:color w:val="000000" w:themeColor="text1"/>
          <w:sz w:val="18"/>
          <w:szCs w:val="18"/>
        </w:rPr>
        <w:t>O</w:t>
      </w:r>
      <w:r w:rsidRPr="00CA46DB">
        <w:rPr>
          <w:rFonts w:cstheme="minorHAnsi"/>
          <w:color w:val="000000" w:themeColor="text1"/>
          <w:sz w:val="18"/>
          <w:szCs w:val="18"/>
          <w:vertAlign w:val="subscript"/>
        </w:rPr>
        <w:t>12</w:t>
      </w:r>
      <w:r w:rsidRPr="00CA46DB">
        <w:rPr>
          <w:rFonts w:cstheme="minorHAnsi"/>
          <w:color w:val="000000" w:themeColor="text1"/>
          <w:sz w:val="18"/>
          <w:szCs w:val="18"/>
        </w:rPr>
        <w:t>@TiO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(CCTO@TiO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nanofibers have also been studied, </w:t>
      </w:r>
      <w:r w:rsidRPr="00CA46DB">
        <w:rPr>
          <w:rFonts w:cstheme="minorHAnsi"/>
          <w:color w:val="000000" w:themeColor="text1"/>
          <w:sz w:val="18"/>
          <w:szCs w:val="18"/>
          <w:lang w:eastAsia="zh-Hans"/>
        </w:rPr>
        <w:t xml:space="preserve">which </w:t>
      </w:r>
      <w:r w:rsidRPr="00CA46DB">
        <w:rPr>
          <w:rFonts w:cstheme="minorHAnsi"/>
          <w:color w:val="000000" w:themeColor="text1"/>
          <w:sz w:val="18"/>
          <w:szCs w:val="18"/>
        </w:rPr>
        <w:t xml:space="preserve">obtained the maximum energy density </w:t>
      </w:r>
      <w:r w:rsidRPr="00CA46DB">
        <w:rPr>
          <w:rFonts w:cstheme="minorHAnsi"/>
          <w:color w:val="000000" w:themeColor="text1"/>
          <w:sz w:val="18"/>
          <w:szCs w:val="18"/>
          <w:lang w:eastAsia="zh-Hans"/>
        </w:rPr>
        <w:t>of</w:t>
      </w:r>
      <w:r w:rsidRPr="00CA46DB">
        <w:rPr>
          <w:rFonts w:cstheme="minorHAnsi"/>
          <w:color w:val="000000" w:themeColor="text1"/>
          <w:sz w:val="18"/>
          <w:szCs w:val="18"/>
        </w:rPr>
        <w:t xml:space="preserve"> 1.6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w:t>
      </w:r>
      <w:r w:rsidRPr="00CA46DB">
        <w:rPr>
          <w:rFonts w:cstheme="minorHAnsi"/>
          <w:color w:val="000000" w:themeColor="text1"/>
          <w:sz w:val="18"/>
          <w:szCs w:val="18"/>
          <w:vertAlign w:val="superscript"/>
          <w:lang w:eastAsia="zh-Hans"/>
        </w:rPr>
        <w:t>108</w:t>
      </w:r>
    </w:p>
    <w:p w14:paraId="0B5BE52D" w14:textId="77777777" w:rsidR="00FC2A41" w:rsidRPr="00CA46DB" w:rsidRDefault="00166212">
      <w:pPr>
        <w:tabs>
          <w:tab w:val="left" w:pos="3462"/>
        </w:tabs>
        <w:spacing w:after="0" w:line="240" w:lineRule="exact"/>
        <w:ind w:firstLineChars="200" w:firstLine="360"/>
        <w:jc w:val="both"/>
        <w:rPr>
          <w:rFonts w:cstheme="minorHAnsi"/>
          <w:color w:val="000000" w:themeColor="text1"/>
          <w:sz w:val="18"/>
          <w:szCs w:val="18"/>
        </w:rPr>
      </w:pPr>
      <w:r w:rsidRPr="00CA46DB">
        <w:rPr>
          <w:rFonts w:cstheme="minorHAnsi"/>
          <w:noProof/>
          <w:color w:val="000000" w:themeColor="text1"/>
          <w:sz w:val="18"/>
          <w:szCs w:val="18"/>
          <w:lang w:eastAsia="zh-CN"/>
        </w:rPr>
        <w:drawing>
          <wp:anchor distT="0" distB="0" distL="114300" distR="114300" simplePos="0" relativeHeight="251677696" behindDoc="1" locked="0" layoutInCell="1" allowOverlap="1" wp14:anchorId="557454B0" wp14:editId="6AE1C498">
            <wp:simplePos x="0" y="0"/>
            <wp:positionH relativeFrom="column">
              <wp:posOffset>521970</wp:posOffset>
            </wp:positionH>
            <wp:positionV relativeFrom="paragraph">
              <wp:posOffset>2831465</wp:posOffset>
            </wp:positionV>
            <wp:extent cx="5636895" cy="3987165"/>
            <wp:effectExtent l="0" t="0" r="0" b="0"/>
            <wp:wrapTight wrapText="bothSides">
              <wp:wrapPolygon edited="0">
                <wp:start x="-1661" y="0"/>
                <wp:lineTo x="-1770" y="21600"/>
                <wp:lineTo x="22751" y="21600"/>
                <wp:lineTo x="22787" y="0"/>
                <wp:lineTo x="-1661" y="0"/>
              </wp:wrapPolygon>
            </wp:wrapTight>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36895" cy="3987165"/>
                    </a:xfrm>
                    <a:prstGeom prst="rect">
                      <a:avLst/>
                    </a:prstGeom>
                  </pic:spPr>
                </pic:pic>
              </a:graphicData>
            </a:graphic>
          </wp:anchor>
        </w:drawing>
      </w:r>
      <w:r w:rsidRPr="00CA46DB">
        <w:rPr>
          <w:rFonts w:cstheme="minorHAnsi"/>
          <w:color w:val="000000" w:themeColor="text1"/>
          <w:sz w:val="18"/>
          <w:szCs w:val="18"/>
        </w:rPr>
        <w:t xml:space="preserve">Ren et al. described the PEI </w:t>
      </w:r>
      <w:r w:rsidRPr="00CA46DB">
        <w:rPr>
          <w:rFonts w:cstheme="minorHAnsi"/>
          <w:color w:val="000000" w:themeColor="text1"/>
          <w:sz w:val="18"/>
          <w:szCs w:val="18"/>
          <w:lang w:eastAsia="zh-Hans"/>
        </w:rPr>
        <w:t>nano</w:t>
      </w:r>
      <w:r w:rsidRPr="00CA46DB">
        <w:rPr>
          <w:rFonts w:cstheme="minorHAnsi"/>
          <w:color w:val="000000" w:themeColor="text1"/>
          <w:sz w:val="18"/>
          <w:szCs w:val="18"/>
        </w:rPr>
        <w:t>composites filled with core-shell structured nanoparticles composed of ZrO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core and Al</w:t>
      </w:r>
      <w:r w:rsidRPr="00CA46DB">
        <w:rPr>
          <w:rFonts w:cstheme="minorHAnsi"/>
          <w:color w:val="000000" w:themeColor="text1"/>
          <w:sz w:val="18"/>
          <w:szCs w:val="18"/>
          <w:vertAlign w:val="subscript"/>
        </w:rPr>
        <w:t>2</w:t>
      </w:r>
      <w:r w:rsidRPr="00CA46DB">
        <w:rPr>
          <w:rFonts w:cstheme="minorHAnsi"/>
          <w:color w:val="000000" w:themeColor="text1"/>
          <w:sz w:val="18"/>
          <w:szCs w:val="18"/>
        </w:rPr>
        <w:t>O</w:t>
      </w:r>
      <w:r w:rsidRPr="00CA46DB">
        <w:rPr>
          <w:rFonts w:cstheme="minorHAnsi"/>
          <w:color w:val="000000" w:themeColor="text1"/>
          <w:sz w:val="18"/>
          <w:szCs w:val="18"/>
          <w:vertAlign w:val="subscript"/>
        </w:rPr>
        <w:t>3</w:t>
      </w:r>
      <w:r w:rsidRPr="00CA46DB">
        <w:rPr>
          <w:rFonts w:cstheme="minorHAnsi"/>
          <w:color w:val="000000" w:themeColor="text1"/>
          <w:sz w:val="18"/>
          <w:szCs w:val="18"/>
        </w:rPr>
        <w:t xml:space="preserve"> shell, as shown in Fig. 16(a) and (b).</w:t>
      </w:r>
      <w:r w:rsidRPr="00CA46DB">
        <w:rPr>
          <w:rFonts w:cstheme="minorHAnsi"/>
          <w:color w:val="000000" w:themeColor="text1"/>
          <w:sz w:val="18"/>
          <w:szCs w:val="18"/>
          <w:vertAlign w:val="superscript"/>
        </w:rPr>
        <w:t>109</w:t>
      </w:r>
      <w:r w:rsidRPr="00CA46DB">
        <w:rPr>
          <w:rFonts w:cstheme="minorHAnsi"/>
          <w:color w:val="000000" w:themeColor="text1"/>
          <w:sz w:val="18"/>
          <w:szCs w:val="18"/>
        </w:rPr>
        <w:t xml:space="preserve"> The introduction of the core-shell structures ha</w:t>
      </w:r>
      <w:r w:rsidRPr="00CA46DB">
        <w:rPr>
          <w:rFonts w:cstheme="minorHAnsi"/>
          <w:color w:val="000000" w:themeColor="text1"/>
          <w:sz w:val="18"/>
          <w:szCs w:val="18"/>
          <w:lang w:eastAsia="zh-Hans"/>
        </w:rPr>
        <w:t>d</w:t>
      </w:r>
      <w:r w:rsidRPr="00CA46DB">
        <w:rPr>
          <w:rFonts w:cstheme="minorHAnsi"/>
          <w:color w:val="000000" w:themeColor="text1"/>
          <w:sz w:val="18"/>
          <w:szCs w:val="18"/>
        </w:rPr>
        <w:t xml:space="preserve"> achieved both improved</w:t>
      </w:r>
      <w:r w:rsidRPr="00CA46DB">
        <w:rPr>
          <w:rFonts w:cstheme="minorHAnsi"/>
          <w:color w:val="000000" w:themeColor="text1"/>
          <w:sz w:val="18"/>
          <w:szCs w:val="18"/>
          <w:lang w:eastAsia="zh-Hans"/>
        </w:rPr>
        <w:t xml:space="preserv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xml:space="preserve"> and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along with greatly reduced energy loss, so that high</w:t>
      </w:r>
      <w:r w:rsidRPr="00CA46DB">
        <w:rPr>
          <w:rFonts w:eastAsia="SimSun" w:cstheme="minorHAnsi"/>
          <w:color w:val="000000" w:themeColor="text1"/>
          <w:sz w:val="18"/>
          <w:szCs w:val="18"/>
        </w:rPr>
        <w:t xml:space="preserve">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was obtained. For example, Fig. 16(c) showed that the</w:t>
      </w:r>
      <w:r w:rsidRPr="00CA46DB">
        <w:rPr>
          <w:rFonts w:eastAsia="SimSun" w:cstheme="minorHAnsi"/>
          <w:color w:val="000000" w:themeColor="text1"/>
          <w:sz w:val="18"/>
          <w:szCs w:val="18"/>
        </w:rPr>
        <w:t xml:space="preserve">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of the PEI/Al</w:t>
      </w:r>
      <w:r w:rsidRPr="00CA46DB">
        <w:rPr>
          <w:rFonts w:cstheme="minorHAnsi"/>
          <w:color w:val="000000" w:themeColor="text1"/>
          <w:sz w:val="18"/>
          <w:szCs w:val="18"/>
          <w:vertAlign w:val="subscript"/>
        </w:rPr>
        <w:t>2</w:t>
      </w:r>
      <w:r w:rsidRPr="00CA46DB">
        <w:rPr>
          <w:rFonts w:cstheme="minorHAnsi"/>
          <w:color w:val="000000" w:themeColor="text1"/>
          <w:sz w:val="18"/>
          <w:szCs w:val="18"/>
        </w:rPr>
        <w:t>O</w:t>
      </w:r>
      <w:r w:rsidRPr="00CA46DB">
        <w:rPr>
          <w:rFonts w:cstheme="minorHAnsi"/>
          <w:color w:val="000000" w:themeColor="text1"/>
          <w:sz w:val="18"/>
          <w:szCs w:val="18"/>
          <w:vertAlign w:val="subscript"/>
        </w:rPr>
        <w:t>3</w:t>
      </w:r>
      <w:r w:rsidRPr="00CA46DB">
        <w:rPr>
          <w:rFonts w:cstheme="minorHAnsi"/>
          <w:color w:val="000000" w:themeColor="text1"/>
          <w:sz w:val="18"/>
          <w:szCs w:val="18"/>
        </w:rPr>
        <w:t>@ZrO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nanocomposite was 3.11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and η was 92.6% at 150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and 400 MV·m</w:t>
      </w:r>
      <w:r w:rsidRPr="00CA46DB">
        <w:rPr>
          <w:rFonts w:cstheme="minorHAnsi"/>
          <w:color w:val="000000" w:themeColor="text1"/>
          <w:sz w:val="18"/>
          <w:szCs w:val="18"/>
          <w:vertAlign w:val="superscript"/>
        </w:rPr>
        <w:t>−1</w:t>
      </w:r>
      <w:r w:rsidRPr="00CA46DB">
        <w:rPr>
          <w:rFonts w:cstheme="minorHAnsi"/>
          <w:color w:val="000000" w:themeColor="text1"/>
          <w:sz w:val="18"/>
          <w:szCs w:val="18"/>
        </w:rPr>
        <w:t>. In Fig. 16(d), compared to pure PEI and PEI/ZrO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nanocomposites, the core-shell structured nanocomposites with wide band gap Al</w:t>
      </w:r>
      <w:r w:rsidRPr="00CA46DB">
        <w:rPr>
          <w:rFonts w:cstheme="minorHAnsi"/>
          <w:color w:val="000000" w:themeColor="text1"/>
          <w:sz w:val="18"/>
          <w:szCs w:val="18"/>
          <w:vertAlign w:val="subscript"/>
        </w:rPr>
        <w:t>2</w:t>
      </w:r>
      <w:r w:rsidRPr="00CA46DB">
        <w:rPr>
          <w:rFonts w:cstheme="minorHAnsi"/>
          <w:color w:val="000000" w:themeColor="text1"/>
          <w:sz w:val="18"/>
          <w:szCs w:val="18"/>
        </w:rPr>
        <w:t>O</w:t>
      </w:r>
      <w:r w:rsidRPr="00CA46DB">
        <w:rPr>
          <w:rFonts w:cstheme="minorHAnsi"/>
          <w:color w:val="000000" w:themeColor="text1"/>
          <w:sz w:val="18"/>
          <w:szCs w:val="18"/>
          <w:vertAlign w:val="subscript"/>
        </w:rPr>
        <w:t>3</w:t>
      </w:r>
      <w:r w:rsidRPr="00CA46DB">
        <w:rPr>
          <w:rFonts w:cstheme="minorHAnsi"/>
          <w:color w:val="000000" w:themeColor="text1"/>
          <w:sz w:val="18"/>
          <w:szCs w:val="18"/>
        </w:rPr>
        <w:t xml:space="preserve"> shell showed impressive improvements in dielectric and capacitance properties, including electrical resistivity,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w:t>
      </w:r>
      <w:r w:rsidRPr="00CA46DB">
        <w:rPr>
          <w:rFonts w:cstheme="minorHAnsi"/>
          <w:color w:val="000000" w:themeColor="text1"/>
          <w:sz w:val="18"/>
          <w:szCs w:val="18"/>
          <w:lang w:eastAsia="zh-Hans"/>
        </w:rPr>
        <w:t xml:space="preserv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w:t>
      </w:r>
      <w:r w:rsidRPr="00CA46DB">
        <w:rPr>
          <w:rFonts w:eastAsia="SimSun" w:cstheme="minorHAnsi"/>
          <w:color w:val="000000" w:themeColor="text1"/>
          <w:sz w:val="18"/>
          <w:szCs w:val="18"/>
        </w:rPr>
        <w:t xml:space="preserve">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and η. In terms of microscopic mechanism, Fig. 16(e) showed that the hopping distance decreases from 1.32 nm of pure PEI to 1.28 and 1.12 nm of the PEI/ZrO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and PEI/Al</w:t>
      </w:r>
      <w:r w:rsidRPr="00CA46DB">
        <w:rPr>
          <w:rFonts w:cstheme="minorHAnsi"/>
          <w:color w:val="000000" w:themeColor="text1"/>
          <w:sz w:val="18"/>
          <w:szCs w:val="18"/>
          <w:vertAlign w:val="subscript"/>
        </w:rPr>
        <w:t>2</w:t>
      </w:r>
      <w:r w:rsidRPr="00CA46DB">
        <w:rPr>
          <w:rFonts w:cstheme="minorHAnsi"/>
          <w:color w:val="000000" w:themeColor="text1"/>
          <w:sz w:val="18"/>
          <w:szCs w:val="18"/>
        </w:rPr>
        <w:t>O</w:t>
      </w:r>
      <w:r w:rsidRPr="00CA46DB">
        <w:rPr>
          <w:rFonts w:cstheme="minorHAnsi"/>
          <w:color w:val="000000" w:themeColor="text1"/>
          <w:sz w:val="18"/>
          <w:szCs w:val="18"/>
          <w:vertAlign w:val="subscript"/>
        </w:rPr>
        <w:t>3</w:t>
      </w:r>
      <w:r w:rsidRPr="00CA46DB">
        <w:rPr>
          <w:rFonts w:cstheme="minorHAnsi"/>
          <w:color w:val="000000" w:themeColor="text1"/>
          <w:sz w:val="18"/>
          <w:szCs w:val="18"/>
        </w:rPr>
        <w:t>@ZrO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nanocomposites. The reduction in the hopping distance indicate</w:t>
      </w:r>
      <w:r w:rsidRPr="00CA46DB">
        <w:rPr>
          <w:rFonts w:cstheme="minorHAnsi"/>
          <w:color w:val="000000" w:themeColor="text1"/>
          <w:sz w:val="18"/>
          <w:szCs w:val="18"/>
          <w:lang w:eastAsia="zh-Hans"/>
        </w:rPr>
        <w:t>d</w:t>
      </w:r>
      <w:r w:rsidRPr="00CA46DB">
        <w:rPr>
          <w:rFonts w:cstheme="minorHAnsi"/>
          <w:color w:val="000000" w:themeColor="text1"/>
          <w:sz w:val="18"/>
          <w:szCs w:val="18"/>
        </w:rPr>
        <w:t xml:space="preserve"> a higher level of trap density caused by the encapsulation of the Al</w:t>
      </w:r>
      <w:r w:rsidRPr="00CA46DB">
        <w:rPr>
          <w:rFonts w:cstheme="minorHAnsi"/>
          <w:color w:val="000000" w:themeColor="text1"/>
          <w:sz w:val="18"/>
          <w:szCs w:val="18"/>
          <w:vertAlign w:val="subscript"/>
        </w:rPr>
        <w:t>2</w:t>
      </w:r>
      <w:r w:rsidRPr="00CA46DB">
        <w:rPr>
          <w:rFonts w:cstheme="minorHAnsi"/>
          <w:color w:val="000000" w:themeColor="text1"/>
          <w:sz w:val="18"/>
          <w:szCs w:val="18"/>
        </w:rPr>
        <w:t>O</w:t>
      </w:r>
      <w:r w:rsidRPr="00CA46DB">
        <w:rPr>
          <w:rFonts w:cstheme="minorHAnsi"/>
          <w:color w:val="000000" w:themeColor="text1"/>
          <w:sz w:val="18"/>
          <w:szCs w:val="18"/>
          <w:vertAlign w:val="subscript"/>
        </w:rPr>
        <w:t>3</w:t>
      </w:r>
      <w:r w:rsidRPr="00CA46DB">
        <w:rPr>
          <w:rFonts w:cstheme="minorHAnsi"/>
          <w:color w:val="000000" w:themeColor="text1"/>
          <w:sz w:val="18"/>
          <w:szCs w:val="18"/>
        </w:rPr>
        <w:t xml:space="preserve"> shell. As shown in Fig. 16(f)−(h), the space charge behavior </w:t>
      </w:r>
      <w:r w:rsidRPr="00CA46DB">
        <w:rPr>
          <w:rFonts w:cstheme="minorHAnsi"/>
          <w:color w:val="000000" w:themeColor="text1"/>
          <w:sz w:val="18"/>
          <w:szCs w:val="18"/>
        </w:rPr>
        <w:br w:type="column"/>
      </w:r>
      <w:r w:rsidRPr="00CA46DB">
        <w:rPr>
          <w:rFonts w:cstheme="minorHAnsi"/>
          <w:color w:val="000000" w:themeColor="text1"/>
          <w:sz w:val="18"/>
          <w:szCs w:val="18"/>
        </w:rPr>
        <w:t>in pure PEI and nanocomposites was simulated. After an electric field of 50 MV·m</w:t>
      </w:r>
      <w:r w:rsidRPr="00CA46DB">
        <w:rPr>
          <w:rFonts w:cstheme="minorHAnsi"/>
          <w:color w:val="000000" w:themeColor="text1"/>
          <w:sz w:val="18"/>
          <w:szCs w:val="18"/>
          <w:vertAlign w:val="superscript"/>
        </w:rPr>
        <w:t>−1</w:t>
      </w:r>
      <w:r w:rsidRPr="00CA46DB">
        <w:rPr>
          <w:rFonts w:cstheme="minorHAnsi"/>
          <w:color w:val="000000" w:themeColor="text1"/>
          <w:sz w:val="18"/>
          <w:szCs w:val="18"/>
        </w:rPr>
        <w:t xml:space="preserve"> was applied, electrons and holes were gradually injected from the electrode, forming the homocharge accumulation near the electrodes. Compared with pure PEI, </w:t>
      </w:r>
      <w:r w:rsidRPr="00CA46DB">
        <w:rPr>
          <w:rFonts w:cstheme="minorHAnsi" w:hint="eastAsia"/>
          <w:color w:val="000000" w:themeColor="text1"/>
          <w:sz w:val="18"/>
          <w:szCs w:val="18"/>
          <w:lang w:eastAsia="zh-CN"/>
        </w:rPr>
        <w:t>the</w:t>
      </w:r>
      <w:r w:rsidRPr="00CA46DB">
        <w:rPr>
          <w:rFonts w:cstheme="minorHAnsi"/>
          <w:color w:val="000000" w:themeColor="text1"/>
          <w:sz w:val="18"/>
          <w:szCs w:val="18"/>
          <w:lang w:eastAsia="zh-CN"/>
        </w:rPr>
        <w:t xml:space="preserve"> </w:t>
      </w:r>
      <w:r w:rsidRPr="00CA46DB">
        <w:rPr>
          <w:rFonts w:cstheme="minorHAnsi"/>
          <w:color w:val="000000" w:themeColor="text1"/>
          <w:sz w:val="18"/>
          <w:szCs w:val="18"/>
        </w:rPr>
        <w:t>space charge injection was restrained after adding ZrO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nanoparticles, and further suppressed by using core-shell Al</w:t>
      </w:r>
      <w:r w:rsidRPr="00CA46DB">
        <w:rPr>
          <w:rFonts w:cstheme="minorHAnsi"/>
          <w:color w:val="000000" w:themeColor="text1"/>
          <w:sz w:val="18"/>
          <w:szCs w:val="18"/>
          <w:vertAlign w:val="subscript"/>
        </w:rPr>
        <w:t>2</w:t>
      </w:r>
      <w:r w:rsidRPr="00CA46DB">
        <w:rPr>
          <w:rFonts w:cstheme="minorHAnsi"/>
          <w:color w:val="000000" w:themeColor="text1"/>
          <w:sz w:val="18"/>
          <w:szCs w:val="18"/>
        </w:rPr>
        <w:t>O</w:t>
      </w:r>
      <w:r w:rsidRPr="00CA46DB">
        <w:rPr>
          <w:rFonts w:cstheme="minorHAnsi"/>
          <w:color w:val="000000" w:themeColor="text1"/>
          <w:sz w:val="18"/>
          <w:szCs w:val="18"/>
          <w:vertAlign w:val="subscript"/>
        </w:rPr>
        <w:t>3</w:t>
      </w:r>
      <w:r w:rsidRPr="00CA46DB">
        <w:rPr>
          <w:rFonts w:cstheme="minorHAnsi"/>
          <w:color w:val="000000" w:themeColor="text1"/>
          <w:sz w:val="18"/>
          <w:szCs w:val="18"/>
        </w:rPr>
        <w:t>@ZrO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nanoparticles.</w:t>
      </w:r>
    </w:p>
    <w:p w14:paraId="5F73A2BF" w14:textId="77777777" w:rsidR="00FC2A41" w:rsidRPr="00CA46DB" w:rsidRDefault="00166212">
      <w:pPr>
        <w:tabs>
          <w:tab w:val="left" w:pos="3462"/>
        </w:tabs>
        <w:spacing w:after="0" w:line="240" w:lineRule="exact"/>
        <w:ind w:firstLineChars="200" w:firstLine="360"/>
        <w:jc w:val="both"/>
        <w:rPr>
          <w:rFonts w:cstheme="minorHAnsi"/>
          <w:color w:val="000000" w:themeColor="text1"/>
          <w:sz w:val="18"/>
          <w:szCs w:val="18"/>
        </w:rPr>
      </w:pPr>
      <w:bookmarkStart w:id="16" w:name="OLE_LINK31"/>
      <w:bookmarkStart w:id="17" w:name="OLE_LINK32"/>
      <w:r w:rsidRPr="00CA46DB">
        <w:rPr>
          <w:rFonts w:cstheme="minorHAnsi"/>
          <w:color w:val="000000" w:themeColor="text1"/>
          <w:sz w:val="18"/>
          <w:szCs w:val="18"/>
        </w:rPr>
        <w:t>Conductive fillers often use shell structure</w:t>
      </w:r>
      <w:r w:rsidRPr="00CA46DB">
        <w:rPr>
          <w:color w:val="000000" w:themeColor="text1"/>
        </w:rPr>
        <w:t xml:space="preserve"> </w:t>
      </w:r>
      <w:r w:rsidRPr="00CA46DB">
        <w:rPr>
          <w:rFonts w:cstheme="minorHAnsi"/>
          <w:color w:val="000000" w:themeColor="text1"/>
          <w:sz w:val="18"/>
          <w:szCs w:val="18"/>
        </w:rPr>
        <w:t>strategies to buffer the huge difference in the dielectric permittivity of the polymer/filler two-phase interface, thereby suppressing leakage current and reducing tan</w:t>
      </w:r>
      <w:r w:rsidRPr="00CA46DB">
        <w:rPr>
          <w:rFonts w:cstheme="minorHAnsi"/>
          <w:i/>
          <w:iCs/>
          <w:color w:val="000000" w:themeColor="text1"/>
          <w:sz w:val="18"/>
          <w:szCs w:val="18"/>
        </w:rPr>
        <w:t>δ</w:t>
      </w:r>
      <w:r w:rsidRPr="00CA46DB">
        <w:rPr>
          <w:rFonts w:cstheme="minorHAnsi"/>
          <w:color w:val="000000" w:themeColor="text1"/>
          <w:sz w:val="18"/>
          <w:szCs w:val="18"/>
        </w:rPr>
        <w:t>. Liu et al. prepared BT@GO/PI composites by the incorporation of covalently bonded BT@GO hybrids.</w:t>
      </w:r>
      <w:r w:rsidRPr="00CA46DB">
        <w:rPr>
          <w:rFonts w:cstheme="minorHAnsi"/>
          <w:color w:val="000000" w:themeColor="text1"/>
          <w:sz w:val="18"/>
          <w:szCs w:val="18"/>
          <w:vertAlign w:val="superscript"/>
        </w:rPr>
        <w:t>110</w:t>
      </w:r>
      <w:r w:rsidRPr="00CA46DB">
        <w:rPr>
          <w:rFonts w:cstheme="minorHAnsi"/>
          <w:color w:val="000000" w:themeColor="text1"/>
          <w:sz w:val="18"/>
          <w:szCs w:val="18"/>
        </w:rPr>
        <w:t xml:space="preserve"> The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was as high as 285 (100 Hz), which was 80 times that of pure PI film, and the tan</w:t>
      </w:r>
      <w:r w:rsidRPr="00CA46DB">
        <w:rPr>
          <w:rFonts w:cstheme="minorHAnsi"/>
          <w:i/>
          <w:iCs/>
          <w:color w:val="000000" w:themeColor="text1"/>
          <w:sz w:val="18"/>
          <w:szCs w:val="18"/>
        </w:rPr>
        <w:t>δ</w:t>
      </w:r>
      <w:r w:rsidRPr="00CA46DB">
        <w:rPr>
          <w:rFonts w:cstheme="minorHAnsi"/>
          <w:color w:val="000000" w:themeColor="text1"/>
          <w:sz w:val="18"/>
          <w:szCs w:val="18"/>
        </w:rPr>
        <w:t xml:space="preserve"> was 0.25. Similarly, Liu et al. obtained a 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@GO/PI composite film, which achieve a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of 73 and low tan</w:t>
      </w:r>
      <w:r w:rsidRPr="00CA46DB">
        <w:rPr>
          <w:rFonts w:cstheme="minorHAnsi"/>
          <w:i/>
          <w:iCs/>
          <w:color w:val="000000" w:themeColor="text1"/>
          <w:sz w:val="18"/>
          <w:szCs w:val="18"/>
        </w:rPr>
        <w:t>δ</w:t>
      </w:r>
      <w:r w:rsidRPr="00CA46DB">
        <w:rPr>
          <w:rFonts w:cstheme="minorHAnsi"/>
          <w:color w:val="000000" w:themeColor="text1"/>
          <w:sz w:val="18"/>
          <w:szCs w:val="18"/>
        </w:rPr>
        <w:t xml:space="preserve"> of 0.38.</w:t>
      </w:r>
      <w:r w:rsidRPr="00CA46DB">
        <w:rPr>
          <w:rFonts w:cstheme="minorHAnsi"/>
          <w:color w:val="000000" w:themeColor="text1"/>
          <w:sz w:val="18"/>
          <w:szCs w:val="18"/>
          <w:vertAlign w:val="superscript"/>
        </w:rPr>
        <w:t>111</w:t>
      </w:r>
    </w:p>
    <w:bookmarkEnd w:id="16"/>
    <w:bookmarkEnd w:id="17"/>
    <w:p w14:paraId="72376A73" w14:textId="77777777" w:rsidR="00FC2A41" w:rsidRPr="00CA46DB" w:rsidRDefault="00166212">
      <w:pPr>
        <w:numPr>
          <w:ilvl w:val="255"/>
          <w:numId w:val="0"/>
        </w:numPr>
        <w:tabs>
          <w:tab w:val="left" w:pos="3462"/>
        </w:tabs>
        <w:spacing w:after="0" w:line="240" w:lineRule="exact"/>
        <w:ind w:firstLineChars="200" w:firstLine="360"/>
        <w:jc w:val="both"/>
        <w:rPr>
          <w:rFonts w:cstheme="minorHAnsi"/>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r w:rsidRPr="00CA46DB">
        <w:rPr>
          <w:rFonts w:cstheme="minorHAnsi"/>
          <w:color w:val="000000" w:themeColor="text1"/>
          <w:sz w:val="18"/>
          <w:szCs w:val="18"/>
        </w:rPr>
        <w:t>In addition to coating the ceramic dielectrics on the filler surface, conductive materials such as C and Ag were also considered as new surface coatings to modify the dielectric properties of nanocomposites. Yang et al. prepared a PI embedded with CCTO/Ag nanoparticles by functionalizing the surface of CCTO nanoparticles with an Ag coating.</w:t>
      </w:r>
      <w:r w:rsidRPr="00CA46DB">
        <w:rPr>
          <w:rFonts w:cstheme="minorHAnsi"/>
          <w:color w:val="000000" w:themeColor="text1"/>
          <w:sz w:val="18"/>
          <w:szCs w:val="18"/>
          <w:vertAlign w:val="superscript"/>
        </w:rPr>
        <w:t>112</w:t>
      </w:r>
      <w:r w:rsidRPr="00CA46DB">
        <w:rPr>
          <w:rFonts w:cstheme="minorHAnsi"/>
          <w:color w:val="000000" w:themeColor="text1"/>
          <w:sz w:val="18"/>
          <w:szCs w:val="18"/>
        </w:rPr>
        <w:t xml:space="preserve"> At the 3% CCTO@Ag loading, the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of the CCTO@Ag/PI nanocomposite was as high as 103 at 10</w:t>
      </w:r>
      <w:r w:rsidRPr="00CA46DB">
        <w:rPr>
          <w:rFonts w:cstheme="minorHAnsi"/>
          <w:color w:val="000000" w:themeColor="text1"/>
          <w:sz w:val="18"/>
          <w:szCs w:val="18"/>
          <w:vertAlign w:val="superscript"/>
        </w:rPr>
        <w:t>2</w:t>
      </w:r>
      <w:r w:rsidRPr="00CA46DB">
        <w:rPr>
          <w:rFonts w:cstheme="minorHAnsi"/>
          <w:color w:val="000000" w:themeColor="text1"/>
          <w:sz w:val="18"/>
          <w:szCs w:val="18"/>
        </w:rPr>
        <w:t xml:space="preserve"> Hz. This could be attributed to the increased conductivity of the silver layer between CCTO and PI, which enhanced the space charge </w:t>
      </w:r>
    </w:p>
    <w:p w14:paraId="52FBC1A6" w14:textId="77777777" w:rsidR="00FC2A41" w:rsidRPr="00CA46DB" w:rsidRDefault="00166212">
      <w:pPr>
        <w:numPr>
          <w:ilvl w:val="255"/>
          <w:numId w:val="0"/>
        </w:numPr>
        <w:tabs>
          <w:tab w:val="left" w:pos="3462"/>
        </w:tabs>
        <w:spacing w:after="0" w:line="240" w:lineRule="exact"/>
        <w:jc w:val="both"/>
        <w:rPr>
          <w:rFonts w:cstheme="minorHAnsi"/>
          <w:color w:val="000000" w:themeColor="text1"/>
          <w:sz w:val="18"/>
          <w:szCs w:val="18"/>
        </w:rPr>
      </w:pPr>
      <w:r w:rsidRPr="00CA46DB">
        <w:rPr>
          <w:rFonts w:ascii="Calibri" w:eastAsia="SimSun" w:hAnsi="Calibri" w:cs="Calibri"/>
          <w:noProof/>
          <w:color w:val="000000" w:themeColor="text1"/>
          <w:lang w:eastAsia="zh-CN"/>
        </w:rPr>
        <mc:AlternateContent>
          <mc:Choice Requires="wpg">
            <w:drawing>
              <wp:inline distT="0" distB="0" distL="0" distR="0" wp14:anchorId="723FE132" wp14:editId="17AF1D3F">
                <wp:extent cx="6480175" cy="10795"/>
                <wp:effectExtent l="0" t="0" r="0" b="0"/>
                <wp:docPr id="42" name="Group 4178"/>
                <wp:cNvGraphicFramePr/>
                <a:graphic xmlns:a="http://schemas.openxmlformats.org/drawingml/2006/main">
                  <a:graphicData uri="http://schemas.microsoft.com/office/word/2010/wordprocessingGroup">
                    <wpg:wgp>
                      <wpg:cNvGrpSpPr/>
                      <wpg:grpSpPr>
                        <a:xfrm>
                          <a:off x="0" y="0"/>
                          <a:ext cx="6480175" cy="10795"/>
                          <a:chOff x="0" y="0"/>
                          <a:chExt cx="6692405" cy="18974"/>
                        </a:xfrm>
                      </wpg:grpSpPr>
                      <wps:wsp>
                        <wps:cNvPr id="43" name="Shape 4839"/>
                        <wps:cNvSpPr/>
                        <wps:spPr>
                          <a:xfrm>
                            <a:off x="0" y="0"/>
                            <a:ext cx="6692405" cy="18974"/>
                          </a:xfrm>
                          <a:custGeom>
                            <a:avLst/>
                            <a:gdLst/>
                            <a:ahLst/>
                            <a:cxnLst/>
                            <a:rect l="0" t="0" r="0" b="0"/>
                            <a:pathLst>
                              <a:path w="6692405" h="18974">
                                <a:moveTo>
                                  <a:pt x="0" y="0"/>
                                </a:moveTo>
                                <a:lnTo>
                                  <a:pt x="6692405" y="0"/>
                                </a:lnTo>
                                <a:lnTo>
                                  <a:pt x="6692405" y="18974"/>
                                </a:lnTo>
                                <a:lnTo>
                                  <a:pt x="0" y="18974"/>
                                </a:lnTo>
                                <a:lnTo>
                                  <a:pt x="0" y="0"/>
                                </a:lnTo>
                              </a:path>
                            </a:pathLst>
                          </a:custGeom>
                          <a:solidFill>
                            <a:srgbClr val="DED9C9"/>
                          </a:solidFill>
                          <a:ln w="0" cap="flat">
                            <a:noFill/>
                            <a:miter lim="127000"/>
                          </a:ln>
                          <a:effectLst/>
                        </wps:spPr>
                        <wps:bodyPr/>
                      </wps:wsp>
                    </wpg:wgp>
                  </a:graphicData>
                </a:graphic>
              </wp:inline>
            </w:drawing>
          </mc:Choice>
          <mc:Fallback>
            <w:pict>
              <v:group w14:anchorId="2D87731F" id="Group 4178" o:spid="_x0000_s1026" style="width:510.25pt;height:.85pt;mso-position-horizontal-relative:char;mso-position-vertical-relative:line" coordsize="6692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">
                <v:shape id="Shape 4839" o:spid="_x0000_s1027" style="position:absolute;width:66924;height:189;visibility:visible;mso-wrap-style:square;v-text-anchor:top" coordsize="6692405,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" path="m,l6692405,r,18974l,18974,,e" fillcolor="#ded9c9" stroked="f" strokeweight="0">
                  <v:stroke miterlimit="83231f" joinstyle="miter"/>
                  <v:path arrowok="t" textboxrect="0,0,6692405,18974"/>
                </v:shape>
                <w10:anchorlock/>
              </v:group>
            </w:pict>
          </mc:Fallback>
        </mc:AlternateContent>
      </w:r>
    </w:p>
    <w:p w14:paraId="1F40F185" w14:textId="77777777" w:rsidR="00FC2A41" w:rsidRPr="00CA46DB" w:rsidRDefault="00FC2A41">
      <w:pPr>
        <w:numPr>
          <w:ilvl w:val="255"/>
          <w:numId w:val="0"/>
        </w:numPr>
        <w:tabs>
          <w:tab w:val="left" w:pos="3462"/>
        </w:tabs>
        <w:spacing w:after="0" w:line="240" w:lineRule="exact"/>
        <w:jc w:val="both"/>
        <w:rPr>
          <w:rFonts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197E4A98" w14:textId="77777777" w:rsidR="00FC2A41" w:rsidRPr="00CA46DB" w:rsidRDefault="00166212">
      <w:pPr>
        <w:numPr>
          <w:ilvl w:val="255"/>
          <w:numId w:val="0"/>
        </w:numPr>
        <w:tabs>
          <w:tab w:val="left" w:pos="3462"/>
        </w:tabs>
        <w:spacing w:after="0" w:line="240" w:lineRule="exact"/>
        <w:jc w:val="both"/>
        <w:rPr>
          <w:rFonts w:cstheme="minorHAnsi"/>
          <w:color w:val="000000" w:themeColor="text1"/>
          <w:sz w:val="24"/>
        </w:rPr>
      </w:pPr>
      <w:r w:rsidRPr="00CA46DB">
        <w:rPr>
          <w:rFonts w:cstheme="minorHAnsi"/>
          <w:color w:val="000000" w:themeColor="text1"/>
          <w:sz w:val="18"/>
          <w:szCs w:val="18"/>
        </w:rPr>
        <w:t>Fig. 16. (a)Schematic of the synthesis and (b) TEM of the Al</w:t>
      </w:r>
      <w:r w:rsidRPr="00CA46DB">
        <w:rPr>
          <w:rFonts w:cstheme="minorHAnsi"/>
          <w:color w:val="000000" w:themeColor="text1"/>
          <w:sz w:val="18"/>
          <w:szCs w:val="18"/>
          <w:vertAlign w:val="subscript"/>
        </w:rPr>
        <w:t>2</w:t>
      </w:r>
      <w:r w:rsidRPr="00CA46DB">
        <w:rPr>
          <w:rFonts w:cstheme="minorHAnsi"/>
          <w:color w:val="000000" w:themeColor="text1"/>
          <w:sz w:val="18"/>
          <w:szCs w:val="18"/>
        </w:rPr>
        <w:t>O</w:t>
      </w:r>
      <w:r w:rsidRPr="00CA46DB">
        <w:rPr>
          <w:rFonts w:cstheme="minorHAnsi"/>
          <w:color w:val="000000" w:themeColor="text1"/>
          <w:sz w:val="18"/>
          <w:szCs w:val="18"/>
          <w:vertAlign w:val="subscript"/>
        </w:rPr>
        <w:t>3</w:t>
      </w:r>
      <w:r w:rsidRPr="00CA46DB">
        <w:rPr>
          <w:rFonts w:cstheme="minorHAnsi"/>
          <w:color w:val="000000" w:themeColor="text1"/>
          <w:sz w:val="18"/>
          <w:szCs w:val="18"/>
        </w:rPr>
        <w:t>@ZrO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nanoparticles. (c) The</w:t>
      </w:r>
      <w:r w:rsidRPr="00CA46DB">
        <w:rPr>
          <w:rFonts w:eastAsia="SimSun" w:cstheme="minorHAnsi"/>
          <w:color w:val="000000" w:themeColor="text1"/>
          <w:sz w:val="18"/>
          <w:szCs w:val="18"/>
        </w:rPr>
        <w:t xml:space="preserve">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and η, (d) leakage current density and (e) comparison of the dielectric and capacitive parameters of pure PEI, PEI/ZrO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nanocomposites and PEI/Al</w:t>
      </w:r>
      <w:r w:rsidRPr="00CA46DB">
        <w:rPr>
          <w:rFonts w:cstheme="minorHAnsi"/>
          <w:color w:val="000000" w:themeColor="text1"/>
          <w:sz w:val="18"/>
          <w:szCs w:val="18"/>
          <w:vertAlign w:val="subscript"/>
        </w:rPr>
        <w:t>2</w:t>
      </w:r>
      <w:r w:rsidRPr="00CA46DB">
        <w:rPr>
          <w:rFonts w:cstheme="minorHAnsi"/>
          <w:color w:val="000000" w:themeColor="text1"/>
          <w:sz w:val="18"/>
          <w:szCs w:val="18"/>
        </w:rPr>
        <w:t>O</w:t>
      </w:r>
      <w:r w:rsidRPr="00CA46DB">
        <w:rPr>
          <w:rFonts w:cstheme="minorHAnsi"/>
          <w:color w:val="000000" w:themeColor="text1"/>
          <w:sz w:val="18"/>
          <w:szCs w:val="18"/>
          <w:vertAlign w:val="subscript"/>
        </w:rPr>
        <w:t>3</w:t>
      </w:r>
      <w:r w:rsidRPr="00CA46DB">
        <w:rPr>
          <w:rFonts w:cstheme="minorHAnsi"/>
          <w:color w:val="000000" w:themeColor="text1"/>
          <w:sz w:val="18"/>
          <w:szCs w:val="18"/>
        </w:rPr>
        <w:t>@ZrO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nanocomposites at 150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Simulation results of space charge distribution of (f) pure PEI, (g) PEI/ZrO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nanocomposites and (h) PEI/Al</w:t>
      </w:r>
      <w:r w:rsidRPr="00CA46DB">
        <w:rPr>
          <w:rFonts w:cstheme="minorHAnsi"/>
          <w:color w:val="000000" w:themeColor="text1"/>
          <w:sz w:val="18"/>
          <w:szCs w:val="18"/>
          <w:vertAlign w:val="subscript"/>
        </w:rPr>
        <w:t>2</w:t>
      </w:r>
      <w:r w:rsidRPr="00CA46DB">
        <w:rPr>
          <w:rFonts w:cstheme="minorHAnsi"/>
          <w:color w:val="000000" w:themeColor="text1"/>
          <w:sz w:val="18"/>
          <w:szCs w:val="18"/>
        </w:rPr>
        <w:t>O</w:t>
      </w:r>
      <w:r w:rsidRPr="00CA46DB">
        <w:rPr>
          <w:rFonts w:cstheme="minorHAnsi"/>
          <w:color w:val="000000" w:themeColor="text1"/>
          <w:sz w:val="18"/>
          <w:szCs w:val="18"/>
          <w:vertAlign w:val="subscript"/>
        </w:rPr>
        <w:t>3</w:t>
      </w:r>
      <w:r w:rsidRPr="00CA46DB">
        <w:rPr>
          <w:rFonts w:cstheme="minorHAnsi"/>
          <w:color w:val="000000" w:themeColor="text1"/>
          <w:sz w:val="18"/>
          <w:szCs w:val="18"/>
        </w:rPr>
        <w:t>@ZrO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nanocomposites with a decay time of 7200 s under 50 MV·m</w:t>
      </w:r>
      <w:r w:rsidRPr="00CA46DB">
        <w:rPr>
          <w:rFonts w:cstheme="minorHAnsi"/>
          <w:color w:val="000000" w:themeColor="text1"/>
          <w:sz w:val="18"/>
          <w:szCs w:val="18"/>
          <w:vertAlign w:val="superscript"/>
        </w:rPr>
        <w:t>−1</w:t>
      </w:r>
      <w:r w:rsidRPr="00CA46DB">
        <w:rPr>
          <w:rFonts w:cstheme="minorHAnsi"/>
          <w:color w:val="000000" w:themeColor="text1"/>
          <w:sz w:val="18"/>
          <w:szCs w:val="18"/>
        </w:rPr>
        <w:t>.</w:t>
      </w:r>
      <w:r w:rsidRPr="00CA46DB">
        <w:rPr>
          <w:rFonts w:cstheme="minorHAnsi"/>
          <w:color w:val="000000" w:themeColor="text1"/>
          <w:sz w:val="18"/>
          <w:szCs w:val="18"/>
          <w:vertAlign w:val="superscript"/>
        </w:rPr>
        <w:t>109</w:t>
      </w:r>
    </w:p>
    <w:p w14:paraId="1D006371" w14:textId="77777777" w:rsidR="00FC2A41" w:rsidRPr="00CA46DB" w:rsidRDefault="00FC2A41">
      <w:pPr>
        <w:tabs>
          <w:tab w:val="left" w:pos="3462"/>
        </w:tabs>
        <w:spacing w:after="0" w:line="240" w:lineRule="exact"/>
        <w:ind w:firstLineChars="200" w:firstLine="360"/>
        <w:jc w:val="both"/>
        <w:rPr>
          <w:rFonts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32F39EB3" w14:textId="77777777" w:rsidR="00FC2A41" w:rsidRPr="00CA46DB" w:rsidRDefault="00166212">
      <w:pPr>
        <w:tabs>
          <w:tab w:val="left" w:pos="3462"/>
        </w:tabs>
        <w:spacing w:after="0" w:line="240" w:lineRule="exact"/>
        <w:jc w:val="both"/>
        <w:rPr>
          <w:rFonts w:cstheme="minorHAnsi"/>
          <w:color w:val="000000" w:themeColor="text1"/>
          <w:sz w:val="18"/>
          <w:szCs w:val="18"/>
        </w:rPr>
      </w:pPr>
      <w:r w:rsidRPr="00CA46DB">
        <w:rPr>
          <w:rFonts w:cstheme="minorHAnsi"/>
          <w:color w:val="000000" w:themeColor="text1"/>
          <w:sz w:val="18"/>
          <w:szCs w:val="18"/>
        </w:rPr>
        <w:lastRenderedPageBreak/>
        <w:t xml:space="preserve">polarization and the Maxwell-Wagner-Sillars effect.  </w:t>
      </w:r>
      <w:r w:rsidRPr="00CA46DB">
        <w:rPr>
          <w:rFonts w:cstheme="minorHAnsi" w:hint="eastAsia"/>
          <w:color w:val="000000" w:themeColor="text1"/>
          <w:sz w:val="18"/>
          <w:szCs w:val="18"/>
          <w:lang w:eastAsia="zh-CN"/>
        </w:rPr>
        <w:t>T</w:t>
      </w:r>
      <w:r w:rsidRPr="00CA46DB">
        <w:rPr>
          <w:rFonts w:cstheme="minorHAnsi"/>
          <w:color w:val="000000" w:themeColor="text1"/>
          <w:sz w:val="18"/>
          <w:szCs w:val="18"/>
        </w:rPr>
        <w:t xml:space="preserve">he electric field distortion in the CCTO/PI and CCTO@Ag/PI nanocomposites </w:t>
      </w:r>
      <w:r w:rsidRPr="00CA46DB">
        <w:rPr>
          <w:rFonts w:cstheme="minorHAnsi" w:hint="eastAsia"/>
          <w:color w:val="000000" w:themeColor="text1"/>
          <w:sz w:val="18"/>
          <w:szCs w:val="18"/>
          <w:lang w:eastAsia="zh-CN"/>
        </w:rPr>
        <w:t>was</w:t>
      </w:r>
      <w:r w:rsidRPr="00CA46DB">
        <w:rPr>
          <w:rFonts w:cstheme="minorHAnsi"/>
          <w:color w:val="000000" w:themeColor="text1"/>
          <w:sz w:val="18"/>
          <w:szCs w:val="18"/>
        </w:rPr>
        <w:t xml:space="preserve"> numerically simulated (COMSOL Multiphysics®). </w:t>
      </w:r>
      <w:r w:rsidRPr="00CA46DB">
        <w:rPr>
          <w:rFonts w:cstheme="minorHAnsi" w:hint="eastAsia"/>
          <w:color w:val="000000" w:themeColor="text1"/>
          <w:sz w:val="18"/>
          <w:szCs w:val="18"/>
          <w:lang w:eastAsia="zh-CN"/>
        </w:rPr>
        <w:t>Th</w:t>
      </w:r>
      <w:r w:rsidRPr="00CA46DB">
        <w:rPr>
          <w:rFonts w:cstheme="minorHAnsi"/>
          <w:color w:val="000000" w:themeColor="text1"/>
          <w:sz w:val="18"/>
          <w:szCs w:val="18"/>
        </w:rPr>
        <w:t xml:space="preserve">e introduction of CCTO nanoparticles resulted in high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and high </w:t>
      </w:r>
      <w:r w:rsidRPr="00CA46DB">
        <w:rPr>
          <w:rFonts w:eastAsia="楷体-简" w:cstheme="minorHAnsi"/>
          <w:color w:val="000000" w:themeColor="text1"/>
          <w:sz w:val="18"/>
          <w:szCs w:val="18"/>
        </w:rPr>
        <w:t>tan</w:t>
      </w:r>
      <w:r w:rsidRPr="00CA46DB">
        <w:rPr>
          <w:rFonts w:eastAsia="楷体-简" w:cstheme="minorHAnsi"/>
          <w:i/>
          <w:iCs/>
          <w:color w:val="000000" w:themeColor="text1"/>
          <w:sz w:val="18"/>
          <w:szCs w:val="18"/>
        </w:rPr>
        <w:t>δ</w:t>
      </w:r>
      <w:r w:rsidRPr="00CA46DB">
        <w:rPr>
          <w:rFonts w:cstheme="minorHAnsi"/>
          <w:color w:val="000000" w:themeColor="text1"/>
          <w:sz w:val="18"/>
          <w:szCs w:val="18"/>
        </w:rPr>
        <w:t xml:space="preserve"> due to the pores and electric field distortion. Although Ag particles on the surface of the CCTO were conductors, the low </w:t>
      </w:r>
      <w:r w:rsidRPr="00CA46DB">
        <w:rPr>
          <w:rFonts w:eastAsia="楷体-简" w:cstheme="minorHAnsi"/>
          <w:color w:val="000000" w:themeColor="text1"/>
          <w:sz w:val="18"/>
          <w:szCs w:val="18"/>
        </w:rPr>
        <w:t>tan</w:t>
      </w:r>
      <w:r w:rsidRPr="00CA46DB">
        <w:rPr>
          <w:rFonts w:eastAsia="楷体-简" w:cstheme="minorHAnsi"/>
          <w:i/>
          <w:iCs/>
          <w:color w:val="000000" w:themeColor="text1"/>
          <w:sz w:val="18"/>
          <w:szCs w:val="18"/>
        </w:rPr>
        <w:t>δ</w:t>
      </w:r>
      <w:r w:rsidRPr="00CA46DB">
        <w:rPr>
          <w:rFonts w:cstheme="minorHAnsi"/>
          <w:color w:val="000000" w:themeColor="text1"/>
          <w:sz w:val="18"/>
          <w:szCs w:val="18"/>
        </w:rPr>
        <w:t xml:space="preserve"> (0.018 at 10</w:t>
      </w:r>
      <w:r w:rsidRPr="00CA46DB">
        <w:rPr>
          <w:rFonts w:cstheme="minorHAnsi"/>
          <w:color w:val="000000" w:themeColor="text1"/>
          <w:sz w:val="18"/>
          <w:szCs w:val="18"/>
          <w:vertAlign w:val="superscript"/>
        </w:rPr>
        <w:t>2</w:t>
      </w:r>
      <w:r w:rsidRPr="00CA46DB">
        <w:rPr>
          <w:rFonts w:cstheme="minorHAnsi"/>
          <w:color w:val="000000" w:themeColor="text1"/>
          <w:sz w:val="18"/>
          <w:szCs w:val="18"/>
        </w:rPr>
        <w:t xml:space="preserve"> Hz) for CCTO@Ag/PI was due to the improved electrical distortion and blocked charge transfer by the insulating PI chains. Wang et al. prepared functionalized core-shell structure AgNW/PI hybrid films.</w:t>
      </w:r>
      <w:r w:rsidRPr="00CA46DB">
        <w:rPr>
          <w:rFonts w:cstheme="minorHAnsi"/>
          <w:color w:val="000000" w:themeColor="text1"/>
          <w:sz w:val="18"/>
          <w:szCs w:val="18"/>
          <w:vertAlign w:val="superscript"/>
        </w:rPr>
        <w:t>91</w:t>
      </w:r>
      <w:r w:rsidRPr="00CA46DB">
        <w:rPr>
          <w:rFonts w:cstheme="minorHAnsi"/>
          <w:color w:val="000000" w:themeColor="text1"/>
          <w:sz w:val="18"/>
          <w:szCs w:val="18"/>
        </w:rPr>
        <w:t xml:space="preserve"> The hybrid films exhibited good thermal stability (</w:t>
      </w:r>
      <w:r w:rsidRPr="00CA46DB">
        <w:rPr>
          <w:rFonts w:cstheme="minorHAnsi"/>
          <w:i/>
          <w:iCs/>
          <w:color w:val="000000" w:themeColor="text1"/>
          <w:sz w:val="18"/>
          <w:szCs w:val="18"/>
        </w:rPr>
        <w:t>T</w:t>
      </w:r>
      <w:r w:rsidRPr="00CA46DB">
        <w:rPr>
          <w:rFonts w:cstheme="minorHAnsi"/>
          <w:i/>
          <w:iCs/>
          <w:color w:val="000000" w:themeColor="text1"/>
          <w:sz w:val="18"/>
          <w:szCs w:val="18"/>
          <w:vertAlign w:val="subscript"/>
        </w:rPr>
        <w:t>d5%</w:t>
      </w:r>
      <w:r w:rsidRPr="00CA46DB">
        <w:rPr>
          <w:rFonts w:cstheme="minorHAnsi"/>
          <w:color w:val="000000" w:themeColor="text1"/>
          <w:sz w:val="18"/>
          <w:szCs w:val="18"/>
        </w:rPr>
        <w:t xml:space="preserve"> &gt; 500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The maximum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was 126 at 10</w:t>
      </w:r>
      <w:r w:rsidRPr="00CA46DB">
        <w:rPr>
          <w:rFonts w:cstheme="minorHAnsi"/>
          <w:color w:val="000000" w:themeColor="text1"/>
          <w:sz w:val="18"/>
          <w:szCs w:val="18"/>
          <w:vertAlign w:val="superscript"/>
        </w:rPr>
        <w:t xml:space="preserve">2 </w:t>
      </w:r>
      <w:r w:rsidRPr="00CA46DB">
        <w:rPr>
          <w:rFonts w:cstheme="minorHAnsi"/>
          <w:color w:val="000000" w:themeColor="text1"/>
          <w:sz w:val="18"/>
          <w:szCs w:val="18"/>
        </w:rPr>
        <w:t xml:space="preserve">Hz, while maintained a relatively low dielectric loss. </w:t>
      </w:r>
    </w:p>
    <w:p w14:paraId="471BF8CB" w14:textId="77777777" w:rsidR="00FC2A41" w:rsidRPr="00CA46DB" w:rsidRDefault="00166212">
      <w:pPr>
        <w:tabs>
          <w:tab w:val="left" w:pos="3462"/>
        </w:tabs>
        <w:spacing w:before="80" w:after="80" w:line="240" w:lineRule="exact"/>
        <w:rPr>
          <w:rFonts w:cstheme="minorHAnsi"/>
          <w:color w:val="000000" w:themeColor="text1"/>
          <w:sz w:val="18"/>
          <w:szCs w:val="18"/>
        </w:rPr>
      </w:pPr>
      <w:r w:rsidRPr="00CA46DB">
        <w:rPr>
          <w:rFonts w:cstheme="minorHAnsi"/>
          <w:b/>
          <w:bCs/>
          <w:color w:val="000000" w:themeColor="text1"/>
          <w:sz w:val="18"/>
          <w:szCs w:val="18"/>
        </w:rPr>
        <w:t>4.2. Effect of multi-layer structures on PI nanocomposites</w:t>
      </w:r>
    </w:p>
    <w:p w14:paraId="17244D54" w14:textId="77777777" w:rsidR="00FC2A41" w:rsidRPr="00CA46DB" w:rsidRDefault="00166212">
      <w:pPr>
        <w:spacing w:after="0" w:line="240" w:lineRule="exact"/>
        <w:jc w:val="both"/>
        <w:rPr>
          <w:rFonts w:cstheme="minorHAnsi"/>
          <w:color w:val="000000" w:themeColor="text1"/>
          <w:sz w:val="18"/>
          <w:szCs w:val="18"/>
        </w:rPr>
      </w:pPr>
      <w:r w:rsidRPr="00CA46DB">
        <w:rPr>
          <w:rFonts w:cstheme="minorHAnsi"/>
          <w:color w:val="000000" w:themeColor="text1"/>
          <w:sz w:val="18"/>
          <w:szCs w:val="18"/>
        </w:rPr>
        <w:t>It is generally believed that the introduction of high-</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nanofillers significantly reduces the breakdown strength due to local electric field concentration, which limits the increase in energy density to a large extent. Therefore, the </w:t>
      </w:r>
      <w:r w:rsidRPr="00CA46DB">
        <w:rPr>
          <w:rFonts w:cstheme="minorHAnsi" w:hint="eastAsia"/>
          <w:color w:val="000000" w:themeColor="text1"/>
          <w:sz w:val="18"/>
          <w:szCs w:val="18"/>
          <w:lang w:eastAsia="zh-CN"/>
        </w:rPr>
        <w:t>s</w:t>
      </w:r>
      <w:r w:rsidRPr="00CA46DB">
        <w:rPr>
          <w:rFonts w:cstheme="minorHAnsi"/>
          <w:color w:val="000000" w:themeColor="text1"/>
          <w:sz w:val="18"/>
          <w:szCs w:val="18"/>
        </w:rPr>
        <w:t>imple surface modification and core-shell structure design techniques discussed in Section 4.1.3 and Section 4.1.4 are explored from the perspective of fillers. Recently, dielectric polymer nanocomposites with multilayer structures have emerged to solve the paradox between high-</w:t>
      </w:r>
      <w:r w:rsidRPr="00CA46DB">
        <w:rPr>
          <w:rFonts w:cstheme="minorHAnsi"/>
          <w:i/>
          <w:color w:val="000000" w:themeColor="text1"/>
          <w:sz w:val="18"/>
          <w:szCs w:val="18"/>
        </w:rPr>
        <w:t>ε</w:t>
      </w:r>
      <w:r w:rsidRPr="00CA46DB">
        <w:rPr>
          <w:rFonts w:eastAsia="SimSun" w:cstheme="minorHAnsi"/>
          <w:color w:val="000000" w:themeColor="text1"/>
          <w:sz w:val="18"/>
          <w:szCs w:val="18"/>
          <w:vertAlign w:val="subscript"/>
        </w:rPr>
        <w:t>r</w:t>
      </w:r>
      <w:r w:rsidRPr="00CA46DB">
        <w:rPr>
          <w:rFonts w:cstheme="minorHAnsi"/>
          <w:color w:val="000000" w:themeColor="text1"/>
          <w:sz w:val="18"/>
          <w:szCs w:val="18"/>
        </w:rPr>
        <w:t xml:space="preserve"> and high-</w:t>
      </w:r>
      <w:r w:rsidRPr="00CA46DB">
        <w:rPr>
          <w:rFonts w:cstheme="minorHAnsi"/>
          <w:i/>
          <w:color w:val="000000" w:themeColor="text1"/>
          <w:sz w:val="18"/>
          <w:szCs w:val="18"/>
        </w:rPr>
        <w:t>E</w:t>
      </w:r>
      <w:r w:rsidRPr="00CA46DB">
        <w:rPr>
          <w:rFonts w:cstheme="minorHAnsi"/>
          <w:color w:val="000000" w:themeColor="text1"/>
          <w:sz w:val="18"/>
          <w:szCs w:val="18"/>
          <w:vertAlign w:val="subscript"/>
        </w:rPr>
        <w:t>b</w:t>
      </w:r>
      <w:r w:rsidRPr="00CA46DB">
        <w:rPr>
          <w:rFonts w:cstheme="minorHAnsi"/>
          <w:color w:val="000000" w:themeColor="text1"/>
          <w:sz w:val="18"/>
          <w:szCs w:val="18"/>
        </w:rPr>
        <w:t xml:space="preserve"> in single-layer composite films. By systematically changing the interface, chemical structure and ratio of the constituent layers, the electric field distribution can be adjusted to greatly improve the energy density.</w:t>
      </w:r>
      <w:r w:rsidRPr="00CA46DB">
        <w:rPr>
          <w:rFonts w:cstheme="minorHAnsi"/>
          <w:color w:val="000000" w:themeColor="text1"/>
          <w:sz w:val="18"/>
          <w:szCs w:val="18"/>
          <w:vertAlign w:val="superscript"/>
        </w:rPr>
        <w:t>40</w:t>
      </w:r>
      <w:r w:rsidRPr="00CA46DB">
        <w:rPr>
          <w:rFonts w:cstheme="minorHAnsi"/>
          <w:color w:val="000000" w:themeColor="text1"/>
          <w:sz w:val="18"/>
          <w:szCs w:val="18"/>
        </w:rPr>
        <w:t xml:space="preserve"> Table 3 summarizes the properties of multilayered PI nanocomposite films. Xie et al. used PI as the bottom insulating layer to provide high</w:t>
      </w:r>
      <w:r w:rsidRPr="00CA46DB">
        <w:rPr>
          <w:rFonts w:cstheme="minorHAnsi"/>
          <w:color w:val="000000" w:themeColor="text1"/>
          <w:sz w:val="18"/>
          <w:szCs w:val="18"/>
          <w:lang w:eastAsia="zh-Hans"/>
        </w:rPr>
        <w:t xml:space="preserv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xml:space="preserve">, and the P(VDF-CTFE)/BT nanocomposite as the top layer to ensure high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w:t>
      </w:r>
      <w:r w:rsidRPr="00CA46DB">
        <w:rPr>
          <w:rFonts w:cstheme="minorHAnsi"/>
          <w:color w:val="000000" w:themeColor="text1"/>
          <w:sz w:val="18"/>
          <w:szCs w:val="18"/>
          <w:vertAlign w:val="superscript"/>
        </w:rPr>
        <w:t>113</w:t>
      </w:r>
      <w:r w:rsidRPr="00CA46DB">
        <w:rPr>
          <w:rFonts w:cstheme="minorHAnsi"/>
          <w:color w:val="000000" w:themeColor="text1"/>
          <w:sz w:val="18"/>
          <w:szCs w:val="18"/>
        </w:rPr>
        <w:t xml:space="preserve"> Th</w:t>
      </w:r>
      <w:r w:rsidRPr="00CA46DB">
        <w:rPr>
          <w:rFonts w:cstheme="minorHAnsi" w:hint="eastAsia"/>
          <w:color w:val="000000" w:themeColor="text1"/>
          <w:sz w:val="18"/>
          <w:szCs w:val="18"/>
          <w:lang w:eastAsia="zh-CN"/>
        </w:rPr>
        <w:t>e</w:t>
      </w:r>
      <w:r w:rsidRPr="00CA46DB">
        <w:rPr>
          <w:rFonts w:cstheme="minorHAnsi"/>
          <w:color w:val="000000" w:themeColor="text1"/>
          <w:sz w:val="18"/>
          <w:szCs w:val="18"/>
        </w:rPr>
        <w:t xml:space="preserve"> linear/ferroelectric bilayer dielectric material exhibited enhanced</w:t>
      </w:r>
      <w:r w:rsidRPr="00CA46DB">
        <w:rPr>
          <w:rFonts w:cstheme="minorHAnsi"/>
          <w:color w:val="000000" w:themeColor="text1"/>
          <w:sz w:val="18"/>
          <w:szCs w:val="18"/>
          <w:lang w:eastAsia="zh-Hans"/>
        </w:rPr>
        <w:t xml:space="preserv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xml:space="preserve"> and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which </w:t>
      </w:r>
      <w:r w:rsidRPr="00CA46DB">
        <w:rPr>
          <w:rFonts w:cstheme="minorHAnsi"/>
          <w:color w:val="000000" w:themeColor="text1"/>
          <w:sz w:val="18"/>
          <w:szCs w:val="18"/>
          <w:lang w:eastAsia="zh-Hans"/>
        </w:rPr>
        <w:t>was</w:t>
      </w:r>
      <w:r w:rsidRPr="00CA46DB">
        <w:rPr>
          <w:rFonts w:cstheme="minorHAnsi"/>
          <w:color w:val="000000" w:themeColor="text1"/>
          <w:sz w:val="18"/>
          <w:szCs w:val="18"/>
        </w:rPr>
        <w:t xml:space="preserve"> attributed to the interface barrier and interface polarization effects between the two layers. Th</w:t>
      </w:r>
      <w:r w:rsidRPr="00CA46DB">
        <w:rPr>
          <w:rFonts w:cstheme="minorHAnsi" w:hint="eastAsia"/>
          <w:color w:val="000000" w:themeColor="text1"/>
          <w:sz w:val="18"/>
          <w:szCs w:val="18"/>
          <w:lang w:eastAsia="zh-CN"/>
        </w:rPr>
        <w:t>e</w:t>
      </w:r>
      <w:r w:rsidRPr="00CA46DB">
        <w:rPr>
          <w:rFonts w:cstheme="minorHAnsi"/>
          <w:color w:val="000000" w:themeColor="text1"/>
          <w:sz w:val="18"/>
          <w:szCs w:val="18"/>
        </w:rPr>
        <w:t xml:space="preserve"> bilayer structure revealed the influence of the synergistic double interface effects on the energy storage performances of nanocomposites, and achieved an ultra-high</w:t>
      </w:r>
      <w:r w:rsidRPr="00CA46DB">
        <w:rPr>
          <w:rFonts w:eastAsia="SimSun" w:cstheme="minorHAnsi"/>
          <w:color w:val="000000" w:themeColor="text1"/>
          <w:sz w:val="18"/>
          <w:szCs w:val="18"/>
        </w:rPr>
        <w:t xml:space="preserve">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of 14.2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w:t>
      </w:r>
    </w:p>
    <w:p w14:paraId="66B7513A" w14:textId="77777777" w:rsidR="00FC2A41" w:rsidRPr="00CA46DB" w:rsidRDefault="00166212">
      <w:pPr>
        <w:spacing w:after="0" w:line="240" w:lineRule="exact"/>
        <w:ind w:firstLineChars="200" w:firstLine="360"/>
        <w:jc w:val="both"/>
        <w:rPr>
          <w:rFonts w:cstheme="minorHAnsi"/>
          <w:color w:val="000000" w:themeColor="text1"/>
          <w:sz w:val="18"/>
          <w:szCs w:val="18"/>
        </w:rPr>
      </w:pPr>
      <w:r w:rsidRPr="00CA46DB">
        <w:rPr>
          <w:rFonts w:cstheme="minorHAnsi"/>
          <w:color w:val="000000" w:themeColor="text1"/>
          <w:sz w:val="18"/>
          <w:szCs w:val="18"/>
        </w:rPr>
        <w:t xml:space="preserve">The structural characteristics of the sandwich structure nanocomposites bring additional opportunities to adjust </w:t>
      </w:r>
      <w:r w:rsidRPr="00CA46DB">
        <w:rPr>
          <w:rFonts w:cstheme="minorHAnsi" w:hint="eastAsia"/>
          <w:color w:val="000000" w:themeColor="text1"/>
          <w:sz w:val="18"/>
          <w:szCs w:val="18"/>
          <w:lang w:eastAsia="zh-CN"/>
        </w:rPr>
        <w:t>the</w:t>
      </w:r>
      <w:r w:rsidRPr="00CA46DB">
        <w:rPr>
          <w:rFonts w:cstheme="minorHAnsi"/>
          <w:color w:val="000000" w:themeColor="text1"/>
          <w:sz w:val="18"/>
          <w:szCs w:val="18"/>
        </w:rPr>
        <w:t xml:space="preserve"> energy storage performance. Positive sandwich structure nanocomposites have been constructed. Cai et al. used the BNNS/PI nanocomposites as the outer layers and ZnO/PI nanocomposite as the middle layer to prepare positive sandwich structure nanocomposites (ZnO/PI-S).</w:t>
      </w:r>
      <w:r w:rsidRPr="00CA46DB">
        <w:rPr>
          <w:rFonts w:cstheme="minorHAnsi"/>
          <w:color w:val="000000" w:themeColor="text1"/>
          <w:sz w:val="18"/>
          <w:szCs w:val="18"/>
          <w:vertAlign w:val="superscript"/>
        </w:rPr>
        <w:t>114</w:t>
      </w:r>
      <w:r w:rsidRPr="00CA46DB">
        <w:rPr>
          <w:rFonts w:cstheme="minorHAnsi"/>
          <w:color w:val="000000" w:themeColor="text1"/>
          <w:sz w:val="18"/>
          <w:szCs w:val="18"/>
        </w:rPr>
        <w:t xml:space="preserve"> The outer layers serve</w:t>
      </w:r>
      <w:r w:rsidRPr="00CA46DB">
        <w:rPr>
          <w:rFonts w:cstheme="minorHAnsi"/>
          <w:color w:val="000000" w:themeColor="text1"/>
          <w:sz w:val="18"/>
          <w:szCs w:val="18"/>
          <w:lang w:eastAsia="zh-Hans"/>
        </w:rPr>
        <w:t>d</w:t>
      </w:r>
      <w:r w:rsidRPr="00CA46DB">
        <w:rPr>
          <w:rFonts w:cstheme="minorHAnsi"/>
          <w:color w:val="000000" w:themeColor="text1"/>
          <w:sz w:val="18"/>
          <w:szCs w:val="18"/>
        </w:rPr>
        <w:t xml:space="preserve"> as an effective barrier to leakage current, thereby simultaneously improving the</w:t>
      </w:r>
      <w:r w:rsidRPr="00CA46DB">
        <w:rPr>
          <w:rFonts w:cstheme="minorHAnsi"/>
          <w:color w:val="000000" w:themeColor="text1"/>
          <w:sz w:val="18"/>
          <w:szCs w:val="18"/>
          <w:lang w:eastAsia="zh-Hans"/>
        </w:rPr>
        <w:t xml:space="preserv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xml:space="preserve"> and η, while the ZnO/PI middle layer </w:t>
      </w:r>
      <w:r w:rsidRPr="00CA46DB">
        <w:rPr>
          <w:rFonts w:cstheme="minorHAnsi"/>
          <w:color w:val="000000" w:themeColor="text1"/>
          <w:sz w:val="18"/>
          <w:szCs w:val="18"/>
          <w:lang w:eastAsia="zh-Hans"/>
        </w:rPr>
        <w:t>was</w:t>
      </w:r>
      <w:r w:rsidRPr="00CA46DB">
        <w:rPr>
          <w:rFonts w:cstheme="minorHAnsi"/>
          <w:color w:val="000000" w:themeColor="text1"/>
          <w:sz w:val="18"/>
          <w:szCs w:val="18"/>
        </w:rPr>
        <w:t xml:space="preserve"> used to increase the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Due to the advantages of filler selection and structural design, the</w:t>
      </w:r>
      <w:r w:rsidRPr="00CA46DB">
        <w:rPr>
          <w:rFonts w:eastAsia="SimSun" w:cstheme="minorHAnsi"/>
          <w:color w:val="000000" w:themeColor="text1"/>
          <w:sz w:val="18"/>
          <w:szCs w:val="18"/>
        </w:rPr>
        <w:t xml:space="preserve">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of the ZnO/PI-S film can reach 5.29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at 150°C. </w:t>
      </w:r>
      <w:r w:rsidRPr="00CA46DB">
        <w:rPr>
          <w:rFonts w:cstheme="minorHAnsi" w:hint="eastAsia"/>
          <w:color w:val="000000" w:themeColor="text1"/>
          <w:sz w:val="18"/>
          <w:szCs w:val="18"/>
          <w:lang w:eastAsia="zh-CN"/>
        </w:rPr>
        <w:t>Moveover</w:t>
      </w:r>
      <w:r w:rsidRPr="00CA46DB">
        <w:rPr>
          <w:rFonts w:cstheme="minorHAnsi"/>
          <w:color w:val="000000" w:themeColor="text1"/>
          <w:sz w:val="18"/>
          <w:szCs w:val="18"/>
        </w:rPr>
        <w:t>, the ZnO/PI-S film exhibit</w:t>
      </w:r>
      <w:r w:rsidRPr="00CA46DB">
        <w:rPr>
          <w:rFonts w:cstheme="minorHAnsi"/>
          <w:color w:val="000000" w:themeColor="text1"/>
          <w:sz w:val="18"/>
          <w:szCs w:val="18"/>
          <w:lang w:eastAsia="zh-Hans"/>
        </w:rPr>
        <w:t>ed</w:t>
      </w:r>
      <w:r w:rsidRPr="00CA46DB">
        <w:rPr>
          <w:rFonts w:cstheme="minorHAnsi"/>
          <w:color w:val="000000" w:themeColor="text1"/>
          <w:sz w:val="18"/>
          <w:szCs w:val="18"/>
        </w:rPr>
        <w:t xml:space="preserve">  the reduction of</w:t>
      </w:r>
      <w:r w:rsidRPr="00CA46DB">
        <w:rPr>
          <w:rFonts w:eastAsia="SimSun" w:cstheme="minorHAnsi"/>
          <w:color w:val="000000" w:themeColor="text1"/>
          <w:sz w:val="18"/>
          <w:szCs w:val="18"/>
        </w:rPr>
        <w:t xml:space="preserve">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and η </w:t>
      </w:r>
      <w:r w:rsidRPr="00CA46DB">
        <w:rPr>
          <w:rFonts w:cstheme="minorHAnsi"/>
          <w:color w:val="000000" w:themeColor="text1"/>
          <w:sz w:val="18"/>
          <w:szCs w:val="18"/>
          <w:lang w:eastAsia="zh-Hans"/>
        </w:rPr>
        <w:t>were</w:t>
      </w:r>
      <w:r w:rsidRPr="00CA46DB">
        <w:rPr>
          <w:rFonts w:cstheme="minorHAnsi"/>
          <w:color w:val="000000" w:themeColor="text1"/>
          <w:sz w:val="18"/>
          <w:szCs w:val="18"/>
        </w:rPr>
        <w:t xml:space="preserve"> less than 5% over 10,000 cycles at 150°C. Chi et al. prepared composite films using 0.5Ba(Zr</w:t>
      </w:r>
      <w:r w:rsidRPr="00CA46DB">
        <w:rPr>
          <w:rFonts w:cstheme="minorHAnsi"/>
          <w:color w:val="000000" w:themeColor="text1"/>
          <w:sz w:val="18"/>
          <w:szCs w:val="18"/>
          <w:vertAlign w:val="subscript"/>
        </w:rPr>
        <w:t>0.2</w:t>
      </w:r>
      <w:r w:rsidRPr="00CA46DB">
        <w:rPr>
          <w:rFonts w:cstheme="minorHAnsi"/>
          <w:color w:val="000000" w:themeColor="text1"/>
          <w:sz w:val="18"/>
          <w:szCs w:val="18"/>
        </w:rPr>
        <w:t>Ti</w:t>
      </w:r>
      <w:r w:rsidRPr="00CA46DB">
        <w:rPr>
          <w:rFonts w:cstheme="minorHAnsi"/>
          <w:color w:val="000000" w:themeColor="text1"/>
          <w:sz w:val="18"/>
          <w:szCs w:val="18"/>
          <w:vertAlign w:val="subscript"/>
        </w:rPr>
        <w:t>0.8</w:t>
      </w:r>
      <w:r w:rsidRPr="00CA46DB">
        <w:rPr>
          <w:rFonts w:cstheme="minorHAnsi"/>
          <w:color w:val="000000" w:themeColor="text1"/>
          <w:sz w:val="18"/>
          <w:szCs w:val="18"/>
        </w:rPr>
        <w:t>)O</w:t>
      </w:r>
      <w:r w:rsidRPr="00CA46DB">
        <w:rPr>
          <w:rFonts w:cstheme="minorHAnsi"/>
          <w:color w:val="000000" w:themeColor="text1"/>
          <w:sz w:val="18"/>
          <w:szCs w:val="18"/>
          <w:vertAlign w:val="subscript"/>
        </w:rPr>
        <w:t>3</w:t>
      </w:r>
      <w:r w:rsidRPr="00CA46DB">
        <w:rPr>
          <w:rFonts w:cstheme="minorHAnsi"/>
          <w:color w:val="000000" w:themeColor="text1"/>
          <w:sz w:val="18"/>
          <w:szCs w:val="18"/>
        </w:rPr>
        <w:t>-0.5(Ba</w:t>
      </w:r>
      <w:r w:rsidRPr="00CA46DB">
        <w:rPr>
          <w:rFonts w:cstheme="minorHAnsi"/>
          <w:color w:val="000000" w:themeColor="text1"/>
          <w:sz w:val="18"/>
          <w:szCs w:val="18"/>
          <w:vertAlign w:val="subscript"/>
        </w:rPr>
        <w:t>0.7</w:t>
      </w:r>
      <w:r w:rsidRPr="00CA46DB">
        <w:rPr>
          <w:rFonts w:cstheme="minorHAnsi"/>
          <w:color w:val="000000" w:themeColor="text1"/>
          <w:sz w:val="18"/>
          <w:szCs w:val="18"/>
        </w:rPr>
        <w:t>Ca</w:t>
      </w:r>
      <w:r w:rsidRPr="00CA46DB">
        <w:rPr>
          <w:rFonts w:cstheme="minorHAnsi"/>
          <w:color w:val="000000" w:themeColor="text1"/>
          <w:sz w:val="18"/>
          <w:szCs w:val="18"/>
          <w:vertAlign w:val="subscript"/>
        </w:rPr>
        <w:t>0.3</w:t>
      </w:r>
      <w:r w:rsidRPr="00CA46DB">
        <w:rPr>
          <w:rFonts w:cstheme="minorHAnsi"/>
          <w:color w:val="000000" w:themeColor="text1"/>
          <w:sz w:val="18"/>
          <w:szCs w:val="18"/>
        </w:rPr>
        <w:t>)TiO</w:t>
      </w:r>
      <w:r w:rsidRPr="00CA46DB">
        <w:rPr>
          <w:rFonts w:cstheme="minorHAnsi"/>
          <w:color w:val="000000" w:themeColor="text1"/>
          <w:sz w:val="18"/>
          <w:szCs w:val="18"/>
          <w:vertAlign w:val="subscript"/>
        </w:rPr>
        <w:t>3</w:t>
      </w:r>
      <w:r w:rsidRPr="00CA46DB">
        <w:rPr>
          <w:rFonts w:cstheme="minorHAnsi"/>
          <w:color w:val="000000" w:themeColor="text1"/>
          <w:sz w:val="18"/>
          <w:szCs w:val="18"/>
        </w:rPr>
        <w:t>/PI (BZT-BCT/PI) with different volume fractions as the middle layer and 5 vol% h-BN/PI as the top and bottom layers.</w:t>
      </w:r>
      <w:r w:rsidRPr="00CA46DB">
        <w:rPr>
          <w:rFonts w:cstheme="minorHAnsi"/>
          <w:color w:val="000000" w:themeColor="text1"/>
          <w:sz w:val="18"/>
          <w:szCs w:val="18"/>
          <w:vertAlign w:val="superscript"/>
        </w:rPr>
        <w:t>101</w:t>
      </w:r>
      <w:r w:rsidRPr="00CA46DB">
        <w:rPr>
          <w:rFonts w:cstheme="minorHAnsi"/>
          <w:color w:val="000000" w:themeColor="text1"/>
          <w:sz w:val="18"/>
          <w:szCs w:val="18"/>
        </w:rPr>
        <w:t xml:space="preserve"> The h-BN in the top and bottom layers introduced good thermal and insulating properties, which improved heat dissipation and decreased the energy loss in the three-layer composite film. At 25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and 150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the breakdown strengths and storage densities of the composite film with 1 vol% BZT-BCT were 360 and 350 MV·m</w:t>
      </w:r>
      <w:r w:rsidRPr="00CA46DB">
        <w:rPr>
          <w:rFonts w:cstheme="minorHAnsi"/>
          <w:color w:val="000000" w:themeColor="text1"/>
          <w:sz w:val="18"/>
          <w:szCs w:val="18"/>
          <w:vertAlign w:val="superscript"/>
        </w:rPr>
        <w:t>−1</w:t>
      </w:r>
      <w:r w:rsidRPr="00CA46DB">
        <w:rPr>
          <w:rFonts w:cstheme="minorHAnsi"/>
          <w:color w:val="000000" w:themeColor="text1"/>
          <w:sz w:val="18"/>
          <w:szCs w:val="18"/>
        </w:rPr>
        <w:t>, 2.3 and 1.83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respectively.</w:t>
      </w:r>
    </w:p>
    <w:p w14:paraId="21B40360" w14:textId="77777777" w:rsidR="00FC2A41" w:rsidRPr="00CA46DB" w:rsidRDefault="00166212">
      <w:pPr>
        <w:spacing w:after="0" w:line="240" w:lineRule="exact"/>
        <w:ind w:firstLineChars="200" w:firstLine="360"/>
        <w:jc w:val="both"/>
        <w:rPr>
          <w:rFonts w:cstheme="minorHAnsi"/>
          <w:color w:val="000000" w:themeColor="text1"/>
          <w:sz w:val="18"/>
          <w:szCs w:val="18"/>
        </w:rPr>
      </w:pPr>
      <w:r w:rsidRPr="00CA46DB">
        <w:rPr>
          <w:rFonts w:cstheme="minorHAnsi"/>
          <w:color w:val="000000" w:themeColor="text1"/>
          <w:sz w:val="18"/>
          <w:szCs w:val="18"/>
        </w:rPr>
        <w:t xml:space="preserve"> The reverse sandwich structure nanocomposites also have been designed. For example, Chen et al. used pure PI (high</w:t>
      </w:r>
      <w:r w:rsidRPr="00CA46DB">
        <w:rPr>
          <w:rFonts w:cstheme="minorHAnsi"/>
          <w:color w:val="000000" w:themeColor="text1"/>
          <w:sz w:val="18"/>
          <w:szCs w:val="18"/>
          <w:lang w:eastAsia="zh-Hans"/>
        </w:rPr>
        <w:t xml:space="preserve"> </w:t>
      </w:r>
      <w:r w:rsidRPr="00CA46DB">
        <w:rPr>
          <w:rFonts w:cstheme="minorHAnsi"/>
          <w:i/>
          <w:iCs/>
          <w:color w:val="000000" w:themeColor="text1"/>
          <w:sz w:val="18"/>
          <w:szCs w:val="18"/>
        </w:rPr>
        <w:t>E</w:t>
      </w:r>
      <w:r w:rsidRPr="00CA46DB">
        <w:rPr>
          <w:rFonts w:cstheme="minorHAnsi"/>
          <w:color w:val="000000" w:themeColor="text1"/>
          <w:sz w:val="18"/>
          <w:szCs w:val="18"/>
          <w:vertAlign w:val="subscript"/>
        </w:rPr>
        <w:t>b</w:t>
      </w:r>
      <w:r w:rsidRPr="00CA46DB">
        <w:rPr>
          <w:rFonts w:cstheme="minorHAnsi"/>
          <w:color w:val="000000" w:themeColor="text1"/>
          <w:sz w:val="18"/>
          <w:szCs w:val="18"/>
        </w:rPr>
        <w:t>) as the middle layer with KTa</w:t>
      </w:r>
      <w:r w:rsidRPr="00CA46DB">
        <w:rPr>
          <w:rFonts w:cstheme="minorHAnsi"/>
          <w:color w:val="000000" w:themeColor="text1"/>
          <w:sz w:val="18"/>
          <w:szCs w:val="18"/>
          <w:vertAlign w:val="subscript"/>
        </w:rPr>
        <w:t>0.5</w:t>
      </w:r>
      <w:r w:rsidRPr="00CA46DB">
        <w:rPr>
          <w:rFonts w:cstheme="minorHAnsi"/>
          <w:color w:val="000000" w:themeColor="text1"/>
          <w:sz w:val="18"/>
          <w:szCs w:val="18"/>
        </w:rPr>
        <w:t>Nb</w:t>
      </w:r>
      <w:r w:rsidRPr="00CA46DB">
        <w:rPr>
          <w:rFonts w:cstheme="minorHAnsi"/>
          <w:color w:val="000000" w:themeColor="text1"/>
          <w:sz w:val="18"/>
          <w:szCs w:val="18"/>
          <w:vertAlign w:val="subscript"/>
        </w:rPr>
        <w:t>0.5</w:t>
      </w:r>
      <w:r w:rsidRPr="00CA46DB">
        <w:rPr>
          <w:rFonts w:cstheme="minorHAnsi"/>
          <w:color w:val="000000" w:themeColor="text1"/>
          <w:sz w:val="18"/>
          <w:szCs w:val="18"/>
        </w:rPr>
        <w:t>O</w:t>
      </w:r>
      <w:r w:rsidRPr="00CA46DB">
        <w:rPr>
          <w:rFonts w:cstheme="minorHAnsi"/>
          <w:color w:val="000000" w:themeColor="text1"/>
          <w:sz w:val="18"/>
          <w:szCs w:val="18"/>
          <w:vertAlign w:val="subscript"/>
        </w:rPr>
        <w:t>3</w:t>
      </w:r>
      <w:r w:rsidRPr="00CA46DB">
        <w:rPr>
          <w:rFonts w:cstheme="minorHAnsi"/>
          <w:color w:val="000000" w:themeColor="text1"/>
          <w:sz w:val="18"/>
          <w:szCs w:val="18"/>
        </w:rPr>
        <w:t xml:space="preserve"> nanoparticle/PI (KTN/PI) composite film</w:t>
      </w:r>
      <w:r w:rsidRPr="00CA46DB">
        <w:rPr>
          <w:rFonts w:cstheme="minorHAnsi"/>
          <w:color w:val="000000" w:themeColor="text1"/>
          <w:sz w:val="18"/>
          <w:szCs w:val="18"/>
          <w:lang w:eastAsia="zh-Hans"/>
        </w:rPr>
        <w:t>s</w:t>
      </w:r>
      <w:r w:rsidRPr="00CA46DB">
        <w:rPr>
          <w:rFonts w:cstheme="minorHAnsi"/>
          <w:color w:val="000000" w:themeColor="text1"/>
          <w:sz w:val="18"/>
          <w:szCs w:val="18"/>
        </w:rPr>
        <w:t xml:space="preserve"> as two outer layers to prepare a three-layer KTN/PI structure (t-KPI) composite film.</w:t>
      </w:r>
      <w:r w:rsidRPr="00CA46DB">
        <w:rPr>
          <w:rFonts w:cstheme="minorHAnsi"/>
          <w:color w:val="000000" w:themeColor="text1"/>
          <w:sz w:val="18"/>
          <w:szCs w:val="18"/>
          <w:vertAlign w:val="superscript"/>
        </w:rPr>
        <w:t>115</w:t>
      </w:r>
      <w:r w:rsidRPr="00CA46DB">
        <w:rPr>
          <w:rFonts w:cstheme="minorHAnsi"/>
          <w:color w:val="000000" w:themeColor="text1"/>
          <w:sz w:val="18"/>
          <w:szCs w:val="18"/>
        </w:rPr>
        <w:t xml:space="preserve"> The maximum </w:t>
      </w:r>
      <w:r w:rsidRPr="00CA46DB">
        <w:rPr>
          <w:rFonts w:cstheme="minorHAnsi"/>
          <w:i/>
          <w:iCs/>
          <w:color w:val="000000" w:themeColor="text1"/>
          <w:sz w:val="18"/>
          <w:szCs w:val="18"/>
        </w:rPr>
        <w:t>U</w:t>
      </w:r>
      <w:r w:rsidRPr="00CA46DB">
        <w:rPr>
          <w:rFonts w:cstheme="minorHAnsi"/>
          <w:i/>
          <w:iCs/>
          <w:color w:val="000000" w:themeColor="text1"/>
          <w:sz w:val="18"/>
          <w:szCs w:val="18"/>
          <w:vertAlign w:val="subscript"/>
        </w:rPr>
        <w:t>e</w:t>
      </w:r>
      <w:r w:rsidRPr="00CA46DB">
        <w:rPr>
          <w:rFonts w:cstheme="minorHAnsi"/>
          <w:color w:val="000000" w:themeColor="text1"/>
          <w:sz w:val="18"/>
          <w:szCs w:val="18"/>
        </w:rPr>
        <w:t xml:space="preserve"> of t-KPI containing 2 vol% KTN was 3.0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at an</w:t>
      </w:r>
      <w:r w:rsidRPr="00CA46DB">
        <w:rPr>
          <w:rFonts w:cstheme="minorHAnsi"/>
          <w:color w:val="000000" w:themeColor="text1"/>
          <w:sz w:val="18"/>
          <w:szCs w:val="18"/>
          <w:lang w:eastAsia="zh-Hans"/>
        </w:rPr>
        <w:t xml:space="preserv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xml:space="preserve"> of 300 MV·m</w:t>
      </w:r>
      <w:r w:rsidRPr="00CA46DB">
        <w:rPr>
          <w:rFonts w:cstheme="minorHAnsi"/>
          <w:color w:val="000000" w:themeColor="text1"/>
          <w:sz w:val="18"/>
          <w:szCs w:val="18"/>
          <w:vertAlign w:val="superscript"/>
        </w:rPr>
        <w:t>−1</w:t>
      </w:r>
      <w:r w:rsidRPr="00CA46DB">
        <w:rPr>
          <w:rFonts w:cstheme="minorHAnsi"/>
          <w:color w:val="000000" w:themeColor="text1"/>
          <w:sz w:val="18"/>
          <w:szCs w:val="18"/>
        </w:rPr>
        <w:t>, which was much higher than the single-layer KTN/PI (1.5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w:t>
      </w:r>
      <w:r w:rsidRPr="00CA46DB">
        <w:rPr>
          <w:rFonts w:cstheme="minorHAnsi"/>
          <w:i/>
          <w:iCs/>
          <w:color w:val="000000" w:themeColor="text1"/>
          <w:sz w:val="18"/>
          <w:szCs w:val="18"/>
        </w:rPr>
        <w:t>E</w:t>
      </w:r>
      <w:r w:rsidRPr="00CA46DB">
        <w:rPr>
          <w:rFonts w:cstheme="minorHAnsi"/>
          <w:color w:val="000000" w:themeColor="text1"/>
          <w:sz w:val="18"/>
          <w:szCs w:val="18"/>
          <w:vertAlign w:val="subscript"/>
        </w:rPr>
        <w:t>b</w:t>
      </w:r>
      <w:r w:rsidRPr="00CA46DB">
        <w:rPr>
          <w:rFonts w:cstheme="minorHAnsi"/>
          <w:color w:val="000000" w:themeColor="text1"/>
          <w:sz w:val="18"/>
          <w:szCs w:val="18"/>
        </w:rPr>
        <w:t xml:space="preserve"> 210 MV·m</w:t>
      </w:r>
      <w:r w:rsidRPr="00CA46DB">
        <w:rPr>
          <w:rFonts w:cstheme="minorHAnsi"/>
          <w:color w:val="000000" w:themeColor="text1"/>
          <w:sz w:val="18"/>
          <w:szCs w:val="18"/>
          <w:vertAlign w:val="superscript"/>
        </w:rPr>
        <w:t>−1</w:t>
      </w:r>
      <w:r w:rsidRPr="00CA46DB">
        <w:rPr>
          <w:rFonts w:cstheme="minorHAnsi"/>
          <w:color w:val="000000" w:themeColor="text1"/>
          <w:sz w:val="18"/>
          <w:szCs w:val="18"/>
        </w:rPr>
        <w:t>).</w:t>
      </w:r>
    </w:p>
    <w:p w14:paraId="11F24388" w14:textId="77777777" w:rsidR="00FC2A41" w:rsidRPr="00CA46DB" w:rsidRDefault="00166212">
      <w:pPr>
        <w:tabs>
          <w:tab w:val="left" w:pos="3462"/>
        </w:tabs>
        <w:spacing w:after="0" w:line="240" w:lineRule="exact"/>
        <w:ind w:firstLineChars="200" w:firstLine="360"/>
        <w:jc w:val="both"/>
        <w:rPr>
          <w:rFonts w:cstheme="minorHAnsi"/>
          <w:color w:val="000000" w:themeColor="text1"/>
          <w:sz w:val="18"/>
          <w:szCs w:val="18"/>
          <w:vertAlign w:val="superscript"/>
        </w:rPr>
      </w:pPr>
      <w:r w:rsidRPr="00CA46DB">
        <w:rPr>
          <w:rFonts w:cstheme="minorHAnsi"/>
          <w:color w:val="000000" w:themeColor="text1"/>
          <w:sz w:val="18"/>
          <w:szCs w:val="18"/>
        </w:rPr>
        <w:t xml:space="preserve">The above sandwich-structured composite films were prepared by in-situ polymerization and layer-by-layer solution casting. These solution-based methods were tedious </w:t>
      </w:r>
      <w:r w:rsidRPr="00CA46DB">
        <w:rPr>
          <w:rFonts w:cstheme="minorHAnsi" w:hint="eastAsia"/>
          <w:color w:val="000000" w:themeColor="text1"/>
          <w:sz w:val="18"/>
          <w:szCs w:val="18"/>
          <w:lang w:eastAsia="zh-CN"/>
        </w:rPr>
        <w:t>and</w:t>
      </w:r>
      <w:r w:rsidRPr="00CA46DB">
        <w:rPr>
          <w:rFonts w:cstheme="minorHAnsi"/>
          <w:color w:val="000000" w:themeColor="text1"/>
          <w:sz w:val="18"/>
          <w:szCs w:val="18"/>
        </w:rPr>
        <w:t xml:space="preserve"> unsafe, and many polymers were insoluble. Azizi et al. prepared h-BN films using CVD prior to transfer onto PEI to </w:t>
      </w:r>
      <w:r w:rsidRPr="00CA46DB">
        <w:rPr>
          <w:rFonts w:cstheme="minorHAnsi" w:hint="eastAsia"/>
          <w:color w:val="000000" w:themeColor="text1"/>
          <w:sz w:val="18"/>
          <w:szCs w:val="18"/>
          <w:lang w:eastAsia="zh-CN"/>
        </w:rPr>
        <w:t>obtain</w:t>
      </w:r>
      <w:r w:rsidRPr="00CA46DB">
        <w:rPr>
          <w:rFonts w:cstheme="minorHAnsi"/>
          <w:color w:val="000000" w:themeColor="text1"/>
          <w:sz w:val="18"/>
          <w:szCs w:val="18"/>
        </w:rPr>
        <w:t xml:space="preserve"> h-BN/PEI/h-BN composite films.</w:t>
      </w:r>
      <w:r w:rsidRPr="00CA46DB">
        <w:rPr>
          <w:rFonts w:cstheme="minorHAnsi"/>
          <w:color w:val="000000" w:themeColor="text1"/>
          <w:sz w:val="18"/>
          <w:szCs w:val="18"/>
          <w:vertAlign w:val="superscript"/>
        </w:rPr>
        <w:t>7</w:t>
      </w:r>
      <w:r w:rsidRPr="00CA46DB">
        <w:rPr>
          <w:rFonts w:cstheme="minorHAnsi"/>
          <w:color w:val="000000" w:themeColor="text1"/>
          <w:sz w:val="18"/>
          <w:szCs w:val="18"/>
        </w:rPr>
        <w:t xml:space="preserve"> At 100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the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and η of h-BN-coated PEI could attain 2.93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and &gt; 90%</w:t>
      </w:r>
      <w:r w:rsidRPr="00CA46DB">
        <w:rPr>
          <w:rFonts w:cstheme="minorHAnsi"/>
          <w:color w:val="000000" w:themeColor="text1"/>
          <w:sz w:val="18"/>
          <w:szCs w:val="18"/>
          <w:lang w:eastAsia="zh-CN"/>
        </w:rPr>
        <w:t>,</w:t>
      </w:r>
      <w:r w:rsidRPr="00CA46DB">
        <w:rPr>
          <w:rFonts w:cstheme="minorHAnsi"/>
          <w:color w:val="000000" w:themeColor="text1"/>
          <w:sz w:val="18"/>
          <w:szCs w:val="18"/>
        </w:rPr>
        <w:t xml:space="preserve"> respectively. It was interesting to note that the h-BN/PEI/h-BN films operated efficiently and provide</w:t>
      </w:r>
      <w:r w:rsidRPr="00CA46DB">
        <w:rPr>
          <w:rFonts w:cstheme="minorHAnsi" w:hint="eastAsia"/>
          <w:color w:val="000000" w:themeColor="text1"/>
          <w:sz w:val="18"/>
          <w:szCs w:val="18"/>
          <w:lang w:eastAsia="zh-CN"/>
        </w:rPr>
        <w:t>d</w:t>
      </w:r>
      <w:r w:rsidRPr="00CA46DB">
        <w:rPr>
          <w:rFonts w:cstheme="minorHAnsi"/>
          <w:color w:val="000000" w:themeColor="text1"/>
          <w:sz w:val="18"/>
          <w:szCs w:val="18"/>
        </w:rPr>
        <w:t xml:space="preserve"> high energy densities at a temperature close to the </w:t>
      </w:r>
      <w:r w:rsidRPr="00CA46DB">
        <w:rPr>
          <w:rFonts w:cstheme="minorHAnsi"/>
          <w:i/>
          <w:iCs/>
          <w:color w:val="000000" w:themeColor="text1"/>
          <w:sz w:val="18"/>
          <w:szCs w:val="18"/>
        </w:rPr>
        <w:t>T</w:t>
      </w:r>
      <w:r w:rsidRPr="00CA46DB">
        <w:rPr>
          <w:rFonts w:cstheme="minorHAnsi"/>
          <w:color w:val="000000" w:themeColor="text1"/>
          <w:sz w:val="18"/>
          <w:szCs w:val="18"/>
          <w:vertAlign w:val="subscript"/>
        </w:rPr>
        <w:t>g</w:t>
      </w:r>
      <w:r w:rsidRPr="00CA46DB">
        <w:rPr>
          <w:rFonts w:cstheme="minorHAnsi"/>
          <w:color w:val="000000" w:themeColor="text1"/>
          <w:sz w:val="18"/>
          <w:szCs w:val="18"/>
        </w:rPr>
        <w:t xml:space="preserve"> of the polymer, i.e. at a temperature where the dielectric properties of pure PEI usually failed. The film also showed excellent cyclability and dielectric stability at high temperatures over 55000 consecutive charge-discharge cycles. However, the preparation of the h-BN/PEI/h-BN films required multiple steps, including the transfer of BN obtained by CVD to PEI, hot pressing and removal of the catalyst layer. Zhou et al. demonstrated that improved high-temperature dielectric polymers could be prepared via a combined dielectric-barrier-discharge plasma-enhanced chemical vapor deposition (PECVD) and roll-to-roll processing.</w:t>
      </w:r>
      <w:r w:rsidRPr="00CA46DB">
        <w:rPr>
          <w:rFonts w:cstheme="minorHAnsi"/>
          <w:color w:val="000000" w:themeColor="text1"/>
          <w:sz w:val="18"/>
          <w:szCs w:val="18"/>
          <w:vertAlign w:val="superscript"/>
        </w:rPr>
        <w:t>90</w:t>
      </w:r>
      <w:r w:rsidRPr="00CA46DB">
        <w:rPr>
          <w:rFonts w:cstheme="minorHAnsi"/>
          <w:color w:val="000000" w:themeColor="text1"/>
          <w:sz w:val="18"/>
          <w:szCs w:val="18"/>
        </w:rPr>
        <w:t xml:space="preserve"> Th</w:t>
      </w:r>
      <w:r w:rsidRPr="00CA46DB">
        <w:rPr>
          <w:rFonts w:cstheme="minorHAnsi" w:hint="eastAsia"/>
          <w:color w:val="000000" w:themeColor="text1"/>
          <w:sz w:val="18"/>
          <w:szCs w:val="18"/>
          <w:lang w:eastAsia="zh-CN"/>
        </w:rPr>
        <w:t>e</w:t>
      </w:r>
      <w:r w:rsidRPr="00CA46DB">
        <w:rPr>
          <w:rFonts w:cstheme="minorHAnsi"/>
          <w:color w:val="000000" w:themeColor="text1"/>
          <w:sz w:val="18"/>
          <w:szCs w:val="18"/>
        </w:rPr>
        <w:t xml:space="preserve"> method was readily adaptable to large-scale production of various surface-functionalized polymer films, as shown in Fig. 17(a). BOPP films modified each side with SiO</w:t>
      </w:r>
      <w:r w:rsidRPr="00CA46DB">
        <w:rPr>
          <w:rFonts w:cstheme="minorHAnsi"/>
          <w:color w:val="000000" w:themeColor="text1"/>
          <w:sz w:val="18"/>
          <w:szCs w:val="18"/>
          <w:vertAlign w:val="subscript"/>
        </w:rPr>
        <w:t xml:space="preserve">2 </w:t>
      </w:r>
      <w:r w:rsidRPr="00CA46DB">
        <w:rPr>
          <w:rFonts w:cstheme="minorHAnsi"/>
          <w:color w:val="000000" w:themeColor="text1"/>
          <w:sz w:val="18"/>
          <w:szCs w:val="18"/>
        </w:rPr>
        <w:t>(BOPP-SiO</w:t>
      </w:r>
      <w:r w:rsidRPr="00CA46DB">
        <w:rPr>
          <w:rFonts w:cstheme="minorHAnsi"/>
          <w:color w:val="000000" w:themeColor="text1"/>
          <w:sz w:val="18"/>
          <w:szCs w:val="18"/>
          <w:vertAlign w:val="subscript"/>
        </w:rPr>
        <w:t>2</w:t>
      </w:r>
      <w:r w:rsidRPr="00CA46DB">
        <w:rPr>
          <w:rFonts w:cstheme="minorHAnsi"/>
          <w:color w:val="000000" w:themeColor="text1"/>
          <w:sz w:val="18"/>
          <w:szCs w:val="18"/>
        </w:rPr>
        <w:t>) were prepared. The wide-band gap 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layer increased the potential barrier at the electrode/dielectric interface, which impeded the charge injection and greatly reduced space charge densities. Compared with the pure BOPP films, the BOPP-SiO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films had an improved </w:t>
      </w:r>
      <w:r w:rsidRPr="00CA46DB">
        <w:rPr>
          <w:rFonts w:eastAsia="SimSun" w:cstheme="minorHAnsi"/>
          <w:i/>
          <w:iCs/>
          <w:color w:val="000000" w:themeColor="text1"/>
          <w:sz w:val="18"/>
          <w:szCs w:val="18"/>
        </w:rPr>
        <w:t>U</w:t>
      </w:r>
      <w:r w:rsidRPr="00CA46DB">
        <w:rPr>
          <w:rFonts w:eastAsia="SimSun" w:cstheme="minorHAnsi"/>
          <w:i/>
          <w:iCs/>
          <w:color w:val="000000" w:themeColor="text1"/>
          <w:sz w:val="18"/>
          <w:szCs w:val="18"/>
          <w:vertAlign w:val="subscript"/>
        </w:rPr>
        <w:t>e</w:t>
      </w:r>
      <w:r w:rsidRPr="00CA46DB">
        <w:rPr>
          <w:rFonts w:cstheme="minorHAnsi"/>
          <w:color w:val="000000" w:themeColor="text1"/>
          <w:sz w:val="18"/>
          <w:szCs w:val="18"/>
        </w:rPr>
        <w:t xml:space="preserve">, as shown in Fig. 17(b) and 17(e). </w:t>
      </w:r>
      <w:r w:rsidRPr="00CA46DB">
        <w:rPr>
          <w:rFonts w:cstheme="minorHAnsi"/>
          <w:color w:val="000000" w:themeColor="text1"/>
          <w:sz w:val="18"/>
          <w:szCs w:val="18"/>
          <w:lang w:eastAsia="zh-Hans"/>
        </w:rPr>
        <w:t xml:space="preserve">In </w:t>
      </w:r>
      <w:r w:rsidRPr="00CA46DB">
        <w:rPr>
          <w:rFonts w:cstheme="minorHAnsi"/>
          <w:color w:val="000000" w:themeColor="text1"/>
          <w:sz w:val="18"/>
          <w:szCs w:val="18"/>
        </w:rPr>
        <w:t xml:space="preserve">Fig. 17(c) and 17(d), various polymer dielectric films were prepared, such as PI, FPE, PEI, PEN, and PC films. At 150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when η &gt; 90%, the maximum </w:t>
      </w:r>
      <w:r w:rsidRPr="00CA46DB">
        <w:rPr>
          <w:rFonts w:cstheme="minorHAnsi"/>
          <w:i/>
          <w:iCs/>
          <w:color w:val="000000" w:themeColor="text1"/>
          <w:sz w:val="18"/>
          <w:szCs w:val="18"/>
        </w:rPr>
        <w:t>U</w:t>
      </w:r>
      <w:r w:rsidRPr="00CA46DB">
        <w:rPr>
          <w:rFonts w:cstheme="minorHAnsi"/>
          <w:color w:val="000000" w:themeColor="text1"/>
          <w:sz w:val="18"/>
          <w:szCs w:val="18"/>
          <w:vertAlign w:val="subscript"/>
        </w:rPr>
        <w:t>e</w:t>
      </w:r>
      <w:r w:rsidRPr="00CA46DB">
        <w:rPr>
          <w:rFonts w:cstheme="minorHAnsi"/>
          <w:color w:val="000000" w:themeColor="text1"/>
          <w:sz w:val="18"/>
          <w:szCs w:val="18"/>
        </w:rPr>
        <w:t xml:space="preserve"> of PEI-SiO</w:t>
      </w:r>
      <w:r w:rsidRPr="00CA46DB">
        <w:rPr>
          <w:rFonts w:cstheme="minorHAnsi"/>
          <w:color w:val="000000" w:themeColor="text1"/>
          <w:sz w:val="18"/>
          <w:szCs w:val="18"/>
          <w:vertAlign w:val="subscript"/>
        </w:rPr>
        <w:t>2</w:t>
      </w:r>
      <w:r w:rsidRPr="00CA46DB">
        <w:rPr>
          <w:rFonts w:cstheme="minorHAnsi"/>
          <w:color w:val="000000" w:themeColor="text1"/>
          <w:sz w:val="18"/>
          <w:szCs w:val="18"/>
        </w:rPr>
        <w:t>, PEN-SiO</w:t>
      </w:r>
      <w:r w:rsidRPr="00CA46DB">
        <w:rPr>
          <w:rFonts w:cstheme="minorHAnsi"/>
          <w:color w:val="000000" w:themeColor="text1"/>
          <w:sz w:val="18"/>
          <w:szCs w:val="18"/>
          <w:vertAlign w:val="subscript"/>
        </w:rPr>
        <w:t>2</w:t>
      </w:r>
      <w:r w:rsidRPr="00CA46DB">
        <w:rPr>
          <w:rFonts w:cstheme="minorHAnsi"/>
          <w:color w:val="000000" w:themeColor="text1"/>
          <w:sz w:val="18"/>
          <w:szCs w:val="18"/>
        </w:rPr>
        <w:t>, PI-SiO</w:t>
      </w:r>
      <w:r w:rsidRPr="00CA46DB">
        <w:rPr>
          <w:rFonts w:cstheme="minorHAnsi"/>
          <w:color w:val="000000" w:themeColor="text1"/>
          <w:sz w:val="18"/>
          <w:szCs w:val="18"/>
          <w:vertAlign w:val="subscript"/>
        </w:rPr>
        <w:t>2</w:t>
      </w:r>
      <w:r w:rsidRPr="00CA46DB">
        <w:rPr>
          <w:rFonts w:cstheme="minorHAnsi"/>
          <w:color w:val="000000" w:themeColor="text1"/>
          <w:sz w:val="18"/>
          <w:szCs w:val="18"/>
        </w:rPr>
        <w:t>, PC-SiO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and FPE-SiO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composite films reached 2.12, 1.75, 1.24, 1.79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respectively. At 100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and η &gt; 90%, </w:t>
      </w:r>
      <w:r w:rsidRPr="00CA46DB">
        <w:rPr>
          <w:rFonts w:cstheme="minorHAnsi"/>
          <w:i/>
          <w:iCs/>
          <w:color w:val="000000" w:themeColor="text1"/>
          <w:sz w:val="18"/>
          <w:szCs w:val="18"/>
        </w:rPr>
        <w:t>U</w:t>
      </w:r>
      <w:r w:rsidRPr="00CA46DB">
        <w:rPr>
          <w:rFonts w:cstheme="minorHAnsi"/>
          <w:color w:val="000000" w:themeColor="text1"/>
          <w:sz w:val="18"/>
          <w:szCs w:val="18"/>
          <w:vertAlign w:val="subscript"/>
        </w:rPr>
        <w:t>e</w:t>
      </w:r>
      <w:r w:rsidRPr="00CA46DB">
        <w:rPr>
          <w:rFonts w:cstheme="minorHAnsi"/>
          <w:color w:val="000000" w:themeColor="text1"/>
          <w:sz w:val="18"/>
          <w:szCs w:val="18"/>
        </w:rPr>
        <w:t xml:space="preserve"> was 3.0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for the PEI–SiO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film versus 2.9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of the h-BN/PEI/h-BN film. Cheng et al. prepared BN/PI films using physical vapor deposition (PVD) technology, which discharge</w:t>
      </w:r>
      <w:r w:rsidRPr="00CA46DB">
        <w:rPr>
          <w:rFonts w:cstheme="minorHAnsi" w:hint="eastAsia"/>
          <w:color w:val="000000" w:themeColor="text1"/>
          <w:sz w:val="18"/>
          <w:szCs w:val="18"/>
          <w:lang w:eastAsia="zh-CN"/>
        </w:rPr>
        <w:t xml:space="preserve">d </w:t>
      </w:r>
      <w:r w:rsidRPr="00CA46DB">
        <w:rPr>
          <w:rFonts w:cstheme="minorHAnsi"/>
          <w:color w:val="000000" w:themeColor="text1"/>
          <w:sz w:val="18"/>
          <w:szCs w:val="18"/>
        </w:rPr>
        <w:t>an energy density of 0.493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xml:space="preserve"> with η of over 90% at 150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w:t>
      </w:r>
      <w:r w:rsidRPr="00CA46DB">
        <w:rPr>
          <w:rFonts w:cstheme="minorHAnsi"/>
          <w:color w:val="000000" w:themeColor="text1"/>
          <w:sz w:val="18"/>
          <w:szCs w:val="18"/>
          <w:vertAlign w:val="superscript"/>
        </w:rPr>
        <w:t>103</w:t>
      </w:r>
    </w:p>
    <w:p w14:paraId="16158117" w14:textId="77777777" w:rsidR="00FC2A41" w:rsidRPr="00CA46DB" w:rsidRDefault="00166212">
      <w:pPr>
        <w:tabs>
          <w:tab w:val="left" w:pos="3462"/>
        </w:tabs>
        <w:spacing w:after="0" w:line="240" w:lineRule="exact"/>
        <w:ind w:firstLineChars="200" w:firstLine="360"/>
        <w:jc w:val="both"/>
        <w:rPr>
          <w:rFonts w:cstheme="minorHAnsi"/>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r w:rsidRPr="00CA46DB">
        <w:rPr>
          <w:rFonts w:cstheme="minorHAnsi"/>
          <w:color w:val="000000" w:themeColor="text1"/>
          <w:sz w:val="18"/>
          <w:szCs w:val="18"/>
        </w:rPr>
        <w:t>Guo et al. fabricated novel RGO-PI/BNNS-PI micro-sandwich composites by assembling conductive RGO and insulating BNNS layers in a PI matrix using a sequential bidirectional freeze casting technique.</w:t>
      </w:r>
      <w:r w:rsidRPr="00CA46DB">
        <w:rPr>
          <w:rFonts w:cstheme="minorHAnsi"/>
          <w:color w:val="000000" w:themeColor="text1"/>
          <w:sz w:val="18"/>
          <w:szCs w:val="18"/>
          <w:vertAlign w:val="superscript"/>
        </w:rPr>
        <w:t>102</w:t>
      </w:r>
      <w:r w:rsidRPr="00CA46DB">
        <w:rPr>
          <w:rFonts w:cstheme="minorHAnsi"/>
          <w:color w:val="000000" w:themeColor="text1"/>
          <w:sz w:val="18"/>
          <w:szCs w:val="18"/>
        </w:rPr>
        <w:t xml:space="preserve"> The large difference in electrical conductivities originated from the alternate stacking of RGO and BNNS achieved a high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and a moderate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xml:space="preserve">. The separated RGO and BNNS layers ensured that phonons were transmitted between the same species through the interface, resulting in higher thermal conductivity, as shown in Fig. 18(a). The micro-sandwich structure films achieved a high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 579), low </w:t>
      </w:r>
      <w:r w:rsidRPr="00CA46DB">
        <w:rPr>
          <w:rFonts w:eastAsia="楷体-简" w:cstheme="minorHAnsi"/>
          <w:color w:val="000000" w:themeColor="text1"/>
          <w:sz w:val="18"/>
          <w:szCs w:val="18"/>
        </w:rPr>
        <w:t>tan</w:t>
      </w:r>
      <w:r w:rsidRPr="00CA46DB">
        <w:rPr>
          <w:rFonts w:eastAsia="楷体-简" w:cstheme="minorHAnsi"/>
          <w:i/>
          <w:iCs/>
          <w:color w:val="000000" w:themeColor="text1"/>
          <w:sz w:val="18"/>
          <w:szCs w:val="18"/>
        </w:rPr>
        <w:t>δ</w:t>
      </w:r>
      <w:r w:rsidRPr="00CA46DB">
        <w:rPr>
          <w:rFonts w:cstheme="minorHAnsi"/>
          <w:color w:val="000000" w:themeColor="text1"/>
          <w:sz w:val="18"/>
          <w:szCs w:val="18"/>
        </w:rPr>
        <w:t xml:space="preserve"> (~ 0.25), high thermal conductivity (1.49 W</w:t>
      </w:r>
      <w:bookmarkStart w:id="18" w:name="OLE_LINK33"/>
      <w:r w:rsidRPr="00CA46DB">
        <w:rPr>
          <w:rFonts w:cstheme="minorHAnsi"/>
          <w:color w:val="000000" w:themeColor="text1"/>
          <w:sz w:val="18"/>
          <w:szCs w:val="18"/>
        </w:rPr>
        <w:t>·</w:t>
      </w:r>
      <w:bookmarkEnd w:id="18"/>
      <w:r w:rsidRPr="00CA46DB">
        <w:rPr>
          <w:rFonts w:cstheme="minorHAnsi"/>
          <w:color w:val="000000" w:themeColor="text1"/>
          <w:sz w:val="18"/>
          <w:szCs w:val="18"/>
        </w:rPr>
        <w:t>m</w:t>
      </w:r>
      <w:r w:rsidRPr="00CA46DB">
        <w:rPr>
          <w:rFonts w:cstheme="minorHAnsi"/>
          <w:color w:val="000000" w:themeColor="text1"/>
          <w:sz w:val="18"/>
          <w:szCs w:val="18"/>
          <w:vertAlign w:val="superscript"/>
        </w:rPr>
        <w:t>−1</w:t>
      </w:r>
      <w:r w:rsidRPr="00CA46DB">
        <w:rPr>
          <w:rFonts w:cstheme="minorHAnsi"/>
          <w:color w:val="000000" w:themeColor="text1"/>
          <w:sz w:val="18"/>
          <w:szCs w:val="18"/>
        </w:rPr>
        <w:t>·K</w:t>
      </w:r>
      <w:r w:rsidRPr="00CA46DB">
        <w:rPr>
          <w:rFonts w:cstheme="minorHAnsi"/>
          <w:color w:val="000000" w:themeColor="text1"/>
          <w:sz w:val="18"/>
          <w:szCs w:val="18"/>
          <w:vertAlign w:val="superscript"/>
        </w:rPr>
        <w:t>−1</w:t>
      </w:r>
      <w:r w:rsidRPr="00CA46DB">
        <w:rPr>
          <w:rFonts w:cstheme="minorHAnsi"/>
          <w:color w:val="000000" w:themeColor="text1"/>
          <w:sz w:val="18"/>
          <w:szCs w:val="18"/>
        </w:rPr>
        <w:t>) and high energy density (14.2 J·cm</w:t>
      </w:r>
      <w:r w:rsidRPr="00CA46DB">
        <w:rPr>
          <w:rFonts w:cstheme="minorHAnsi"/>
          <w:color w:val="000000" w:themeColor="text1"/>
          <w:sz w:val="18"/>
          <w:szCs w:val="18"/>
          <w:vertAlign w:val="superscript"/>
        </w:rPr>
        <w:t>−3</w:t>
      </w:r>
      <w:r w:rsidRPr="00CA46DB">
        <w:rPr>
          <w:rFonts w:cstheme="minorHAnsi"/>
          <w:color w:val="000000" w:themeColor="text1"/>
          <w:sz w:val="18"/>
          <w:szCs w:val="18"/>
        </w:rPr>
        <w:t>) by optimizing filler content as shown in Fig. 18(b)−(e). Dong et al. fabricated a series of o-BNNS-AgNW/PI nanocomposites by combining ice-templating</w:t>
      </w:r>
      <w:r w:rsidRPr="00CA46DB">
        <w:rPr>
          <w:rFonts w:cstheme="minorHAnsi"/>
          <w:color w:val="000000" w:themeColor="text1"/>
          <w:sz w:val="18"/>
          <w:szCs w:val="18"/>
        </w:rPr>
        <w:br w:type="column"/>
      </w:r>
      <w:r w:rsidRPr="00CA46DB">
        <w:rPr>
          <w:rFonts w:cstheme="minorHAnsi"/>
          <w:noProof/>
          <w:color w:val="000000" w:themeColor="text1"/>
          <w:sz w:val="18"/>
          <w:szCs w:val="18"/>
          <w:lang w:eastAsia="zh-CN"/>
        </w:rPr>
        <w:lastRenderedPageBreak/>
        <w:drawing>
          <wp:anchor distT="0" distB="0" distL="114300" distR="114300" simplePos="0" relativeHeight="251678720" behindDoc="1" locked="0" layoutInCell="1" allowOverlap="1" wp14:anchorId="3401CAE3" wp14:editId="43D12781">
            <wp:simplePos x="0" y="0"/>
            <wp:positionH relativeFrom="column">
              <wp:posOffset>946785</wp:posOffset>
            </wp:positionH>
            <wp:positionV relativeFrom="paragraph">
              <wp:posOffset>-248920</wp:posOffset>
            </wp:positionV>
            <wp:extent cx="4552315" cy="4026535"/>
            <wp:effectExtent l="0" t="0" r="0" b="0"/>
            <wp:wrapTight wrapText="bothSides">
              <wp:wrapPolygon edited="0">
                <wp:start x="-2729" y="0"/>
                <wp:lineTo x="-2729" y="21600"/>
                <wp:lineTo x="26046" y="21600"/>
                <wp:lineTo x="26057" y="0"/>
                <wp:lineTo x="-2729" y="0"/>
              </wp:wrapPolygon>
            </wp:wrapTight>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52315" cy="4026350"/>
                    </a:xfrm>
                    <a:prstGeom prst="rect">
                      <a:avLst/>
                    </a:prstGeom>
                  </pic:spPr>
                </pic:pic>
              </a:graphicData>
            </a:graphic>
          </wp:anchor>
        </w:drawing>
      </w:r>
      <w:r w:rsidRPr="00CA46DB">
        <w:rPr>
          <w:rFonts w:cstheme="minorHAnsi"/>
          <w:color w:val="000000" w:themeColor="text1"/>
          <w:sz w:val="18"/>
          <w:szCs w:val="18"/>
        </w:rPr>
        <w:br w:type="column"/>
      </w:r>
    </w:p>
    <w:p w14:paraId="52060A2C" w14:textId="77777777" w:rsidR="00FC2A41" w:rsidRPr="00CA46DB" w:rsidRDefault="00166212">
      <w:pPr>
        <w:spacing w:after="0" w:line="240" w:lineRule="exact"/>
        <w:jc w:val="both"/>
        <w:rPr>
          <w:rFonts w:cstheme="minorHAnsi"/>
          <w:color w:val="000000" w:themeColor="text1"/>
          <w:sz w:val="18"/>
          <w:szCs w:val="18"/>
          <w:vertAlign w:val="superscript"/>
        </w:rPr>
        <w:sectPr w:rsidR="00FC2A41" w:rsidRPr="00CA46DB">
          <w:type w:val="continuous"/>
          <w:pgSz w:w="11907" w:h="16840"/>
          <w:pgMar w:top="1009" w:right="851" w:bottom="1758" w:left="851" w:header="851" w:footer="1049" w:gutter="0"/>
          <w:cols w:space="227"/>
          <w:docGrid w:linePitch="360"/>
        </w:sectPr>
      </w:pPr>
      <w:r w:rsidRPr="00CA46DB">
        <w:rPr>
          <w:rFonts w:cstheme="minorHAnsi"/>
          <w:color w:val="000000" w:themeColor="text1"/>
          <w:sz w:val="18"/>
          <w:szCs w:val="18"/>
        </w:rPr>
        <w:t xml:space="preserve">Fig. 17. Preparation and dielectric performances of various surface-functionalized polymer films: (a) Schematic of the roll-to-roll PECVD method, (b) η and </w:t>
      </w:r>
      <w:r w:rsidRPr="00CA46DB">
        <w:rPr>
          <w:rFonts w:cstheme="minorHAnsi"/>
          <w:i/>
          <w:iCs/>
          <w:color w:val="000000" w:themeColor="text1"/>
          <w:sz w:val="18"/>
          <w:szCs w:val="18"/>
        </w:rPr>
        <w:t>U</w:t>
      </w:r>
      <w:r w:rsidRPr="00CA46DB">
        <w:rPr>
          <w:rFonts w:cstheme="minorHAnsi"/>
          <w:color w:val="000000" w:themeColor="text1"/>
          <w:sz w:val="18"/>
          <w:szCs w:val="18"/>
          <w:vertAlign w:val="subscript"/>
        </w:rPr>
        <w:t>e</w:t>
      </w:r>
      <w:r w:rsidRPr="00CA46DB">
        <w:rPr>
          <w:rFonts w:cstheme="minorHAnsi"/>
          <w:color w:val="000000" w:themeColor="text1"/>
          <w:sz w:val="18"/>
          <w:szCs w:val="18"/>
        </w:rPr>
        <w:t xml:space="preserve"> of BOPP and BOPP-SiO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films at 120</w:t>
      </w:r>
      <w:r w:rsidRPr="00CA46DB">
        <w:rPr>
          <w:rFonts w:cstheme="minorHAnsi"/>
          <w:color w:val="000000" w:themeColor="text1"/>
          <w:sz w:val="18"/>
          <w:szCs w:val="18"/>
          <w:vertAlign w:val="superscript"/>
        </w:rPr>
        <w:t xml:space="preserve">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(c) η at 150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of five dielectric films, (d) maximum </w:t>
      </w:r>
      <w:r w:rsidRPr="00CA46DB">
        <w:rPr>
          <w:rFonts w:cstheme="minorHAnsi"/>
          <w:i/>
          <w:iCs/>
          <w:color w:val="000000" w:themeColor="text1"/>
          <w:sz w:val="18"/>
          <w:szCs w:val="18"/>
        </w:rPr>
        <w:t>U</w:t>
      </w:r>
      <w:r w:rsidRPr="00CA46DB">
        <w:rPr>
          <w:rFonts w:cstheme="minorHAnsi"/>
          <w:color w:val="000000" w:themeColor="text1"/>
          <w:sz w:val="18"/>
          <w:szCs w:val="18"/>
          <w:vertAlign w:val="subscript"/>
        </w:rPr>
        <w:t>e</w:t>
      </w:r>
      <w:r w:rsidRPr="00CA46DB">
        <w:rPr>
          <w:rFonts w:cstheme="minorHAnsi"/>
          <w:color w:val="000000" w:themeColor="text1"/>
          <w:sz w:val="18"/>
          <w:szCs w:val="18"/>
        </w:rPr>
        <w:t xml:space="preserve"> above 90% efficiency at 150 </w:t>
      </w:r>
      <w:r w:rsidRPr="00CA46DB">
        <w:rPr>
          <w:rFonts w:ascii="Cambria Math" w:hAnsi="Cambria Math" w:cs="Cambria Math"/>
          <w:color w:val="000000" w:themeColor="text1"/>
          <w:sz w:val="18"/>
          <w:szCs w:val="18"/>
        </w:rPr>
        <w:t>℃</w:t>
      </w:r>
      <w:r w:rsidRPr="00CA46DB">
        <w:rPr>
          <w:rFonts w:cstheme="minorHAnsi"/>
          <w:color w:val="000000" w:themeColor="text1"/>
          <w:sz w:val="18"/>
          <w:szCs w:val="18"/>
        </w:rPr>
        <w:t xml:space="preserve"> of five dielectric films before and after coating, (e) </w:t>
      </w:r>
      <w:r w:rsidRPr="00CA46DB">
        <w:rPr>
          <w:rFonts w:cstheme="minorHAnsi"/>
          <w:i/>
          <w:iCs/>
          <w:color w:val="000000" w:themeColor="text1"/>
          <w:sz w:val="18"/>
          <w:szCs w:val="18"/>
        </w:rPr>
        <w:t>U</w:t>
      </w:r>
      <w:r w:rsidRPr="00CA46DB">
        <w:rPr>
          <w:rFonts w:cstheme="minorHAnsi"/>
          <w:color w:val="000000" w:themeColor="text1"/>
          <w:sz w:val="18"/>
          <w:szCs w:val="18"/>
          <w:vertAlign w:val="subscript"/>
        </w:rPr>
        <w:t>e</w:t>
      </w:r>
      <w:r w:rsidRPr="00CA46DB">
        <w:rPr>
          <w:rFonts w:cstheme="minorHAnsi"/>
          <w:color w:val="000000" w:themeColor="text1"/>
          <w:sz w:val="18"/>
          <w:szCs w:val="18"/>
        </w:rPr>
        <w:t xml:space="preserve"> obtained from cyclic fast discharge tests of BOPP and BOPP-SiO</w:t>
      </w:r>
      <w:r w:rsidRPr="00CA46DB">
        <w:rPr>
          <w:rFonts w:cstheme="minorHAnsi"/>
          <w:color w:val="000000" w:themeColor="text1"/>
          <w:sz w:val="18"/>
          <w:szCs w:val="18"/>
          <w:vertAlign w:val="subscript"/>
        </w:rPr>
        <w:t>2</w:t>
      </w:r>
      <w:r w:rsidRPr="00CA46DB">
        <w:rPr>
          <w:rFonts w:cstheme="minorHAnsi"/>
          <w:color w:val="000000" w:themeColor="text1"/>
          <w:sz w:val="18"/>
          <w:szCs w:val="18"/>
        </w:rPr>
        <w:t xml:space="preserve"> films.</w:t>
      </w:r>
      <w:r w:rsidRPr="00CA46DB">
        <w:rPr>
          <w:rFonts w:cstheme="minorHAnsi"/>
          <w:color w:val="000000" w:themeColor="text1"/>
          <w:sz w:val="18"/>
          <w:szCs w:val="18"/>
          <w:vertAlign w:val="superscript"/>
        </w:rPr>
        <w:t>90</w:t>
      </w:r>
    </w:p>
    <w:p w14:paraId="4CC12A60" w14:textId="77777777" w:rsidR="00FC2A41" w:rsidRPr="00CA46DB" w:rsidRDefault="00166212">
      <w:pPr>
        <w:tabs>
          <w:tab w:val="left" w:pos="3462"/>
        </w:tabs>
        <w:spacing w:after="0" w:line="240" w:lineRule="exact"/>
        <w:jc w:val="both"/>
        <w:rPr>
          <w:rFonts w:cstheme="minorHAnsi"/>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r w:rsidRPr="00CA46DB">
        <w:rPr>
          <w:rFonts w:cstheme="minorHAnsi"/>
          <w:noProof/>
          <w:color w:val="000000" w:themeColor="text1"/>
          <w:sz w:val="18"/>
          <w:szCs w:val="18"/>
          <w:lang w:eastAsia="zh-CN"/>
        </w:rPr>
        <w:drawing>
          <wp:anchor distT="0" distB="0" distL="114300" distR="114300" simplePos="0" relativeHeight="251679744" behindDoc="1" locked="0" layoutInCell="1" allowOverlap="1" wp14:anchorId="49E54CD0" wp14:editId="7CC0B64E">
            <wp:simplePos x="0" y="0"/>
            <wp:positionH relativeFrom="column">
              <wp:posOffset>927100</wp:posOffset>
            </wp:positionH>
            <wp:positionV relativeFrom="paragraph">
              <wp:posOffset>38735</wp:posOffset>
            </wp:positionV>
            <wp:extent cx="4572000" cy="3816985"/>
            <wp:effectExtent l="0" t="0" r="0" b="0"/>
            <wp:wrapTight wrapText="bothSides">
              <wp:wrapPolygon edited="0">
                <wp:start x="-4437" y="0"/>
                <wp:lineTo x="-4298" y="21600"/>
                <wp:lineTo x="26600" y="21600"/>
                <wp:lineTo x="26600" y="0"/>
                <wp:lineTo x="-4437" y="0"/>
              </wp:wrapPolygon>
            </wp:wrapTight>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72000" cy="3816836"/>
                    </a:xfrm>
                    <a:prstGeom prst="rect">
                      <a:avLst/>
                    </a:prstGeom>
                  </pic:spPr>
                </pic:pic>
              </a:graphicData>
            </a:graphic>
          </wp:anchor>
        </w:drawing>
      </w:r>
      <w:r w:rsidRPr="00CA46DB">
        <w:rPr>
          <w:rFonts w:cstheme="minorHAnsi"/>
          <w:color w:val="000000" w:themeColor="text1"/>
          <w:sz w:val="18"/>
          <w:szCs w:val="18"/>
        </w:rPr>
        <w:br w:type="column"/>
      </w:r>
    </w:p>
    <w:p w14:paraId="29839066" w14:textId="77777777" w:rsidR="00FC2A41" w:rsidRPr="00CA46DB" w:rsidRDefault="00166212">
      <w:pPr>
        <w:tabs>
          <w:tab w:val="left" w:pos="3462"/>
        </w:tabs>
        <w:spacing w:after="0" w:line="240" w:lineRule="exact"/>
        <w:jc w:val="both"/>
        <w:rPr>
          <w:rFonts w:cstheme="minorHAnsi"/>
          <w:color w:val="000000" w:themeColor="text1"/>
          <w:sz w:val="18"/>
          <w:szCs w:val="18"/>
          <w:vertAlign w:val="superscript"/>
        </w:rPr>
      </w:pPr>
      <w:r w:rsidRPr="00CA46DB">
        <w:rPr>
          <w:rFonts w:cstheme="minorHAnsi"/>
          <w:color w:val="000000" w:themeColor="text1"/>
          <w:sz w:val="18"/>
          <w:szCs w:val="18"/>
        </w:rPr>
        <w:t xml:space="preserve">Fig. 18. Phonon pathways and dielectric properties of BNNS-PI, RGO-PI, and RGO-PI/BNNS-PI nanocomposites with different RGO to BNNS weight ratios: (a) Phonon transport pathways in composites containing randomly mixed fillers of graphene and BNNS (A) and composites with a micro-sandwich structure (B), (b)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(c) </w:t>
      </w:r>
      <w:r w:rsidRPr="00CA46DB">
        <w:rPr>
          <w:rFonts w:eastAsia="楷体-简" w:cstheme="minorHAnsi"/>
          <w:color w:val="000000" w:themeColor="text1"/>
          <w:sz w:val="18"/>
          <w:szCs w:val="18"/>
        </w:rPr>
        <w:t>tan</w:t>
      </w:r>
      <w:r w:rsidRPr="00CA46DB">
        <w:rPr>
          <w:rFonts w:eastAsia="楷体-简" w:cstheme="minorHAnsi"/>
          <w:i/>
          <w:iCs/>
          <w:color w:val="000000" w:themeColor="text1"/>
          <w:sz w:val="18"/>
          <w:szCs w:val="18"/>
        </w:rPr>
        <w:t>δ</w:t>
      </w:r>
      <w:r w:rsidRPr="00CA46DB">
        <w:rPr>
          <w:rFonts w:cstheme="minorHAnsi"/>
          <w:color w:val="000000" w:themeColor="text1"/>
          <w:sz w:val="18"/>
          <w:szCs w:val="18"/>
        </w:rPr>
        <w:t>, (d) AC conductivity, (e)</w:t>
      </w:r>
      <w:r w:rsidRPr="00CA46DB">
        <w:rPr>
          <w:rFonts w:cstheme="minorHAnsi"/>
          <w:i/>
          <w:iCs/>
          <w:color w:val="000000" w:themeColor="text1"/>
          <w:sz w:val="18"/>
          <w:szCs w:val="18"/>
        </w:rPr>
        <w:t xml:space="preserve"> E</w:t>
      </w:r>
      <w:r w:rsidRPr="00CA46DB">
        <w:rPr>
          <w:rFonts w:cstheme="minorHAnsi"/>
          <w:i/>
          <w:iCs/>
          <w:color w:val="000000" w:themeColor="text1"/>
          <w:sz w:val="18"/>
          <w:szCs w:val="18"/>
          <w:vertAlign w:val="subscript"/>
        </w:rPr>
        <w:t>b</w:t>
      </w:r>
      <w:r w:rsidRPr="00CA46DB">
        <w:rPr>
          <w:rFonts w:cstheme="minorHAnsi"/>
          <w:i/>
          <w:color w:val="000000" w:themeColor="text1"/>
          <w:sz w:val="18"/>
          <w:szCs w:val="18"/>
          <w:vertAlign w:val="subscript"/>
        </w:rPr>
        <w:t xml:space="preserve"> </w:t>
      </w:r>
      <w:r w:rsidRPr="00CA46DB">
        <w:rPr>
          <w:rFonts w:cstheme="minorHAnsi"/>
          <w:color w:val="000000" w:themeColor="text1"/>
          <w:sz w:val="18"/>
          <w:szCs w:val="18"/>
        </w:rPr>
        <w:t xml:space="preserve">and </w:t>
      </w:r>
      <w:r w:rsidRPr="00CA46DB">
        <w:rPr>
          <w:rFonts w:cstheme="minorHAnsi"/>
          <w:i/>
          <w:iCs/>
          <w:color w:val="000000" w:themeColor="text1"/>
          <w:sz w:val="18"/>
          <w:szCs w:val="18"/>
        </w:rPr>
        <w:t>U</w:t>
      </w:r>
      <w:r w:rsidRPr="00CA46DB">
        <w:rPr>
          <w:rFonts w:cstheme="minorHAnsi"/>
          <w:color w:val="000000" w:themeColor="text1"/>
          <w:sz w:val="18"/>
          <w:szCs w:val="18"/>
          <w:vertAlign w:val="subscript"/>
        </w:rPr>
        <w:t>e</w:t>
      </w:r>
      <w:r w:rsidRPr="00CA46DB">
        <w:rPr>
          <w:rFonts w:cstheme="minorHAnsi"/>
          <w:color w:val="000000" w:themeColor="text1"/>
          <w:sz w:val="18"/>
          <w:szCs w:val="18"/>
        </w:rPr>
        <w:t>.</w:t>
      </w:r>
      <w:r w:rsidRPr="00CA46DB">
        <w:rPr>
          <w:rFonts w:cstheme="minorHAnsi"/>
          <w:color w:val="000000" w:themeColor="text1"/>
          <w:sz w:val="18"/>
          <w:szCs w:val="18"/>
          <w:vertAlign w:val="superscript"/>
        </w:rPr>
        <w:t>102</w:t>
      </w:r>
    </w:p>
    <w:p w14:paraId="374765A2" w14:textId="77777777" w:rsidR="00FC2A41" w:rsidRPr="00CA46DB" w:rsidRDefault="00FC2A41">
      <w:pPr>
        <w:tabs>
          <w:tab w:val="left" w:pos="3462"/>
        </w:tabs>
        <w:spacing w:after="0" w:line="240" w:lineRule="exact"/>
        <w:jc w:val="both"/>
        <w:rPr>
          <w:rFonts w:cstheme="minorHAnsi"/>
          <w:color w:val="000000" w:themeColor="text1"/>
          <w:sz w:val="18"/>
          <w:szCs w:val="18"/>
          <w:vertAlign w:val="superscript"/>
        </w:rPr>
        <w:sectPr w:rsidR="00FC2A41" w:rsidRPr="00CA46DB">
          <w:type w:val="continuous"/>
          <w:pgSz w:w="11907" w:h="16840"/>
          <w:pgMar w:top="1009" w:right="851" w:bottom="1758" w:left="851" w:header="851" w:footer="1049" w:gutter="0"/>
          <w:cols w:space="227"/>
          <w:docGrid w:linePitch="360"/>
        </w:sectPr>
      </w:pPr>
    </w:p>
    <w:p w14:paraId="4912C3C1" w14:textId="77777777" w:rsidR="00FC2A41" w:rsidRPr="00CA46DB" w:rsidRDefault="00166212">
      <w:pPr>
        <w:tabs>
          <w:tab w:val="left" w:pos="3462"/>
        </w:tabs>
        <w:spacing w:after="0" w:line="240" w:lineRule="exact"/>
        <w:jc w:val="both"/>
        <w:rPr>
          <w:rFonts w:cstheme="minorHAnsi"/>
          <w:color w:val="000000" w:themeColor="text1"/>
          <w:sz w:val="18"/>
          <w:szCs w:val="18"/>
        </w:rPr>
      </w:pPr>
      <w:r w:rsidRPr="00CA46DB">
        <w:rPr>
          <w:rFonts w:cstheme="minorHAnsi"/>
          <w:color w:val="000000" w:themeColor="text1"/>
          <w:sz w:val="18"/>
          <w:szCs w:val="18"/>
        </w:rPr>
        <w:lastRenderedPageBreak/>
        <w:t>self-assembly and hot-pressing technology.</w:t>
      </w:r>
      <w:r w:rsidRPr="00CA46DB">
        <w:rPr>
          <w:rFonts w:cstheme="minorHAnsi"/>
          <w:color w:val="000000" w:themeColor="text1"/>
          <w:sz w:val="18"/>
          <w:szCs w:val="18"/>
          <w:vertAlign w:val="superscript"/>
        </w:rPr>
        <w:t>116</w:t>
      </w:r>
      <w:r w:rsidRPr="00CA46DB">
        <w:rPr>
          <w:rFonts w:cstheme="minorHAnsi"/>
          <w:color w:val="000000" w:themeColor="text1"/>
          <w:sz w:val="18"/>
          <w:szCs w:val="18"/>
        </w:rPr>
        <w:t xml:space="preserve"> The oriented distribution of BNNS and the thermal conduction bridge formed by introducing AgNW achieved a significant improvement in thermal conductivity. In addition, the nanocomposites maintained excellent electrical insulation properties and improved dimensional stability.</w:t>
      </w:r>
    </w:p>
    <w:p w14:paraId="6FEC9D06" w14:textId="77777777" w:rsidR="00FC2A41" w:rsidRPr="00CA46DB" w:rsidRDefault="00166212">
      <w:pPr>
        <w:tabs>
          <w:tab w:val="left" w:pos="3462"/>
        </w:tabs>
        <w:spacing w:before="400" w:after="80" w:line="240" w:lineRule="auto"/>
        <w:rPr>
          <w:rFonts w:cstheme="minorHAnsi"/>
          <w:color w:val="000000" w:themeColor="text1"/>
          <w:sz w:val="24"/>
          <w:szCs w:val="24"/>
          <w:lang w:eastAsia="zh-Hans"/>
        </w:rPr>
      </w:pPr>
      <w:r w:rsidRPr="00CA46DB">
        <w:rPr>
          <w:rFonts w:cstheme="minorHAnsi"/>
          <w:b/>
          <w:bCs/>
          <w:color w:val="000000" w:themeColor="text1"/>
          <w:sz w:val="24"/>
          <w:szCs w:val="24"/>
        </w:rPr>
        <w:t xml:space="preserve">5. </w:t>
      </w:r>
      <w:r w:rsidRPr="00CA46DB">
        <w:rPr>
          <w:rFonts w:cstheme="minorHAnsi"/>
          <w:b/>
          <w:bCs/>
          <w:color w:val="000000" w:themeColor="text1"/>
          <w:sz w:val="24"/>
          <w:szCs w:val="24"/>
          <w:lang w:eastAsia="zh-Hans"/>
        </w:rPr>
        <w:t>The device of PI</w:t>
      </w:r>
    </w:p>
    <w:p w14:paraId="6350EE2E" w14:textId="77777777" w:rsidR="00FC2A41" w:rsidRPr="00CA46DB" w:rsidRDefault="00166212">
      <w:pPr>
        <w:tabs>
          <w:tab w:val="left" w:pos="3462"/>
        </w:tabs>
        <w:spacing w:after="0" w:line="240" w:lineRule="exact"/>
        <w:jc w:val="both"/>
        <w:rPr>
          <w:rFonts w:cstheme="minorHAnsi"/>
          <w:color w:val="000000" w:themeColor="text1"/>
          <w:sz w:val="18"/>
          <w:szCs w:val="18"/>
          <w:lang w:eastAsia="zh-Hans"/>
        </w:rPr>
      </w:pPr>
      <w:r w:rsidRPr="00CA46DB">
        <w:rPr>
          <w:rFonts w:cstheme="minorHAnsi"/>
          <w:color w:val="000000" w:themeColor="text1"/>
          <w:sz w:val="18"/>
          <w:szCs w:val="18"/>
          <w:lang w:eastAsia="zh-Hans"/>
        </w:rPr>
        <w:t>As an excellent polymer, PI, due to its outstanding high temperature resistance, flexibility, and ease of synthesis, has made great progress in both structural and functional materials, especially in the field of energy utilization. In the energy conversion field, PI has been fabricated into devices. For example, H</w:t>
      </w:r>
      <w:r w:rsidRPr="00CA46DB">
        <w:rPr>
          <w:rFonts w:cstheme="minorHAnsi"/>
          <w:color w:val="000000" w:themeColor="text1"/>
          <w:sz w:val="18"/>
          <w:szCs w:val="18"/>
        </w:rPr>
        <w:t>e</w:t>
      </w:r>
      <w:r w:rsidRPr="00CA46DB">
        <w:rPr>
          <w:rFonts w:cstheme="minorHAnsi"/>
          <w:color w:val="000000" w:themeColor="text1"/>
          <w:sz w:val="18"/>
          <w:szCs w:val="18"/>
          <w:lang w:eastAsia="zh-Hans"/>
        </w:rPr>
        <w:t xml:space="preserve"> et al. reported a new type of dynamic piezo-thermoelectric generator, in which Bi</w:t>
      </w:r>
      <w:r w:rsidRPr="00CA46DB">
        <w:rPr>
          <w:rFonts w:cstheme="minorHAnsi"/>
          <w:color w:val="000000" w:themeColor="text1"/>
          <w:sz w:val="18"/>
          <w:szCs w:val="18"/>
          <w:vertAlign w:val="subscript"/>
          <w:lang w:eastAsia="zh-Hans"/>
        </w:rPr>
        <w:t>2</w:t>
      </w:r>
      <w:r w:rsidRPr="00CA46DB">
        <w:rPr>
          <w:rFonts w:cstheme="minorHAnsi"/>
          <w:color w:val="000000" w:themeColor="text1"/>
          <w:sz w:val="18"/>
          <w:szCs w:val="18"/>
          <w:lang w:eastAsia="zh-Hans"/>
        </w:rPr>
        <w:t>Te</w:t>
      </w:r>
      <w:r w:rsidRPr="00CA46DB">
        <w:rPr>
          <w:rFonts w:cstheme="minorHAnsi"/>
          <w:color w:val="000000" w:themeColor="text1"/>
          <w:sz w:val="18"/>
          <w:szCs w:val="18"/>
          <w:vertAlign w:val="subscript"/>
          <w:lang w:eastAsia="zh-Hans"/>
        </w:rPr>
        <w:t>3</w:t>
      </w:r>
      <w:r w:rsidRPr="00CA46DB">
        <w:rPr>
          <w:rFonts w:cstheme="minorHAnsi"/>
          <w:color w:val="000000" w:themeColor="text1"/>
          <w:sz w:val="18"/>
          <w:szCs w:val="18"/>
          <w:lang w:eastAsia="zh-Hans"/>
        </w:rPr>
        <w:t xml:space="preserve"> based devices supported by the flexible PI substrate was fixed on the outer surface of a copper tube to form an annular multi-stage energy converter.</w:t>
      </w:r>
      <w:r w:rsidRPr="00CA46DB">
        <w:rPr>
          <w:rFonts w:cstheme="minorHAnsi"/>
          <w:color w:val="000000" w:themeColor="text1"/>
          <w:sz w:val="18"/>
          <w:szCs w:val="18"/>
          <w:vertAlign w:val="superscript"/>
          <w:lang w:eastAsia="zh-Hans"/>
        </w:rPr>
        <w:t>117</w:t>
      </w:r>
      <w:r w:rsidRPr="00CA46DB">
        <w:rPr>
          <w:rFonts w:cstheme="minorHAnsi"/>
          <w:color w:val="000000" w:themeColor="text1"/>
          <w:sz w:val="18"/>
          <w:szCs w:val="18"/>
          <w:lang w:eastAsia="zh-Hans"/>
        </w:rPr>
        <w:t xml:space="preserve"> The generator provided a feasible solution to utilize the low-grade mechanical/thermal energy and industrial waste heat of heating fluids. A high-performance flexible thermoelectric device with PI as the substrate was also introduced, which can be used in self-powered wearable mechatronics and flexible chip cooling in the Internet of Things. Liu et al. designed and manufactured a wearable thermoelectric generator that used flexible Cu/PI electrodes.</w:t>
      </w:r>
      <w:r w:rsidRPr="00CA46DB">
        <w:rPr>
          <w:rFonts w:cstheme="minorHAnsi"/>
          <w:color w:val="000000" w:themeColor="text1"/>
          <w:sz w:val="18"/>
          <w:szCs w:val="18"/>
          <w:vertAlign w:val="superscript"/>
          <w:lang w:eastAsia="zh-Hans"/>
        </w:rPr>
        <w:t>118</w:t>
      </w:r>
      <w:r w:rsidRPr="00CA46DB">
        <w:rPr>
          <w:rFonts w:cstheme="minorHAnsi"/>
          <w:color w:val="000000" w:themeColor="text1"/>
          <w:sz w:val="18"/>
          <w:szCs w:val="18"/>
          <w:lang w:eastAsia="zh-Hans"/>
        </w:rPr>
        <w:t xml:space="preserve"> The device achieved a high peak power density of 13.8 mW</w:t>
      </w:r>
      <w:r w:rsidRPr="00CA46DB">
        <w:rPr>
          <w:rFonts w:cstheme="minorHAnsi"/>
          <w:color w:val="000000" w:themeColor="text1"/>
          <w:sz w:val="18"/>
          <w:szCs w:val="18"/>
        </w:rPr>
        <w:t>·</w:t>
      </w:r>
      <w:r w:rsidRPr="00CA46DB">
        <w:rPr>
          <w:rFonts w:cstheme="minorHAnsi"/>
          <w:color w:val="000000" w:themeColor="text1"/>
          <w:sz w:val="18"/>
          <w:szCs w:val="18"/>
          <w:lang w:eastAsia="zh-Hans"/>
        </w:rPr>
        <w:t>cm</w:t>
      </w:r>
      <w:r w:rsidRPr="00CA46DB">
        <w:rPr>
          <w:rFonts w:cstheme="minorHAnsi"/>
          <w:color w:val="000000" w:themeColor="text1"/>
          <w:sz w:val="18"/>
          <w:szCs w:val="18"/>
          <w:vertAlign w:val="superscript"/>
        </w:rPr>
        <w:t>−</w:t>
      </w:r>
      <w:r w:rsidRPr="00CA46DB">
        <w:rPr>
          <w:rFonts w:cstheme="minorHAnsi"/>
          <w:color w:val="000000" w:themeColor="text1"/>
          <w:sz w:val="18"/>
          <w:szCs w:val="18"/>
          <w:vertAlign w:val="superscript"/>
          <w:lang w:eastAsia="zh-Hans"/>
        </w:rPr>
        <w:t>2</w:t>
      </w:r>
      <w:r w:rsidRPr="00CA46DB">
        <w:rPr>
          <w:rFonts w:cstheme="minorHAnsi"/>
          <w:color w:val="000000" w:themeColor="text1"/>
          <w:sz w:val="18"/>
          <w:szCs w:val="18"/>
          <w:lang w:eastAsia="zh-Hans"/>
        </w:rPr>
        <w:t xml:space="preserve"> at a temperature difference of 50 K. Moreover, it withstood 10,000 bending cycles, which indicated that the proposed wearable thermoelectric generator may provide real-time power supply for some applied wearable electronic products in the future.</w:t>
      </w:r>
    </w:p>
    <w:p w14:paraId="32CE566B" w14:textId="77777777" w:rsidR="00FC2A41" w:rsidRPr="00CA46DB" w:rsidRDefault="00166212">
      <w:pPr>
        <w:tabs>
          <w:tab w:val="left" w:pos="3462"/>
        </w:tabs>
        <w:spacing w:after="0" w:line="240" w:lineRule="exact"/>
        <w:ind w:firstLineChars="200" w:firstLine="360"/>
        <w:jc w:val="both"/>
        <w:rPr>
          <w:rFonts w:cstheme="minorHAnsi"/>
          <w:color w:val="000000" w:themeColor="text1"/>
          <w:sz w:val="18"/>
          <w:szCs w:val="18"/>
          <w:lang w:eastAsia="zh-Hans"/>
        </w:rPr>
      </w:pPr>
      <w:r w:rsidRPr="00CA46DB">
        <w:rPr>
          <w:rFonts w:cstheme="minorHAnsi"/>
          <w:color w:val="000000" w:themeColor="text1"/>
          <w:sz w:val="18"/>
          <w:szCs w:val="18"/>
          <w:lang w:eastAsia="zh-Hans"/>
        </w:rPr>
        <w:t xml:space="preserve">The current field of dielectric energy storage is mainly dominated by BOPP capacitor films. However, as mentioned in the previous part of the review, BOPP have a lot of drawbacks at high temperatures, forcing our research to focus on the development of PI. The academic and commercial circles have made a lot of efforts on the performance control and processing technology of PI dielectrics in this regard, as shown in Table 3. The synthesis of PI </w:t>
      </w:r>
      <w:r w:rsidRPr="00CA46DB">
        <w:rPr>
          <w:rFonts w:cstheme="minorHAnsi"/>
          <w:color w:val="000000" w:themeColor="text1"/>
          <w:sz w:val="18"/>
          <w:szCs w:val="18"/>
          <w:lang w:eastAsia="zh-Hans"/>
        </w:rPr>
        <w:br w:type="column"/>
      </w:r>
      <w:r w:rsidRPr="00CA46DB">
        <w:rPr>
          <w:rFonts w:cstheme="minorHAnsi"/>
          <w:color w:val="000000" w:themeColor="text1"/>
          <w:sz w:val="18"/>
          <w:szCs w:val="18"/>
          <w:lang w:eastAsia="zh-Hans"/>
        </w:rPr>
        <w:t>basically adopts the method</w:t>
      </w:r>
      <w:r w:rsidRPr="00CA46DB">
        <w:rPr>
          <w:rFonts w:cstheme="minorHAnsi"/>
          <w:color w:val="000000" w:themeColor="text1"/>
          <w:sz w:val="18"/>
          <w:szCs w:val="18"/>
        </w:rPr>
        <w:t>s</w:t>
      </w:r>
      <w:r w:rsidRPr="00CA46DB">
        <w:rPr>
          <w:rFonts w:cstheme="minorHAnsi"/>
          <w:color w:val="000000" w:themeColor="text1"/>
          <w:sz w:val="18"/>
          <w:szCs w:val="18"/>
          <w:lang w:eastAsia="zh-Hans"/>
        </w:rPr>
        <w:t xml:space="preserve"> of thermal imidization, and the highest imidization temperature is mostly above 300</w:t>
      </w:r>
      <w:r w:rsidRPr="00CA46DB">
        <w:rPr>
          <w:rFonts w:cstheme="minorHAnsi"/>
          <w:color w:val="000000" w:themeColor="text1"/>
          <w:sz w:val="18"/>
          <w:szCs w:val="18"/>
        </w:rPr>
        <w:t xml:space="preserve"> </w:t>
      </w:r>
      <w:r w:rsidRPr="00CA46DB">
        <w:rPr>
          <w:rFonts w:ascii="Cambria Math" w:hAnsi="Cambria Math" w:cs="Cambria Math"/>
          <w:color w:val="000000" w:themeColor="text1"/>
          <w:sz w:val="18"/>
          <w:szCs w:val="18"/>
        </w:rPr>
        <w:t>℃</w:t>
      </w:r>
      <w:r w:rsidRPr="00CA46DB">
        <w:rPr>
          <w:rFonts w:cstheme="minorHAnsi"/>
          <w:color w:val="000000" w:themeColor="text1"/>
          <w:sz w:val="18"/>
          <w:szCs w:val="18"/>
          <w:lang w:eastAsia="zh-Hans"/>
        </w:rPr>
        <w:t xml:space="preserve">. This may be to obtain a dense structure of PI film and ensure that the PI has a sufficiently high degree of imidization. In addition to traditional solution casting methods, new PI film preparation methods such as CVD and freeze casting techniques have also begun to emerge. In terms of performance improvement, the joint adjustment mechanism of </w:t>
      </w:r>
      <w:r w:rsidRPr="00CA46DB">
        <w:rPr>
          <w:rFonts w:cstheme="minorHAnsi"/>
          <w:i/>
          <w:iCs/>
          <w:color w:val="000000" w:themeColor="text1"/>
          <w:sz w:val="18"/>
          <w:szCs w:val="18"/>
          <w:lang w:eastAsia="zh-Hans"/>
        </w:rPr>
        <w:t>E</w:t>
      </w:r>
      <w:r w:rsidRPr="00CA46DB">
        <w:rPr>
          <w:rFonts w:cstheme="minorHAnsi"/>
          <w:color w:val="000000" w:themeColor="text1"/>
          <w:sz w:val="18"/>
          <w:szCs w:val="18"/>
          <w:vertAlign w:val="subscript"/>
          <w:lang w:eastAsia="zh-Hans"/>
        </w:rPr>
        <w:t>b</w:t>
      </w:r>
      <w:r w:rsidRPr="00CA46DB">
        <w:rPr>
          <w:rFonts w:cstheme="minorHAnsi"/>
          <w:color w:val="000000" w:themeColor="text1"/>
          <w:sz w:val="18"/>
          <w:szCs w:val="18"/>
          <w:lang w:eastAsia="zh-Hans"/>
        </w:rPr>
        <w:t>, ε</w:t>
      </w:r>
      <w:r w:rsidRPr="00CA46DB">
        <w:rPr>
          <w:rFonts w:cstheme="minorHAnsi"/>
          <w:color w:val="000000" w:themeColor="text1"/>
          <w:sz w:val="18"/>
          <w:szCs w:val="18"/>
          <w:vertAlign w:val="subscript"/>
          <w:lang w:eastAsia="zh-Hans"/>
        </w:rPr>
        <w:t>r</w:t>
      </w:r>
      <w:r w:rsidRPr="00CA46DB">
        <w:rPr>
          <w:rFonts w:cstheme="minorHAnsi"/>
          <w:color w:val="000000" w:themeColor="text1"/>
          <w:sz w:val="18"/>
          <w:szCs w:val="18"/>
          <w:lang w:eastAsia="zh-Hans"/>
        </w:rPr>
        <w:t>, and tan</w:t>
      </w:r>
      <w:r w:rsidRPr="00CA46DB">
        <w:rPr>
          <w:rFonts w:cstheme="minorHAnsi"/>
          <w:i/>
          <w:iCs/>
          <w:color w:val="000000" w:themeColor="text1"/>
          <w:sz w:val="18"/>
          <w:szCs w:val="18"/>
          <w:lang w:eastAsia="zh-Hans"/>
        </w:rPr>
        <w:t>δ</w:t>
      </w:r>
      <w:r w:rsidRPr="00CA46DB">
        <w:rPr>
          <w:rFonts w:cstheme="minorHAnsi"/>
          <w:color w:val="000000" w:themeColor="text1"/>
          <w:sz w:val="18"/>
          <w:szCs w:val="18"/>
          <w:lang w:eastAsia="zh-Hans"/>
        </w:rPr>
        <w:t xml:space="preserve"> still requires continuous attention. From the perspective of application, the performance</w:t>
      </w:r>
      <w:r w:rsidRPr="00CA46DB">
        <w:rPr>
          <w:rFonts w:cstheme="minorHAnsi"/>
          <w:color w:val="000000" w:themeColor="text1"/>
          <w:sz w:val="18"/>
          <w:szCs w:val="18"/>
        </w:rPr>
        <w:t>s</w:t>
      </w:r>
      <w:r w:rsidRPr="00CA46DB">
        <w:rPr>
          <w:rFonts w:cstheme="minorHAnsi"/>
          <w:color w:val="000000" w:themeColor="text1"/>
          <w:sz w:val="18"/>
          <w:szCs w:val="18"/>
          <w:lang w:eastAsia="zh-Hans"/>
        </w:rPr>
        <w:t xml:space="preserve"> of the new all-organic PI and PI nanocomposites summarized in this review ha</w:t>
      </w:r>
      <w:r w:rsidRPr="00CA46DB">
        <w:rPr>
          <w:rFonts w:cstheme="minorHAnsi"/>
          <w:color w:val="000000" w:themeColor="text1"/>
          <w:sz w:val="18"/>
          <w:szCs w:val="18"/>
        </w:rPr>
        <w:t>ve</w:t>
      </w:r>
      <w:r w:rsidRPr="00CA46DB">
        <w:rPr>
          <w:rFonts w:cstheme="minorHAnsi"/>
          <w:color w:val="000000" w:themeColor="text1"/>
          <w:sz w:val="18"/>
          <w:szCs w:val="18"/>
          <w:lang w:eastAsia="zh-Hans"/>
        </w:rPr>
        <w:t xml:space="preserve"> been greatly improved, but there is no matching large-scale preparation equipment and commercial-level capacitor assembly technology. This is one of the reasons hinder</w:t>
      </w:r>
      <w:r w:rsidRPr="00CA46DB">
        <w:rPr>
          <w:rFonts w:cstheme="minorHAnsi" w:hint="eastAsia"/>
          <w:color w:val="000000" w:themeColor="text1"/>
          <w:sz w:val="18"/>
          <w:szCs w:val="18"/>
          <w:lang w:eastAsia="zh-CN"/>
        </w:rPr>
        <w:t>ing</w:t>
      </w:r>
      <w:r w:rsidRPr="00CA46DB">
        <w:rPr>
          <w:rFonts w:cstheme="minorHAnsi"/>
          <w:color w:val="000000" w:themeColor="text1"/>
          <w:sz w:val="18"/>
          <w:szCs w:val="18"/>
          <w:lang w:eastAsia="zh-Hans"/>
        </w:rPr>
        <w:t xml:space="preserve"> the realization of commercial-grade PI capacitor assembly technology. We look forward to overcoming th</w:t>
      </w:r>
      <w:r w:rsidRPr="00CA46DB">
        <w:rPr>
          <w:rFonts w:cstheme="minorHAnsi" w:hint="eastAsia"/>
          <w:color w:val="000000" w:themeColor="text1"/>
          <w:sz w:val="18"/>
          <w:szCs w:val="18"/>
          <w:lang w:eastAsia="zh-CN"/>
        </w:rPr>
        <w:t>e</w:t>
      </w:r>
      <w:r w:rsidRPr="00CA46DB">
        <w:rPr>
          <w:rFonts w:cstheme="minorHAnsi"/>
          <w:color w:val="000000" w:themeColor="text1"/>
          <w:sz w:val="18"/>
          <w:szCs w:val="18"/>
          <w:lang w:eastAsia="zh-Hans"/>
        </w:rPr>
        <w:t xml:space="preserve"> challenges to apply PI dielectrics </w:t>
      </w:r>
      <w:r w:rsidRPr="00CA46DB">
        <w:rPr>
          <w:rFonts w:cstheme="minorHAnsi"/>
          <w:color w:val="000000" w:themeColor="text1"/>
          <w:sz w:val="18"/>
          <w:szCs w:val="18"/>
        </w:rPr>
        <w:t>in</w:t>
      </w:r>
      <w:r w:rsidRPr="00CA46DB">
        <w:rPr>
          <w:rFonts w:cstheme="minorHAnsi"/>
          <w:color w:val="000000" w:themeColor="text1"/>
          <w:sz w:val="18"/>
          <w:szCs w:val="18"/>
          <w:lang w:eastAsia="zh-Hans"/>
        </w:rPr>
        <w:t>to film capacitors (such as Winding capacitors and Embedded capacitors</w:t>
      </w:r>
      <w:r w:rsidRPr="00CA46DB">
        <w:rPr>
          <w:rFonts w:cstheme="minorHAnsi"/>
          <w:color w:val="000000" w:themeColor="text1"/>
          <w:sz w:val="18"/>
          <w:szCs w:val="18"/>
        </w:rPr>
        <w:t xml:space="preserve"> </w:t>
      </w:r>
      <w:r w:rsidRPr="00CA46DB">
        <w:rPr>
          <w:rFonts w:cstheme="minorHAnsi"/>
          <w:i/>
          <w:iCs/>
          <w:color w:val="000000" w:themeColor="text1"/>
          <w:sz w:val="18"/>
          <w:szCs w:val="18"/>
        </w:rPr>
        <w:t>etc</w:t>
      </w:r>
      <w:r w:rsidRPr="00CA46DB">
        <w:rPr>
          <w:rFonts w:cstheme="minorHAnsi"/>
          <w:color w:val="000000" w:themeColor="text1"/>
          <w:sz w:val="18"/>
          <w:szCs w:val="18"/>
        </w:rPr>
        <w:t>.</w:t>
      </w:r>
      <w:r w:rsidRPr="00CA46DB">
        <w:rPr>
          <w:rFonts w:cstheme="minorHAnsi"/>
          <w:color w:val="000000" w:themeColor="text1"/>
          <w:sz w:val="18"/>
          <w:szCs w:val="18"/>
          <w:lang w:eastAsia="zh-Hans"/>
        </w:rPr>
        <w:t xml:space="preserve">) and organic thin film transistors, </w:t>
      </w:r>
      <w:r w:rsidRPr="00CA46DB">
        <w:rPr>
          <w:rFonts w:cstheme="minorHAnsi"/>
          <w:color w:val="000000" w:themeColor="text1"/>
          <w:sz w:val="18"/>
          <w:szCs w:val="18"/>
        </w:rPr>
        <w:t xml:space="preserve">as </w:t>
      </w:r>
      <w:r w:rsidRPr="00CA46DB">
        <w:rPr>
          <w:rFonts w:cstheme="minorHAnsi"/>
          <w:color w:val="000000" w:themeColor="text1"/>
          <w:sz w:val="18"/>
          <w:szCs w:val="18"/>
          <w:lang w:eastAsia="zh-Hans"/>
        </w:rPr>
        <w:t>shown in Fig. 19. In general, there have not been enough attempts to realize PI capacitor devices. From laboratory research results to commercial products, every step here requires a lot of technical effort and interdisciplinary coordination. Fortunately, various research institutions and companies have understood the necessity of developing large-scale high-temperature-resistant dielectric films and capacitor devices.</w:t>
      </w:r>
    </w:p>
    <w:p w14:paraId="30D61C71" w14:textId="77777777" w:rsidR="00FC2A41" w:rsidRPr="00CA46DB" w:rsidRDefault="00166212">
      <w:pPr>
        <w:tabs>
          <w:tab w:val="left" w:pos="3462"/>
        </w:tabs>
        <w:spacing w:before="400" w:after="80" w:line="240" w:lineRule="auto"/>
        <w:rPr>
          <w:rFonts w:cstheme="minorHAnsi"/>
          <w:b/>
          <w:bCs/>
          <w:color w:val="000000" w:themeColor="text1"/>
          <w:sz w:val="24"/>
          <w:szCs w:val="24"/>
        </w:rPr>
      </w:pPr>
      <w:r w:rsidRPr="00CA46DB">
        <w:rPr>
          <w:rFonts w:cstheme="minorHAnsi"/>
          <w:b/>
          <w:bCs/>
          <w:color w:val="000000" w:themeColor="text1"/>
          <w:sz w:val="24"/>
          <w:szCs w:val="24"/>
        </w:rPr>
        <w:t>6. Summary and outlook</w:t>
      </w:r>
    </w:p>
    <w:p w14:paraId="210DDF2A" w14:textId="77777777" w:rsidR="00FC2A41" w:rsidRPr="00CA46DB" w:rsidRDefault="00166212">
      <w:pPr>
        <w:tabs>
          <w:tab w:val="left" w:pos="3462"/>
        </w:tabs>
        <w:spacing w:after="0" w:line="240" w:lineRule="exact"/>
        <w:jc w:val="both"/>
        <w:rPr>
          <w:rFonts w:cstheme="minorHAnsi"/>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r w:rsidRPr="00CA46DB">
        <w:rPr>
          <w:rFonts w:cstheme="minorHAnsi"/>
          <w:color w:val="000000" w:themeColor="text1"/>
          <w:sz w:val="18"/>
          <w:szCs w:val="18"/>
        </w:rPr>
        <w:t xml:space="preserve">In the past few years, the research on the energy storage performances of intrinsic PI and PI composites has been intensified from the macro-scale to the micro-scale, especially at high temperatures. The focus of PI dielectric energy storage performance improvement has always been on the enhancement of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and</w:t>
      </w:r>
      <w:r w:rsidRPr="00CA46DB">
        <w:rPr>
          <w:rFonts w:cstheme="minorHAnsi"/>
          <w:color w:val="000000" w:themeColor="text1"/>
          <w:sz w:val="18"/>
          <w:szCs w:val="18"/>
          <w:lang w:eastAsia="zh-Hans"/>
        </w:rPr>
        <w:t xml:space="preserv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xml:space="preserve">, but it has paid a price in terms of energy loss, cost and processability. And from basic research to large-scale applications, its future still has a long way to go. Through reviewing previous work and looking forward to the future, it is believed that these </w:t>
      </w:r>
    </w:p>
    <w:p w14:paraId="2C370602" w14:textId="77777777" w:rsidR="00FC2A41" w:rsidRPr="00CA46DB" w:rsidRDefault="00166212">
      <w:pPr>
        <w:tabs>
          <w:tab w:val="left" w:pos="3462"/>
        </w:tabs>
        <w:spacing w:after="0" w:line="240" w:lineRule="exact"/>
        <w:jc w:val="both"/>
        <w:rPr>
          <w:rFonts w:cstheme="minorHAnsi"/>
          <w:color w:val="000000" w:themeColor="text1"/>
          <w:sz w:val="18"/>
          <w:szCs w:val="18"/>
        </w:rPr>
      </w:pPr>
      <w:r w:rsidRPr="00CA46DB">
        <w:rPr>
          <w:rFonts w:cstheme="minorHAnsi"/>
          <w:noProof/>
          <w:color w:val="000000" w:themeColor="text1"/>
          <w:sz w:val="18"/>
          <w:szCs w:val="18"/>
          <w:lang w:eastAsia="zh-CN"/>
        </w:rPr>
        <w:drawing>
          <wp:anchor distT="0" distB="0" distL="114300" distR="114300" simplePos="0" relativeHeight="251681792" behindDoc="1" locked="0" layoutInCell="1" allowOverlap="1" wp14:anchorId="081EBA03" wp14:editId="1DD2B951">
            <wp:simplePos x="0" y="0"/>
            <wp:positionH relativeFrom="column">
              <wp:posOffset>548640</wp:posOffset>
            </wp:positionH>
            <wp:positionV relativeFrom="paragraph">
              <wp:posOffset>217170</wp:posOffset>
            </wp:positionV>
            <wp:extent cx="5186680" cy="2601595"/>
            <wp:effectExtent l="0" t="0" r="0" b="0"/>
            <wp:wrapTight wrapText="bothSides">
              <wp:wrapPolygon edited="0">
                <wp:start x="-1824" y="0"/>
                <wp:lineTo x="-1792" y="21600"/>
                <wp:lineTo x="24470" y="21600"/>
                <wp:lineTo x="24502" y="0"/>
                <wp:lineTo x="-1824" y="0"/>
              </wp:wrapPolygon>
            </wp:wrapTight>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186680" cy="2601595"/>
                    </a:xfrm>
                    <a:prstGeom prst="rect">
                      <a:avLst/>
                    </a:prstGeom>
                  </pic:spPr>
                </pic:pic>
              </a:graphicData>
            </a:graphic>
          </wp:anchor>
        </w:drawing>
      </w:r>
      <w:r w:rsidRPr="00CA46DB">
        <w:rPr>
          <w:rFonts w:ascii="Calibri" w:eastAsia="SimSun" w:hAnsi="Calibri" w:cs="Calibri"/>
          <w:noProof/>
          <w:color w:val="000000" w:themeColor="text1"/>
          <w:lang w:eastAsia="zh-CN"/>
        </w:rPr>
        <mc:AlternateContent>
          <mc:Choice Requires="wpg">
            <w:drawing>
              <wp:inline distT="0" distB="0" distL="0" distR="0" wp14:anchorId="381C230E" wp14:editId="2A79A6A1">
                <wp:extent cx="6480175" cy="10795"/>
                <wp:effectExtent l="0" t="0" r="0" b="0"/>
                <wp:docPr id="47" name="Group 4178"/>
                <wp:cNvGraphicFramePr/>
                <a:graphic xmlns:a="http://schemas.openxmlformats.org/drawingml/2006/main">
                  <a:graphicData uri="http://schemas.microsoft.com/office/word/2010/wordprocessingGroup">
                    <wpg:wgp>
                      <wpg:cNvGrpSpPr/>
                      <wpg:grpSpPr>
                        <a:xfrm>
                          <a:off x="0" y="0"/>
                          <a:ext cx="6480175" cy="10795"/>
                          <a:chOff x="0" y="0"/>
                          <a:chExt cx="6692405" cy="18974"/>
                        </a:xfrm>
                      </wpg:grpSpPr>
                      <wps:wsp>
                        <wps:cNvPr id="48" name="Shape 4839"/>
                        <wps:cNvSpPr/>
                        <wps:spPr>
                          <a:xfrm>
                            <a:off x="0" y="0"/>
                            <a:ext cx="6692405" cy="18974"/>
                          </a:xfrm>
                          <a:custGeom>
                            <a:avLst/>
                            <a:gdLst/>
                            <a:ahLst/>
                            <a:cxnLst/>
                            <a:rect l="0" t="0" r="0" b="0"/>
                            <a:pathLst>
                              <a:path w="6692405" h="18974">
                                <a:moveTo>
                                  <a:pt x="0" y="0"/>
                                </a:moveTo>
                                <a:lnTo>
                                  <a:pt x="6692405" y="0"/>
                                </a:lnTo>
                                <a:lnTo>
                                  <a:pt x="6692405" y="18974"/>
                                </a:lnTo>
                                <a:lnTo>
                                  <a:pt x="0" y="18974"/>
                                </a:lnTo>
                                <a:lnTo>
                                  <a:pt x="0" y="0"/>
                                </a:lnTo>
                              </a:path>
                            </a:pathLst>
                          </a:custGeom>
                          <a:solidFill>
                            <a:srgbClr val="DED9C9"/>
                          </a:solidFill>
                          <a:ln w="0" cap="flat">
                            <a:noFill/>
                            <a:miter lim="127000"/>
                          </a:ln>
                          <a:effectLst/>
                        </wps:spPr>
                        <wps:bodyPr/>
                      </wps:wsp>
                    </wpg:wgp>
                  </a:graphicData>
                </a:graphic>
              </wp:inline>
            </w:drawing>
          </mc:Choice>
          <mc:Fallback>
            <w:pict>
              <v:group w14:anchorId="1D4CED79" id="Group 4178" o:spid="_x0000_s1026" style="width:510.25pt;height:.85pt;mso-position-horizontal-relative:char;mso-position-vertical-relative:line" coordsize="6692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">
                <v:shape id="Shape 4839" o:spid="_x0000_s1027" style="position:absolute;width:66924;height:189;visibility:visible;mso-wrap-style:square;v-text-anchor:top" coordsize="6692405,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" path="m,l6692405,r,18974l,18974,,e" fillcolor="#ded9c9" stroked="f" strokeweight="0">
                  <v:stroke miterlimit="83231f" joinstyle="miter"/>
                  <v:path arrowok="t" textboxrect="0,0,6692405,18974"/>
                </v:shape>
                <w10:anchorlock/>
              </v:group>
            </w:pict>
          </mc:Fallback>
        </mc:AlternateContent>
      </w:r>
    </w:p>
    <w:p w14:paraId="55EE3399" w14:textId="77777777" w:rsidR="00FC2A41" w:rsidRPr="00CA46DB" w:rsidRDefault="00FC2A41">
      <w:pPr>
        <w:tabs>
          <w:tab w:val="left" w:pos="3462"/>
        </w:tabs>
        <w:spacing w:after="0" w:line="240" w:lineRule="exact"/>
        <w:jc w:val="both"/>
        <w:rPr>
          <w:rFonts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2E3E4941" w14:textId="77777777" w:rsidR="00FC2A41" w:rsidRPr="00CA46DB" w:rsidRDefault="00166212">
      <w:pPr>
        <w:tabs>
          <w:tab w:val="left" w:pos="3462"/>
        </w:tabs>
        <w:spacing w:after="0" w:line="240" w:lineRule="exact"/>
        <w:jc w:val="both"/>
        <w:rPr>
          <w:rFonts w:ascii="Times New Roman Regular" w:hAnsi="Times New Roman Regular" w:cs="Times New Roman Regular"/>
          <w:color w:val="000000" w:themeColor="text1"/>
          <w:sz w:val="24"/>
        </w:rPr>
      </w:pPr>
      <w:r w:rsidRPr="00CA46DB">
        <w:rPr>
          <w:rFonts w:cstheme="minorHAnsi"/>
          <w:color w:val="000000" w:themeColor="text1"/>
          <w:sz w:val="18"/>
          <w:szCs w:val="18"/>
        </w:rPr>
        <w:t xml:space="preserve">Fig. 19. </w:t>
      </w:r>
      <w:r w:rsidRPr="00CA46DB">
        <w:rPr>
          <w:rFonts w:cstheme="minorHAnsi"/>
          <w:color w:val="000000" w:themeColor="text1"/>
          <w:sz w:val="18"/>
          <w:szCs w:val="18"/>
          <w:lang w:eastAsia="zh-Hans"/>
        </w:rPr>
        <w:t>The challenges and the devices of PI dielectrics in the future.</w:t>
      </w:r>
    </w:p>
    <w:p w14:paraId="268CFFD5" w14:textId="77777777" w:rsidR="00FC2A41" w:rsidRPr="00CA46DB" w:rsidRDefault="00FC2A41">
      <w:pPr>
        <w:tabs>
          <w:tab w:val="left" w:pos="3462"/>
        </w:tabs>
        <w:spacing w:after="0" w:line="240" w:lineRule="exact"/>
        <w:ind w:firstLineChars="200" w:firstLine="360"/>
        <w:jc w:val="both"/>
        <w:rPr>
          <w:rFonts w:cstheme="minorHAnsi"/>
          <w:color w:val="000000" w:themeColor="text1"/>
          <w:sz w:val="18"/>
          <w:szCs w:val="18"/>
        </w:rPr>
        <w:sectPr w:rsidR="00FC2A41" w:rsidRPr="00CA46DB">
          <w:type w:val="continuous"/>
          <w:pgSz w:w="11907" w:h="16840"/>
          <w:pgMar w:top="1009" w:right="851" w:bottom="1758" w:left="851" w:header="851" w:footer="1049" w:gutter="0"/>
          <w:cols w:space="227"/>
          <w:docGrid w:linePitch="360"/>
        </w:sectPr>
      </w:pPr>
    </w:p>
    <w:p w14:paraId="0A3F5138" w14:textId="77777777" w:rsidR="00FC2A41" w:rsidRPr="00CA46DB" w:rsidRDefault="00FC2A41">
      <w:pPr>
        <w:tabs>
          <w:tab w:val="left" w:pos="3462"/>
        </w:tabs>
        <w:spacing w:after="0" w:line="240" w:lineRule="exact"/>
        <w:ind w:firstLineChars="200" w:firstLine="360"/>
        <w:jc w:val="both"/>
        <w:rPr>
          <w:rFonts w:cstheme="minorHAnsi"/>
          <w:color w:val="000000" w:themeColor="text1"/>
          <w:sz w:val="18"/>
          <w:szCs w:val="18"/>
        </w:rPr>
        <w:sectPr w:rsidR="00FC2A41" w:rsidRPr="00CA46DB">
          <w:type w:val="continuous"/>
          <w:pgSz w:w="11907" w:h="16840"/>
          <w:pgMar w:top="1009" w:right="851" w:bottom="1758" w:left="851" w:header="851" w:footer="1049" w:gutter="0"/>
          <w:cols w:num="2" w:space="227"/>
          <w:docGrid w:linePitch="360"/>
        </w:sectPr>
      </w:pPr>
    </w:p>
    <w:p w14:paraId="3A1B85B8" w14:textId="77777777" w:rsidR="00FC2A41" w:rsidRPr="00CA46DB" w:rsidRDefault="00166212">
      <w:pPr>
        <w:tabs>
          <w:tab w:val="left" w:pos="3462"/>
        </w:tabs>
        <w:spacing w:after="0" w:line="240" w:lineRule="exact"/>
        <w:jc w:val="both"/>
        <w:rPr>
          <w:rFonts w:cstheme="minorHAnsi"/>
          <w:color w:val="000000" w:themeColor="text1"/>
          <w:sz w:val="18"/>
          <w:szCs w:val="18"/>
        </w:rPr>
      </w:pPr>
      <w:r w:rsidRPr="00CA46DB">
        <w:rPr>
          <w:rFonts w:cstheme="minorHAnsi"/>
          <w:color w:val="000000" w:themeColor="text1"/>
          <w:sz w:val="18"/>
          <w:szCs w:val="18"/>
        </w:rPr>
        <w:lastRenderedPageBreak/>
        <w:t>strategies require researchers to pay attention.</w:t>
      </w:r>
    </w:p>
    <w:p w14:paraId="4CE5BC69" w14:textId="77777777" w:rsidR="00FC2A41" w:rsidRPr="00CA46DB" w:rsidRDefault="00166212">
      <w:pPr>
        <w:numPr>
          <w:ilvl w:val="0"/>
          <w:numId w:val="3"/>
        </w:numPr>
        <w:tabs>
          <w:tab w:val="left" w:pos="3462"/>
        </w:tabs>
        <w:spacing w:after="0" w:line="240" w:lineRule="exact"/>
        <w:ind w:firstLineChars="200" w:firstLine="360"/>
        <w:jc w:val="both"/>
        <w:rPr>
          <w:rFonts w:cstheme="minorHAnsi"/>
          <w:color w:val="000000" w:themeColor="text1"/>
          <w:sz w:val="18"/>
          <w:szCs w:val="18"/>
        </w:rPr>
      </w:pPr>
      <w:r w:rsidRPr="00CA46DB">
        <w:rPr>
          <w:rFonts w:cstheme="minorHAnsi"/>
          <w:color w:val="000000" w:themeColor="text1"/>
          <w:sz w:val="18"/>
          <w:szCs w:val="18"/>
        </w:rPr>
        <w:t xml:space="preserve"> From the current view, all-organic composite materials are most promising for practical applications. It can still maintain good processability while obtaining good energy storage performances. And the film forming process can be compatible with the current production process. Commercial </w:t>
      </w:r>
      <w:r w:rsidRPr="00CA46DB">
        <w:rPr>
          <w:rFonts w:cstheme="minorHAnsi"/>
          <w:color w:val="000000" w:themeColor="text1"/>
          <w:sz w:val="18"/>
          <w:szCs w:val="18"/>
          <w:lang w:eastAsia="zh-Hans"/>
        </w:rPr>
        <w:t>film</w:t>
      </w:r>
      <w:r w:rsidRPr="00CA46DB">
        <w:rPr>
          <w:rFonts w:cstheme="minorHAnsi"/>
          <w:color w:val="000000" w:themeColor="text1"/>
          <w:sz w:val="18"/>
          <w:szCs w:val="18"/>
        </w:rPr>
        <w:t xml:space="preserve">s that can be mass-produced (such as </w:t>
      </w:r>
      <w:r w:rsidRPr="00CA46DB">
        <w:rPr>
          <w:rFonts w:cstheme="minorHAnsi"/>
          <w:color w:val="000000" w:themeColor="text1"/>
          <w:sz w:val="18"/>
          <w:szCs w:val="18"/>
          <w:lang w:eastAsia="zh-Hans"/>
        </w:rPr>
        <w:t>Kapton</w:t>
      </w:r>
      <w:r w:rsidRPr="00CA46DB">
        <w:rPr>
          <w:rFonts w:cstheme="minorHAnsi"/>
          <w:color w:val="000000" w:themeColor="text1"/>
          <w:sz w:val="18"/>
          <w:szCs w:val="18"/>
        </w:rPr>
        <w:t>) for organic or inorganic surface coating are also one of the feasible methods. The surface coating can have a higher uniformity of the surface structure of the polymer</w:t>
      </w:r>
      <w:r w:rsidRPr="00CA46DB">
        <w:rPr>
          <w:rFonts w:cstheme="minorHAnsi"/>
          <w:color w:val="000000" w:themeColor="text1"/>
          <w:sz w:val="18"/>
          <w:szCs w:val="18"/>
          <w:lang w:eastAsia="zh-Hans"/>
        </w:rPr>
        <w:t>s</w:t>
      </w:r>
      <w:r w:rsidRPr="00CA46DB">
        <w:rPr>
          <w:rFonts w:cstheme="minorHAnsi"/>
          <w:color w:val="000000" w:themeColor="text1"/>
          <w:sz w:val="18"/>
          <w:szCs w:val="18"/>
        </w:rPr>
        <w:t>. Depending on the application, different types and thicknesses of coatings can be deposited on the surface of the polymer film</w:t>
      </w:r>
      <w:r w:rsidRPr="00CA46DB">
        <w:rPr>
          <w:rFonts w:cstheme="minorHAnsi"/>
          <w:color w:val="000000" w:themeColor="text1"/>
          <w:sz w:val="18"/>
          <w:szCs w:val="18"/>
          <w:lang w:eastAsia="zh-Hans"/>
        </w:rPr>
        <w:t>s</w:t>
      </w:r>
      <w:r w:rsidRPr="00CA46DB">
        <w:rPr>
          <w:rFonts w:cstheme="minorHAnsi"/>
          <w:color w:val="000000" w:themeColor="text1"/>
          <w:sz w:val="18"/>
          <w:szCs w:val="18"/>
        </w:rPr>
        <w:t>. The key factor that needs to be considered is that the selected coating material should adhere well to the polymer films and have a temperature resistance similar to or higher than that of the polymer films.</w:t>
      </w:r>
    </w:p>
    <w:p w14:paraId="2479D672" w14:textId="77777777" w:rsidR="00FC2A41" w:rsidRPr="00CA46DB" w:rsidRDefault="00166212">
      <w:pPr>
        <w:numPr>
          <w:ilvl w:val="0"/>
          <w:numId w:val="3"/>
        </w:numPr>
        <w:tabs>
          <w:tab w:val="left" w:pos="3462"/>
        </w:tabs>
        <w:spacing w:after="0" w:line="240" w:lineRule="exact"/>
        <w:ind w:firstLineChars="200" w:firstLine="360"/>
        <w:jc w:val="both"/>
        <w:rPr>
          <w:rFonts w:cstheme="minorHAnsi"/>
          <w:color w:val="000000" w:themeColor="text1"/>
          <w:sz w:val="18"/>
          <w:szCs w:val="18"/>
        </w:rPr>
      </w:pPr>
      <w:r w:rsidRPr="00CA46DB">
        <w:rPr>
          <w:rFonts w:cstheme="minorHAnsi"/>
          <w:color w:val="000000" w:themeColor="text1"/>
          <w:sz w:val="18"/>
          <w:szCs w:val="18"/>
        </w:rPr>
        <w:t xml:space="preserve">Then, PI synthesis is very flexible, so the molecular structure modification of PI has great potential to be tapped. In current research, the design and synthesis of intrinsic PI dielectrics are basically focused on how to improve </w:t>
      </w:r>
      <w:bookmarkStart w:id="19" w:name="OLE_LINK35"/>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bookmarkEnd w:id="19"/>
      <w:r w:rsidRPr="00CA46DB">
        <w:rPr>
          <w:rFonts w:cstheme="minorHAnsi"/>
          <w:color w:val="000000" w:themeColor="text1"/>
          <w:sz w:val="18"/>
          <w:szCs w:val="18"/>
        </w:rPr>
        <w:t xml:space="preserve"> and </w:t>
      </w:r>
      <w:r w:rsidRPr="00CA46DB">
        <w:rPr>
          <w:rFonts w:eastAsia="SimSun" w:cstheme="minorHAnsi"/>
          <w:i/>
          <w:iCs/>
          <w:color w:val="000000" w:themeColor="text1"/>
          <w:sz w:val="18"/>
          <w:szCs w:val="18"/>
        </w:rPr>
        <w:t>T</w:t>
      </w:r>
      <w:r w:rsidRPr="00CA46DB">
        <w:rPr>
          <w:rFonts w:eastAsia="SimSun" w:cstheme="minorHAnsi"/>
          <w:color w:val="000000" w:themeColor="text1"/>
          <w:sz w:val="18"/>
          <w:szCs w:val="18"/>
          <w:vertAlign w:val="subscript"/>
        </w:rPr>
        <w:t>g</w:t>
      </w:r>
      <w:r w:rsidRPr="00CA46DB">
        <w:rPr>
          <w:rFonts w:cstheme="minorHAnsi"/>
          <w:color w:val="000000" w:themeColor="text1"/>
          <w:sz w:val="18"/>
          <w:szCs w:val="18"/>
        </w:rPr>
        <w:t>. However, more attention should be paid to the problem of tan</w:t>
      </w:r>
      <w:r w:rsidRPr="00CA46DB">
        <w:rPr>
          <w:rFonts w:cstheme="minorHAnsi"/>
          <w:i/>
          <w:iCs/>
          <w:color w:val="000000" w:themeColor="text1"/>
          <w:sz w:val="18"/>
          <w:szCs w:val="18"/>
        </w:rPr>
        <w:t>δ</w:t>
      </w:r>
      <w:r w:rsidRPr="00CA46DB">
        <w:rPr>
          <w:rFonts w:cstheme="minorHAnsi"/>
          <w:color w:val="000000" w:themeColor="text1"/>
          <w:sz w:val="18"/>
          <w:szCs w:val="18"/>
        </w:rPr>
        <w:t xml:space="preserve"> in the later stage. Especially in high temperature applications, the reduction of the tan</w:t>
      </w:r>
      <w:r w:rsidRPr="00CA46DB">
        <w:rPr>
          <w:rFonts w:cstheme="minorHAnsi"/>
          <w:i/>
          <w:iCs/>
          <w:color w:val="000000" w:themeColor="text1"/>
          <w:sz w:val="18"/>
          <w:szCs w:val="18"/>
        </w:rPr>
        <w:t>δ</w:t>
      </w:r>
      <w:r w:rsidRPr="00CA46DB">
        <w:rPr>
          <w:rFonts w:cstheme="minorHAnsi"/>
          <w:color w:val="000000" w:themeColor="text1"/>
          <w:sz w:val="18"/>
          <w:szCs w:val="18"/>
        </w:rPr>
        <w:t xml:space="preserve"> of the polymer dielectrics will reduce the possibility of thermal instability to improve the efficiency and reliability of the capacitor. Dipolar polarization can increase the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while maintaining low tan</w:t>
      </w:r>
      <w:r w:rsidRPr="00CA46DB">
        <w:rPr>
          <w:rFonts w:cstheme="minorHAnsi"/>
          <w:i/>
          <w:iCs/>
          <w:color w:val="000000" w:themeColor="text1"/>
          <w:sz w:val="18"/>
          <w:szCs w:val="18"/>
        </w:rPr>
        <w:t xml:space="preserve">δ </w:t>
      </w:r>
      <w:r w:rsidRPr="00CA46DB">
        <w:rPr>
          <w:rFonts w:cstheme="minorHAnsi"/>
          <w:color w:val="000000" w:themeColor="text1"/>
          <w:sz w:val="18"/>
          <w:szCs w:val="18"/>
        </w:rPr>
        <w:t>by methods such as introducing conjugated structures or highly polar groups into the polymer main chains or side chains. To clarify the structure-property relationships of polymer dielectrics and select the appropriate polymer molecular structure and additional groups, the "co-design" method can be employed.</w:t>
      </w:r>
      <w:r w:rsidRPr="00CA46DB">
        <w:rPr>
          <w:rFonts w:cstheme="minorHAnsi"/>
          <w:color w:val="000000" w:themeColor="text1"/>
          <w:sz w:val="18"/>
          <w:szCs w:val="18"/>
          <w:vertAlign w:val="superscript"/>
        </w:rPr>
        <w:t>119</w:t>
      </w:r>
      <w:r w:rsidRPr="00CA46DB">
        <w:rPr>
          <w:rFonts w:cstheme="minorHAnsi"/>
          <w:color w:val="000000" w:themeColor="text1"/>
          <w:sz w:val="18"/>
          <w:szCs w:val="18"/>
        </w:rPr>
        <w:t xml:space="preserve"> This method includes high-throughput computing, materials synthesis, testing and validation. The combination of theory and experiment could greatly improve the efficiency of research. The screening conditions for polymers should not be limited to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and band gap. These properties, together with high thermal stability, low tan</w:t>
      </w:r>
      <w:r w:rsidRPr="00CA46DB">
        <w:rPr>
          <w:rFonts w:cstheme="minorHAnsi"/>
          <w:i/>
          <w:iCs/>
          <w:color w:val="000000" w:themeColor="text1"/>
          <w:sz w:val="18"/>
          <w:szCs w:val="18"/>
        </w:rPr>
        <w:t>δ</w:t>
      </w:r>
      <w:r w:rsidRPr="00CA46DB">
        <w:rPr>
          <w:rFonts w:cstheme="minorHAnsi"/>
          <w:color w:val="000000" w:themeColor="text1"/>
          <w:sz w:val="18"/>
          <w:szCs w:val="18"/>
        </w:rPr>
        <w:t xml:space="preserve">, film formation, and mechanical properties should be considered collectively to improve the overall performances. In addition, the novel PI modified in molecular structure is basically in the laboratory preparation stage, and the reaction process and yield need to be continuously optimized. Its complicated organic synthesis method and precisely controlled film manufacturing process are far from large-scale production. Therefore, new film manufacturing methods also need to be explored. </w:t>
      </w:r>
    </w:p>
    <w:p w14:paraId="7124A622" w14:textId="77777777" w:rsidR="00FC2A41" w:rsidRPr="00CA46DB" w:rsidRDefault="00166212">
      <w:pPr>
        <w:numPr>
          <w:ilvl w:val="0"/>
          <w:numId w:val="3"/>
        </w:numPr>
        <w:tabs>
          <w:tab w:val="left" w:pos="3462"/>
        </w:tabs>
        <w:spacing w:after="0" w:line="240" w:lineRule="exact"/>
        <w:ind w:firstLineChars="200" w:firstLine="360"/>
        <w:jc w:val="both"/>
        <w:rPr>
          <w:rFonts w:cstheme="minorHAnsi"/>
          <w:color w:val="000000" w:themeColor="text1"/>
          <w:sz w:val="18"/>
          <w:szCs w:val="18"/>
        </w:rPr>
      </w:pPr>
      <w:r w:rsidRPr="00CA46DB">
        <w:rPr>
          <w:rFonts w:cstheme="minorHAnsi"/>
          <w:color w:val="000000" w:themeColor="text1"/>
          <w:sz w:val="18"/>
          <w:szCs w:val="18"/>
        </w:rPr>
        <w:t>Compared with the traditional solution-mixing methods, the core-shell structure strategy provides more possibilities for optimizing the microstructure and even electrical properties of nanocomposites. The designed polymer shell and polymer matrix have a similar chemical structure, which is critical to greatly improve the overall performance of nanocomposites. The introduction of the inorganic shell acts as a buffer layer to minimize local electric field enhancement, thereby increasing the</w:t>
      </w:r>
      <w:r w:rsidRPr="00CA46DB">
        <w:rPr>
          <w:rFonts w:cstheme="minorHAnsi"/>
          <w:color w:val="000000" w:themeColor="text1"/>
          <w:sz w:val="18"/>
          <w:szCs w:val="18"/>
          <w:lang w:eastAsia="zh-Hans"/>
        </w:rPr>
        <w:t xml:space="preserv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xml:space="preserve"> of the nanocomposites. Significant progress has been made in the development of nanocomposites for high-</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and energy storage through the core-shell structure strategy. By adjusting the type and thickness of the shell layer and the two-phase interface, the nanocomposit</w:t>
      </w:r>
      <w:r w:rsidRPr="00CA46DB">
        <w:rPr>
          <w:rFonts w:cstheme="minorHAnsi"/>
          <w:color w:val="000000" w:themeColor="text1"/>
          <w:sz w:val="18"/>
          <w:szCs w:val="18"/>
          <w:lang w:eastAsia="zh-Hans"/>
        </w:rPr>
        <w:t>e</w:t>
      </w:r>
      <w:r w:rsidRPr="00CA46DB">
        <w:rPr>
          <w:rFonts w:cstheme="minorHAnsi"/>
          <w:color w:val="000000" w:themeColor="text1"/>
          <w:sz w:val="18"/>
          <w:szCs w:val="18"/>
        </w:rPr>
        <w:t xml:space="preserve">s that meet the expectations can be prepared. However, it is still very laborious to maintain precise control of the synthesis of core-shell nanoparticles and the coordinated regulation of the overall performances of the nanocomposites. For example, </w:t>
      </w:r>
      <w:r w:rsidRPr="00CA46DB">
        <w:rPr>
          <w:rFonts w:cstheme="minorHAnsi"/>
          <w:color w:val="000000" w:themeColor="text1"/>
          <w:sz w:val="18"/>
          <w:szCs w:val="18"/>
        </w:rPr>
        <w:t>how to ensure the quality of core-shell structured nanoparticles in large-scale production. And how to design the nanocomposite</w:t>
      </w:r>
      <w:r w:rsidRPr="00CA46DB">
        <w:rPr>
          <w:rFonts w:cstheme="minorHAnsi"/>
          <w:color w:val="000000" w:themeColor="text1"/>
          <w:sz w:val="18"/>
          <w:szCs w:val="18"/>
          <w:lang w:eastAsia="zh-Hans"/>
        </w:rPr>
        <w:t xml:space="preserve">s </w:t>
      </w:r>
      <w:r w:rsidRPr="00CA46DB">
        <w:rPr>
          <w:rFonts w:cstheme="minorHAnsi"/>
          <w:color w:val="000000" w:themeColor="text1"/>
          <w:sz w:val="18"/>
          <w:szCs w:val="18"/>
        </w:rPr>
        <w:t>with low tan</w:t>
      </w:r>
      <w:r w:rsidRPr="00CA46DB">
        <w:rPr>
          <w:rFonts w:cstheme="minorHAnsi"/>
          <w:i/>
          <w:iCs/>
          <w:color w:val="000000" w:themeColor="text1"/>
          <w:sz w:val="18"/>
          <w:szCs w:val="18"/>
        </w:rPr>
        <w:t>δ</w:t>
      </w:r>
      <w:r w:rsidRPr="00CA46DB">
        <w:rPr>
          <w:rFonts w:cstheme="minorHAnsi"/>
          <w:color w:val="000000" w:themeColor="text1"/>
          <w:sz w:val="18"/>
          <w:szCs w:val="18"/>
        </w:rPr>
        <w:t xml:space="preserve">, good thermal stability and other ideal characteristics while having high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xml:space="preserve"> and high</w:t>
      </w:r>
      <w:r w:rsidRPr="00CA46DB">
        <w:rPr>
          <w:rFonts w:cstheme="minorHAnsi"/>
          <w:color w:val="000000" w:themeColor="text1"/>
          <w:sz w:val="18"/>
          <w:szCs w:val="18"/>
          <w:lang w:eastAsia="zh-Hans"/>
        </w:rPr>
        <w:t xml:space="preserve"> </w:t>
      </w:r>
      <w:r w:rsidRPr="00CA46DB">
        <w:rPr>
          <w:rFonts w:cstheme="minorHAnsi"/>
          <w:i/>
          <w:iCs/>
          <w:color w:val="000000" w:themeColor="text1"/>
          <w:sz w:val="18"/>
          <w:szCs w:val="18"/>
        </w:rPr>
        <w:t>E</w:t>
      </w:r>
      <w:r w:rsidRPr="00CA46DB">
        <w:rPr>
          <w:rFonts w:cstheme="minorHAnsi"/>
          <w:i/>
          <w:iCs/>
          <w:color w:val="000000" w:themeColor="text1"/>
          <w:sz w:val="18"/>
          <w:szCs w:val="18"/>
          <w:vertAlign w:val="subscript"/>
        </w:rPr>
        <w:t>b</w:t>
      </w:r>
      <w:r w:rsidRPr="00CA46DB">
        <w:rPr>
          <w:rFonts w:cstheme="minorHAnsi"/>
          <w:color w:val="000000" w:themeColor="text1"/>
          <w:sz w:val="18"/>
          <w:szCs w:val="18"/>
        </w:rPr>
        <w:t xml:space="preserve">. </w:t>
      </w:r>
    </w:p>
    <w:p w14:paraId="26065493" w14:textId="77777777" w:rsidR="00FC2A41" w:rsidRPr="00CA46DB" w:rsidRDefault="00166212">
      <w:pPr>
        <w:numPr>
          <w:ilvl w:val="0"/>
          <w:numId w:val="3"/>
        </w:numPr>
        <w:tabs>
          <w:tab w:val="left" w:pos="3462"/>
        </w:tabs>
        <w:spacing w:after="0" w:line="240" w:lineRule="exact"/>
        <w:ind w:firstLineChars="200" w:firstLine="360"/>
        <w:jc w:val="both"/>
        <w:rPr>
          <w:rFonts w:cstheme="minorHAnsi"/>
          <w:color w:val="000000" w:themeColor="text1"/>
          <w:sz w:val="18"/>
          <w:szCs w:val="18"/>
        </w:rPr>
      </w:pPr>
      <w:r w:rsidRPr="00CA46DB">
        <w:rPr>
          <w:rFonts w:cstheme="minorHAnsi"/>
          <w:color w:val="000000" w:themeColor="text1"/>
          <w:sz w:val="18"/>
          <w:szCs w:val="18"/>
        </w:rPr>
        <w:t xml:space="preserve">Regardless of whether the multi-layer structures </w:t>
      </w:r>
      <w:r w:rsidRPr="00CA46DB">
        <w:rPr>
          <w:rFonts w:cstheme="minorHAnsi"/>
          <w:color w:val="000000" w:themeColor="text1"/>
          <w:sz w:val="18"/>
          <w:szCs w:val="18"/>
          <w:lang w:eastAsia="zh-Hans"/>
        </w:rPr>
        <w:t>are</w:t>
      </w:r>
      <w:r w:rsidRPr="00CA46DB">
        <w:rPr>
          <w:rFonts w:cstheme="minorHAnsi"/>
          <w:color w:val="000000" w:themeColor="text1"/>
          <w:sz w:val="18"/>
          <w:szCs w:val="18"/>
        </w:rPr>
        <w:t xml:space="preserve"> all-organic composites or nanocomposites, the electric field distribution can be effectively adjusted through the combination of dielectric layers and insulating layers. While ensuring high </w:t>
      </w:r>
      <w:r w:rsidRPr="00CA46DB">
        <w:rPr>
          <w:rFonts w:cstheme="minorHAnsi"/>
          <w:i/>
          <w:iCs/>
          <w:color w:val="000000" w:themeColor="text1"/>
          <w:sz w:val="18"/>
          <w:szCs w:val="18"/>
        </w:rPr>
        <w:t>ε</w:t>
      </w:r>
      <w:r w:rsidRPr="00CA46DB">
        <w:rPr>
          <w:rFonts w:cstheme="minorHAnsi"/>
          <w:color w:val="000000" w:themeColor="text1"/>
          <w:sz w:val="18"/>
          <w:szCs w:val="18"/>
          <w:vertAlign w:val="subscript"/>
        </w:rPr>
        <w:t>r</w:t>
      </w:r>
      <w:r w:rsidRPr="00CA46DB">
        <w:rPr>
          <w:rFonts w:cstheme="minorHAnsi"/>
          <w:color w:val="000000" w:themeColor="text1"/>
          <w:sz w:val="18"/>
          <w:szCs w:val="18"/>
        </w:rPr>
        <w:t>, the composite</w:t>
      </w:r>
      <w:r w:rsidRPr="00CA46DB">
        <w:rPr>
          <w:rFonts w:cstheme="minorHAnsi" w:hint="eastAsia"/>
          <w:color w:val="000000" w:themeColor="text1"/>
          <w:sz w:val="18"/>
          <w:szCs w:val="18"/>
          <w:lang w:eastAsia="zh-CN"/>
        </w:rPr>
        <w:t>s</w:t>
      </w:r>
      <w:r w:rsidRPr="00CA46DB">
        <w:rPr>
          <w:rFonts w:cstheme="minorHAnsi"/>
          <w:color w:val="000000" w:themeColor="text1"/>
          <w:sz w:val="18"/>
          <w:szCs w:val="18"/>
        </w:rPr>
        <w:t xml:space="preserve"> can maintain the good insulating ability, thereby increasing the energy density. Candidates with high </w:t>
      </w:r>
      <w:r w:rsidRPr="00CA46DB">
        <w:rPr>
          <w:rFonts w:eastAsia="SimSun" w:cstheme="minorHAnsi"/>
          <w:i/>
          <w:iCs/>
          <w:color w:val="000000" w:themeColor="text1"/>
          <w:sz w:val="18"/>
          <w:szCs w:val="18"/>
        </w:rPr>
        <w:t>T</w:t>
      </w:r>
      <w:r w:rsidRPr="00CA46DB">
        <w:rPr>
          <w:rFonts w:eastAsia="SimSun" w:cstheme="minorHAnsi"/>
          <w:color w:val="000000" w:themeColor="text1"/>
          <w:sz w:val="18"/>
          <w:szCs w:val="18"/>
          <w:vertAlign w:val="subscript"/>
        </w:rPr>
        <w:t>g</w:t>
      </w:r>
      <w:r w:rsidRPr="00CA46DB">
        <w:rPr>
          <w:rFonts w:cstheme="minorHAnsi"/>
          <w:color w:val="000000" w:themeColor="text1"/>
          <w:sz w:val="18"/>
          <w:szCs w:val="18"/>
        </w:rPr>
        <w:t xml:space="preserve"> that are expected to be used in the high-temperature dielectrics field</w:t>
      </w:r>
      <w:r w:rsidRPr="00CA46DB">
        <w:rPr>
          <w:rFonts w:cstheme="minorHAnsi"/>
          <w:color w:val="000000" w:themeColor="text1"/>
          <w:sz w:val="18"/>
          <w:szCs w:val="18"/>
          <w:lang w:eastAsia="zh-Hans"/>
        </w:rPr>
        <w:t>s</w:t>
      </w:r>
      <w:r w:rsidRPr="00CA46DB">
        <w:rPr>
          <w:rFonts w:cstheme="minorHAnsi"/>
          <w:color w:val="000000" w:themeColor="text1"/>
          <w:sz w:val="18"/>
          <w:szCs w:val="18"/>
        </w:rPr>
        <w:t xml:space="preserve"> have been studied on the effect of multilayer structure on performance, but there is still a lack of systematic exploration of their high-temperature dielectric properties, especially their temperature-dependent breakdown strength. In addition, problems concerning the optimization of structural design and the development of scalable processing methods for multi-layer structure films still need to be solved urgently.</w:t>
      </w:r>
    </w:p>
    <w:p w14:paraId="5BE7465F" w14:textId="77777777" w:rsidR="00FC2A41" w:rsidRPr="00CA46DB" w:rsidRDefault="00166212">
      <w:pPr>
        <w:numPr>
          <w:ilvl w:val="0"/>
          <w:numId w:val="3"/>
        </w:numPr>
        <w:tabs>
          <w:tab w:val="left" w:pos="3462"/>
        </w:tabs>
        <w:spacing w:after="0" w:line="240" w:lineRule="exact"/>
        <w:ind w:firstLineChars="200" w:firstLine="360"/>
        <w:jc w:val="both"/>
        <w:rPr>
          <w:rFonts w:cstheme="minorHAnsi"/>
          <w:color w:val="000000" w:themeColor="text1"/>
          <w:sz w:val="18"/>
          <w:szCs w:val="18"/>
        </w:rPr>
      </w:pPr>
      <w:r w:rsidRPr="00CA46DB">
        <w:rPr>
          <w:rFonts w:cstheme="minorHAnsi"/>
          <w:color w:val="000000" w:themeColor="text1"/>
          <w:sz w:val="18"/>
          <w:szCs w:val="18"/>
        </w:rPr>
        <w:t>Further research should consider the effect of thermal conductivity on the performance of high-temperature capacitors. A h</w:t>
      </w:r>
      <w:r w:rsidRPr="00CA46DB">
        <w:rPr>
          <w:rFonts w:eastAsia="SimSun" w:cstheme="minorHAnsi"/>
          <w:color w:val="000000" w:themeColor="text1"/>
          <w:sz w:val="18"/>
          <w:szCs w:val="18"/>
        </w:rPr>
        <w:t>igh</w:t>
      </w:r>
      <w:r w:rsidRPr="00CA46DB">
        <w:rPr>
          <w:rFonts w:eastAsia="SimSun" w:cstheme="minorHAnsi"/>
          <w:i/>
          <w:iCs/>
          <w:color w:val="000000" w:themeColor="text1"/>
          <w:sz w:val="18"/>
          <w:szCs w:val="18"/>
        </w:rPr>
        <w:t xml:space="preserve"> T</w:t>
      </w:r>
      <w:r w:rsidRPr="00CA46DB">
        <w:rPr>
          <w:rFonts w:eastAsia="SimSun" w:cstheme="minorHAnsi"/>
          <w:color w:val="000000" w:themeColor="text1"/>
          <w:sz w:val="18"/>
          <w:szCs w:val="18"/>
          <w:vertAlign w:val="subscript"/>
        </w:rPr>
        <w:t>g</w:t>
      </w:r>
      <w:r w:rsidRPr="00CA46DB">
        <w:rPr>
          <w:rFonts w:eastAsia="SimSun" w:cstheme="minorHAnsi"/>
          <w:color w:val="000000" w:themeColor="text1"/>
          <w:sz w:val="18"/>
          <w:szCs w:val="18"/>
        </w:rPr>
        <w:t xml:space="preserve"> or </w:t>
      </w:r>
      <w:r w:rsidRPr="00CA46DB">
        <w:rPr>
          <w:rFonts w:eastAsia="SimSun" w:cstheme="minorHAnsi"/>
          <w:i/>
          <w:iCs/>
          <w:color w:val="000000" w:themeColor="text1"/>
          <w:sz w:val="18"/>
          <w:szCs w:val="18"/>
        </w:rPr>
        <w:t>T</w:t>
      </w:r>
      <w:r w:rsidRPr="00CA46DB">
        <w:rPr>
          <w:rFonts w:eastAsia="SimSun" w:cstheme="minorHAnsi"/>
          <w:color w:val="000000" w:themeColor="text1"/>
          <w:sz w:val="18"/>
          <w:szCs w:val="18"/>
          <w:vertAlign w:val="subscript"/>
        </w:rPr>
        <w:t>m</w:t>
      </w:r>
      <w:r w:rsidRPr="00CA46DB">
        <w:rPr>
          <w:rFonts w:eastAsia="SimSun" w:cstheme="minorHAnsi"/>
          <w:color w:val="000000" w:themeColor="text1"/>
          <w:sz w:val="18"/>
          <w:szCs w:val="18"/>
        </w:rPr>
        <w:t xml:space="preserve"> is not sufficient to protect a polymer from failures caused by extended heating. Increasing the thermal conductivity can improve heat dissipation and reduce potential </w:t>
      </w:r>
      <w:r w:rsidRPr="00CA46DB">
        <w:rPr>
          <w:rFonts w:eastAsia="SimSun" w:cstheme="minorHAnsi"/>
          <w:color w:val="000000" w:themeColor="text1"/>
          <w:sz w:val="18"/>
          <w:szCs w:val="18"/>
          <w:lang w:eastAsia="zh-Hans"/>
        </w:rPr>
        <w:t>energy</w:t>
      </w:r>
      <w:r w:rsidRPr="00CA46DB">
        <w:rPr>
          <w:rFonts w:eastAsia="SimSun" w:cstheme="minorHAnsi"/>
          <w:color w:val="000000" w:themeColor="text1"/>
          <w:sz w:val="18"/>
          <w:szCs w:val="18"/>
        </w:rPr>
        <w:t xml:space="preserve"> losses.</w:t>
      </w:r>
      <w:r w:rsidRPr="00CA46DB">
        <w:rPr>
          <w:rFonts w:cstheme="minorHAnsi"/>
          <w:color w:val="000000" w:themeColor="text1"/>
          <w:sz w:val="18"/>
          <w:szCs w:val="18"/>
        </w:rPr>
        <w:t xml:space="preserve"> Therefore, thermal conductivity is an important parameter of high-temperature capacitor films that should not be overlooked. The thermal conductivity of polymers can be improved by controlling the stacking and orientation of the chains. It can also be promoted by adding thermally conductive fillers to build conductive pathways.</w:t>
      </w:r>
    </w:p>
    <w:p w14:paraId="5283827A" w14:textId="77777777" w:rsidR="00FC2A41" w:rsidRPr="00CA46DB" w:rsidRDefault="00166212">
      <w:pPr>
        <w:numPr>
          <w:ilvl w:val="0"/>
          <w:numId w:val="3"/>
        </w:numPr>
        <w:tabs>
          <w:tab w:val="left" w:pos="3462"/>
        </w:tabs>
        <w:spacing w:after="0" w:line="240" w:lineRule="exact"/>
        <w:ind w:firstLineChars="200" w:firstLine="360"/>
        <w:jc w:val="both"/>
        <w:rPr>
          <w:rFonts w:cstheme="minorHAnsi"/>
          <w:color w:val="000000" w:themeColor="text1"/>
          <w:sz w:val="18"/>
          <w:szCs w:val="18"/>
        </w:rPr>
      </w:pPr>
      <w:r w:rsidRPr="00CA46DB">
        <w:rPr>
          <w:rFonts w:cstheme="minorHAnsi"/>
          <w:color w:val="000000" w:themeColor="text1"/>
          <w:sz w:val="18"/>
          <w:szCs w:val="18"/>
        </w:rPr>
        <w:t>The application of capacitor films requires high-quality, low-cost, and fast mass production technology. The high-performance capacitor film</w:t>
      </w:r>
      <w:r w:rsidRPr="00CA46DB">
        <w:rPr>
          <w:rFonts w:cstheme="minorHAnsi"/>
          <w:color w:val="000000" w:themeColor="text1"/>
          <w:sz w:val="18"/>
          <w:szCs w:val="18"/>
          <w:lang w:eastAsia="zh-Hans"/>
        </w:rPr>
        <w:t>s</w:t>
      </w:r>
      <w:r w:rsidRPr="00CA46DB">
        <w:rPr>
          <w:rFonts w:cstheme="minorHAnsi"/>
          <w:color w:val="000000" w:themeColor="text1"/>
          <w:sz w:val="18"/>
          <w:szCs w:val="18"/>
        </w:rPr>
        <w:t xml:space="preserve"> obtained in the laboratory should be integrated into </w:t>
      </w:r>
      <w:r w:rsidRPr="00CA46DB">
        <w:rPr>
          <w:rFonts w:cstheme="minorHAnsi"/>
          <w:color w:val="000000" w:themeColor="text1"/>
          <w:sz w:val="18"/>
          <w:szCs w:val="18"/>
          <w:lang w:eastAsia="zh-Hans"/>
        </w:rPr>
        <w:t>the</w:t>
      </w:r>
      <w:r w:rsidRPr="00CA46DB">
        <w:rPr>
          <w:rFonts w:cstheme="minorHAnsi"/>
          <w:color w:val="000000" w:themeColor="text1"/>
          <w:sz w:val="18"/>
          <w:szCs w:val="18"/>
        </w:rPr>
        <w:t xml:space="preserve"> simple energy storage device related to </w:t>
      </w:r>
      <w:r w:rsidRPr="00CA46DB">
        <w:rPr>
          <w:rFonts w:cstheme="minorHAnsi"/>
          <w:color w:val="000000" w:themeColor="text1"/>
          <w:sz w:val="18"/>
          <w:szCs w:val="18"/>
          <w:lang w:eastAsia="zh-Hans"/>
        </w:rPr>
        <w:t>their</w:t>
      </w:r>
      <w:r w:rsidRPr="00CA46DB">
        <w:rPr>
          <w:rFonts w:cstheme="minorHAnsi"/>
          <w:color w:val="000000" w:themeColor="text1"/>
          <w:sz w:val="18"/>
          <w:szCs w:val="18"/>
        </w:rPr>
        <w:t xml:space="preserve"> potential applications, </w:t>
      </w:r>
      <w:r w:rsidRPr="00CA46DB">
        <w:rPr>
          <w:rFonts w:cstheme="minorHAnsi"/>
          <w:color w:val="000000" w:themeColor="text1"/>
          <w:sz w:val="18"/>
          <w:szCs w:val="18"/>
          <w:lang w:eastAsia="zh-Hans"/>
        </w:rPr>
        <w:t>together</w:t>
      </w:r>
      <w:r w:rsidRPr="00CA46DB">
        <w:rPr>
          <w:rFonts w:cstheme="minorHAnsi"/>
          <w:color w:val="000000" w:themeColor="text1"/>
          <w:sz w:val="18"/>
          <w:szCs w:val="18"/>
        </w:rPr>
        <w:t xml:space="preserve"> with a large-scale production process.</w:t>
      </w:r>
    </w:p>
    <w:p w14:paraId="1A31659A" w14:textId="77777777" w:rsidR="00FC2A41" w:rsidRPr="00CA46DB" w:rsidRDefault="00166212">
      <w:pPr>
        <w:numPr>
          <w:ilvl w:val="0"/>
          <w:numId w:val="3"/>
        </w:numPr>
        <w:tabs>
          <w:tab w:val="left" w:pos="3462"/>
        </w:tabs>
        <w:spacing w:after="0" w:line="240" w:lineRule="exact"/>
        <w:ind w:firstLineChars="200" w:firstLine="360"/>
        <w:jc w:val="both"/>
        <w:rPr>
          <w:rFonts w:cstheme="minorHAnsi"/>
          <w:color w:val="000000" w:themeColor="text1"/>
          <w:sz w:val="18"/>
          <w:szCs w:val="18"/>
        </w:rPr>
      </w:pPr>
      <w:r w:rsidRPr="00CA46DB">
        <w:rPr>
          <w:rFonts w:cstheme="minorHAnsi"/>
          <w:color w:val="000000" w:themeColor="text1"/>
          <w:sz w:val="18"/>
          <w:szCs w:val="18"/>
        </w:rPr>
        <w:t>The depletion of non-renewable energy sources such as petroleum and coal has attracted widespread interest in the use of renewable polymer materials. Research into bio-dielectric materials such as cellulose should be expanded. In addition, a reasonable structural design inspired by nature, which improves performances by imitating the structure or characteristics of natural materials, may prove to be an effective solution.</w:t>
      </w:r>
    </w:p>
    <w:p w14:paraId="74139245" w14:textId="77777777" w:rsidR="00FC2A41" w:rsidRPr="00CA46DB" w:rsidRDefault="00166212">
      <w:pPr>
        <w:pStyle w:val="RSCB04AHeadingSection"/>
        <w:rPr>
          <w:color w:val="000000" w:themeColor="text1"/>
        </w:rPr>
      </w:pPr>
      <w:r w:rsidRPr="00CA46DB">
        <w:rPr>
          <w:color w:val="000000" w:themeColor="text1"/>
        </w:rPr>
        <w:t>Conflicts of interest</w:t>
      </w:r>
    </w:p>
    <w:p w14:paraId="2DDF4C4A" w14:textId="77777777" w:rsidR="00FC2A41" w:rsidRPr="00CA46DB" w:rsidRDefault="00166212">
      <w:pPr>
        <w:rPr>
          <w:rFonts w:cs="Times New Roman"/>
          <w:color w:val="000000" w:themeColor="text1"/>
          <w:w w:val="108"/>
          <w:sz w:val="18"/>
          <w:szCs w:val="18"/>
        </w:rPr>
      </w:pPr>
      <w:r w:rsidRPr="00CA46DB">
        <w:rPr>
          <w:rFonts w:cs="Times New Roman"/>
          <w:color w:val="000000" w:themeColor="text1"/>
          <w:w w:val="108"/>
          <w:sz w:val="18"/>
          <w:szCs w:val="18"/>
        </w:rPr>
        <w:t>There are no conflicts to declare.</w:t>
      </w:r>
    </w:p>
    <w:p w14:paraId="6A7E8A06" w14:textId="77777777" w:rsidR="00FC2A41" w:rsidRPr="00CA46DB" w:rsidRDefault="00166212">
      <w:pPr>
        <w:pStyle w:val="RSCB04AHeadingSection"/>
        <w:rPr>
          <w:color w:val="000000" w:themeColor="text1"/>
        </w:rPr>
      </w:pPr>
      <w:r w:rsidRPr="00CA46DB">
        <w:rPr>
          <w:color w:val="000000" w:themeColor="text1"/>
        </w:rPr>
        <w:t>Acknowledgements</w:t>
      </w:r>
    </w:p>
    <w:p w14:paraId="1381EB8A" w14:textId="77777777" w:rsidR="00FC2A41" w:rsidRPr="00CA46DB" w:rsidRDefault="00166212">
      <w:pPr>
        <w:pStyle w:val="RSCB02ArticleText"/>
        <w:rPr>
          <w:color w:val="000000" w:themeColor="text1"/>
        </w:rPr>
      </w:pPr>
      <w:r w:rsidRPr="00CA46DB">
        <w:rPr>
          <w:color w:val="000000" w:themeColor="text1"/>
        </w:rPr>
        <w:t>This work was financially supported by National Natural Science Foundation of China (No. 51977114) and Fundamental Research Funds for the Central Universities (No. FRF-NP-19-008 and FRF-TP-20-02B2, FRF-BR-20-03B).</w:t>
      </w:r>
    </w:p>
    <w:p w14:paraId="7A35BB10" w14:textId="77777777" w:rsidR="00FC2A41" w:rsidRPr="00CA46DB" w:rsidRDefault="00FC2A41">
      <w:pPr>
        <w:spacing w:before="400" w:after="80" w:line="240" w:lineRule="auto"/>
        <w:rPr>
          <w:b/>
          <w:color w:val="000000" w:themeColor="text1"/>
          <w:sz w:val="24"/>
        </w:rPr>
      </w:pPr>
    </w:p>
    <w:p w14:paraId="7A563BE9" w14:textId="77777777" w:rsidR="00FC2A41" w:rsidRPr="00CA46DB" w:rsidRDefault="00166212">
      <w:pPr>
        <w:spacing w:before="400" w:after="80" w:line="240" w:lineRule="auto"/>
        <w:rPr>
          <w:color w:val="000000" w:themeColor="text1"/>
          <w:sz w:val="18"/>
          <w:szCs w:val="18"/>
        </w:rPr>
      </w:pPr>
      <w:r w:rsidRPr="00CA46DB">
        <w:rPr>
          <w:b/>
          <w:color w:val="000000" w:themeColor="text1"/>
          <w:sz w:val="24"/>
        </w:rPr>
        <w:lastRenderedPageBreak/>
        <w:t>Notes and references</w:t>
      </w:r>
    </w:p>
    <w:p w14:paraId="59455773"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X. Fang, X. Liu, Z.-K. Cui, J. Qian, J. Pan, X. Li and Q. Zhuang, </w:t>
      </w:r>
      <w:r w:rsidRPr="00CA46DB">
        <w:rPr>
          <w:rFonts w:cstheme="minorHAnsi"/>
          <w:i/>
          <w:iCs/>
          <w:color w:val="000000" w:themeColor="text1"/>
          <w:sz w:val="18"/>
          <w:szCs w:val="18"/>
        </w:rPr>
        <w:t>J. Mater. Chem. A</w:t>
      </w:r>
      <w:r w:rsidRPr="00CA46DB">
        <w:rPr>
          <w:rFonts w:cstheme="minorHAnsi"/>
          <w:color w:val="000000" w:themeColor="text1"/>
          <w:sz w:val="18"/>
          <w:szCs w:val="18"/>
        </w:rPr>
        <w:t>, 2015, 3, 10005−10012.</w:t>
      </w:r>
    </w:p>
    <w:p w14:paraId="5438AFB7"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M. Guo, J. Jiang, Z. Shen, Y. Lin, C.-W. Nan and Y. Shen,</w:t>
      </w:r>
      <w:r w:rsidRPr="00CA46DB">
        <w:rPr>
          <w:rFonts w:cstheme="minorHAnsi"/>
          <w:i/>
          <w:iCs/>
          <w:color w:val="000000" w:themeColor="text1"/>
          <w:sz w:val="18"/>
          <w:szCs w:val="18"/>
        </w:rPr>
        <w:t xml:space="preserve"> Mater. Today</w:t>
      </w:r>
      <w:r w:rsidRPr="00CA46DB">
        <w:rPr>
          <w:rFonts w:cstheme="minorHAnsi"/>
          <w:color w:val="000000" w:themeColor="text1"/>
          <w:sz w:val="18"/>
          <w:szCs w:val="18"/>
        </w:rPr>
        <w:t>, 2019, 29, 49−67.</w:t>
      </w:r>
    </w:p>
    <w:p w14:paraId="1DB9F0A0" w14:textId="77777777" w:rsidR="00FC2A41" w:rsidRPr="00CA46DB" w:rsidRDefault="00166212" w:rsidP="00D825A5">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B. Fan, F. Liu, G. Yang, H. Li, G. Zhang, S. Jiang and Q. Wang, </w:t>
      </w:r>
      <w:r w:rsidRPr="00CA46DB">
        <w:rPr>
          <w:rFonts w:cstheme="minorHAnsi"/>
          <w:i/>
          <w:iCs/>
          <w:color w:val="000000" w:themeColor="text1"/>
          <w:sz w:val="18"/>
          <w:szCs w:val="18"/>
        </w:rPr>
        <w:t>IET Nanodielectr.</w:t>
      </w:r>
      <w:r w:rsidRPr="00CA46DB">
        <w:rPr>
          <w:rFonts w:cstheme="minorHAnsi"/>
          <w:color w:val="000000" w:themeColor="text1"/>
          <w:sz w:val="18"/>
          <w:szCs w:val="18"/>
        </w:rPr>
        <w:t>, 2018, 1, 32−40.</w:t>
      </w:r>
    </w:p>
    <w:p w14:paraId="060B0440" w14:textId="78FF5307" w:rsidR="00D825A5" w:rsidRPr="00CA46DB" w:rsidRDefault="00D825A5" w:rsidP="00D825A5">
      <w:pPr>
        <w:pStyle w:val="ListParagraph"/>
        <w:widowControl w:val="0"/>
        <w:numPr>
          <w:ilvl w:val="0"/>
          <w:numId w:val="4"/>
        </w:numPr>
        <w:autoSpaceDE w:val="0"/>
        <w:autoSpaceDN w:val="0"/>
        <w:adjustRightInd w:val="0"/>
        <w:spacing w:after="0" w:line="240" w:lineRule="exact"/>
        <w:jc w:val="both"/>
        <w:rPr>
          <w:rFonts w:cstheme="minorHAnsi"/>
          <w:color w:val="000000" w:themeColor="text1"/>
          <w:sz w:val="18"/>
          <w:szCs w:val="18"/>
        </w:rPr>
      </w:pPr>
      <w:r w:rsidRPr="00CA46DB">
        <w:rPr>
          <w:rFonts w:cstheme="minorHAnsi"/>
          <w:color w:val="000000" w:themeColor="text1"/>
          <w:sz w:val="18"/>
          <w:szCs w:val="18"/>
        </w:rPr>
        <w:t xml:space="preserve">J. M. Wang, L. Z. Zhang, L. F. Wang, W. W. Lei and Z. S. Wu, </w:t>
      </w:r>
      <w:r w:rsidRPr="00CA46DB">
        <w:rPr>
          <w:rFonts w:cstheme="minorHAnsi"/>
          <w:i/>
          <w:iCs/>
          <w:color w:val="000000" w:themeColor="text1"/>
          <w:sz w:val="18"/>
          <w:szCs w:val="18"/>
        </w:rPr>
        <w:t>Energy. Environ. Mater.</w:t>
      </w:r>
      <w:r w:rsidRPr="00CA46DB">
        <w:rPr>
          <w:rFonts w:cstheme="minorHAnsi"/>
          <w:color w:val="000000" w:themeColor="text1"/>
          <w:sz w:val="18"/>
          <w:szCs w:val="18"/>
        </w:rPr>
        <w:t>, 2021, 0, 1-35.</w:t>
      </w:r>
    </w:p>
    <w:p w14:paraId="17EA5C41" w14:textId="77777777" w:rsidR="00FC2A41" w:rsidRPr="00CA46DB" w:rsidRDefault="00166212" w:rsidP="00D825A5">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C. Buttay, D. Planson, B. Allard, D. Bergogne, P. Bevilacqua, C. Joubert, M. Lazar, C. Martin, H. Morel, D. Tournier and C. Raynaud, </w:t>
      </w:r>
      <w:r w:rsidRPr="00CA46DB">
        <w:rPr>
          <w:rFonts w:cstheme="minorHAnsi"/>
          <w:i/>
          <w:iCs/>
          <w:color w:val="000000" w:themeColor="text1"/>
          <w:sz w:val="18"/>
          <w:szCs w:val="18"/>
        </w:rPr>
        <w:t>Mater. Sci. Eng. B</w:t>
      </w:r>
      <w:r w:rsidRPr="00CA46DB">
        <w:rPr>
          <w:rFonts w:cstheme="minorHAnsi"/>
          <w:color w:val="000000" w:themeColor="text1"/>
          <w:sz w:val="18"/>
          <w:szCs w:val="18"/>
        </w:rPr>
        <w:t>, 2011, 176, 283−288.</w:t>
      </w:r>
    </w:p>
    <w:p w14:paraId="14E1F944"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M. Rabuffi and G. Picci, </w:t>
      </w:r>
      <w:r w:rsidRPr="00CA46DB">
        <w:rPr>
          <w:rFonts w:cstheme="minorHAnsi"/>
          <w:i/>
          <w:iCs/>
          <w:color w:val="000000" w:themeColor="text1"/>
          <w:sz w:val="18"/>
          <w:szCs w:val="18"/>
        </w:rPr>
        <w:t>IEEE Trans. Plasma. Sci.</w:t>
      </w:r>
      <w:r w:rsidRPr="00CA46DB">
        <w:rPr>
          <w:rFonts w:cstheme="minorHAnsi"/>
          <w:color w:val="000000" w:themeColor="text1"/>
          <w:sz w:val="18"/>
          <w:szCs w:val="18"/>
        </w:rPr>
        <w:t>, 2002, 30, 1939−1942.</w:t>
      </w:r>
    </w:p>
    <w:p w14:paraId="3C2467E7"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A. Azizi, M. R. Gadinski, Q. Li, M. A. AlSaud, J. Wang, Y. Wang, B. Wang, F. Liu, L. Q. Chen, N. Alem and Q. Wang, </w:t>
      </w:r>
      <w:r w:rsidRPr="00CA46DB">
        <w:rPr>
          <w:rFonts w:cstheme="minorHAnsi"/>
          <w:i/>
          <w:iCs/>
          <w:color w:val="000000" w:themeColor="text1"/>
          <w:sz w:val="18"/>
          <w:szCs w:val="18"/>
        </w:rPr>
        <w:t>Adv. Mater.</w:t>
      </w:r>
      <w:r w:rsidRPr="00CA46DB">
        <w:rPr>
          <w:rFonts w:cstheme="minorHAnsi"/>
          <w:color w:val="000000" w:themeColor="text1"/>
          <w:sz w:val="18"/>
          <w:szCs w:val="18"/>
        </w:rPr>
        <w:t>, 2017, 29, 1701864.</w:t>
      </w:r>
    </w:p>
    <w:p w14:paraId="5BB2E1F8"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D. Tan, L. Zhang, Q. Chen and P. Irwin, </w:t>
      </w:r>
      <w:r w:rsidRPr="00CA46DB">
        <w:rPr>
          <w:rFonts w:cstheme="minorHAnsi"/>
          <w:i/>
          <w:iCs/>
          <w:color w:val="000000" w:themeColor="text1"/>
          <w:sz w:val="18"/>
          <w:szCs w:val="18"/>
        </w:rPr>
        <w:t>J. Electron. Mater.</w:t>
      </w:r>
      <w:r w:rsidRPr="00CA46DB">
        <w:rPr>
          <w:rFonts w:cstheme="minorHAnsi"/>
          <w:color w:val="000000" w:themeColor="text1"/>
          <w:sz w:val="18"/>
          <w:szCs w:val="18"/>
        </w:rPr>
        <w:t>, 2014, 43, 4569−4575.</w:t>
      </w:r>
    </w:p>
    <w:p w14:paraId="7893CF8A"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H. Palneedi, M. Peddigari, G.-T. Hwang, D.-Y. Jeong and J. Ryu, </w:t>
      </w:r>
      <w:r w:rsidRPr="00CA46DB">
        <w:rPr>
          <w:rFonts w:cstheme="minorHAnsi"/>
          <w:i/>
          <w:iCs/>
          <w:color w:val="000000" w:themeColor="text1"/>
          <w:sz w:val="18"/>
          <w:szCs w:val="18"/>
        </w:rPr>
        <w:t>Adv. Funct. Mater.</w:t>
      </w:r>
      <w:r w:rsidRPr="00CA46DB">
        <w:rPr>
          <w:rFonts w:cstheme="minorHAnsi"/>
          <w:color w:val="000000" w:themeColor="text1"/>
          <w:sz w:val="18"/>
          <w:szCs w:val="18"/>
        </w:rPr>
        <w:t>, 2018, 28, 1803665.</w:t>
      </w:r>
    </w:p>
    <w:p w14:paraId="598DE947"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H. Luo, X. Zhou, C. Ellingford, Y. Zhang, S. Chen, K. Zhou, D. Zhang, C. R. Bowen and C. Wan, </w:t>
      </w:r>
      <w:r w:rsidRPr="00CA46DB">
        <w:rPr>
          <w:rFonts w:cstheme="minorHAnsi"/>
          <w:i/>
          <w:iCs/>
          <w:color w:val="000000" w:themeColor="text1"/>
          <w:sz w:val="18"/>
          <w:szCs w:val="18"/>
        </w:rPr>
        <w:t>Chem. Soc. Rev.</w:t>
      </w:r>
      <w:r w:rsidRPr="00CA46DB">
        <w:rPr>
          <w:rFonts w:cstheme="minorHAnsi"/>
          <w:color w:val="000000" w:themeColor="text1"/>
          <w:sz w:val="18"/>
          <w:szCs w:val="18"/>
        </w:rPr>
        <w:t>, 2019, 48, 4424−4465.</w:t>
      </w:r>
    </w:p>
    <w:p w14:paraId="343B2448"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S. Ho and S. G. Greenbaum, </w:t>
      </w:r>
      <w:r w:rsidRPr="00CA46DB">
        <w:rPr>
          <w:rFonts w:cstheme="minorHAnsi"/>
          <w:i/>
          <w:iCs/>
          <w:color w:val="000000" w:themeColor="text1"/>
          <w:sz w:val="18"/>
          <w:szCs w:val="18"/>
        </w:rPr>
        <w:t>ACS Appl. Mater. Interfaces</w:t>
      </w:r>
      <w:r w:rsidRPr="00CA46DB">
        <w:rPr>
          <w:rFonts w:cstheme="minorHAnsi"/>
          <w:color w:val="000000" w:themeColor="text1"/>
          <w:sz w:val="18"/>
          <w:szCs w:val="18"/>
        </w:rPr>
        <w:t>, 2018, 10, 29189−29218.</w:t>
      </w:r>
    </w:p>
    <w:p w14:paraId="5BEBAFAD"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Q. Li, L. Chen, M. R. Gadinski, S. Zhang, G. Zhang, H. U. Li, E. Iagodkine, A. Haque, L.-Q. Chen, T. N. Jackson and Q. Wang, </w:t>
      </w:r>
      <w:r w:rsidRPr="00CA46DB">
        <w:rPr>
          <w:rFonts w:cstheme="minorHAnsi"/>
          <w:i/>
          <w:iCs/>
          <w:color w:val="000000" w:themeColor="text1"/>
          <w:sz w:val="18"/>
          <w:szCs w:val="18"/>
        </w:rPr>
        <w:t>Nature</w:t>
      </w:r>
      <w:r w:rsidRPr="00CA46DB">
        <w:rPr>
          <w:rFonts w:cstheme="minorHAnsi"/>
          <w:color w:val="000000" w:themeColor="text1"/>
          <w:sz w:val="18"/>
          <w:szCs w:val="18"/>
        </w:rPr>
        <w:t>, 2015, 523, 576−579.</w:t>
      </w:r>
    </w:p>
    <w:p w14:paraId="7BBF71A9"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X. Peng, W. Xu, L. Chen, Y. Ding, T. Xiong, S. Chen and H. Hou, </w:t>
      </w:r>
      <w:r w:rsidRPr="00CA46DB">
        <w:rPr>
          <w:rFonts w:cstheme="minorHAnsi"/>
          <w:i/>
          <w:iCs/>
          <w:color w:val="000000" w:themeColor="text1"/>
          <w:sz w:val="18"/>
          <w:szCs w:val="18"/>
        </w:rPr>
        <w:t>React. Funct. Polym.</w:t>
      </w:r>
      <w:r w:rsidRPr="00CA46DB">
        <w:rPr>
          <w:rFonts w:cstheme="minorHAnsi"/>
          <w:color w:val="000000" w:themeColor="text1"/>
          <w:sz w:val="18"/>
          <w:szCs w:val="18"/>
        </w:rPr>
        <w:t>, 2016, 106, 93−98.</w:t>
      </w:r>
    </w:p>
    <w:p w14:paraId="7A785D39"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L. Chen, Y. Ding, T. Yang, C. Wan and H. Hou, </w:t>
      </w:r>
      <w:r w:rsidRPr="00CA46DB">
        <w:rPr>
          <w:rFonts w:cstheme="minorHAnsi"/>
          <w:i/>
          <w:iCs/>
          <w:color w:val="000000" w:themeColor="text1"/>
          <w:sz w:val="18"/>
          <w:szCs w:val="18"/>
        </w:rPr>
        <w:t>J. Mater. Chem. C</w:t>
      </w:r>
      <w:r w:rsidRPr="00CA46DB">
        <w:rPr>
          <w:rFonts w:cstheme="minorHAnsi"/>
          <w:color w:val="000000" w:themeColor="text1"/>
          <w:sz w:val="18"/>
          <w:szCs w:val="18"/>
        </w:rPr>
        <w:t>, 2017, 5, 8371−8375.</w:t>
      </w:r>
    </w:p>
    <w:p w14:paraId="769D4538"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R. Ma, A. F. Baldwin, C. Wang, I. Offenbach, M. Cakmak, R. Ramprasad and G. A. Sotzing, </w:t>
      </w:r>
      <w:r w:rsidRPr="00CA46DB">
        <w:rPr>
          <w:rFonts w:cstheme="minorHAnsi"/>
          <w:i/>
          <w:iCs/>
          <w:color w:val="000000" w:themeColor="text1"/>
          <w:sz w:val="18"/>
          <w:szCs w:val="18"/>
        </w:rPr>
        <w:t>ACS Appl. Mater. Interfaces</w:t>
      </w:r>
      <w:r w:rsidRPr="00CA46DB">
        <w:rPr>
          <w:rFonts w:cstheme="minorHAnsi"/>
          <w:color w:val="000000" w:themeColor="text1"/>
          <w:sz w:val="18"/>
          <w:szCs w:val="18"/>
        </w:rPr>
        <w:t>, 2014, 6, 10445−10451.</w:t>
      </w:r>
    </w:p>
    <w:p w14:paraId="0A757CBE"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D. H. Wang, B. A. Kurish, I. Treufeld, L. Zhu and L.-S. Tan, </w:t>
      </w:r>
      <w:r w:rsidRPr="00CA46DB">
        <w:rPr>
          <w:rFonts w:cstheme="minorHAnsi"/>
          <w:i/>
          <w:iCs/>
          <w:color w:val="000000" w:themeColor="text1"/>
          <w:sz w:val="18"/>
          <w:szCs w:val="18"/>
        </w:rPr>
        <w:t>J. Polym. Sci., Part A: Polym. Chem.</w:t>
      </w:r>
      <w:r w:rsidRPr="00CA46DB">
        <w:rPr>
          <w:rFonts w:cstheme="minorHAnsi"/>
          <w:color w:val="000000" w:themeColor="text1"/>
          <w:sz w:val="18"/>
          <w:szCs w:val="18"/>
        </w:rPr>
        <w:t>, 2015, 53, 422−436.</w:t>
      </w:r>
    </w:p>
    <w:p w14:paraId="583F4131"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A. Alias, Z. Ahmad and A. B. Ismail, </w:t>
      </w:r>
      <w:r w:rsidRPr="00CA46DB">
        <w:rPr>
          <w:rFonts w:cstheme="minorHAnsi"/>
          <w:i/>
          <w:iCs/>
          <w:color w:val="000000" w:themeColor="text1"/>
          <w:sz w:val="18"/>
          <w:szCs w:val="18"/>
        </w:rPr>
        <w:t>Mater. Sci. Eng. B</w:t>
      </w:r>
      <w:r w:rsidRPr="00CA46DB">
        <w:rPr>
          <w:rFonts w:cstheme="minorHAnsi"/>
          <w:color w:val="000000" w:themeColor="text1"/>
          <w:sz w:val="18"/>
          <w:szCs w:val="18"/>
        </w:rPr>
        <w:t>, 2011, 176, 799−804.</w:t>
      </w:r>
    </w:p>
    <w:p w14:paraId="0DB4C92C"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W. Zha, B. H. Fan, Z. M. Dang, S. T. Li and G. Chen, </w:t>
      </w:r>
      <w:r w:rsidRPr="00CA46DB">
        <w:rPr>
          <w:rFonts w:cstheme="minorHAnsi"/>
          <w:i/>
          <w:iCs/>
          <w:color w:val="000000" w:themeColor="text1"/>
          <w:sz w:val="18"/>
          <w:szCs w:val="18"/>
        </w:rPr>
        <w:t>J. Mater. Res.</w:t>
      </w:r>
      <w:r w:rsidRPr="00CA46DB">
        <w:rPr>
          <w:rFonts w:cstheme="minorHAnsi"/>
          <w:color w:val="000000" w:themeColor="text1"/>
          <w:sz w:val="18"/>
          <w:szCs w:val="18"/>
        </w:rPr>
        <w:t>, 2010, 25, 2384−2391.</w:t>
      </w:r>
    </w:p>
    <w:p w14:paraId="6B9664B0"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M. A. Olariu, C. Hamciuc, L. Okrasa, E. Hamciuc, L. Dimitrov and Y. Kalvachev, </w:t>
      </w:r>
      <w:r w:rsidRPr="00CA46DB">
        <w:rPr>
          <w:rFonts w:cstheme="minorHAnsi"/>
          <w:i/>
          <w:iCs/>
          <w:color w:val="000000" w:themeColor="text1"/>
          <w:sz w:val="18"/>
          <w:szCs w:val="18"/>
        </w:rPr>
        <w:t>Polym. Compos.</w:t>
      </w:r>
      <w:r w:rsidRPr="00CA46DB">
        <w:rPr>
          <w:rFonts w:cstheme="minorHAnsi"/>
          <w:color w:val="000000" w:themeColor="text1"/>
          <w:sz w:val="18"/>
          <w:szCs w:val="18"/>
        </w:rPr>
        <w:t>, 2017, 38, 2584−2593.</w:t>
      </w:r>
    </w:p>
    <w:p w14:paraId="03A1ADA0"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W. Zha, H. T. Song, Z. M. Dang, C. Y. Shi and J. Bai, </w:t>
      </w:r>
      <w:r w:rsidRPr="00CA46DB">
        <w:rPr>
          <w:rFonts w:cstheme="minorHAnsi"/>
          <w:i/>
          <w:iCs/>
          <w:color w:val="000000" w:themeColor="text1"/>
          <w:sz w:val="18"/>
          <w:szCs w:val="18"/>
        </w:rPr>
        <w:t>Appl. Phys. Lett.</w:t>
      </w:r>
      <w:r w:rsidRPr="00CA46DB">
        <w:rPr>
          <w:rFonts w:cstheme="minorHAnsi"/>
          <w:color w:val="000000" w:themeColor="text1"/>
          <w:sz w:val="18"/>
          <w:szCs w:val="18"/>
        </w:rPr>
        <w:t>, 2008, 93, 192911.</w:t>
      </w:r>
    </w:p>
    <w:p w14:paraId="6C8E8600"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W. Zha, Z. M. Dang, H. T. Song, Y. Yin and G. Chen, </w:t>
      </w:r>
      <w:r w:rsidRPr="00CA46DB">
        <w:rPr>
          <w:rFonts w:cstheme="minorHAnsi"/>
          <w:i/>
          <w:iCs/>
          <w:color w:val="000000" w:themeColor="text1"/>
          <w:sz w:val="18"/>
          <w:szCs w:val="18"/>
        </w:rPr>
        <w:t>J. Appl. Phys.</w:t>
      </w:r>
      <w:r w:rsidRPr="00CA46DB">
        <w:rPr>
          <w:rFonts w:cstheme="minorHAnsi"/>
          <w:color w:val="000000" w:themeColor="text1"/>
          <w:sz w:val="18"/>
          <w:szCs w:val="18"/>
        </w:rPr>
        <w:t>, 2010, 108, 094113.</w:t>
      </w:r>
    </w:p>
    <w:p w14:paraId="32B794A7"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W. Zha, Z. M. Dang, T. Zhou, H.-T. Song and G. Chen, </w:t>
      </w:r>
      <w:r w:rsidRPr="00CA46DB">
        <w:rPr>
          <w:rFonts w:cstheme="minorHAnsi"/>
          <w:i/>
          <w:iCs/>
          <w:color w:val="000000" w:themeColor="text1"/>
          <w:sz w:val="18"/>
          <w:szCs w:val="18"/>
        </w:rPr>
        <w:t>Synth. Met.</w:t>
      </w:r>
      <w:r w:rsidRPr="00CA46DB">
        <w:rPr>
          <w:rFonts w:cstheme="minorHAnsi"/>
          <w:color w:val="000000" w:themeColor="text1"/>
          <w:sz w:val="18"/>
          <w:szCs w:val="18"/>
        </w:rPr>
        <w:t>, 2010, 160, 2670−2674.</w:t>
      </w:r>
    </w:p>
    <w:p w14:paraId="47CE9ED0"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W. Zha, G. Chen, Z. M. Dang and Y. Yin, </w:t>
      </w:r>
      <w:r w:rsidRPr="00CA46DB">
        <w:rPr>
          <w:rFonts w:cstheme="minorHAnsi"/>
          <w:i/>
          <w:iCs/>
          <w:color w:val="000000" w:themeColor="text1"/>
          <w:sz w:val="18"/>
          <w:szCs w:val="18"/>
        </w:rPr>
        <w:t>J. Electrost.</w:t>
      </w:r>
      <w:r w:rsidRPr="00CA46DB">
        <w:rPr>
          <w:rFonts w:cstheme="minorHAnsi"/>
          <w:color w:val="000000" w:themeColor="text1"/>
          <w:sz w:val="18"/>
          <w:szCs w:val="18"/>
        </w:rPr>
        <w:t>, 2011, 69, 255−260.</w:t>
      </w:r>
    </w:p>
    <w:p w14:paraId="5CAF6ABA"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X. Wang, Q. G. Chi, Q. Q. Lei, L. Gao and C. X. Yu, </w:t>
      </w:r>
      <w:r w:rsidRPr="00CA46DB">
        <w:rPr>
          <w:rFonts w:cstheme="minorHAnsi"/>
          <w:i/>
          <w:iCs/>
          <w:color w:val="000000" w:themeColor="text1"/>
          <w:sz w:val="18"/>
          <w:szCs w:val="18"/>
        </w:rPr>
        <w:t>IEEE Trans. Dielectr. Electr. Insul.</w:t>
      </w:r>
      <w:r w:rsidRPr="00CA46DB">
        <w:rPr>
          <w:rFonts w:cstheme="minorHAnsi"/>
          <w:color w:val="000000" w:themeColor="text1"/>
          <w:sz w:val="18"/>
          <w:szCs w:val="18"/>
        </w:rPr>
        <w:t>, 2014, 21, 1471−1477.</w:t>
      </w:r>
    </w:p>
    <w:p w14:paraId="509E4141"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Q. G. Chi, J. F. Dong, C. H. Zhang, C. P. Wong, X. Wang and Q. Q. Lei, </w:t>
      </w:r>
      <w:r w:rsidRPr="00CA46DB">
        <w:rPr>
          <w:rFonts w:cstheme="minorHAnsi"/>
          <w:i/>
          <w:iCs/>
          <w:color w:val="000000" w:themeColor="text1"/>
          <w:sz w:val="18"/>
          <w:szCs w:val="18"/>
        </w:rPr>
        <w:t>J. Mater. Chem. C</w:t>
      </w:r>
      <w:r w:rsidRPr="00CA46DB">
        <w:rPr>
          <w:rFonts w:cstheme="minorHAnsi"/>
          <w:color w:val="000000" w:themeColor="text1"/>
          <w:sz w:val="18"/>
          <w:szCs w:val="18"/>
        </w:rPr>
        <w:t>, 2016, 4, 8179−8188.</w:t>
      </w:r>
    </w:p>
    <w:p w14:paraId="623A32BA"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Z. M. Dang, T. Zhou, S. H. Yao, J. K. Yuan, J. W. Zha, H. T. Song, J. Y. Li, Q. Chen, W. T. Yang and J. Bai, </w:t>
      </w:r>
      <w:r w:rsidRPr="00CA46DB">
        <w:rPr>
          <w:rFonts w:cstheme="minorHAnsi"/>
          <w:i/>
          <w:iCs/>
          <w:color w:val="000000" w:themeColor="text1"/>
          <w:sz w:val="18"/>
          <w:szCs w:val="18"/>
        </w:rPr>
        <w:t>Adv. Mater.</w:t>
      </w:r>
      <w:r w:rsidRPr="00CA46DB">
        <w:rPr>
          <w:rFonts w:cstheme="minorHAnsi"/>
          <w:color w:val="000000" w:themeColor="text1"/>
          <w:sz w:val="18"/>
          <w:szCs w:val="18"/>
        </w:rPr>
        <w:t>, 2009, 21, 2077−2082.</w:t>
      </w:r>
    </w:p>
    <w:p w14:paraId="6DB8FAC9"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C. Qian, T. Zhu, W. Zheng, R. Bei, S. Liu, D. Yu, Z. Chi, Y. Zhang and J. Xu, </w:t>
      </w:r>
      <w:r w:rsidRPr="00CA46DB">
        <w:rPr>
          <w:rFonts w:cstheme="minorHAnsi"/>
          <w:i/>
          <w:iCs/>
          <w:color w:val="000000" w:themeColor="text1"/>
          <w:sz w:val="18"/>
          <w:szCs w:val="18"/>
        </w:rPr>
        <w:t>ACS Appl. Polym. Mater.</w:t>
      </w:r>
      <w:r w:rsidRPr="00CA46DB">
        <w:rPr>
          <w:rFonts w:cstheme="minorHAnsi"/>
          <w:color w:val="000000" w:themeColor="text1"/>
          <w:sz w:val="18"/>
          <w:szCs w:val="18"/>
        </w:rPr>
        <w:t>, 2019, 1, 1263−1271.</w:t>
      </w:r>
    </w:p>
    <w:p w14:paraId="6C79DC77"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Y. H. Wu, J. W. Zha, Z. Q. Yao, F. Sun, R. K. Y. Li and Z. M. Dang, </w:t>
      </w:r>
      <w:r w:rsidRPr="00CA46DB">
        <w:rPr>
          <w:rFonts w:cstheme="minorHAnsi"/>
          <w:i/>
          <w:iCs/>
          <w:color w:val="000000" w:themeColor="text1"/>
          <w:sz w:val="18"/>
          <w:szCs w:val="18"/>
        </w:rPr>
        <w:t>RSC Adv.</w:t>
      </w:r>
      <w:r w:rsidRPr="00CA46DB">
        <w:rPr>
          <w:rFonts w:cstheme="minorHAnsi"/>
          <w:color w:val="000000" w:themeColor="text1"/>
          <w:sz w:val="18"/>
          <w:szCs w:val="18"/>
        </w:rPr>
        <w:t>, 2015, 5, 44749−44755.</w:t>
      </w:r>
    </w:p>
    <w:p w14:paraId="1A0BAD5B"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S. Yue, B. Wan, Y. Liu and Q. Zhang, </w:t>
      </w:r>
      <w:r w:rsidRPr="00CA46DB">
        <w:rPr>
          <w:rFonts w:cstheme="minorHAnsi"/>
          <w:i/>
          <w:iCs/>
          <w:color w:val="000000" w:themeColor="text1"/>
          <w:sz w:val="18"/>
          <w:szCs w:val="18"/>
        </w:rPr>
        <w:t>RSC Adv.</w:t>
      </w:r>
      <w:r w:rsidRPr="00CA46DB">
        <w:rPr>
          <w:rFonts w:cstheme="minorHAnsi"/>
          <w:color w:val="000000" w:themeColor="text1"/>
          <w:sz w:val="18"/>
          <w:szCs w:val="18"/>
        </w:rPr>
        <w:t>, 2019, 9, 7706−7717.</w:t>
      </w:r>
    </w:p>
    <w:p w14:paraId="4D0633BB"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Z. M. Dang, Y. Q. Lin, H. P. Xu, C. Y. Shi, S. T. Li and J. B. Bai, </w:t>
      </w:r>
      <w:r w:rsidRPr="00CA46DB">
        <w:rPr>
          <w:rFonts w:cstheme="minorHAnsi"/>
          <w:i/>
          <w:iCs/>
          <w:color w:val="000000" w:themeColor="text1"/>
          <w:sz w:val="18"/>
          <w:szCs w:val="18"/>
        </w:rPr>
        <w:t>Adv. Funct. Mater.</w:t>
      </w:r>
      <w:r w:rsidRPr="00CA46DB">
        <w:rPr>
          <w:rFonts w:cstheme="minorHAnsi"/>
          <w:color w:val="000000" w:themeColor="text1"/>
          <w:sz w:val="18"/>
          <w:szCs w:val="18"/>
        </w:rPr>
        <w:t>, 2008, 18, 1509−1517.</w:t>
      </w:r>
    </w:p>
    <w:p w14:paraId="01FB6534"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W. Zha, Q. Liu, Z. M. Dang and G. Chen, </w:t>
      </w:r>
      <w:r w:rsidRPr="00CA46DB">
        <w:rPr>
          <w:rFonts w:cstheme="minorHAnsi"/>
          <w:i/>
          <w:iCs/>
          <w:color w:val="000000" w:themeColor="text1"/>
          <w:sz w:val="18"/>
          <w:szCs w:val="18"/>
        </w:rPr>
        <w:t>IEEE Trans. Dielectr. Electr. Insul.</w:t>
      </w:r>
      <w:r w:rsidRPr="00CA46DB">
        <w:rPr>
          <w:rFonts w:cstheme="minorHAnsi"/>
          <w:color w:val="000000" w:themeColor="text1"/>
          <w:sz w:val="18"/>
          <w:szCs w:val="18"/>
        </w:rPr>
        <w:t>, 2016, 23, 113−120.</w:t>
      </w:r>
    </w:p>
    <w:p w14:paraId="24662E52"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H. Feng, X. Fang, X. Liu, Q. Pei, Z. K. Cui, S. Deng, J. Gu and Q. Zhuang, </w:t>
      </w:r>
      <w:r w:rsidRPr="00CA46DB">
        <w:rPr>
          <w:rFonts w:cstheme="minorHAnsi"/>
          <w:i/>
          <w:iCs/>
          <w:color w:val="000000" w:themeColor="text1"/>
          <w:sz w:val="18"/>
          <w:szCs w:val="18"/>
        </w:rPr>
        <w:t>Compos. Pt. A: Appl. Sci. Manuf.</w:t>
      </w:r>
      <w:r w:rsidRPr="00CA46DB">
        <w:rPr>
          <w:rFonts w:cstheme="minorHAnsi"/>
          <w:color w:val="000000" w:themeColor="text1"/>
          <w:sz w:val="18"/>
          <w:szCs w:val="18"/>
        </w:rPr>
        <w:t>, 2018, 109, 578−584.</w:t>
      </w:r>
    </w:p>
    <w:p w14:paraId="7F0BBCA1"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G. Sun, S. Zhang, Z. Yang, J. Wang, R. Chen, L. Sun, Z. Yang and S. Han, </w:t>
      </w:r>
      <w:r w:rsidRPr="00CA46DB">
        <w:rPr>
          <w:rFonts w:cstheme="minorHAnsi"/>
          <w:i/>
          <w:iCs/>
          <w:color w:val="000000" w:themeColor="text1"/>
          <w:sz w:val="18"/>
          <w:szCs w:val="18"/>
        </w:rPr>
        <w:t>Prog. Org. Coat.</w:t>
      </w:r>
      <w:r w:rsidRPr="00CA46DB">
        <w:rPr>
          <w:rFonts w:cstheme="minorHAnsi"/>
          <w:color w:val="000000" w:themeColor="text1"/>
          <w:sz w:val="18"/>
          <w:szCs w:val="18"/>
        </w:rPr>
        <w:t>, 2020, 143, 105611.</w:t>
      </w:r>
    </w:p>
    <w:p w14:paraId="00507037"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W. Xu, Y. Ding, S. Jiang, J. Zhu, W. Ye, Y. Shen and H. Hou, </w:t>
      </w:r>
      <w:r w:rsidRPr="00CA46DB">
        <w:rPr>
          <w:rFonts w:cstheme="minorHAnsi"/>
          <w:i/>
          <w:iCs/>
          <w:color w:val="000000" w:themeColor="text1"/>
          <w:sz w:val="18"/>
          <w:szCs w:val="18"/>
        </w:rPr>
        <w:t>Eur. Polym. J.</w:t>
      </w:r>
      <w:r w:rsidRPr="00CA46DB">
        <w:rPr>
          <w:rFonts w:cstheme="minorHAnsi"/>
          <w:color w:val="000000" w:themeColor="text1"/>
          <w:sz w:val="18"/>
          <w:szCs w:val="18"/>
        </w:rPr>
        <w:t>, 2014, 59, 129−135.</w:t>
      </w:r>
    </w:p>
    <w:p w14:paraId="28EDAE0C"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T. Akhter, S. C. Mun, S. Saeed, O. O. Park and H. M. Siddiqi, </w:t>
      </w:r>
      <w:r w:rsidRPr="00CA46DB">
        <w:rPr>
          <w:rFonts w:cstheme="minorHAnsi"/>
          <w:i/>
          <w:iCs/>
          <w:color w:val="000000" w:themeColor="text1"/>
          <w:sz w:val="18"/>
          <w:szCs w:val="18"/>
        </w:rPr>
        <w:t>RSC Adv.</w:t>
      </w:r>
      <w:r w:rsidRPr="00CA46DB">
        <w:rPr>
          <w:rFonts w:cstheme="minorHAnsi"/>
          <w:color w:val="000000" w:themeColor="text1"/>
          <w:sz w:val="18"/>
          <w:szCs w:val="18"/>
        </w:rPr>
        <w:t>, 2015, 5, 71183−71189.</w:t>
      </w:r>
    </w:p>
    <w:p w14:paraId="413AC173"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W. Zha, F. Sun, S. J. Wang, D. Wang, X. Lin, G. Chen and Z. M. Dang, </w:t>
      </w:r>
      <w:r w:rsidRPr="00CA46DB">
        <w:rPr>
          <w:rFonts w:cstheme="minorHAnsi"/>
          <w:i/>
          <w:iCs/>
          <w:color w:val="000000" w:themeColor="text1"/>
          <w:sz w:val="18"/>
          <w:szCs w:val="18"/>
        </w:rPr>
        <w:t>J. Appl. Phys.</w:t>
      </w:r>
      <w:r w:rsidRPr="00CA46DB">
        <w:rPr>
          <w:rFonts w:cstheme="minorHAnsi"/>
          <w:color w:val="000000" w:themeColor="text1"/>
          <w:sz w:val="18"/>
          <w:szCs w:val="18"/>
        </w:rPr>
        <w:t>, 2014, 116, 134104.</w:t>
      </w:r>
    </w:p>
    <w:p w14:paraId="061C3EC2"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L. Yang, X. Kong, F. Li, H. Hao, Z. Cheng, H. Liu, J. F. Li and S. Zhang, </w:t>
      </w:r>
      <w:r w:rsidRPr="00CA46DB">
        <w:rPr>
          <w:rFonts w:cstheme="minorHAnsi"/>
          <w:i/>
          <w:iCs/>
          <w:color w:val="000000" w:themeColor="text1"/>
          <w:sz w:val="18"/>
          <w:szCs w:val="18"/>
        </w:rPr>
        <w:t>Prog. Mater Sci.</w:t>
      </w:r>
      <w:r w:rsidRPr="00CA46DB">
        <w:rPr>
          <w:rFonts w:cstheme="minorHAnsi"/>
          <w:color w:val="000000" w:themeColor="text1"/>
          <w:sz w:val="18"/>
          <w:szCs w:val="18"/>
        </w:rPr>
        <w:t>, 2019, 102, 72−108.</w:t>
      </w:r>
    </w:p>
    <w:p w14:paraId="04A05420"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Y. Qiao, X. Yin, T. Zhu, H. Li and C. Tang, </w:t>
      </w:r>
      <w:r w:rsidRPr="00CA46DB">
        <w:rPr>
          <w:rFonts w:cstheme="minorHAnsi"/>
          <w:i/>
          <w:iCs/>
          <w:color w:val="000000" w:themeColor="text1"/>
          <w:sz w:val="18"/>
          <w:szCs w:val="18"/>
        </w:rPr>
        <w:t>Prog. Polym. Sci.</w:t>
      </w:r>
      <w:r w:rsidRPr="00CA46DB">
        <w:rPr>
          <w:rFonts w:cstheme="minorHAnsi"/>
          <w:color w:val="000000" w:themeColor="text1"/>
          <w:sz w:val="18"/>
          <w:szCs w:val="18"/>
        </w:rPr>
        <w:t>, 2018, 80, 153−162.</w:t>
      </w:r>
    </w:p>
    <w:p w14:paraId="15C7F338"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Wei and L. Zhu, </w:t>
      </w:r>
      <w:r w:rsidRPr="00CA46DB">
        <w:rPr>
          <w:rFonts w:cstheme="minorHAnsi"/>
          <w:i/>
          <w:iCs/>
          <w:color w:val="000000" w:themeColor="text1"/>
          <w:sz w:val="18"/>
          <w:szCs w:val="18"/>
        </w:rPr>
        <w:t>Prog. Polym. Sci.</w:t>
      </w:r>
      <w:r w:rsidRPr="00CA46DB">
        <w:rPr>
          <w:rFonts w:cstheme="minorHAnsi"/>
          <w:color w:val="000000" w:themeColor="text1"/>
          <w:sz w:val="18"/>
          <w:szCs w:val="18"/>
        </w:rPr>
        <w:t>, 2020, 106, 101254.</w:t>
      </w:r>
    </w:p>
    <w:p w14:paraId="32CA6989"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Y. Wang, J. Chen, Y. Li, Y. Niu, Q. Wang and H. Wang, </w:t>
      </w:r>
      <w:r w:rsidRPr="00CA46DB">
        <w:rPr>
          <w:rFonts w:cstheme="minorHAnsi"/>
          <w:i/>
          <w:iCs/>
          <w:color w:val="000000" w:themeColor="text1"/>
          <w:sz w:val="18"/>
          <w:szCs w:val="18"/>
        </w:rPr>
        <w:t>J. Mater. Chem. A</w:t>
      </w:r>
      <w:r w:rsidRPr="00CA46DB">
        <w:rPr>
          <w:rFonts w:cstheme="minorHAnsi"/>
          <w:color w:val="000000" w:themeColor="text1"/>
          <w:sz w:val="18"/>
          <w:szCs w:val="18"/>
        </w:rPr>
        <w:t>, 2019, 7, 2965−2980.</w:t>
      </w:r>
    </w:p>
    <w:p w14:paraId="1A3F7D78"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B. Fan, M. Zhou, C. Zhang, D. He and J. Bai, </w:t>
      </w:r>
      <w:r w:rsidRPr="00CA46DB">
        <w:rPr>
          <w:rFonts w:cstheme="minorHAnsi"/>
          <w:i/>
          <w:iCs/>
          <w:color w:val="000000" w:themeColor="text1"/>
          <w:sz w:val="18"/>
          <w:szCs w:val="18"/>
        </w:rPr>
        <w:t>Prog. Polym. Sci.</w:t>
      </w:r>
      <w:r w:rsidRPr="00CA46DB">
        <w:rPr>
          <w:rFonts w:cstheme="minorHAnsi"/>
          <w:color w:val="000000" w:themeColor="text1"/>
          <w:sz w:val="18"/>
          <w:szCs w:val="18"/>
        </w:rPr>
        <w:t>, 2019, 97, 101143.</w:t>
      </w:r>
    </w:p>
    <w:p w14:paraId="10BD3020"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W. Zha, M. S. Zheng, B. H. Fan and Z. M. Dang, </w:t>
      </w:r>
      <w:r w:rsidRPr="00CA46DB">
        <w:rPr>
          <w:rFonts w:cstheme="minorHAnsi"/>
          <w:i/>
          <w:iCs/>
          <w:color w:val="000000" w:themeColor="text1"/>
          <w:sz w:val="18"/>
          <w:szCs w:val="18"/>
        </w:rPr>
        <w:t>Nano Energy</w:t>
      </w:r>
      <w:r w:rsidRPr="00CA46DB">
        <w:rPr>
          <w:rFonts w:cstheme="minorHAnsi"/>
          <w:color w:val="000000" w:themeColor="text1"/>
          <w:sz w:val="18"/>
          <w:szCs w:val="18"/>
        </w:rPr>
        <w:t xml:space="preserve">, 2021, 89, 106438. </w:t>
      </w:r>
    </w:p>
    <w:p w14:paraId="44EBF2B3"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Prateek, V. K. Thakur and R. K. Gupta, </w:t>
      </w:r>
      <w:r w:rsidRPr="00CA46DB">
        <w:rPr>
          <w:rFonts w:cstheme="minorHAnsi"/>
          <w:i/>
          <w:iCs/>
          <w:color w:val="000000" w:themeColor="text1"/>
          <w:sz w:val="18"/>
          <w:szCs w:val="18"/>
        </w:rPr>
        <w:t>Chem. Rev.</w:t>
      </w:r>
      <w:r w:rsidRPr="00CA46DB">
        <w:rPr>
          <w:rFonts w:cstheme="minorHAnsi"/>
          <w:color w:val="000000" w:themeColor="text1"/>
          <w:sz w:val="18"/>
          <w:szCs w:val="18"/>
        </w:rPr>
        <w:t>, 2016, 116, 4260−4317.</w:t>
      </w:r>
    </w:p>
    <w:p w14:paraId="2ACA83E9"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X. Zhang, B. W. Li, L. Dong, H. Liu, W. Chen, Y. Shen and C. W. Nan, </w:t>
      </w:r>
      <w:r w:rsidRPr="00CA46DB">
        <w:rPr>
          <w:rFonts w:cstheme="minorHAnsi"/>
          <w:i/>
          <w:iCs/>
          <w:color w:val="000000" w:themeColor="text1"/>
          <w:sz w:val="18"/>
          <w:szCs w:val="18"/>
        </w:rPr>
        <w:t>Adv. Mater. Interfaces</w:t>
      </w:r>
      <w:r w:rsidRPr="00CA46DB">
        <w:rPr>
          <w:rFonts w:cstheme="minorHAnsi"/>
          <w:color w:val="000000" w:themeColor="text1"/>
          <w:sz w:val="18"/>
          <w:szCs w:val="18"/>
        </w:rPr>
        <w:t>, 2018, 5, 1800096.</w:t>
      </w:r>
    </w:p>
    <w:p w14:paraId="3633550A"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D. Q. Tan, </w:t>
      </w:r>
      <w:r w:rsidRPr="00CA46DB">
        <w:rPr>
          <w:rFonts w:cstheme="minorHAnsi"/>
          <w:i/>
          <w:iCs/>
          <w:color w:val="000000" w:themeColor="text1"/>
          <w:sz w:val="18"/>
          <w:szCs w:val="18"/>
        </w:rPr>
        <w:t>Adv. Funct. Mater.</w:t>
      </w:r>
      <w:r w:rsidRPr="00CA46DB">
        <w:rPr>
          <w:rFonts w:cstheme="minorHAnsi"/>
          <w:color w:val="000000" w:themeColor="text1"/>
          <w:sz w:val="18"/>
          <w:szCs w:val="18"/>
        </w:rPr>
        <w:t>, 2019, 1808567.</w:t>
      </w:r>
    </w:p>
    <w:p w14:paraId="6A5240D7"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X. Huang and P. Jiang, </w:t>
      </w:r>
      <w:r w:rsidRPr="00CA46DB">
        <w:rPr>
          <w:rFonts w:cstheme="minorHAnsi"/>
          <w:i/>
          <w:iCs/>
          <w:color w:val="000000" w:themeColor="text1"/>
          <w:sz w:val="18"/>
          <w:szCs w:val="18"/>
        </w:rPr>
        <w:t>Adv. Mater.</w:t>
      </w:r>
      <w:r w:rsidRPr="00CA46DB">
        <w:rPr>
          <w:rFonts w:cstheme="minorHAnsi"/>
          <w:color w:val="000000" w:themeColor="text1"/>
          <w:sz w:val="18"/>
          <w:szCs w:val="18"/>
        </w:rPr>
        <w:t>, 2015, 27, 546−554.</w:t>
      </w:r>
    </w:p>
    <w:p w14:paraId="708E5AA2"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Q. Li, F. Z. Yao, Y. Liu, G. Zhang, H. Wang and Q. Wang, </w:t>
      </w:r>
      <w:r w:rsidRPr="00CA46DB">
        <w:rPr>
          <w:rFonts w:cstheme="minorHAnsi"/>
          <w:i/>
          <w:iCs/>
          <w:color w:val="000000" w:themeColor="text1"/>
          <w:sz w:val="18"/>
          <w:szCs w:val="18"/>
        </w:rPr>
        <w:t>Annu. Rev. Mater. Res.</w:t>
      </w:r>
      <w:r w:rsidRPr="00CA46DB">
        <w:rPr>
          <w:rFonts w:cstheme="minorHAnsi"/>
          <w:color w:val="000000" w:themeColor="text1"/>
          <w:sz w:val="18"/>
          <w:szCs w:val="18"/>
        </w:rPr>
        <w:t>, 2018, 48, 219−243.</w:t>
      </w:r>
    </w:p>
    <w:p w14:paraId="2037F396"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N. Zhu, G. Liang, L. Yuan, Q. Guan, A. Gu, </w:t>
      </w:r>
      <w:r w:rsidRPr="00CA46DB">
        <w:rPr>
          <w:rFonts w:cstheme="minorHAnsi"/>
          <w:i/>
          <w:iCs/>
          <w:color w:val="000000" w:themeColor="text1"/>
          <w:sz w:val="18"/>
          <w:szCs w:val="18"/>
        </w:rPr>
        <w:t>IET Nanodielectr.</w:t>
      </w:r>
      <w:r w:rsidRPr="00CA46DB">
        <w:rPr>
          <w:rFonts w:cstheme="minorHAnsi"/>
          <w:color w:val="000000" w:themeColor="text1"/>
          <w:sz w:val="18"/>
          <w:szCs w:val="18"/>
        </w:rPr>
        <w:t>, 2018, 1, 67−79.</w:t>
      </w:r>
    </w:p>
    <w:p w14:paraId="1D88895A"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X. M. Zhang, J. G. Liu and S. Y. Yang, </w:t>
      </w:r>
      <w:r w:rsidRPr="00CA46DB">
        <w:rPr>
          <w:rFonts w:cstheme="minorHAnsi"/>
          <w:i/>
          <w:iCs/>
          <w:color w:val="000000" w:themeColor="text1"/>
          <w:sz w:val="18"/>
          <w:szCs w:val="18"/>
        </w:rPr>
        <w:t>Rev. Adv. Mater. Sci.</w:t>
      </w:r>
      <w:r w:rsidRPr="00CA46DB">
        <w:rPr>
          <w:rFonts w:cstheme="minorHAnsi"/>
          <w:color w:val="000000" w:themeColor="text1"/>
          <w:sz w:val="18"/>
          <w:szCs w:val="18"/>
        </w:rPr>
        <w:t>, 2016, 46, 22−38.</w:t>
      </w:r>
    </w:p>
    <w:p w14:paraId="1A09FC97"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H. Tong, A. Ahmad, J. Fu, H. Y. Xu, T. Fan, Y. D. Hou and J. Xu, J. </w:t>
      </w:r>
      <w:r w:rsidRPr="00CA46DB">
        <w:rPr>
          <w:rFonts w:cstheme="minorHAnsi"/>
          <w:i/>
          <w:iCs/>
          <w:color w:val="000000" w:themeColor="text1"/>
          <w:sz w:val="18"/>
          <w:szCs w:val="18"/>
        </w:rPr>
        <w:t>Appl. Polym. Sci.</w:t>
      </w:r>
      <w:r w:rsidRPr="00CA46DB">
        <w:rPr>
          <w:rFonts w:cstheme="minorHAnsi"/>
          <w:color w:val="000000" w:themeColor="text1"/>
          <w:sz w:val="18"/>
          <w:szCs w:val="18"/>
        </w:rPr>
        <w:t>, 2019, 136, 47883.</w:t>
      </w:r>
    </w:p>
    <w:p w14:paraId="0C2BFDDB"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H. Tong, J. Fu, A. Ahmad, T. Fan, Y. Hou and J. Xu, </w:t>
      </w:r>
      <w:r w:rsidRPr="00CA46DB">
        <w:rPr>
          <w:rFonts w:cstheme="minorHAnsi"/>
          <w:i/>
          <w:iCs/>
          <w:color w:val="000000" w:themeColor="text1"/>
          <w:sz w:val="18"/>
          <w:szCs w:val="18"/>
        </w:rPr>
        <w:t>Macromol. Mater. Eng.</w:t>
      </w:r>
      <w:r w:rsidRPr="00CA46DB">
        <w:rPr>
          <w:rFonts w:cstheme="minorHAnsi"/>
          <w:color w:val="000000" w:themeColor="text1"/>
          <w:sz w:val="18"/>
          <w:szCs w:val="18"/>
        </w:rPr>
        <w:t>, 2019, 304, 1800709.</w:t>
      </w:r>
    </w:p>
    <w:p w14:paraId="0EB67B9A"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F. C. Chiu, </w:t>
      </w:r>
      <w:r w:rsidRPr="00CA46DB">
        <w:rPr>
          <w:rFonts w:cstheme="minorHAnsi"/>
          <w:i/>
          <w:iCs/>
          <w:color w:val="000000" w:themeColor="text1"/>
          <w:sz w:val="18"/>
          <w:szCs w:val="18"/>
        </w:rPr>
        <w:t>Adv. Mater. Sci. Eng.</w:t>
      </w:r>
      <w:r w:rsidRPr="00CA46DB">
        <w:rPr>
          <w:rFonts w:cstheme="minorHAnsi"/>
          <w:color w:val="000000" w:themeColor="text1"/>
          <w:sz w:val="18"/>
          <w:szCs w:val="18"/>
        </w:rPr>
        <w:t>, 2014, 2014, 1−18.</w:t>
      </w:r>
    </w:p>
    <w:p w14:paraId="09B06989"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Y. Zhou and Q. Wang, </w:t>
      </w:r>
      <w:r w:rsidRPr="00CA46DB">
        <w:rPr>
          <w:rFonts w:cstheme="minorHAnsi"/>
          <w:i/>
          <w:iCs/>
          <w:color w:val="000000" w:themeColor="text1"/>
          <w:sz w:val="18"/>
          <w:szCs w:val="18"/>
        </w:rPr>
        <w:t>J. Appl. Phys.</w:t>
      </w:r>
      <w:r w:rsidRPr="00CA46DB">
        <w:rPr>
          <w:rFonts w:cstheme="minorHAnsi"/>
          <w:color w:val="000000" w:themeColor="text1"/>
          <w:sz w:val="18"/>
          <w:szCs w:val="18"/>
        </w:rPr>
        <w:t>, 2020, 127, 240902.</w:t>
      </w:r>
    </w:p>
    <w:p w14:paraId="4FCD7526"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Z. H. Shen, J. J. Wang, Y. Lin, C. W. Nan, L. Q. Chen and Y. Shen, </w:t>
      </w:r>
      <w:r w:rsidRPr="00CA46DB">
        <w:rPr>
          <w:rFonts w:cstheme="minorHAnsi"/>
          <w:i/>
          <w:iCs/>
          <w:color w:val="000000" w:themeColor="text1"/>
          <w:sz w:val="18"/>
          <w:szCs w:val="18"/>
        </w:rPr>
        <w:t>Adv. Mater.</w:t>
      </w:r>
      <w:r w:rsidRPr="00CA46DB">
        <w:rPr>
          <w:rFonts w:cstheme="minorHAnsi"/>
          <w:color w:val="000000" w:themeColor="text1"/>
          <w:sz w:val="18"/>
          <w:szCs w:val="18"/>
        </w:rPr>
        <w:t>, 2018, 30, 1704380.</w:t>
      </w:r>
    </w:p>
    <w:p w14:paraId="18141E7B"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Z. H. Shen, J. J. Wang, J. Y. Jiang, Y. H. Lin, C. W. Nan, L. Q. Chen and Y. Shen, </w:t>
      </w:r>
      <w:r w:rsidRPr="00CA46DB">
        <w:rPr>
          <w:rFonts w:cstheme="minorHAnsi"/>
          <w:i/>
          <w:iCs/>
          <w:color w:val="000000" w:themeColor="text1"/>
          <w:sz w:val="18"/>
          <w:szCs w:val="18"/>
        </w:rPr>
        <w:t>Adv. Energy Mater.</w:t>
      </w:r>
      <w:r w:rsidRPr="00CA46DB">
        <w:rPr>
          <w:rFonts w:cstheme="minorHAnsi"/>
          <w:color w:val="000000" w:themeColor="text1"/>
          <w:sz w:val="18"/>
          <w:szCs w:val="18"/>
        </w:rPr>
        <w:t>, 2018, 8, 1800509.</w:t>
      </w:r>
    </w:p>
    <w:p w14:paraId="56E208D5" w14:textId="1B938084"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W. Zha, </w:t>
      </w:r>
      <w:r w:rsidR="00AC6B5E">
        <w:rPr>
          <w:rFonts w:cstheme="minorHAnsi"/>
          <w:color w:val="000000" w:themeColor="text1"/>
          <w:sz w:val="18"/>
          <w:szCs w:val="18"/>
        </w:rPr>
        <w:t>J</w:t>
      </w:r>
      <w:r w:rsidRPr="00CA46DB">
        <w:rPr>
          <w:rFonts w:cstheme="minorHAnsi"/>
          <w:color w:val="000000" w:themeColor="text1"/>
          <w:sz w:val="18"/>
          <w:szCs w:val="18"/>
        </w:rPr>
        <w:t xml:space="preserve">. </w:t>
      </w:r>
      <w:r w:rsidR="00AC6B5E">
        <w:rPr>
          <w:rFonts w:cstheme="minorHAnsi"/>
          <w:color w:val="000000" w:themeColor="text1"/>
          <w:sz w:val="18"/>
          <w:szCs w:val="18"/>
        </w:rPr>
        <w:t>Lv</w:t>
      </w:r>
      <w:r w:rsidRPr="00CA46DB">
        <w:rPr>
          <w:rFonts w:cstheme="minorHAnsi"/>
          <w:color w:val="000000" w:themeColor="text1"/>
          <w:sz w:val="18"/>
          <w:szCs w:val="18"/>
        </w:rPr>
        <w:t xml:space="preserve">, T. Zhou, J. K. Yuan and Z. M. Dang, </w:t>
      </w:r>
      <w:r w:rsidRPr="00CA46DB">
        <w:rPr>
          <w:rFonts w:cstheme="minorHAnsi"/>
          <w:i/>
          <w:iCs/>
          <w:color w:val="000000" w:themeColor="text1"/>
          <w:sz w:val="18"/>
          <w:szCs w:val="18"/>
        </w:rPr>
        <w:t xml:space="preserve">J. Adv. </w:t>
      </w:r>
      <w:r w:rsidRPr="00CA46DB">
        <w:rPr>
          <w:rFonts w:cstheme="minorHAnsi"/>
          <w:i/>
          <w:iCs/>
          <w:color w:val="000000" w:themeColor="text1"/>
          <w:sz w:val="18"/>
          <w:szCs w:val="18"/>
        </w:rPr>
        <w:lastRenderedPageBreak/>
        <w:t>Phys.</w:t>
      </w:r>
      <w:r w:rsidRPr="00CA46DB">
        <w:rPr>
          <w:rFonts w:cstheme="minorHAnsi"/>
          <w:color w:val="000000" w:themeColor="text1"/>
          <w:sz w:val="18"/>
          <w:szCs w:val="18"/>
        </w:rPr>
        <w:t>, 2012, 1, 48−53.</w:t>
      </w:r>
    </w:p>
    <w:p w14:paraId="3879BD67"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W. Zha, F. Sun and Z. M. Dang, </w:t>
      </w:r>
      <w:r w:rsidRPr="00CA46DB">
        <w:rPr>
          <w:rFonts w:cstheme="minorHAnsi"/>
          <w:i/>
          <w:iCs/>
          <w:color w:val="000000" w:themeColor="text1"/>
          <w:sz w:val="18"/>
          <w:szCs w:val="18"/>
        </w:rPr>
        <w:t>IEEE Int. C. Sol. Diel.</w:t>
      </w:r>
      <w:r w:rsidRPr="00CA46DB">
        <w:rPr>
          <w:rFonts w:cstheme="minorHAnsi"/>
          <w:color w:val="000000" w:themeColor="text1"/>
          <w:sz w:val="18"/>
          <w:szCs w:val="18"/>
        </w:rPr>
        <w:t>, 2013, 923−926.</w:t>
      </w:r>
    </w:p>
    <w:p w14:paraId="3163F315"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S. Liu, S. Xue, S. Xiu, B. Shen and J. Zhai, </w:t>
      </w:r>
      <w:r w:rsidRPr="00CA46DB">
        <w:rPr>
          <w:rFonts w:cstheme="minorHAnsi"/>
          <w:i/>
          <w:iCs/>
          <w:color w:val="000000" w:themeColor="text1"/>
          <w:sz w:val="18"/>
          <w:szCs w:val="18"/>
        </w:rPr>
        <w:t>Sci. Rep.</w:t>
      </w:r>
      <w:r w:rsidRPr="00CA46DB">
        <w:rPr>
          <w:rFonts w:cstheme="minorHAnsi"/>
          <w:color w:val="000000" w:themeColor="text1"/>
          <w:sz w:val="18"/>
          <w:szCs w:val="18"/>
        </w:rPr>
        <w:t>, 2016, 6, 26198.</w:t>
      </w:r>
    </w:p>
    <w:p w14:paraId="62713E39"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G. Wang, X. Huang and P. Jiang, </w:t>
      </w:r>
      <w:r w:rsidRPr="00CA46DB">
        <w:rPr>
          <w:rFonts w:cstheme="minorHAnsi"/>
          <w:i/>
          <w:iCs/>
          <w:color w:val="000000" w:themeColor="text1"/>
          <w:sz w:val="18"/>
          <w:szCs w:val="18"/>
        </w:rPr>
        <w:t>Sci. Rep.</w:t>
      </w:r>
      <w:r w:rsidRPr="00CA46DB">
        <w:rPr>
          <w:rFonts w:cstheme="minorHAnsi"/>
          <w:color w:val="000000" w:themeColor="text1"/>
          <w:sz w:val="18"/>
          <w:szCs w:val="18"/>
        </w:rPr>
        <w:t>, 2017, 7, 43071.</w:t>
      </w:r>
    </w:p>
    <w:p w14:paraId="2D6D097E"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X. Zhang, C. Tan, Y. Ma, F. Wang and W. Yang, </w:t>
      </w:r>
      <w:r w:rsidRPr="00CA46DB">
        <w:rPr>
          <w:rFonts w:cstheme="minorHAnsi"/>
          <w:i/>
          <w:iCs/>
          <w:color w:val="000000" w:themeColor="text1"/>
          <w:sz w:val="18"/>
          <w:szCs w:val="18"/>
        </w:rPr>
        <w:t>Compos. Sci. Technol.</w:t>
      </w:r>
      <w:r w:rsidRPr="00CA46DB">
        <w:rPr>
          <w:rFonts w:cstheme="minorHAnsi"/>
          <w:color w:val="000000" w:themeColor="text1"/>
          <w:sz w:val="18"/>
          <w:szCs w:val="18"/>
        </w:rPr>
        <w:t>, 2018, 162, 180−187.</w:t>
      </w:r>
    </w:p>
    <w:p w14:paraId="4B11F91F"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Q. Zhao, L. Yang, K. Chen, Y. Ma, H. Ji, M. Shen, H. Huang, H. He and J. Qiu, </w:t>
      </w:r>
      <w:r w:rsidRPr="00CA46DB">
        <w:rPr>
          <w:rFonts w:cstheme="minorHAnsi"/>
          <w:i/>
          <w:iCs/>
          <w:color w:val="000000" w:themeColor="text1"/>
          <w:sz w:val="18"/>
          <w:szCs w:val="18"/>
        </w:rPr>
        <w:t>Nano Energy</w:t>
      </w:r>
      <w:r w:rsidRPr="00CA46DB">
        <w:rPr>
          <w:rFonts w:cstheme="minorHAnsi"/>
          <w:color w:val="000000" w:themeColor="text1"/>
          <w:sz w:val="18"/>
          <w:szCs w:val="18"/>
        </w:rPr>
        <w:t>, 2019, 65, 104007.</w:t>
      </w:r>
    </w:p>
    <w:p w14:paraId="0B8EE5A5"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Z. H. Dai, T. Li, Y. Gao, J. Xu, J. He, Y. Weng and B.-H. Guo, </w:t>
      </w:r>
      <w:r w:rsidRPr="00CA46DB">
        <w:rPr>
          <w:rFonts w:cstheme="minorHAnsi"/>
          <w:i/>
          <w:iCs/>
          <w:color w:val="000000" w:themeColor="text1"/>
          <w:sz w:val="18"/>
          <w:szCs w:val="18"/>
        </w:rPr>
        <w:t>Compos. Sci. Technol.</w:t>
      </w:r>
      <w:r w:rsidRPr="00CA46DB">
        <w:rPr>
          <w:rFonts w:cstheme="minorHAnsi"/>
          <w:color w:val="000000" w:themeColor="text1"/>
          <w:sz w:val="18"/>
          <w:szCs w:val="18"/>
        </w:rPr>
        <w:t>, 2019, 169, 142−150.</w:t>
      </w:r>
    </w:p>
    <w:p w14:paraId="040C9415"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Prateek, R. Bhunia, S. Siddiqui, A. Garg and R. K. Gupta, </w:t>
      </w:r>
      <w:r w:rsidRPr="00CA46DB">
        <w:rPr>
          <w:rFonts w:cstheme="minorHAnsi"/>
          <w:i/>
          <w:iCs/>
          <w:color w:val="000000" w:themeColor="text1"/>
          <w:sz w:val="18"/>
          <w:szCs w:val="18"/>
        </w:rPr>
        <w:t>ACS Appl. Mater. Interfaces</w:t>
      </w:r>
      <w:r w:rsidRPr="00CA46DB">
        <w:rPr>
          <w:rFonts w:cstheme="minorHAnsi"/>
          <w:color w:val="000000" w:themeColor="text1"/>
          <w:sz w:val="18"/>
          <w:szCs w:val="18"/>
        </w:rPr>
        <w:t>, 2019, 11, 14329−14339.</w:t>
      </w:r>
    </w:p>
    <w:p w14:paraId="71999263"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G. Chen, X. Lin, J. Li, S. Huang and X. Cheng, </w:t>
      </w:r>
      <w:r w:rsidRPr="00CA46DB">
        <w:rPr>
          <w:rFonts w:cstheme="minorHAnsi"/>
          <w:i/>
          <w:iCs/>
          <w:color w:val="000000" w:themeColor="text1"/>
          <w:sz w:val="18"/>
          <w:szCs w:val="18"/>
        </w:rPr>
        <w:t>Appl. Surf. Sci.</w:t>
      </w:r>
      <w:r w:rsidRPr="00CA46DB">
        <w:rPr>
          <w:rFonts w:cstheme="minorHAnsi"/>
          <w:color w:val="000000" w:themeColor="text1"/>
          <w:sz w:val="18"/>
          <w:szCs w:val="18"/>
        </w:rPr>
        <w:t>, 2020, 513, 145877.</w:t>
      </w:r>
    </w:p>
    <w:p w14:paraId="2B91D8FA"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W. Zha, S. C. Yao, Y. Qiu, M. S. Zheng, Z. M. Dang, </w:t>
      </w:r>
      <w:r w:rsidRPr="00CA46DB">
        <w:rPr>
          <w:rFonts w:cstheme="minorHAnsi"/>
          <w:i/>
          <w:iCs/>
          <w:color w:val="000000" w:themeColor="text1"/>
          <w:sz w:val="18"/>
          <w:szCs w:val="18"/>
        </w:rPr>
        <w:t>IET Nanodielectr.</w:t>
      </w:r>
      <w:r w:rsidRPr="00CA46DB">
        <w:rPr>
          <w:rFonts w:cstheme="minorHAnsi"/>
          <w:color w:val="000000" w:themeColor="text1"/>
          <w:sz w:val="18"/>
          <w:szCs w:val="18"/>
        </w:rPr>
        <w:t>, 2019, 2, 103−108.</w:t>
      </w:r>
    </w:p>
    <w:p w14:paraId="153DAFC9"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D. H. Wang, J. K. Riley, S. P. Fillery, M. F. Durstock, R. A. Vaia and L. S. Tan, </w:t>
      </w:r>
      <w:r w:rsidRPr="00CA46DB">
        <w:rPr>
          <w:rFonts w:cstheme="minorHAnsi"/>
          <w:i/>
          <w:iCs/>
          <w:color w:val="000000" w:themeColor="text1"/>
          <w:sz w:val="18"/>
          <w:szCs w:val="18"/>
        </w:rPr>
        <w:t>J. Polym. Sci., Part A: Polym. Chem.</w:t>
      </w:r>
      <w:r w:rsidRPr="00CA46DB">
        <w:rPr>
          <w:rFonts w:cstheme="minorHAnsi"/>
          <w:color w:val="000000" w:themeColor="text1"/>
          <w:sz w:val="18"/>
          <w:szCs w:val="18"/>
        </w:rPr>
        <w:t>, 2013, 51, 4998−5011.</w:t>
      </w:r>
    </w:p>
    <w:p w14:paraId="7A8D7800"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D. H. Wang, B. A. Kurish, I. Treufeld, L. Yang, L. Zhu and L. S. Tan, </w:t>
      </w:r>
      <w:r w:rsidRPr="00CA46DB">
        <w:rPr>
          <w:rFonts w:cstheme="minorHAnsi"/>
          <w:i/>
          <w:iCs/>
          <w:color w:val="000000" w:themeColor="text1"/>
          <w:sz w:val="18"/>
          <w:szCs w:val="18"/>
        </w:rPr>
        <w:t>MRS Proceedings</w:t>
      </w:r>
      <w:r w:rsidRPr="00CA46DB">
        <w:rPr>
          <w:rFonts w:cstheme="minorHAnsi"/>
          <w:color w:val="000000" w:themeColor="text1"/>
          <w:sz w:val="18"/>
          <w:szCs w:val="18"/>
        </w:rPr>
        <w:t>, 2013, 1541.</w:t>
      </w:r>
    </w:p>
    <w:p w14:paraId="20418ADE"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I. Treufeld, D. H. Wang, B. A. Kurish, L. S. Tan and L. Zhu, </w:t>
      </w:r>
      <w:r w:rsidRPr="00CA46DB">
        <w:rPr>
          <w:rFonts w:cstheme="minorHAnsi"/>
          <w:i/>
          <w:iCs/>
          <w:color w:val="000000" w:themeColor="text1"/>
          <w:sz w:val="18"/>
          <w:szCs w:val="18"/>
        </w:rPr>
        <w:t>J. Mater. Chem. A</w:t>
      </w:r>
      <w:r w:rsidRPr="00CA46DB">
        <w:rPr>
          <w:rFonts w:cstheme="minorHAnsi"/>
          <w:color w:val="000000" w:themeColor="text1"/>
          <w:sz w:val="18"/>
          <w:szCs w:val="18"/>
        </w:rPr>
        <w:t>, 2014, 2, 20683-20696.</w:t>
      </w:r>
    </w:p>
    <w:p w14:paraId="0D792BA9"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T. Zhu, Q. Yu, W. Zheng, R. Bei, W. Wang, M. Wu, S. Liu, Z. Chi, Y. Zhang and J. Xu, </w:t>
      </w:r>
      <w:r w:rsidRPr="00CA46DB">
        <w:rPr>
          <w:rFonts w:cstheme="minorHAnsi"/>
          <w:i/>
          <w:iCs/>
          <w:color w:val="000000" w:themeColor="text1"/>
          <w:sz w:val="18"/>
          <w:szCs w:val="18"/>
        </w:rPr>
        <w:t>Polym. Chem.</w:t>
      </w:r>
      <w:r w:rsidRPr="00CA46DB">
        <w:rPr>
          <w:rFonts w:cstheme="minorHAnsi"/>
          <w:color w:val="000000" w:themeColor="text1"/>
          <w:sz w:val="18"/>
          <w:szCs w:val="18"/>
        </w:rPr>
        <w:t>, 2021, 12, 2481−2489.</w:t>
      </w:r>
    </w:p>
    <w:p w14:paraId="7C8CB108"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X. Peng, Q. Wu, S. Jiang, M. Hanif, S. Chen and H. Hou, </w:t>
      </w:r>
      <w:r w:rsidRPr="00CA46DB">
        <w:rPr>
          <w:rFonts w:cstheme="minorHAnsi"/>
          <w:i/>
          <w:iCs/>
          <w:color w:val="000000" w:themeColor="text1"/>
          <w:sz w:val="18"/>
          <w:szCs w:val="18"/>
        </w:rPr>
        <w:t>J. Appl. Polym. Sci.</w:t>
      </w:r>
      <w:r w:rsidRPr="00CA46DB">
        <w:rPr>
          <w:rFonts w:cstheme="minorHAnsi"/>
          <w:color w:val="000000" w:themeColor="text1"/>
          <w:sz w:val="18"/>
          <w:szCs w:val="18"/>
        </w:rPr>
        <w:t>, 2014, 131, 40828.</w:t>
      </w:r>
    </w:p>
    <w:p w14:paraId="3C707A6A"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T. Yang, W. Xu, X. Peng and H. Hou, </w:t>
      </w:r>
      <w:r w:rsidRPr="00CA46DB">
        <w:rPr>
          <w:rFonts w:cstheme="minorHAnsi"/>
          <w:i/>
          <w:iCs/>
          <w:color w:val="000000" w:themeColor="text1"/>
          <w:sz w:val="18"/>
          <w:szCs w:val="18"/>
        </w:rPr>
        <w:t>RSC Adv.</w:t>
      </w:r>
      <w:r w:rsidRPr="00CA46DB">
        <w:rPr>
          <w:rFonts w:cstheme="minorHAnsi"/>
          <w:color w:val="000000" w:themeColor="text1"/>
          <w:sz w:val="18"/>
          <w:szCs w:val="18"/>
        </w:rPr>
        <w:t>, 2017, 7, 23309−23312.</w:t>
      </w:r>
    </w:p>
    <w:p w14:paraId="42150DBF"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Zou, H. Wang, X. Zhang, X. Wang, Z. Shi, Y. Jiang, Z. Cui and D. Yan, </w:t>
      </w:r>
      <w:r w:rsidRPr="00CA46DB">
        <w:rPr>
          <w:rFonts w:cstheme="minorHAnsi"/>
          <w:i/>
          <w:iCs/>
          <w:color w:val="000000" w:themeColor="text1"/>
          <w:sz w:val="18"/>
          <w:szCs w:val="18"/>
        </w:rPr>
        <w:t>J. Mater. Chem. C</w:t>
      </w:r>
      <w:r w:rsidRPr="00CA46DB">
        <w:rPr>
          <w:rFonts w:cstheme="minorHAnsi"/>
          <w:color w:val="000000" w:themeColor="text1"/>
          <w:sz w:val="18"/>
          <w:szCs w:val="18"/>
        </w:rPr>
        <w:t>, 2019, 7, 7454−7459.</w:t>
      </w:r>
    </w:p>
    <w:p w14:paraId="3CBD3F0A"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D. J. Liaw, K. L. Wang, F. C. Chang, K. R. Lee and J. Y. Lai, </w:t>
      </w:r>
      <w:r w:rsidRPr="00CA46DB">
        <w:rPr>
          <w:rFonts w:cstheme="minorHAnsi"/>
          <w:i/>
          <w:iCs/>
          <w:color w:val="000000" w:themeColor="text1"/>
          <w:sz w:val="18"/>
          <w:szCs w:val="18"/>
        </w:rPr>
        <w:t>J. Polym. Sci., Part A: Polym. Chem.</w:t>
      </w:r>
      <w:r w:rsidRPr="00CA46DB">
        <w:rPr>
          <w:rFonts w:cstheme="minorHAnsi"/>
          <w:color w:val="000000" w:themeColor="text1"/>
          <w:sz w:val="18"/>
          <w:szCs w:val="18"/>
        </w:rPr>
        <w:t>, 2007, 45, 2367−2374.</w:t>
      </w:r>
    </w:p>
    <w:p w14:paraId="432836A1"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N. Venkat, T. D. Dang, Z. Bai, V. K. McNier, J. N. DeCerbo, B. H. Tsao and J. T. Stricker, </w:t>
      </w:r>
      <w:r w:rsidRPr="00CA46DB">
        <w:rPr>
          <w:rFonts w:cstheme="minorHAnsi"/>
          <w:i/>
          <w:iCs/>
          <w:color w:val="000000" w:themeColor="text1"/>
          <w:sz w:val="18"/>
          <w:szCs w:val="18"/>
        </w:rPr>
        <w:t>Mater. Sci. Eng. B</w:t>
      </w:r>
      <w:r w:rsidRPr="00CA46DB">
        <w:rPr>
          <w:rFonts w:cstheme="minorHAnsi"/>
          <w:color w:val="000000" w:themeColor="text1"/>
          <w:sz w:val="18"/>
          <w:szCs w:val="18"/>
        </w:rPr>
        <w:t>, 2010, 168, 16−21.</w:t>
      </w:r>
    </w:p>
    <w:p w14:paraId="78C489B7"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Z. Li, Gregory M. Treich, M. Tefferi, C. Wu, S. Nasreen, S. K. Scheirey, R. Ramprasad, G. A. Sotzing and Y. Cao, </w:t>
      </w:r>
      <w:r w:rsidRPr="00CA46DB">
        <w:rPr>
          <w:rFonts w:cstheme="minorHAnsi"/>
          <w:i/>
          <w:iCs/>
          <w:color w:val="000000" w:themeColor="text1"/>
          <w:sz w:val="18"/>
          <w:szCs w:val="18"/>
        </w:rPr>
        <w:t>J. Mater. Chem. A</w:t>
      </w:r>
      <w:r w:rsidRPr="00CA46DB">
        <w:rPr>
          <w:rFonts w:cstheme="minorHAnsi"/>
          <w:color w:val="000000" w:themeColor="text1"/>
          <w:sz w:val="18"/>
          <w:szCs w:val="18"/>
        </w:rPr>
        <w:t>, 2019, 7, 15026−15030.</w:t>
      </w:r>
    </w:p>
    <w:p w14:paraId="26E41968"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A. F. Baldwin, R. Ma, C. Wang, R. Ramprasad and G. A. Sotzing, </w:t>
      </w:r>
      <w:r w:rsidRPr="00CA46DB">
        <w:rPr>
          <w:rFonts w:cstheme="minorHAnsi"/>
          <w:i/>
          <w:iCs/>
          <w:color w:val="000000" w:themeColor="text1"/>
          <w:sz w:val="18"/>
          <w:szCs w:val="18"/>
        </w:rPr>
        <w:t>J. Appl. Polym. Sci.</w:t>
      </w:r>
      <w:r w:rsidRPr="00CA46DB">
        <w:rPr>
          <w:rFonts w:cstheme="minorHAnsi"/>
          <w:color w:val="000000" w:themeColor="text1"/>
          <w:sz w:val="18"/>
          <w:szCs w:val="18"/>
        </w:rPr>
        <w:t>, 2013, 130, 1276−1280.</w:t>
      </w:r>
    </w:p>
    <w:p w14:paraId="17AF823A"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Q. Y. Zhang, X. Chen, T. Zhang and Q. M. Zhang, </w:t>
      </w:r>
      <w:r w:rsidRPr="00CA46DB">
        <w:rPr>
          <w:rFonts w:cstheme="minorHAnsi"/>
          <w:i/>
          <w:iCs/>
          <w:color w:val="000000" w:themeColor="text1"/>
          <w:sz w:val="18"/>
          <w:szCs w:val="18"/>
        </w:rPr>
        <w:t>Nano Energy</w:t>
      </w:r>
      <w:r w:rsidRPr="00CA46DB">
        <w:rPr>
          <w:rFonts w:cstheme="minorHAnsi"/>
          <w:color w:val="000000" w:themeColor="text1"/>
          <w:sz w:val="18"/>
          <w:szCs w:val="18"/>
        </w:rPr>
        <w:t>, 2019, 64, 103916.</w:t>
      </w:r>
    </w:p>
    <w:p w14:paraId="43239D92"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P. Li, J. J. Yu, S. H. Jiang, H. Fang, K. M. Liu and H. Q. Hou, e-Polymers, 2020, 20, 226−232.</w:t>
      </w:r>
    </w:p>
    <w:p w14:paraId="4860D436"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X. Mao, B. Wu, F. F. Zhang, C. Y. Wang, T. Deng and X. Z. Tang, </w:t>
      </w:r>
      <w:r w:rsidRPr="00CA46DB">
        <w:rPr>
          <w:rFonts w:cstheme="minorHAnsi"/>
          <w:i/>
          <w:iCs/>
          <w:color w:val="000000" w:themeColor="text1"/>
          <w:sz w:val="18"/>
          <w:szCs w:val="18"/>
        </w:rPr>
        <w:t>J. Mater. Sci.: Mater. Electron.</w:t>
      </w:r>
      <w:r w:rsidRPr="00CA46DB">
        <w:rPr>
          <w:rFonts w:cstheme="minorHAnsi"/>
          <w:color w:val="000000" w:themeColor="text1"/>
          <w:sz w:val="18"/>
          <w:szCs w:val="18"/>
        </w:rPr>
        <w:t>, 2019, 30, 16080−16086.</w:t>
      </w:r>
    </w:p>
    <w:p w14:paraId="45BA0438"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X. Mao, J. Yang, L. R. Du, W. F. Guo, C. Z. Li and X. Z. Tang,</w:t>
      </w:r>
      <w:r w:rsidRPr="00CA46DB">
        <w:rPr>
          <w:rFonts w:cstheme="minorHAnsi"/>
          <w:i/>
          <w:iCs/>
          <w:color w:val="000000" w:themeColor="text1"/>
          <w:sz w:val="18"/>
          <w:szCs w:val="18"/>
        </w:rPr>
        <w:t xml:space="preserve"> JOM</w:t>
      </w:r>
      <w:r w:rsidRPr="00CA46DB">
        <w:rPr>
          <w:rFonts w:cstheme="minorHAnsi"/>
          <w:color w:val="000000" w:themeColor="text1"/>
          <w:sz w:val="18"/>
          <w:szCs w:val="18"/>
        </w:rPr>
        <w:t>, 2017, 69, 2497−2500.</w:t>
      </w:r>
    </w:p>
    <w:p w14:paraId="0C40A1B4"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C. Zhang, Y. Yu, Y. Ding, T. Yang, G. Duan and H. Hou, </w:t>
      </w:r>
      <w:r w:rsidRPr="00CA46DB">
        <w:rPr>
          <w:rFonts w:cstheme="minorHAnsi"/>
          <w:i/>
          <w:iCs/>
          <w:color w:val="000000" w:themeColor="text1"/>
          <w:sz w:val="18"/>
          <w:szCs w:val="18"/>
        </w:rPr>
        <w:t>J. Mater. Sci.: Mater. Electron.</w:t>
      </w:r>
      <w:r w:rsidRPr="00CA46DB">
        <w:rPr>
          <w:rFonts w:cstheme="minorHAnsi"/>
          <w:color w:val="000000" w:themeColor="text1"/>
          <w:sz w:val="18"/>
          <w:szCs w:val="18"/>
        </w:rPr>
        <w:t>, 2017, 29, 1182−1188.</w:t>
      </w:r>
    </w:p>
    <w:p w14:paraId="26882333"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S. Nasreen, M. L. Baczkowski, G. M. Treich, M. Tefferi, C. Anastasia, R. Ramprasad, Y. Cao and G. A. Sotzing, Macromol. </w:t>
      </w:r>
      <w:r w:rsidRPr="00CA46DB">
        <w:rPr>
          <w:rFonts w:cstheme="minorHAnsi"/>
          <w:i/>
          <w:iCs/>
          <w:color w:val="000000" w:themeColor="text1"/>
          <w:sz w:val="18"/>
          <w:szCs w:val="18"/>
        </w:rPr>
        <w:t>Rapid Commun.</w:t>
      </w:r>
      <w:r w:rsidRPr="00CA46DB">
        <w:rPr>
          <w:rFonts w:cstheme="minorHAnsi"/>
          <w:color w:val="000000" w:themeColor="text1"/>
          <w:sz w:val="18"/>
          <w:szCs w:val="18"/>
        </w:rPr>
        <w:t>, 2018, 40, 1800679.</w:t>
      </w:r>
    </w:p>
    <w:p w14:paraId="4FBB26D4"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A. Ahmad, H. Tong, T. Fan and J. Xu, </w:t>
      </w:r>
      <w:r w:rsidRPr="00CA46DB">
        <w:rPr>
          <w:rFonts w:cstheme="minorHAnsi"/>
          <w:i/>
          <w:iCs/>
          <w:color w:val="000000" w:themeColor="text1"/>
          <w:sz w:val="18"/>
          <w:szCs w:val="18"/>
        </w:rPr>
        <w:t>J. Polym. Sci.</w:t>
      </w:r>
      <w:r w:rsidRPr="00CA46DB">
        <w:rPr>
          <w:rFonts w:cstheme="minorHAnsi"/>
          <w:color w:val="000000" w:themeColor="text1"/>
          <w:sz w:val="18"/>
          <w:szCs w:val="18"/>
        </w:rPr>
        <w:t>, 2021, 59, 1414−1423.</w:t>
      </w:r>
    </w:p>
    <w:p w14:paraId="59CD81E9"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A. Ahmad, H. Tong, T. Fan and J. Xu, </w:t>
      </w:r>
      <w:r w:rsidRPr="00CA46DB">
        <w:rPr>
          <w:rFonts w:cstheme="minorHAnsi"/>
          <w:i/>
          <w:iCs/>
          <w:color w:val="000000" w:themeColor="text1"/>
          <w:sz w:val="18"/>
          <w:szCs w:val="18"/>
        </w:rPr>
        <w:t>J. Appl. Polym. Sci.</w:t>
      </w:r>
      <w:r w:rsidRPr="00CA46DB">
        <w:rPr>
          <w:rFonts w:cstheme="minorHAnsi"/>
          <w:color w:val="000000" w:themeColor="text1"/>
          <w:sz w:val="18"/>
          <w:szCs w:val="18"/>
        </w:rPr>
        <w:t>, 2021, 138, 50997.</w:t>
      </w:r>
    </w:p>
    <w:p w14:paraId="3BFD9AE4"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C. Yuan, Y. Zhou, Y. Zhu, J. Liang, S. Wang, S. Peng, Y. Li, S. Cheng, M. Yang, J. Hu, B. Zhang, R. Zeng, J. He and Q. Li, </w:t>
      </w:r>
      <w:r w:rsidRPr="00CA46DB">
        <w:rPr>
          <w:rFonts w:cstheme="minorHAnsi"/>
          <w:i/>
          <w:iCs/>
          <w:color w:val="000000" w:themeColor="text1"/>
          <w:sz w:val="18"/>
          <w:szCs w:val="18"/>
        </w:rPr>
        <w:t>Nat. Commun.</w:t>
      </w:r>
      <w:r w:rsidRPr="00CA46DB">
        <w:rPr>
          <w:rFonts w:cstheme="minorHAnsi"/>
          <w:color w:val="000000" w:themeColor="text1"/>
          <w:sz w:val="18"/>
          <w:szCs w:val="18"/>
        </w:rPr>
        <w:t>, 2020, 11, 3919.</w:t>
      </w:r>
    </w:p>
    <w:p w14:paraId="0B2BEF1A"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X. J. Liao, Y. C. Ding, L. L. Chen, W. Ye, J. Zhu, H. Fang and H. Q. Hou, </w:t>
      </w:r>
      <w:r w:rsidRPr="00CA46DB">
        <w:rPr>
          <w:rFonts w:cstheme="minorHAnsi"/>
          <w:i/>
          <w:iCs/>
          <w:color w:val="000000" w:themeColor="text1"/>
          <w:sz w:val="18"/>
          <w:szCs w:val="18"/>
        </w:rPr>
        <w:t>Chem. Commun.</w:t>
      </w:r>
      <w:r w:rsidRPr="00CA46DB">
        <w:rPr>
          <w:rFonts w:cstheme="minorHAnsi"/>
          <w:color w:val="000000" w:themeColor="text1"/>
          <w:sz w:val="18"/>
          <w:szCs w:val="18"/>
        </w:rPr>
        <w:t>, 2015, 51, 10127−10130.</w:t>
      </w:r>
    </w:p>
    <w:p w14:paraId="2F807CDB"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C. Wang, G. H. He, S. Chen, D. Zhai, H. Luo and D. Zhang, </w:t>
      </w:r>
      <w:r w:rsidRPr="00CA46DB">
        <w:rPr>
          <w:rFonts w:cstheme="minorHAnsi"/>
          <w:i/>
          <w:iCs/>
          <w:color w:val="000000" w:themeColor="text1"/>
          <w:sz w:val="18"/>
          <w:szCs w:val="18"/>
        </w:rPr>
        <w:t>J. Mater. Chem. A</w:t>
      </w:r>
      <w:r w:rsidRPr="00CA46DB">
        <w:rPr>
          <w:rFonts w:cstheme="minorHAnsi"/>
          <w:color w:val="000000" w:themeColor="text1"/>
          <w:sz w:val="18"/>
          <w:szCs w:val="18"/>
        </w:rPr>
        <w:t>, 2021, 9, 8674−8684.</w:t>
      </w:r>
    </w:p>
    <w:p w14:paraId="6F42B12D"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bookmarkStart w:id="20" w:name="OLE_LINK7"/>
      <w:bookmarkStart w:id="21" w:name="OLE_LINK8"/>
      <w:r w:rsidRPr="00CA46DB">
        <w:rPr>
          <w:rFonts w:cstheme="minorHAnsi"/>
          <w:color w:val="000000" w:themeColor="text1"/>
          <w:sz w:val="18"/>
          <w:szCs w:val="18"/>
        </w:rPr>
        <w:t xml:space="preserve">L. Sun, Z. Shi, B. He, H. Wang, S. Liu, M. Huang, J. Shi, D. Dastan and H. Wang, </w:t>
      </w:r>
      <w:r w:rsidRPr="00CA46DB">
        <w:rPr>
          <w:rFonts w:cstheme="minorHAnsi"/>
          <w:i/>
          <w:iCs/>
          <w:color w:val="000000" w:themeColor="text1"/>
          <w:sz w:val="18"/>
          <w:szCs w:val="18"/>
        </w:rPr>
        <w:t>Adv. Funct. Mater.</w:t>
      </w:r>
      <w:r w:rsidRPr="00CA46DB">
        <w:rPr>
          <w:rFonts w:cstheme="minorHAnsi"/>
          <w:color w:val="000000" w:themeColor="text1"/>
          <w:sz w:val="18"/>
          <w:szCs w:val="18"/>
        </w:rPr>
        <w:t>, 2021, 31, 2100280.</w:t>
      </w:r>
      <w:bookmarkEnd w:id="20"/>
      <w:bookmarkEnd w:id="21"/>
    </w:p>
    <w:p w14:paraId="6C940075"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X. Huang, B. Sun, Y. Zhu, S. Li and P. Jiang, </w:t>
      </w:r>
      <w:r w:rsidRPr="00CA46DB">
        <w:rPr>
          <w:rFonts w:cstheme="minorHAnsi"/>
          <w:i/>
          <w:iCs/>
          <w:color w:val="000000" w:themeColor="text1"/>
          <w:sz w:val="18"/>
          <w:szCs w:val="18"/>
        </w:rPr>
        <w:t>Prog. Mater Sci.</w:t>
      </w:r>
      <w:r w:rsidRPr="00CA46DB">
        <w:rPr>
          <w:rFonts w:cstheme="minorHAnsi"/>
          <w:color w:val="000000" w:themeColor="text1"/>
          <w:sz w:val="18"/>
          <w:szCs w:val="18"/>
        </w:rPr>
        <w:t>, 2019, 100, 187−225.</w:t>
      </w:r>
    </w:p>
    <w:p w14:paraId="04E2851D"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Y. Zhou, Q. Li, B. Dang, Y. Yang, T. Shao, H. Li, J. Hu, R. Zeng, J. He and Q. Wang, </w:t>
      </w:r>
      <w:r w:rsidRPr="00CA46DB">
        <w:rPr>
          <w:rFonts w:cstheme="minorHAnsi"/>
          <w:i/>
          <w:iCs/>
          <w:color w:val="000000" w:themeColor="text1"/>
          <w:sz w:val="18"/>
          <w:szCs w:val="18"/>
        </w:rPr>
        <w:t>Adv. Mater.</w:t>
      </w:r>
      <w:r w:rsidRPr="00CA46DB">
        <w:rPr>
          <w:rFonts w:cstheme="minorHAnsi"/>
          <w:color w:val="000000" w:themeColor="text1"/>
          <w:sz w:val="18"/>
          <w:szCs w:val="18"/>
        </w:rPr>
        <w:t>, 2018, 30, 1805672.</w:t>
      </w:r>
    </w:p>
    <w:p w14:paraId="01195FB6"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L. Wang, X. Piao, H. Zou, Y. Wang and H. Li, </w:t>
      </w:r>
      <w:r w:rsidRPr="00CA46DB">
        <w:rPr>
          <w:rFonts w:cstheme="minorHAnsi"/>
          <w:i/>
          <w:iCs/>
          <w:color w:val="000000" w:themeColor="text1"/>
          <w:sz w:val="18"/>
          <w:szCs w:val="18"/>
        </w:rPr>
        <w:t>Appl. Phys. A</w:t>
      </w:r>
      <w:r w:rsidRPr="00CA46DB">
        <w:rPr>
          <w:rFonts w:cstheme="minorHAnsi"/>
          <w:color w:val="000000" w:themeColor="text1"/>
          <w:sz w:val="18"/>
          <w:szCs w:val="18"/>
        </w:rPr>
        <w:t>, 2014, 118, 243−248.</w:t>
      </w:r>
    </w:p>
    <w:p w14:paraId="4579891B"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C. W. Beier, J. M. Sanders and R. L. Brutchey,</w:t>
      </w:r>
      <w:r w:rsidRPr="00CA46DB">
        <w:rPr>
          <w:rFonts w:cstheme="minorHAnsi"/>
          <w:i/>
          <w:iCs/>
          <w:color w:val="000000" w:themeColor="text1"/>
          <w:sz w:val="18"/>
          <w:szCs w:val="18"/>
        </w:rPr>
        <w:t xml:space="preserve"> J. Phys. Chem. C</w:t>
      </w:r>
      <w:r w:rsidRPr="00CA46DB">
        <w:rPr>
          <w:rFonts w:cstheme="minorHAnsi"/>
          <w:color w:val="000000" w:themeColor="text1"/>
          <w:sz w:val="18"/>
          <w:szCs w:val="18"/>
        </w:rPr>
        <w:t>, 2013, 117, 6958−6965.</w:t>
      </w:r>
    </w:p>
    <w:p w14:paraId="628DAF4B"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H. Li, L. L. Ren, D. Ai, Z. B. Han, Y. Liu, B. Yao and Q. Wang, </w:t>
      </w:r>
      <w:r w:rsidRPr="00CA46DB">
        <w:rPr>
          <w:rFonts w:cstheme="minorHAnsi"/>
          <w:i/>
          <w:iCs/>
          <w:color w:val="000000" w:themeColor="text1"/>
          <w:sz w:val="18"/>
          <w:szCs w:val="18"/>
        </w:rPr>
        <w:t>InfoMat</w:t>
      </w:r>
      <w:r w:rsidRPr="00CA46DB">
        <w:rPr>
          <w:rFonts w:cstheme="minorHAnsi"/>
          <w:color w:val="000000" w:themeColor="text1"/>
          <w:sz w:val="18"/>
          <w:szCs w:val="18"/>
        </w:rPr>
        <w:t>, 2020, 2, 389−400.</w:t>
      </w:r>
    </w:p>
    <w:p w14:paraId="708AB76B"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D. Ai, H. Li, Y. Zhou, L. Ren, Z. Han, B. Yao, W. Zhou, L. Zhao, J. Xu and Q. Wang, </w:t>
      </w:r>
      <w:r w:rsidRPr="00CA46DB">
        <w:rPr>
          <w:rFonts w:cstheme="minorHAnsi"/>
          <w:i/>
          <w:iCs/>
          <w:color w:val="000000" w:themeColor="text1"/>
          <w:sz w:val="18"/>
          <w:szCs w:val="18"/>
        </w:rPr>
        <w:t>Adv. Energy Mater.</w:t>
      </w:r>
      <w:r w:rsidRPr="00CA46DB">
        <w:rPr>
          <w:rFonts w:cstheme="minorHAnsi"/>
          <w:color w:val="000000" w:themeColor="text1"/>
          <w:sz w:val="18"/>
          <w:szCs w:val="18"/>
        </w:rPr>
        <w:t>, 2020, 1903881.</w:t>
      </w:r>
    </w:p>
    <w:p w14:paraId="14AB88A6"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M. Wang, W. L. Li, Y. Feng, Y. F. Hou, T. D. Zhang, W. D. Fei and J. H. Yin, </w:t>
      </w:r>
      <w:r w:rsidRPr="00CA46DB">
        <w:rPr>
          <w:rFonts w:cstheme="minorHAnsi"/>
          <w:i/>
          <w:iCs/>
          <w:color w:val="000000" w:themeColor="text1"/>
          <w:sz w:val="18"/>
          <w:szCs w:val="18"/>
        </w:rPr>
        <w:t>Ceram. Int.</w:t>
      </w:r>
      <w:r w:rsidRPr="00CA46DB">
        <w:rPr>
          <w:rFonts w:cstheme="minorHAnsi"/>
          <w:color w:val="000000" w:themeColor="text1"/>
          <w:sz w:val="18"/>
          <w:szCs w:val="18"/>
        </w:rPr>
        <w:t>, 2015, 41, 13582−13588.</w:t>
      </w:r>
    </w:p>
    <w:p w14:paraId="13A5F6B0"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D. Cheng, H. Wang, B. Liu, S. Wang, Y. Li, Y. Xia and C. Xiong, </w:t>
      </w:r>
      <w:r w:rsidRPr="00CA46DB">
        <w:rPr>
          <w:rFonts w:cstheme="minorHAnsi"/>
          <w:i/>
          <w:iCs/>
          <w:color w:val="000000" w:themeColor="text1"/>
          <w:sz w:val="18"/>
          <w:szCs w:val="18"/>
        </w:rPr>
        <w:t>J. Appl. Polym. Sci.</w:t>
      </w:r>
      <w:r w:rsidRPr="00CA46DB">
        <w:rPr>
          <w:rFonts w:cstheme="minorHAnsi"/>
          <w:color w:val="000000" w:themeColor="text1"/>
          <w:sz w:val="18"/>
          <w:szCs w:val="18"/>
        </w:rPr>
        <w:t>, 2019, 136, 47991.</w:t>
      </w:r>
    </w:p>
    <w:p w14:paraId="60F5821F"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H. Li, D. Ai, L. Ren, B. Yao, Z. Han, Z. Shen, J. Wang, L. Q. Chen and Q. Wang, </w:t>
      </w:r>
      <w:r w:rsidRPr="00CA46DB">
        <w:rPr>
          <w:rFonts w:cstheme="minorHAnsi"/>
          <w:i/>
          <w:iCs/>
          <w:color w:val="000000" w:themeColor="text1"/>
          <w:sz w:val="18"/>
          <w:szCs w:val="18"/>
        </w:rPr>
        <w:t>Adv. Mater.</w:t>
      </w:r>
      <w:r w:rsidRPr="00CA46DB">
        <w:rPr>
          <w:rFonts w:cstheme="minorHAnsi"/>
          <w:color w:val="000000" w:themeColor="text1"/>
          <w:sz w:val="18"/>
          <w:szCs w:val="18"/>
        </w:rPr>
        <w:t>, 2019, 31, 1900875.</w:t>
      </w:r>
    </w:p>
    <w:p w14:paraId="458DC457"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Y. Thakur, T. Zhang, C. Iacob, T. Yang, J. Bernholc, L. Q. Chen, J. Runt and Q. M. Zhang, </w:t>
      </w:r>
      <w:r w:rsidRPr="00CA46DB">
        <w:rPr>
          <w:rFonts w:cstheme="minorHAnsi"/>
          <w:i/>
          <w:iCs/>
          <w:color w:val="000000" w:themeColor="text1"/>
          <w:sz w:val="18"/>
          <w:szCs w:val="18"/>
        </w:rPr>
        <w:t>Nanoscale</w:t>
      </w:r>
      <w:r w:rsidRPr="00CA46DB">
        <w:rPr>
          <w:rFonts w:cstheme="minorHAnsi"/>
          <w:color w:val="000000" w:themeColor="text1"/>
          <w:sz w:val="18"/>
          <w:szCs w:val="18"/>
        </w:rPr>
        <w:t>, 2017, 9, 10992−10997.</w:t>
      </w:r>
    </w:p>
    <w:p w14:paraId="6AB218B7"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M. Dong, Z. Tong, P. Qi and L. Qin, </w:t>
      </w:r>
      <w:r w:rsidRPr="00CA46DB">
        <w:rPr>
          <w:rFonts w:cstheme="minorHAnsi"/>
          <w:i/>
          <w:iCs/>
          <w:color w:val="000000" w:themeColor="text1"/>
          <w:sz w:val="18"/>
          <w:szCs w:val="18"/>
        </w:rPr>
        <w:t>J. Mater. Sci.: Mater. Electron.</w:t>
      </w:r>
      <w:r w:rsidRPr="00CA46DB">
        <w:rPr>
          <w:rFonts w:cstheme="minorHAnsi"/>
          <w:color w:val="000000" w:themeColor="text1"/>
          <w:sz w:val="18"/>
          <w:szCs w:val="18"/>
        </w:rPr>
        <w:t>, 2020.</w:t>
      </w:r>
    </w:p>
    <w:p w14:paraId="4D6B1FE3"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X. Zhang, J. Jiang, Z. Shen, Z. Dan, M. Li, Y. Lin, C. W. Nan, L. Chen and Y. Shen, </w:t>
      </w:r>
      <w:r w:rsidRPr="00CA46DB">
        <w:rPr>
          <w:rFonts w:cstheme="minorHAnsi"/>
          <w:i/>
          <w:iCs/>
          <w:color w:val="000000" w:themeColor="text1"/>
          <w:sz w:val="18"/>
          <w:szCs w:val="18"/>
        </w:rPr>
        <w:t>Adv. Mater.</w:t>
      </w:r>
      <w:r w:rsidRPr="00CA46DB">
        <w:rPr>
          <w:rFonts w:cstheme="minorHAnsi"/>
          <w:color w:val="000000" w:themeColor="text1"/>
          <w:sz w:val="18"/>
          <w:szCs w:val="18"/>
        </w:rPr>
        <w:t>, 2018, 30, 1707269.</w:t>
      </w:r>
    </w:p>
    <w:p w14:paraId="21B32786"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Q. Chi, Z. Gao, T. Zhang, C. Zhang, Y. Zhang, Q. Chen, X. Wang and Q. Lei, </w:t>
      </w:r>
      <w:r w:rsidRPr="00CA46DB">
        <w:rPr>
          <w:rFonts w:cstheme="minorHAnsi"/>
          <w:i/>
          <w:iCs/>
          <w:color w:val="000000" w:themeColor="text1"/>
          <w:sz w:val="18"/>
          <w:szCs w:val="18"/>
        </w:rPr>
        <w:t>ACS Sustain. Chem. Eng.</w:t>
      </w:r>
      <w:r w:rsidRPr="00CA46DB">
        <w:rPr>
          <w:rFonts w:cstheme="minorHAnsi"/>
          <w:color w:val="000000" w:themeColor="text1"/>
          <w:sz w:val="18"/>
          <w:szCs w:val="18"/>
        </w:rPr>
        <w:t>, 2018, 7, 748-757.</w:t>
      </w:r>
    </w:p>
    <w:p w14:paraId="71001445"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F. Guo, X. Shen, J. Zhou, D. Liu, Q. Zheng, J. Yang, B. Jia, A. K. T. Lau and J. K. Kim, </w:t>
      </w:r>
      <w:r w:rsidRPr="00CA46DB">
        <w:rPr>
          <w:rFonts w:cstheme="minorHAnsi"/>
          <w:i/>
          <w:iCs/>
          <w:color w:val="000000" w:themeColor="text1"/>
          <w:sz w:val="18"/>
          <w:szCs w:val="18"/>
        </w:rPr>
        <w:t>Adv. Funct. Mater.</w:t>
      </w:r>
      <w:r w:rsidRPr="00CA46DB">
        <w:rPr>
          <w:rFonts w:cstheme="minorHAnsi"/>
          <w:color w:val="000000" w:themeColor="text1"/>
          <w:sz w:val="18"/>
          <w:szCs w:val="18"/>
        </w:rPr>
        <w:t>, 2020</w:t>
      </w:r>
      <w:r w:rsidRPr="00CA46DB">
        <w:rPr>
          <w:rFonts w:cstheme="minorHAnsi" w:hint="eastAsia"/>
          <w:color w:val="000000" w:themeColor="text1"/>
          <w:sz w:val="18"/>
          <w:szCs w:val="18"/>
          <w:lang w:eastAsia="zh-CN"/>
        </w:rPr>
        <w:t>,</w:t>
      </w:r>
      <w:r w:rsidRPr="00CA46DB">
        <w:rPr>
          <w:rFonts w:cstheme="minorHAnsi"/>
          <w:color w:val="000000" w:themeColor="text1"/>
          <w:sz w:val="18"/>
          <w:szCs w:val="18"/>
          <w:lang w:eastAsia="zh-CN"/>
        </w:rPr>
        <w:t xml:space="preserve"> </w:t>
      </w:r>
      <w:r w:rsidRPr="00CA46DB">
        <w:rPr>
          <w:rFonts w:cstheme="minorHAnsi"/>
          <w:color w:val="000000" w:themeColor="text1"/>
          <w:sz w:val="18"/>
          <w:szCs w:val="18"/>
        </w:rPr>
        <w:t>1910826.</w:t>
      </w:r>
    </w:p>
    <w:p w14:paraId="2B169E0B"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S. Cheng, Y. Zhou, J. Hu, J. He and Q. Li, </w:t>
      </w:r>
      <w:r w:rsidRPr="00CA46DB">
        <w:rPr>
          <w:rFonts w:cstheme="minorHAnsi"/>
          <w:i/>
          <w:iCs/>
          <w:color w:val="000000" w:themeColor="text1"/>
          <w:sz w:val="18"/>
          <w:szCs w:val="18"/>
        </w:rPr>
        <w:t>IEEE Trans. Dielectr. Electr. Insul.</w:t>
      </w:r>
      <w:r w:rsidRPr="00CA46DB">
        <w:rPr>
          <w:rFonts w:cstheme="minorHAnsi"/>
          <w:color w:val="000000" w:themeColor="text1"/>
          <w:sz w:val="18"/>
          <w:szCs w:val="18"/>
        </w:rPr>
        <w:t>, 2020, 27, 498−503.</w:t>
      </w:r>
    </w:p>
    <w:p w14:paraId="1DB9D2F5"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Z. Q. Wu, H. H. Zhou, Q. Guo, Z. G. Liu, L. Gong, Q. Y. Zhang, G. J. Zhong, Z. M. Li and Y. H. Chen, J. </w:t>
      </w:r>
      <w:r w:rsidRPr="00CA46DB">
        <w:rPr>
          <w:rFonts w:cstheme="minorHAnsi"/>
          <w:i/>
          <w:iCs/>
          <w:color w:val="000000" w:themeColor="text1"/>
          <w:sz w:val="18"/>
          <w:szCs w:val="18"/>
        </w:rPr>
        <w:t>Alloys Compd.</w:t>
      </w:r>
      <w:r w:rsidRPr="00CA46DB">
        <w:rPr>
          <w:rFonts w:cstheme="minorHAnsi"/>
          <w:color w:val="000000" w:themeColor="text1"/>
          <w:sz w:val="18"/>
          <w:szCs w:val="18"/>
        </w:rPr>
        <w:t>, 2020, 845, 156171.</w:t>
      </w:r>
    </w:p>
    <w:p w14:paraId="7CDEB500"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T. Zhu, C. Qian, W. Zheng, R. Bei, S. Liu, Z. Chi, X. Chen, Y. Zhang and J. Xu, </w:t>
      </w:r>
      <w:r w:rsidRPr="00CA46DB">
        <w:rPr>
          <w:rFonts w:cstheme="minorHAnsi"/>
          <w:i/>
          <w:iCs/>
          <w:color w:val="000000" w:themeColor="text1"/>
          <w:sz w:val="18"/>
          <w:szCs w:val="18"/>
        </w:rPr>
        <w:t>RSC Adv.</w:t>
      </w:r>
      <w:r w:rsidRPr="00CA46DB">
        <w:rPr>
          <w:rFonts w:cstheme="minorHAnsi"/>
          <w:color w:val="000000" w:themeColor="text1"/>
          <w:sz w:val="18"/>
          <w:szCs w:val="18"/>
        </w:rPr>
        <w:t>, 2018, 8, 10522−10531.</w:t>
      </w:r>
    </w:p>
    <w:p w14:paraId="06D2C374"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Wang, Y. Long, Y. Sun, X. Zhang, H. Yang and B. Lin, </w:t>
      </w:r>
      <w:r w:rsidRPr="00CA46DB">
        <w:rPr>
          <w:rFonts w:cstheme="minorHAnsi"/>
          <w:i/>
          <w:iCs/>
          <w:color w:val="000000" w:themeColor="text1"/>
          <w:sz w:val="18"/>
          <w:szCs w:val="18"/>
        </w:rPr>
        <w:t>Appl. Surf. Sci.</w:t>
      </w:r>
      <w:r w:rsidRPr="00CA46DB">
        <w:rPr>
          <w:rFonts w:cstheme="minorHAnsi"/>
          <w:color w:val="000000" w:themeColor="text1"/>
          <w:sz w:val="18"/>
          <w:szCs w:val="18"/>
        </w:rPr>
        <w:t>, 2017, 426, 437−445.</w:t>
      </w:r>
    </w:p>
    <w:p w14:paraId="5EA0F5C2"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Wang, Y. Sun, P. Wang, X. Yu, H. Shi, X. Zhang, H. Yang and B. Lin, </w:t>
      </w:r>
      <w:r w:rsidRPr="00CA46DB">
        <w:rPr>
          <w:rFonts w:cstheme="minorHAnsi"/>
          <w:i/>
          <w:iCs/>
          <w:color w:val="000000" w:themeColor="text1"/>
          <w:sz w:val="18"/>
          <w:szCs w:val="18"/>
        </w:rPr>
        <w:t>J. Alloys Compd.</w:t>
      </w:r>
      <w:r w:rsidRPr="00CA46DB">
        <w:rPr>
          <w:rFonts w:cstheme="minorHAnsi"/>
          <w:color w:val="000000" w:themeColor="text1"/>
          <w:sz w:val="18"/>
          <w:szCs w:val="18"/>
        </w:rPr>
        <w:t>, 2019, 789, 785−791.</w:t>
      </w:r>
    </w:p>
    <w:p w14:paraId="6000EB4A"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Wang, Y. Long, Y. Sun, X. Zhang, H. Yang and B. Lin, </w:t>
      </w:r>
      <w:r w:rsidRPr="00CA46DB">
        <w:rPr>
          <w:rFonts w:cstheme="minorHAnsi"/>
          <w:i/>
          <w:iCs/>
          <w:color w:val="000000" w:themeColor="text1"/>
          <w:sz w:val="18"/>
          <w:szCs w:val="18"/>
        </w:rPr>
        <w:t>J. Mater. Sci.: Mater. Electron.</w:t>
      </w:r>
      <w:r w:rsidRPr="00CA46DB">
        <w:rPr>
          <w:rFonts w:cstheme="minorHAnsi"/>
          <w:color w:val="000000" w:themeColor="text1"/>
          <w:sz w:val="18"/>
          <w:szCs w:val="18"/>
        </w:rPr>
        <w:t>, 2018, 29, 7842−7850.</w:t>
      </w:r>
    </w:p>
    <w:p w14:paraId="1E4F7198"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L. Ren, H. Li, Z. Xie, D. Ai, Y. Zhou, Y. Liu, S. Zhang, L. Yang, X. Zhao, Z. Peng, R. Liao and Q. Wang, </w:t>
      </w:r>
      <w:r w:rsidRPr="00CA46DB">
        <w:rPr>
          <w:rFonts w:cstheme="minorHAnsi"/>
          <w:i/>
          <w:iCs/>
          <w:color w:val="000000" w:themeColor="text1"/>
          <w:sz w:val="18"/>
          <w:szCs w:val="18"/>
        </w:rPr>
        <w:t>Adv. Energy Mater.</w:t>
      </w:r>
      <w:r w:rsidRPr="00CA46DB">
        <w:rPr>
          <w:rFonts w:cstheme="minorHAnsi"/>
          <w:color w:val="000000" w:themeColor="text1"/>
          <w:sz w:val="18"/>
          <w:szCs w:val="18"/>
        </w:rPr>
        <w:t>, 2021, 11, 2101297.</w:t>
      </w:r>
    </w:p>
    <w:p w14:paraId="68C5836C"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L. Liu, Y. Zhang, F. Lv, W. Tong, L. Ding, P. K. Chu and P. Li, </w:t>
      </w:r>
      <w:r w:rsidRPr="00CA46DB">
        <w:rPr>
          <w:rFonts w:cstheme="minorHAnsi"/>
          <w:i/>
          <w:iCs/>
          <w:color w:val="000000" w:themeColor="text1"/>
          <w:sz w:val="18"/>
          <w:szCs w:val="18"/>
        </w:rPr>
        <w:t>RSC Adv.</w:t>
      </w:r>
      <w:r w:rsidRPr="00CA46DB">
        <w:rPr>
          <w:rFonts w:cstheme="minorHAnsi"/>
          <w:color w:val="000000" w:themeColor="text1"/>
          <w:sz w:val="18"/>
          <w:szCs w:val="18"/>
        </w:rPr>
        <w:t>, 2016, 6, 86817−86823.</w:t>
      </w:r>
    </w:p>
    <w:p w14:paraId="7C4FB0B4"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lastRenderedPageBreak/>
        <w:t xml:space="preserve">L. Liu, F. Lv, Y. Zhang, P. Li, W. Tong, L. Ding and G. Zhang, </w:t>
      </w:r>
      <w:r w:rsidRPr="00CA46DB">
        <w:rPr>
          <w:rFonts w:cstheme="minorHAnsi"/>
          <w:i/>
          <w:iCs/>
          <w:color w:val="000000" w:themeColor="text1"/>
          <w:sz w:val="18"/>
          <w:szCs w:val="18"/>
        </w:rPr>
        <w:t>Compos. Pt. A: Appl. Sci. Manuf.</w:t>
      </w:r>
      <w:r w:rsidRPr="00CA46DB">
        <w:rPr>
          <w:rFonts w:cstheme="minorHAnsi"/>
          <w:color w:val="000000" w:themeColor="text1"/>
          <w:sz w:val="18"/>
          <w:szCs w:val="18"/>
        </w:rPr>
        <w:t>, 2017, 99, 41−47.</w:t>
      </w:r>
    </w:p>
    <w:p w14:paraId="183AEDDE"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Y. Yang, H. Sun, D. Yin, Z. Lu, J. Wei, R. Xiong, J. Shi, Z. Wang, Z. Liu and Q. Lei, </w:t>
      </w:r>
      <w:r w:rsidRPr="00CA46DB">
        <w:rPr>
          <w:rFonts w:cstheme="minorHAnsi"/>
          <w:i/>
          <w:iCs/>
          <w:color w:val="000000" w:themeColor="text1"/>
          <w:sz w:val="18"/>
          <w:szCs w:val="18"/>
        </w:rPr>
        <w:t>J. Mater. Chem. A</w:t>
      </w:r>
      <w:r w:rsidRPr="00CA46DB">
        <w:rPr>
          <w:rFonts w:cstheme="minorHAnsi"/>
          <w:color w:val="000000" w:themeColor="text1"/>
          <w:sz w:val="18"/>
          <w:szCs w:val="18"/>
        </w:rPr>
        <w:t>, 2015, 3, 4916−4921.</w:t>
      </w:r>
    </w:p>
    <w:p w14:paraId="27C41685"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B. Xie, Q. Zhang, L. Zhang, Y. W. Zhu, X. Guo, P. Y. Fan and H. B. Zhang, </w:t>
      </w:r>
      <w:r w:rsidRPr="00CA46DB">
        <w:rPr>
          <w:rFonts w:cstheme="minorHAnsi"/>
          <w:i/>
          <w:iCs/>
          <w:color w:val="000000" w:themeColor="text1"/>
          <w:sz w:val="18"/>
          <w:szCs w:val="18"/>
        </w:rPr>
        <w:t>Nano Energy</w:t>
      </w:r>
      <w:r w:rsidRPr="00CA46DB">
        <w:rPr>
          <w:rFonts w:cstheme="minorHAnsi"/>
          <w:color w:val="000000" w:themeColor="text1"/>
          <w:sz w:val="18"/>
          <w:szCs w:val="18"/>
        </w:rPr>
        <w:t>, 2018, 54, 437−446.</w:t>
      </w:r>
    </w:p>
    <w:p w14:paraId="28A0C0FD"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L. X. Cai, J. M. Wu, H. M. Qin, Z. W. Li, S. Wang, G. H. Hu and C. A. X. Xiong, </w:t>
      </w:r>
      <w:r w:rsidRPr="00CA46DB">
        <w:rPr>
          <w:rFonts w:cstheme="minorHAnsi"/>
          <w:i/>
          <w:iCs/>
          <w:color w:val="000000" w:themeColor="text1"/>
          <w:sz w:val="18"/>
          <w:szCs w:val="18"/>
        </w:rPr>
        <w:t>J. Appl. Polym. Sci.</w:t>
      </w:r>
      <w:r w:rsidRPr="00CA46DB">
        <w:rPr>
          <w:rFonts w:cstheme="minorHAnsi"/>
          <w:color w:val="000000" w:themeColor="text1"/>
          <w:sz w:val="18"/>
          <w:szCs w:val="18"/>
        </w:rPr>
        <w:t>, 2021, 138, 51268.</w:t>
      </w:r>
    </w:p>
    <w:p w14:paraId="3A186721"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G. Chen, J. Lin, X. Wang, W. Yang, D. Li, W. Ding, H. Li and Q. Lei, </w:t>
      </w:r>
      <w:r w:rsidRPr="00CA46DB">
        <w:rPr>
          <w:rFonts w:cstheme="minorHAnsi"/>
          <w:i/>
          <w:iCs/>
          <w:color w:val="000000" w:themeColor="text1"/>
          <w:sz w:val="18"/>
          <w:szCs w:val="18"/>
        </w:rPr>
        <w:t>J. Mater. Sci.: Mater. Electron.</w:t>
      </w:r>
      <w:r w:rsidRPr="00CA46DB">
        <w:rPr>
          <w:rFonts w:cstheme="minorHAnsi"/>
          <w:color w:val="000000" w:themeColor="text1"/>
          <w:sz w:val="18"/>
          <w:szCs w:val="18"/>
        </w:rPr>
        <w:t>, 2017, 28, 13861-13868.</w:t>
      </w:r>
    </w:p>
    <w:p w14:paraId="55391FD3"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Dong, L. Cao, Y. Li, Z. Wu and C. Teng, </w:t>
      </w:r>
      <w:r w:rsidRPr="00CA46DB">
        <w:rPr>
          <w:rFonts w:cstheme="minorHAnsi"/>
          <w:i/>
          <w:iCs/>
          <w:color w:val="000000" w:themeColor="text1"/>
          <w:sz w:val="18"/>
          <w:szCs w:val="18"/>
        </w:rPr>
        <w:t>Compos. Sci. Technol.</w:t>
      </w:r>
      <w:r w:rsidRPr="00CA46DB">
        <w:rPr>
          <w:rFonts w:cstheme="minorHAnsi"/>
          <w:color w:val="000000" w:themeColor="text1"/>
          <w:sz w:val="18"/>
          <w:szCs w:val="18"/>
        </w:rPr>
        <w:t>, 2020, 196, 108242.</w:t>
      </w:r>
    </w:p>
    <w:p w14:paraId="0B86BC65"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Y. Zhou, S. Zhang, X. Xu, W. Liu, S. Zhang, G. Li and J. He, </w:t>
      </w:r>
      <w:r w:rsidRPr="00CA46DB">
        <w:rPr>
          <w:rFonts w:cstheme="minorHAnsi"/>
          <w:i/>
          <w:iCs/>
          <w:color w:val="000000" w:themeColor="text1"/>
          <w:sz w:val="18"/>
          <w:szCs w:val="18"/>
        </w:rPr>
        <w:t>Nano Energy</w:t>
      </w:r>
      <w:r w:rsidRPr="00CA46DB">
        <w:rPr>
          <w:rFonts w:cstheme="minorHAnsi"/>
          <w:color w:val="000000" w:themeColor="text1"/>
          <w:sz w:val="18"/>
          <w:szCs w:val="18"/>
        </w:rPr>
        <w:t>, 2020, 69, 104397.</w:t>
      </w:r>
    </w:p>
    <w:p w14:paraId="4AF620E5"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Y. Liu, L. Yin, W. Zhang, J. Wang, S. Hou, Z. Wu, Z. Zhang, C. Chen, X. Li, H. Ji, Q. Zhang, Z. Liu and F. Cao, </w:t>
      </w:r>
      <w:r w:rsidRPr="00CA46DB">
        <w:rPr>
          <w:rFonts w:cstheme="minorHAnsi"/>
          <w:i/>
          <w:iCs/>
          <w:color w:val="000000" w:themeColor="text1"/>
          <w:sz w:val="18"/>
          <w:szCs w:val="18"/>
        </w:rPr>
        <w:t>Cell Rep. Phys. Sci.</w:t>
      </w:r>
      <w:r w:rsidRPr="00CA46DB">
        <w:rPr>
          <w:rFonts w:cstheme="minorHAnsi"/>
          <w:color w:val="000000" w:themeColor="text1"/>
          <w:sz w:val="18"/>
          <w:szCs w:val="18"/>
        </w:rPr>
        <w:t>, 2021, 2, 100412.</w:t>
      </w:r>
    </w:p>
    <w:p w14:paraId="5F58BF7D"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A. Mannodi-Kanakkithodi, G. M. Treich, T. D. Huan, R. Ma, M. Tefferi, Y. Cao, G. A. Sotzing and R. Ramprasad, </w:t>
      </w:r>
      <w:r w:rsidRPr="00CA46DB">
        <w:rPr>
          <w:rFonts w:cstheme="minorHAnsi"/>
          <w:i/>
          <w:iCs/>
          <w:color w:val="000000" w:themeColor="text1"/>
          <w:sz w:val="18"/>
          <w:szCs w:val="18"/>
        </w:rPr>
        <w:t>Adv. Mater.</w:t>
      </w:r>
      <w:r w:rsidRPr="00CA46DB">
        <w:rPr>
          <w:rFonts w:cstheme="minorHAnsi"/>
          <w:color w:val="000000" w:themeColor="text1"/>
          <w:sz w:val="18"/>
          <w:szCs w:val="18"/>
        </w:rPr>
        <w:t>, 2016, 28, 6277-6291.</w:t>
      </w:r>
    </w:p>
    <w:p w14:paraId="6AB7177E"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P. Hu, W. Sun, M. Fan, J. Qian, J. Jiang, Z. Dan, Y. Lin, C.-W. Nan, M. Li and Y. Shen, </w:t>
      </w:r>
      <w:r w:rsidRPr="00CA46DB">
        <w:rPr>
          <w:rFonts w:cstheme="minorHAnsi"/>
          <w:i/>
          <w:iCs/>
          <w:color w:val="000000" w:themeColor="text1"/>
          <w:sz w:val="18"/>
          <w:szCs w:val="18"/>
        </w:rPr>
        <w:t>Appl. Surf. Sci.</w:t>
      </w:r>
      <w:r w:rsidRPr="00CA46DB">
        <w:rPr>
          <w:rFonts w:cstheme="minorHAnsi"/>
          <w:color w:val="000000" w:themeColor="text1"/>
          <w:sz w:val="18"/>
          <w:szCs w:val="18"/>
        </w:rPr>
        <w:t>, 2018, 458, 743−750.</w:t>
      </w:r>
    </w:p>
    <w:p w14:paraId="0D0D2AFF"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Y. Li, J. X. Zhang, S. Z. Zhang and K. L. Ren, </w:t>
      </w:r>
      <w:r w:rsidRPr="00CA46DB">
        <w:rPr>
          <w:rFonts w:cstheme="minorHAnsi"/>
          <w:i/>
          <w:iCs/>
          <w:color w:val="000000" w:themeColor="text1"/>
          <w:sz w:val="18"/>
          <w:szCs w:val="18"/>
        </w:rPr>
        <w:t>Macromol. Mater. Eng.</w:t>
      </w:r>
      <w:r w:rsidRPr="00CA46DB">
        <w:rPr>
          <w:rFonts w:cstheme="minorHAnsi"/>
          <w:color w:val="000000" w:themeColor="text1"/>
          <w:sz w:val="18"/>
          <w:szCs w:val="18"/>
        </w:rPr>
        <w:t>, 2021, 306, 2100079.</w:t>
      </w:r>
    </w:p>
    <w:p w14:paraId="4D373388"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Y. Chen, B. Lin, X. Zhang, J. Wang, C. Lai, Y. Sun, Y. Liu and H. Yang, </w:t>
      </w:r>
      <w:r w:rsidRPr="00CA46DB">
        <w:rPr>
          <w:rFonts w:cstheme="minorHAnsi"/>
          <w:i/>
          <w:iCs/>
          <w:color w:val="000000" w:themeColor="text1"/>
          <w:sz w:val="18"/>
          <w:szCs w:val="18"/>
        </w:rPr>
        <w:t>J. Mater. Chem. A</w:t>
      </w:r>
      <w:r w:rsidRPr="00CA46DB">
        <w:rPr>
          <w:rFonts w:cstheme="minorHAnsi"/>
          <w:color w:val="000000" w:themeColor="text1"/>
          <w:sz w:val="18"/>
          <w:szCs w:val="18"/>
        </w:rPr>
        <w:t>, 2014, 2, 14118−14126.</w:t>
      </w:r>
    </w:p>
    <w:p w14:paraId="59C0B967"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Q. Chi, B. Wang, T. Zhang, C. Zhang, Y. Zhang, X. Wang and Q. Lei, </w:t>
      </w:r>
      <w:r w:rsidRPr="00CA46DB">
        <w:rPr>
          <w:rFonts w:cstheme="minorHAnsi"/>
          <w:i/>
          <w:iCs/>
          <w:color w:val="000000" w:themeColor="text1"/>
          <w:sz w:val="18"/>
          <w:szCs w:val="18"/>
        </w:rPr>
        <w:t>J. Mater. Sci.: Mater. Electron.</w:t>
      </w:r>
      <w:r w:rsidRPr="00CA46DB">
        <w:rPr>
          <w:rFonts w:cstheme="minorHAnsi"/>
          <w:color w:val="000000" w:themeColor="text1"/>
          <w:sz w:val="18"/>
          <w:szCs w:val="18"/>
        </w:rPr>
        <w:t>, 2019, 30, 19956−19965.</w:t>
      </w:r>
    </w:p>
    <w:p w14:paraId="51958BD1"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J. S. Ru, D. M. Min, M. Lanagan, S. T. Li and G. Chen, </w:t>
      </w:r>
      <w:r w:rsidRPr="00CA46DB">
        <w:rPr>
          <w:rFonts w:cstheme="minorHAnsi"/>
          <w:i/>
          <w:iCs/>
          <w:color w:val="000000" w:themeColor="text1"/>
          <w:sz w:val="18"/>
          <w:szCs w:val="18"/>
        </w:rPr>
        <w:t>Mater. Design</w:t>
      </w:r>
      <w:r w:rsidRPr="00CA46DB">
        <w:rPr>
          <w:rFonts w:cstheme="minorHAnsi"/>
          <w:color w:val="000000" w:themeColor="text1"/>
          <w:sz w:val="18"/>
          <w:szCs w:val="18"/>
        </w:rPr>
        <w:t xml:space="preserve">, 2021, 197, 109270. </w:t>
      </w:r>
    </w:p>
    <w:p w14:paraId="7121C43D" w14:textId="77777777" w:rsidR="00FC2A41" w:rsidRPr="00CA46DB" w:rsidRDefault="00166212">
      <w:pPr>
        <w:pStyle w:val="ListParagraph"/>
        <w:widowControl w:val="0"/>
        <w:numPr>
          <w:ilvl w:val="0"/>
          <w:numId w:val="4"/>
        </w:numPr>
        <w:spacing w:after="0" w:line="240" w:lineRule="exact"/>
        <w:contextualSpacing w:val="0"/>
        <w:jc w:val="both"/>
        <w:rPr>
          <w:rFonts w:cstheme="minorHAnsi"/>
          <w:color w:val="000000" w:themeColor="text1"/>
          <w:sz w:val="18"/>
          <w:szCs w:val="18"/>
        </w:rPr>
      </w:pPr>
      <w:r w:rsidRPr="00CA46DB">
        <w:rPr>
          <w:rFonts w:cstheme="minorHAnsi"/>
          <w:color w:val="000000" w:themeColor="text1"/>
          <w:sz w:val="18"/>
          <w:szCs w:val="18"/>
        </w:rPr>
        <w:t xml:space="preserve">Q. Chi, Z. Gao, C. Zhang, Y. Cui, J. Dong, X. Wang and Q. Lei, </w:t>
      </w:r>
      <w:r w:rsidRPr="00CA46DB">
        <w:rPr>
          <w:rFonts w:cstheme="minorHAnsi"/>
          <w:i/>
          <w:iCs/>
          <w:color w:val="000000" w:themeColor="text1"/>
          <w:sz w:val="18"/>
          <w:szCs w:val="18"/>
        </w:rPr>
        <w:t>J. Mater. Sci.: Mater. Electron.</w:t>
      </w:r>
      <w:r w:rsidRPr="00CA46DB">
        <w:rPr>
          <w:rFonts w:cstheme="minorHAnsi"/>
          <w:color w:val="000000" w:themeColor="text1"/>
          <w:sz w:val="18"/>
          <w:szCs w:val="18"/>
        </w:rPr>
        <w:t>, 2017, 28, 15142−15148.</w:t>
      </w:r>
    </w:p>
    <w:p w14:paraId="377246E8" w14:textId="77777777" w:rsidR="00FC2A41" w:rsidRPr="00CA46DB" w:rsidRDefault="00FC2A41">
      <w:pPr>
        <w:tabs>
          <w:tab w:val="left" w:pos="3462"/>
        </w:tabs>
        <w:spacing w:after="0" w:line="240" w:lineRule="exact"/>
        <w:jc w:val="both"/>
        <w:rPr>
          <w:rFonts w:cstheme="minorHAnsi"/>
          <w:b/>
          <w:bCs/>
          <w:color w:val="000000" w:themeColor="text1"/>
          <w:sz w:val="18"/>
          <w:szCs w:val="18"/>
        </w:rPr>
      </w:pPr>
    </w:p>
    <w:sectPr w:rsidR="00FC2A41" w:rsidRPr="00CA46DB">
      <w:pgSz w:w="11907" w:h="16840"/>
      <w:pgMar w:top="1009" w:right="851" w:bottom="1758" w:left="851" w:header="851" w:footer="1049" w:gutter="0"/>
      <w:cols w:num="2" w:space="22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B9F00E" w14:textId="77777777" w:rsidR="00B9099B" w:rsidRDefault="00B9099B">
      <w:pPr>
        <w:spacing w:line="240" w:lineRule="auto"/>
      </w:pPr>
      <w:r>
        <w:separator/>
      </w:r>
    </w:p>
  </w:endnote>
  <w:endnote w:type="continuationSeparator" w:id="0">
    <w:p w14:paraId="1AE37BDF" w14:textId="77777777" w:rsidR="00B9099B" w:rsidRDefault="00B9099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embedRegular r:id="rId1" w:fontKey="{4AC3D56F-EC9F-4C99-9A76-DCFBCE14C22D}"/>
    <w:embedBold r:id="rId2" w:fontKey="{A3DA5784-AF14-4B8A-8200-235249C1A44E}"/>
    <w:embedItalic r:id="rId3" w:fontKey="{4E20C732-57D1-45FF-9D03-70071336A3E8}"/>
    <w:embedBoldItalic r:id="rId4" w:fontKey="{2624FB2E-F2C7-4588-B4FA-5E99F12271A5}"/>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5" w:fontKey="{7787DCDF-7A67-462E-9004-F8848BFD218D}"/>
  </w:font>
  <w:font w:name="Helvetica">
    <w:panose1 w:val="020B0604020202020204"/>
    <w:charset w:val="00"/>
    <w:family w:val="auto"/>
    <w:pitch w:val="variable"/>
    <w:sig w:usb0="E00002FF" w:usb1="5000785B" w:usb2="00000000" w:usb3="00000000" w:csb0="0000019F" w:csb1="00000000"/>
    <w:embedRegular r:id="rId6" w:fontKey="{D2FB6973-0795-427F-AF40-28A54A147032}"/>
    <w:embedItalic r:id="rId7" w:fontKey="{8565D833-806E-46DF-8E37-274E32181063}"/>
  </w:font>
  <w:font w:name="Times">
    <w:altName w:val="Times New Roman"/>
    <w:panose1 w:val="02020603050405020304"/>
    <w:charset w:val="00"/>
    <w:family w:val="auto"/>
    <w:pitch w:val="variable"/>
    <w:sig w:usb0="E00002FF" w:usb1="5000205A" w:usb2="00000000" w:usb3="00000000" w:csb0="0000019F" w:csb1="00000000"/>
    <w:embedRegular r:id="rId8" w:fontKey="{0694256D-3F2E-4E17-BA99-40522C7E31F6}"/>
  </w:font>
  <w:font w:name="Cambria Math">
    <w:panose1 w:val="02040503050406030204"/>
    <w:charset w:val="00"/>
    <w:family w:val="roman"/>
    <w:pitch w:val="variable"/>
    <w:sig w:usb0="E00006FF" w:usb1="420024FF" w:usb2="02000000" w:usb3="00000000" w:csb0="0000019F" w:csb1="00000000"/>
    <w:embedRegular r:id="rId9" w:fontKey="{DA219229-C2E3-45EA-BA3F-23AC2ED7F1D3}"/>
    <w:embedItalic r:id="rId10" w:fontKey="{7F8372CB-98A2-4C4E-8CF3-7C27C7C1ED71}"/>
  </w:font>
  <w:font w:name="楷体-简">
    <w:altName w:val="Microsoft YaHei Light"/>
    <w:charset w:val="86"/>
    <w:family w:val="auto"/>
    <w:pitch w:val="variable"/>
    <w:sig w:usb0="00000000" w:usb1="280F3C52" w:usb2="00000016" w:usb3="00000000" w:csb0="0004001F" w:csb1="00000000"/>
  </w:font>
  <w:font w:name="STSong">
    <w:altName w:val="华文宋体"/>
    <w:charset w:val="86"/>
    <w:family w:val="auto"/>
    <w:pitch w:val="variable"/>
    <w:sig w:usb0="80000287" w:usb1="280F3C52" w:usb2="00000016" w:usb3="00000000" w:csb0="0004001F" w:csb1="00000000"/>
  </w:font>
  <w:font w:name="DengXian">
    <w:altName w:val="等线"/>
    <w:panose1 w:val="02010600030101010101"/>
    <w:charset w:val="86"/>
    <w:family w:val="auto"/>
    <w:pitch w:val="variable"/>
    <w:sig w:usb0="A00002BF" w:usb1="38CF7CFA" w:usb2="00000016" w:usb3="00000000" w:csb0="0004000F" w:csb1="00000000"/>
  </w:font>
  <w:font w:name="Times New Roman Regular">
    <w:altName w:val="Times New Roman"/>
    <w:charset w:val="00"/>
    <w:family w:val="auto"/>
    <w:pitch w:val="default"/>
    <w:sig w:usb0="E0000AFF" w:usb1="00007843" w:usb2="00000001" w:usb3="00000000" w:csb0="400001BF" w:csb1="DFF70000"/>
  </w:font>
  <w:font w:name="Cambria">
    <w:panose1 w:val="02040503050406030204"/>
    <w:charset w:val="00"/>
    <w:family w:val="roman"/>
    <w:pitch w:val="variable"/>
    <w:sig w:usb0="E00006FF" w:usb1="420024FF" w:usb2="02000000" w:usb3="00000000" w:csb0="0000019F" w:csb1="00000000"/>
    <w:embedRegular r:id="rId11" w:fontKey="{A90A9A51-1DF7-4567-AF75-93AC4BB32DB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648C7C" w14:textId="77777777" w:rsidR="00FC2A41" w:rsidRDefault="00166212">
    <w:pPr>
      <w:pStyle w:val="Footer"/>
      <w:tabs>
        <w:tab w:val="clear" w:pos="4513"/>
        <w:tab w:val="clear" w:pos="9026"/>
        <w:tab w:val="right" w:pos="10206"/>
      </w:tabs>
      <w:spacing w:before="480"/>
      <w:rPr>
        <w:spacing w:val="10"/>
        <w:sz w:val="16"/>
        <w:szCs w:val="16"/>
      </w:rPr>
    </w:pPr>
    <w:r>
      <w:rPr>
        <w:b/>
        <w:spacing w:val="10"/>
        <w:sz w:val="16"/>
        <w:szCs w:val="16"/>
      </w:rPr>
      <w:fldChar w:fldCharType="begin"/>
    </w:r>
    <w:r>
      <w:rPr>
        <w:b/>
        <w:spacing w:val="10"/>
        <w:sz w:val="16"/>
        <w:szCs w:val="16"/>
      </w:rPr>
      <w:instrText xml:space="preserve"> PAGE   \* MERGEFORMAT </w:instrText>
    </w:r>
    <w:r>
      <w:rPr>
        <w:b/>
        <w:spacing w:val="10"/>
        <w:sz w:val="16"/>
        <w:szCs w:val="16"/>
      </w:rPr>
      <w:fldChar w:fldCharType="separate"/>
    </w:r>
    <w:r>
      <w:rPr>
        <w:b/>
        <w:spacing w:val="10"/>
        <w:sz w:val="16"/>
        <w:szCs w:val="16"/>
      </w:rPr>
      <w:t>2</w:t>
    </w:r>
    <w:r>
      <w:rPr>
        <w:b/>
        <w:spacing w:val="10"/>
        <w:sz w:val="16"/>
        <w:szCs w:val="16"/>
      </w:rPr>
      <w:fldChar w:fldCharType="end"/>
    </w:r>
    <w:r>
      <w:rPr>
        <w:spacing w:val="10"/>
        <w:sz w:val="16"/>
        <w:szCs w:val="16"/>
      </w:rPr>
      <w:t xml:space="preserve"> | </w:t>
    </w:r>
    <w:r>
      <w:rPr>
        <w:i/>
        <w:spacing w:val="10"/>
        <w:sz w:val="16"/>
        <w:szCs w:val="16"/>
      </w:rPr>
      <w:t>J. Name</w:t>
    </w:r>
    <w:r>
      <w:rPr>
        <w:spacing w:val="10"/>
        <w:sz w:val="16"/>
        <w:szCs w:val="16"/>
      </w:rPr>
      <w:t xml:space="preserve">., 2012, </w:t>
    </w:r>
    <w:r>
      <w:rPr>
        <w:b/>
        <w:spacing w:val="10"/>
        <w:sz w:val="16"/>
        <w:szCs w:val="16"/>
      </w:rPr>
      <w:t>00</w:t>
    </w:r>
    <w:r>
      <w:rPr>
        <w:spacing w:val="10"/>
        <w:sz w:val="16"/>
        <w:szCs w:val="16"/>
      </w:rPr>
      <w:t>, 1-3</w:t>
    </w:r>
    <w:r>
      <w:rPr>
        <w:spacing w:val="10"/>
        <w:sz w:val="16"/>
        <w:szCs w:val="16"/>
      </w:rPr>
      <w:tab/>
    </w:r>
    <w:r>
      <w:rPr>
        <w:spacing w:val="2"/>
        <w:sz w:val="16"/>
        <w:szCs w:val="16"/>
      </w:rPr>
      <w:t xml:space="preserve">This journal is </w:t>
    </w:r>
    <w:r>
      <w:rPr>
        <w:rFonts w:cstheme="minorHAnsi"/>
        <w:spacing w:val="2"/>
        <w:sz w:val="16"/>
        <w:szCs w:val="16"/>
      </w:rPr>
      <w:t>©</w:t>
    </w:r>
    <w:r>
      <w:rPr>
        <w:spacing w:val="2"/>
        <w:sz w:val="16"/>
        <w:szCs w:val="16"/>
      </w:rPr>
      <w:t xml:space="preserve"> The Royal Society of Chemistry 20xx</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85F23E" w14:textId="200B397A" w:rsidR="00FC2A41" w:rsidRDefault="00166212">
    <w:pPr>
      <w:pStyle w:val="Footer"/>
      <w:tabs>
        <w:tab w:val="clear" w:pos="4513"/>
        <w:tab w:val="clear" w:pos="9026"/>
        <w:tab w:val="right" w:pos="10205"/>
      </w:tabs>
      <w:spacing w:before="480"/>
      <w:rPr>
        <w:sz w:val="16"/>
        <w:szCs w:val="16"/>
      </w:rPr>
    </w:pPr>
    <w:r>
      <w:rPr>
        <w:noProof/>
        <w:lang w:eastAsia="zh-CN"/>
      </w:rPr>
      <mc:AlternateContent>
        <mc:Choice Requires="wps">
          <w:drawing>
            <wp:anchor distT="0" distB="0" distL="114300" distR="114300" simplePos="0" relativeHeight="251671552" behindDoc="0" locked="0" layoutInCell="1" allowOverlap="1" wp14:anchorId="10C36CCC" wp14:editId="343186E8">
              <wp:simplePos x="0" y="0"/>
              <wp:positionH relativeFrom="column">
                <wp:posOffset>-559435</wp:posOffset>
              </wp:positionH>
              <wp:positionV relativeFrom="page">
                <wp:posOffset>10293350</wp:posOffset>
              </wp:positionV>
              <wp:extent cx="7700645" cy="399415"/>
              <wp:effectExtent l="0" t="0" r="0" b="635"/>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ln>
                    </wps:spPr>
                    <wps:txbx>
                      <w:txbxContent>
                        <w:p w14:paraId="1858E179" w14:textId="77777777" w:rsidR="00FC2A41" w:rsidRDefault="00166212">
                          <w:pPr>
                            <w:spacing w:after="0"/>
                            <w:jc w:val="center"/>
                            <w:rPr>
                              <w:color w:val="FFFFFF" w:themeColor="background1"/>
                            </w:rPr>
                          </w:pPr>
                          <w:r>
                            <w:rPr>
                              <w:color w:val="FFFFFF" w:themeColor="background1"/>
                            </w:rPr>
                            <w:t>Please do not adjust margins</w:t>
                          </w:r>
                        </w:p>
                      </w:txbxContent>
                    </wps:txbx>
                    <wps:bodyPr rot="0" vert="horz" wrap="square" lIns="91440" tIns="45720" rIns="91440" bIns="45720" anchor="ctr" anchorCtr="0">
                      <a:noAutofit/>
                    </wps:bodyPr>
                  </wps:wsp>
                </a:graphicData>
              </a:graphic>
            </wp:anchor>
          </w:drawing>
        </mc:Choice>
        <mc:Fallback>
          <w:pict>
            <v:shapetype w14:anchorId="10C36CCC" id="_x0000_t202" coordsize="21600,21600" o:spt="202" path="m,l,21600r21600,l21600,xe">
              <v:stroke joinstyle="miter"/>
              <v:path gradientshapeok="t" o:connecttype="rect"/>
            </v:shapetype>
            <v:shape id="_x0000_s1032" type="#_x0000_t202" style="position:absolute;margin-left:-44.05pt;margin-top:810.5pt;width:606.35pt;height:31.45pt;z-index:251671552;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" fillcolor="#a5a5a5 [2092]" stroked="f">
              <v:textbox>
                <w:txbxContent>
                  <w:p w14:paraId="1858E179" w14:textId="77777777" w:rsidR="00FC2A41" w:rsidRDefault="00166212">
                    <w:pPr>
                      <w:spacing w:after="0"/>
                      <w:jc w:val="center"/>
                      <w:rPr>
                        <w:color w:val="FFFFFF" w:themeColor="background1"/>
                      </w:rPr>
                    </w:pPr>
                    <w:r>
                      <w:rPr>
                        <w:color w:val="FFFFFF" w:themeColor="background1"/>
                      </w:rPr>
                      <w:t>Please do not adjust margins</w:t>
                    </w:r>
                  </w:p>
                </w:txbxContent>
              </v:textbox>
              <w10:wrap anchory="page"/>
            </v:shape>
          </w:pict>
        </mc:Fallback>
      </mc:AlternateContent>
    </w:r>
    <w:r>
      <w:rPr>
        <w:spacing w:val="2"/>
        <w:sz w:val="16"/>
        <w:szCs w:val="16"/>
      </w:rPr>
      <w:t xml:space="preserve">This journal is </w:t>
    </w:r>
    <w:r>
      <w:rPr>
        <w:rFonts w:cstheme="minorHAnsi"/>
        <w:spacing w:val="2"/>
        <w:sz w:val="16"/>
        <w:szCs w:val="16"/>
      </w:rPr>
      <w:t>©</w:t>
    </w:r>
    <w:r>
      <w:rPr>
        <w:spacing w:val="2"/>
        <w:sz w:val="16"/>
        <w:szCs w:val="16"/>
      </w:rPr>
      <w:t xml:space="preserve"> The Royal Society of Chemistry 20xx</w:t>
    </w:r>
    <w:r>
      <w:rPr>
        <w:i/>
        <w:spacing w:val="10"/>
        <w:sz w:val="16"/>
        <w:szCs w:val="16"/>
      </w:rPr>
      <w:tab/>
      <w:t>J. Name</w:t>
    </w:r>
    <w:r>
      <w:rPr>
        <w:spacing w:val="10"/>
        <w:sz w:val="16"/>
        <w:szCs w:val="16"/>
      </w:rPr>
      <w:t xml:space="preserve">., 2013, </w:t>
    </w:r>
    <w:r>
      <w:rPr>
        <w:b/>
        <w:spacing w:val="10"/>
        <w:sz w:val="16"/>
        <w:szCs w:val="16"/>
      </w:rPr>
      <w:t>00</w:t>
    </w:r>
    <w:r>
      <w:rPr>
        <w:spacing w:val="10"/>
        <w:sz w:val="16"/>
        <w:szCs w:val="16"/>
      </w:rPr>
      <w:t xml:space="preserve">, 1-3 | </w:t>
    </w:r>
    <w:r>
      <w:rPr>
        <w:b/>
        <w:spacing w:val="10"/>
        <w:sz w:val="16"/>
        <w:szCs w:val="16"/>
      </w:rPr>
      <w:fldChar w:fldCharType="begin"/>
    </w:r>
    <w:r>
      <w:rPr>
        <w:b/>
        <w:spacing w:val="10"/>
        <w:sz w:val="16"/>
        <w:szCs w:val="16"/>
      </w:rPr>
      <w:instrText xml:space="preserve"> PAGE   \* MERGEFORMAT </w:instrText>
    </w:r>
    <w:r>
      <w:rPr>
        <w:b/>
        <w:spacing w:val="10"/>
        <w:sz w:val="16"/>
        <w:szCs w:val="16"/>
      </w:rPr>
      <w:fldChar w:fldCharType="separate"/>
    </w:r>
    <w:r w:rsidR="00732D7F">
      <w:rPr>
        <w:b/>
        <w:noProof/>
        <w:spacing w:val="10"/>
        <w:sz w:val="16"/>
        <w:szCs w:val="16"/>
      </w:rPr>
      <w:t>21</w:t>
    </w:r>
    <w:r>
      <w:rPr>
        <w:b/>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8949A5" w14:textId="1A79BFB3" w:rsidR="00FC2A41" w:rsidRDefault="00166212">
    <w:pPr>
      <w:pStyle w:val="Footer"/>
      <w:tabs>
        <w:tab w:val="clear" w:pos="4513"/>
        <w:tab w:val="clear" w:pos="9026"/>
        <w:tab w:val="right" w:pos="10206"/>
      </w:tabs>
      <w:spacing w:before="480"/>
      <w:rPr>
        <w:sz w:val="16"/>
        <w:szCs w:val="16"/>
      </w:rPr>
    </w:pPr>
    <w:r>
      <w:rPr>
        <w:spacing w:val="2"/>
        <w:sz w:val="16"/>
        <w:szCs w:val="16"/>
      </w:rPr>
      <w:t xml:space="preserve">This journal is </w:t>
    </w:r>
    <w:r>
      <w:rPr>
        <w:rFonts w:cstheme="minorHAnsi"/>
        <w:spacing w:val="2"/>
        <w:sz w:val="16"/>
        <w:szCs w:val="16"/>
      </w:rPr>
      <w:t>©</w:t>
    </w:r>
    <w:r>
      <w:rPr>
        <w:spacing w:val="2"/>
        <w:sz w:val="16"/>
        <w:szCs w:val="16"/>
      </w:rPr>
      <w:t xml:space="preserve"> The Royal Society of Chemistry 20xx</w:t>
    </w:r>
    <w:r>
      <w:rPr>
        <w:i/>
        <w:spacing w:val="10"/>
        <w:sz w:val="16"/>
        <w:szCs w:val="16"/>
      </w:rPr>
      <w:tab/>
      <w:t>J. Name</w:t>
    </w:r>
    <w:r>
      <w:rPr>
        <w:spacing w:val="10"/>
        <w:sz w:val="16"/>
        <w:szCs w:val="16"/>
      </w:rPr>
      <w:t xml:space="preserve">., 2013, </w:t>
    </w:r>
    <w:r>
      <w:rPr>
        <w:b/>
        <w:spacing w:val="10"/>
        <w:sz w:val="16"/>
        <w:szCs w:val="16"/>
      </w:rPr>
      <w:t>00</w:t>
    </w:r>
    <w:r>
      <w:rPr>
        <w:spacing w:val="10"/>
        <w:sz w:val="16"/>
        <w:szCs w:val="16"/>
      </w:rPr>
      <w:t xml:space="preserve">, 1-3 | </w:t>
    </w:r>
    <w:r>
      <w:rPr>
        <w:b/>
        <w:spacing w:val="10"/>
        <w:sz w:val="16"/>
        <w:szCs w:val="16"/>
      </w:rPr>
      <w:fldChar w:fldCharType="begin"/>
    </w:r>
    <w:r>
      <w:rPr>
        <w:b/>
        <w:spacing w:val="10"/>
        <w:sz w:val="16"/>
        <w:szCs w:val="16"/>
      </w:rPr>
      <w:instrText xml:space="preserve"> PAGE   \* MERGEFORMAT </w:instrText>
    </w:r>
    <w:r>
      <w:rPr>
        <w:b/>
        <w:spacing w:val="10"/>
        <w:sz w:val="16"/>
        <w:szCs w:val="16"/>
      </w:rPr>
      <w:fldChar w:fldCharType="separate"/>
    </w:r>
    <w:r w:rsidR="00732D7F">
      <w:rPr>
        <w:b/>
        <w:noProof/>
        <w:spacing w:val="10"/>
        <w:sz w:val="16"/>
        <w:szCs w:val="16"/>
      </w:rPr>
      <w:t>1</w:t>
    </w:r>
    <w:r>
      <w:rPr>
        <w:b/>
        <w:spacing w:val="10"/>
        <w:sz w:val="16"/>
        <w:szCs w:val="16"/>
      </w:rPr>
      <w:fldChar w:fldCharType="end"/>
    </w:r>
    <w:r>
      <w:rPr>
        <w:noProof/>
        <w:lang w:eastAsia="zh-CN"/>
      </w:rPr>
      <mc:AlternateContent>
        <mc:Choice Requires="wps">
          <w:drawing>
            <wp:anchor distT="0" distB="0" distL="114300" distR="114300" simplePos="0" relativeHeight="251661312" behindDoc="0" locked="0" layoutInCell="1" allowOverlap="1" wp14:anchorId="492E31ED" wp14:editId="0C3E2F5C">
              <wp:simplePos x="0" y="0"/>
              <wp:positionH relativeFrom="column">
                <wp:align>center</wp:align>
              </wp:positionH>
              <wp:positionV relativeFrom="page">
                <wp:align>bottom</wp:align>
              </wp:positionV>
              <wp:extent cx="7700645" cy="39624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ln>
                    </wps:spPr>
                    <wps:txbx>
                      <w:txbxContent>
                        <w:p w14:paraId="57895753" w14:textId="77777777" w:rsidR="00FC2A41" w:rsidRDefault="00166212">
                          <w:pPr>
                            <w:spacing w:after="0"/>
                            <w:jc w:val="center"/>
                            <w:rPr>
                              <w:color w:val="FFFFFF" w:themeColor="background1"/>
                            </w:rPr>
                          </w:pPr>
                          <w:r>
                            <w:rPr>
                              <w:color w:val="FFFFFF" w:themeColor="background1"/>
                            </w:rPr>
                            <w:t>Please do not adjust margins</w:t>
                          </w:r>
                        </w:p>
                      </w:txbxContent>
                    </wps:txbx>
                    <wps:bodyPr rot="0" vert="horz" wrap="square" lIns="91440" tIns="45720" rIns="91440" bIns="45720" anchor="ctr" anchorCtr="0">
                      <a:noAutofit/>
                    </wps:bodyPr>
                  </wps:wsp>
                </a:graphicData>
              </a:graphic>
            </wp:anchor>
          </w:drawing>
        </mc:Choice>
        <mc:Fallback>
          <w:pict>
            <v:shapetype w14:anchorId="492E31ED" id="_x0000_t202" coordsize="21600,21600" o:spt="202" path="m,l,21600r21600,l21600,xe">
              <v:stroke joinstyle="miter"/>
              <v:path gradientshapeok="t" o:connecttype="rect"/>
            </v:shapetype>
            <v:shape id="_x0000_s1034" type="#_x0000_t202" style="position:absolute;margin-left:0;margin-top:0;width:606.35pt;height:31.2pt;z-index:251661312;visibility:visible;mso-wrap-style:square;mso-wrap-distance-left:9pt;mso-wrap-distance-top:0;mso-wrap-distance-right:9pt;mso-wrap-distance-bottom:0;mso-position-horizontal:center;mso-position-horizontal-relative:text;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" fillcolor="#a5a5a5 [2092]" stroked="f">
              <v:textbox>
                <w:txbxContent>
                  <w:p w14:paraId="57895753" w14:textId="77777777" w:rsidR="00FC2A41" w:rsidRDefault="00166212">
                    <w:pPr>
                      <w:spacing w:after="0"/>
                      <w:jc w:val="center"/>
                      <w:rPr>
                        <w:color w:val="FFFFFF" w:themeColor="background1"/>
                      </w:rPr>
                    </w:pPr>
                    <w:r>
                      <w:rPr>
                        <w:color w:val="FFFFFF" w:themeColor="background1"/>
                      </w:rPr>
                      <w:t>Please do not adjust margins</w:t>
                    </w:r>
                  </w:p>
                </w:txbxContent>
              </v:textbox>
              <w10:wrap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6768EA" w14:textId="77777777" w:rsidR="00B9099B" w:rsidRDefault="00B9099B">
      <w:pPr>
        <w:spacing w:after="0"/>
      </w:pPr>
      <w:r>
        <w:separator/>
      </w:r>
    </w:p>
  </w:footnote>
  <w:footnote w:type="continuationSeparator" w:id="0">
    <w:p w14:paraId="72DD9EF7" w14:textId="77777777" w:rsidR="00B9099B" w:rsidRDefault="00B9099B">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92E07C" w14:textId="77777777" w:rsidR="00FC2A41" w:rsidRDefault="00166212">
    <w:pPr>
      <w:pStyle w:val="Header"/>
      <w:tabs>
        <w:tab w:val="clear" w:pos="4513"/>
        <w:tab w:val="clear" w:pos="9026"/>
        <w:tab w:val="right" w:pos="10206"/>
      </w:tabs>
      <w:spacing w:after="240"/>
      <w:rPr>
        <w:rFonts w:cstheme="minorHAnsi"/>
        <w:color w:val="999999"/>
        <w:sz w:val="20"/>
        <w:szCs w:val="20"/>
      </w:rPr>
    </w:pPr>
    <w:r>
      <w:rPr>
        <w:noProof/>
        <w:lang w:eastAsia="zh-CN"/>
      </w:rPr>
      <mc:AlternateContent>
        <mc:Choice Requires="wps">
          <w:drawing>
            <wp:anchor distT="0" distB="0" distL="114300" distR="114300" simplePos="0" relativeHeight="251665408" behindDoc="0" locked="0" layoutInCell="1" allowOverlap="1" wp14:anchorId="3C1AFA26" wp14:editId="71FB4FDB">
              <wp:simplePos x="0" y="0"/>
              <wp:positionH relativeFrom="column">
                <wp:align>center</wp:align>
              </wp:positionH>
              <wp:positionV relativeFrom="page">
                <wp:align>bottom</wp:align>
              </wp:positionV>
              <wp:extent cx="7700645" cy="39624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ln>
                    </wps:spPr>
                    <wps:txbx>
                      <w:txbxContent>
                        <w:p w14:paraId="263302B6" w14:textId="77777777" w:rsidR="00FC2A41" w:rsidRDefault="00166212">
                          <w:pPr>
                            <w:spacing w:after="0"/>
                            <w:jc w:val="center"/>
                            <w:rPr>
                              <w:color w:val="FFFFFF" w:themeColor="background1"/>
                            </w:rPr>
                          </w:pPr>
                          <w:r>
                            <w:rPr>
                              <w:color w:val="FFFFFF" w:themeColor="background1"/>
                            </w:rPr>
                            <w:t>Please do not adjust margins</w:t>
                          </w:r>
                        </w:p>
                      </w:txbxContent>
                    </wps:txbx>
                    <wps:bodyPr rot="0" vert="horz" wrap="square" lIns="91440" tIns="45720" rIns="91440" bIns="45720" anchor="ctr" anchorCtr="0">
                      <a:noAutofit/>
                    </wps:bodyPr>
                  </wps:wsp>
                </a:graphicData>
              </a:graphic>
            </wp:anchor>
          </w:drawing>
        </mc:Choice>
        <mc:Fallback>
          <w:pict>
            <v:shapetype w14:anchorId="3C1AFA26" id="_x0000_t202" coordsize="21600,21600" o:spt="202" path="m,l,21600r21600,l21600,xe">
              <v:stroke joinstyle="miter"/>
              <v:path gradientshapeok="t" o:connecttype="rect"/>
            </v:shapetype>
            <v:shape id="_x0000_s1028" type="#_x0000_t202" style="position:absolute;margin-left:0;margin-top:0;width:606.35pt;height:31.2pt;z-index:251665408;visibility:visible;mso-wrap-style:square;mso-wrap-distance-left:9pt;mso-wrap-distance-top:0;mso-wrap-distance-right:9pt;mso-wrap-distance-bottom:0;mso-position-horizontal:center;mso-position-horizontal-relative:text;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" fillcolor="#a5a5a5 [2092]" stroked="f">
              <v:textbox>
                <w:txbxContent>
                  <w:p w14:paraId="263302B6" w14:textId="77777777" w:rsidR="00FC2A41" w:rsidRDefault="00166212">
                    <w:pPr>
                      <w:spacing w:after="0"/>
                      <w:jc w:val="center"/>
                      <w:rPr>
                        <w:color w:val="FFFFFF" w:themeColor="background1"/>
                      </w:rPr>
                    </w:pPr>
                    <w:r>
                      <w:rPr>
                        <w:color w:val="FFFFFF" w:themeColor="background1"/>
                      </w:rPr>
                      <w:t>Please do not adjust margins</w:t>
                    </w:r>
                  </w:p>
                </w:txbxContent>
              </v:textbox>
              <w10:wrap anchory="page"/>
            </v:shape>
          </w:pict>
        </mc:Fallback>
      </mc:AlternateContent>
    </w:r>
    <w:r>
      <w:rPr>
        <w:noProof/>
        <w:lang w:eastAsia="zh-CN"/>
      </w:rPr>
      <mc:AlternateContent>
        <mc:Choice Requires="wps">
          <w:drawing>
            <wp:anchor distT="0" distB="0" distL="114300" distR="114300" simplePos="0" relativeHeight="251663360" behindDoc="0" locked="0" layoutInCell="1" allowOverlap="1" wp14:anchorId="51336C69" wp14:editId="3CD2C8B1">
              <wp:simplePos x="0" y="0"/>
              <wp:positionH relativeFrom="column">
                <wp:align>center</wp:align>
              </wp:positionH>
              <wp:positionV relativeFrom="page">
                <wp:align>top</wp:align>
              </wp:positionV>
              <wp:extent cx="7700645" cy="39624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ln>
                    </wps:spPr>
                    <wps:txbx>
                      <w:txbxContent>
                        <w:p w14:paraId="0DFFEA8E" w14:textId="77777777" w:rsidR="00FC2A41" w:rsidRDefault="00166212">
                          <w:pPr>
                            <w:spacing w:after="0"/>
                            <w:jc w:val="center"/>
                            <w:rPr>
                              <w:color w:val="FFFFFF" w:themeColor="background1"/>
                            </w:rPr>
                          </w:pPr>
                          <w:r>
                            <w:rPr>
                              <w:color w:val="FFFFFF" w:themeColor="background1"/>
                            </w:rPr>
                            <w:t>Please do not adjust margins</w:t>
                          </w:r>
                        </w:p>
                      </w:txbxContent>
                    </wps:txbx>
                    <wps:bodyPr rot="0" vert="horz" wrap="square" lIns="91440" tIns="45720" rIns="91440" bIns="45720" anchor="ctr" anchorCtr="0">
                      <a:noAutofit/>
                    </wps:bodyPr>
                  </wps:wsp>
                </a:graphicData>
              </a:graphic>
            </wp:anchor>
          </w:drawing>
        </mc:Choice>
        <mc:Fallback>
          <w:pict>
            <v:shape w14:anchorId="51336C69" id="_x0000_s1029" type="#_x0000_t202" style="position:absolute;margin-left:0;margin-top:0;width:606.35pt;height:31.2pt;z-index:251663360;visibility:visible;mso-wrap-style:square;mso-wrap-distance-left:9pt;mso-wrap-distance-top:0;mso-wrap-distance-right:9pt;mso-wrap-distance-bottom:0;mso-position-horizontal:center;mso-position-horizontal-relative:text;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" fillcolor="#a5a5a5 [2092]" stroked="f">
              <v:textbox>
                <w:txbxContent>
                  <w:p w14:paraId="0DFFEA8E" w14:textId="77777777" w:rsidR="00FC2A41" w:rsidRDefault="00166212">
                    <w:pPr>
                      <w:spacing w:after="0"/>
                      <w:jc w:val="center"/>
                      <w:rPr>
                        <w:color w:val="FFFFFF" w:themeColor="background1"/>
                      </w:rPr>
                    </w:pPr>
                    <w:r>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Pr>
        <w:rFonts w:cstheme="minorHAnsi"/>
        <w:color w:val="999999"/>
        <w:sz w:val="20"/>
        <w:szCs w:val="20"/>
      </w:rPr>
      <w:tab/>
    </w:r>
    <w:r>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32FA6" w14:textId="77777777" w:rsidR="00FC2A41" w:rsidRDefault="00166212">
    <w:pPr>
      <w:pStyle w:val="Header"/>
      <w:tabs>
        <w:tab w:val="clear" w:pos="4513"/>
        <w:tab w:val="clear" w:pos="9026"/>
        <w:tab w:val="right" w:pos="10206"/>
      </w:tabs>
      <w:spacing w:after="240"/>
      <w:rPr>
        <w:rFonts w:cstheme="minorHAnsi"/>
        <w:b/>
        <w:color w:val="999999"/>
        <w:sz w:val="20"/>
        <w:szCs w:val="20"/>
      </w:rPr>
    </w:pPr>
    <w:r>
      <w:rPr>
        <w:noProof/>
        <w:lang w:eastAsia="zh-CN"/>
      </w:rPr>
      <mc:AlternateContent>
        <mc:Choice Requires="wps">
          <w:drawing>
            <wp:anchor distT="0" distB="0" distL="114300" distR="114300" simplePos="0" relativeHeight="251669504" behindDoc="0" locked="0" layoutInCell="1" allowOverlap="1" wp14:anchorId="7D6A1240" wp14:editId="694B2D4A">
              <wp:simplePos x="0" y="0"/>
              <wp:positionH relativeFrom="column">
                <wp:align>center</wp:align>
              </wp:positionH>
              <wp:positionV relativeFrom="page">
                <wp:align>bottom</wp:align>
              </wp:positionV>
              <wp:extent cx="7700645" cy="399415"/>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ln>
                    </wps:spPr>
                    <wps:txbx>
                      <w:txbxContent>
                        <w:p w14:paraId="3F67FD81" w14:textId="77777777" w:rsidR="00FC2A41" w:rsidRDefault="00166212">
                          <w:pPr>
                            <w:spacing w:after="0"/>
                            <w:jc w:val="center"/>
                            <w:rPr>
                              <w:color w:val="FFFFFF" w:themeColor="background1"/>
                            </w:rPr>
                          </w:pPr>
                          <w:r>
                            <w:rPr>
                              <w:color w:val="FFFFFF" w:themeColor="background1"/>
                            </w:rPr>
                            <w:t>Please do not adjust margins</w:t>
                          </w:r>
                        </w:p>
                      </w:txbxContent>
                    </wps:txbx>
                    <wps:bodyPr rot="0" vert="horz" wrap="square" lIns="91440" tIns="45720" rIns="91440" bIns="45720" anchor="ctr" anchorCtr="0">
                      <a:noAutofit/>
                    </wps:bodyPr>
                  </wps:wsp>
                </a:graphicData>
              </a:graphic>
            </wp:anchor>
          </w:drawing>
        </mc:Choice>
        <mc:Fallback>
          <w:pict>
            <v:shapetype w14:anchorId="7D6A1240" id="_x0000_t202" coordsize="21600,21600" o:spt="202" path="m,l,21600r21600,l21600,xe">
              <v:stroke joinstyle="miter"/>
              <v:path gradientshapeok="t" o:connecttype="rect"/>
            </v:shapetype>
            <v:shape id="_x0000_s1030" type="#_x0000_t202" style="position:absolute;margin-left:0;margin-top:0;width:606.35pt;height:31.45pt;z-index:251669504;visibility:visible;mso-wrap-style:square;mso-wrap-distance-left:9pt;mso-wrap-distance-top:0;mso-wrap-distance-right:9pt;mso-wrap-distance-bottom:0;mso-position-horizontal:center;mso-position-horizontal-relative:text;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" fillcolor="#a5a5a5 [2092]" stroked="f">
              <v:textbox>
                <w:txbxContent>
                  <w:p w14:paraId="3F67FD81" w14:textId="77777777" w:rsidR="00FC2A41" w:rsidRDefault="00166212">
                    <w:pPr>
                      <w:spacing w:after="0"/>
                      <w:jc w:val="center"/>
                      <w:rPr>
                        <w:color w:val="FFFFFF" w:themeColor="background1"/>
                      </w:rPr>
                    </w:pPr>
                    <w:r>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eastAsia="zh-CN"/>
      </w:rPr>
      <mc:AlternateContent>
        <mc:Choice Requires="wps">
          <w:drawing>
            <wp:anchor distT="0" distB="0" distL="114300" distR="114300" simplePos="0" relativeHeight="251667456" behindDoc="0" locked="0" layoutInCell="1" allowOverlap="1" wp14:anchorId="04155C75" wp14:editId="4288AF8C">
              <wp:simplePos x="0" y="0"/>
              <wp:positionH relativeFrom="column">
                <wp:align>center</wp:align>
              </wp:positionH>
              <wp:positionV relativeFrom="page">
                <wp:align>top</wp:align>
              </wp:positionV>
              <wp:extent cx="7700645" cy="42481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ln>
                    </wps:spPr>
                    <wps:txbx>
                      <w:txbxContent>
                        <w:p w14:paraId="0C4C5AE3" w14:textId="77777777" w:rsidR="00FC2A41" w:rsidRDefault="00166212">
                          <w:pPr>
                            <w:spacing w:after="0"/>
                            <w:jc w:val="center"/>
                            <w:rPr>
                              <w:color w:val="FFFFFF" w:themeColor="background1"/>
                            </w:rPr>
                          </w:pPr>
                          <w:r>
                            <w:rPr>
                              <w:color w:val="FFFFFF" w:themeColor="background1"/>
                            </w:rPr>
                            <w:t>Please do not adjust margins</w:t>
                          </w:r>
                        </w:p>
                      </w:txbxContent>
                    </wps:txbx>
                    <wps:bodyPr rot="0" vert="horz" wrap="square" lIns="91440" tIns="45720" rIns="91440" bIns="45720" anchor="ctr" anchorCtr="0">
                      <a:noAutofit/>
                    </wps:bodyPr>
                  </wps:wsp>
                </a:graphicData>
              </a:graphic>
            </wp:anchor>
          </w:drawing>
        </mc:Choice>
        <mc:Fallback>
          <w:pict>
            <v:shape w14:anchorId="04155C75" id="_x0000_s1031" type="#_x0000_t202" style="position:absolute;margin-left:0;margin-top:0;width:606.35pt;height:33.45pt;z-index:251667456;visibility:visible;mso-wrap-style:square;mso-wrap-distance-left:9pt;mso-wrap-distance-top:0;mso-wrap-distance-right:9pt;mso-wrap-distance-bottom:0;mso-position-horizontal:center;mso-position-horizontal-relative:text;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" fillcolor="#a5a5a5 [2092]" stroked="f">
              <v:textbox>
                <w:txbxContent>
                  <w:p w14:paraId="0C4C5AE3" w14:textId="77777777" w:rsidR="00FC2A41" w:rsidRDefault="00166212">
                    <w:pPr>
                      <w:spacing w:after="0"/>
                      <w:jc w:val="center"/>
                      <w:rPr>
                        <w:color w:val="FFFFFF" w:themeColor="background1"/>
                      </w:rPr>
                    </w:pPr>
                    <w:r>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Pr>
        <w:rFonts w:cstheme="minorHAnsi"/>
        <w:b/>
        <w:color w:val="999999"/>
        <w:sz w:val="20"/>
        <w:szCs w:val="20"/>
      </w:rPr>
      <w:t xml:space="preserve"> ARTICLE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46D572" w14:textId="77777777" w:rsidR="00FC2A41" w:rsidRDefault="00166212">
    <w:pPr>
      <w:pStyle w:val="Header"/>
      <w:shd w:val="clear" w:color="auto" w:fill="FFFFFF" w:themeFill="background1"/>
      <w:tabs>
        <w:tab w:val="clear" w:pos="4513"/>
        <w:tab w:val="clear" w:pos="9026"/>
        <w:tab w:val="right" w:pos="10205"/>
      </w:tabs>
      <w:spacing w:after="240"/>
      <w:rPr>
        <w:b/>
        <w:sz w:val="32"/>
        <w:szCs w:val="32"/>
        <w:lang w:eastAsia="en-GB"/>
      </w:rPr>
    </w:pPr>
    <w:r>
      <w:rPr>
        <w:noProof/>
        <w:lang w:eastAsia="zh-CN"/>
      </w:rPr>
      <mc:AlternateContent>
        <mc:Choice Requires="wps">
          <w:drawing>
            <wp:anchor distT="0" distB="0" distL="114300" distR="114300" simplePos="0" relativeHeight="251682816" behindDoc="0" locked="0" layoutInCell="1" allowOverlap="1" wp14:anchorId="6B113FFB" wp14:editId="0FD067E3">
              <wp:simplePos x="0" y="0"/>
              <wp:positionH relativeFrom="column">
                <wp:align>center</wp:align>
              </wp:positionH>
              <wp:positionV relativeFrom="page">
                <wp:align>top</wp:align>
              </wp:positionV>
              <wp:extent cx="7700645" cy="399415"/>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ln>
                    </wps:spPr>
                    <wps:txbx>
                      <w:txbxContent>
                        <w:p w14:paraId="3389CB3C" w14:textId="77777777" w:rsidR="00FC2A41" w:rsidRDefault="00166212">
                          <w:pPr>
                            <w:spacing w:after="0"/>
                            <w:jc w:val="center"/>
                            <w:rPr>
                              <w:color w:val="FFFFFF" w:themeColor="background1"/>
                            </w:rPr>
                          </w:pPr>
                          <w:r>
                            <w:rPr>
                              <w:color w:val="FFFFFF" w:themeColor="background1"/>
                            </w:rPr>
                            <w:t>Please do not adjust margins</w:t>
                          </w:r>
                        </w:p>
                      </w:txbxContent>
                    </wps:txbx>
                    <wps:bodyPr rot="0" vert="horz" wrap="square" lIns="91440" tIns="45720" rIns="91440" bIns="45720" anchor="ctr" anchorCtr="0">
                      <a:noAutofit/>
                    </wps:bodyPr>
                  </wps:wsp>
                </a:graphicData>
              </a:graphic>
            </wp:anchor>
          </w:drawing>
        </mc:Choice>
        <mc:Fallback>
          <w:pict>
            <v:shapetype w14:anchorId="6B113FFB" id="_x0000_t202" coordsize="21600,21600" o:spt="202" path="m,l,21600r21600,l21600,xe">
              <v:stroke joinstyle="miter"/>
              <v:path gradientshapeok="t" o:connecttype="rect"/>
            </v:shapetype>
            <v:shape id="_x0000_s1033" type="#_x0000_t202" style="position:absolute;margin-left:0;margin-top:0;width:606.35pt;height:31.45pt;z-index:251682816;visibility:visible;mso-wrap-style:square;mso-wrap-distance-left:9pt;mso-wrap-distance-top:0;mso-wrap-distance-right:9pt;mso-wrap-distance-bottom:0;mso-position-horizontal:center;mso-position-horizontal-relative:text;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" fillcolor="#a5a5a5 [2092]" stroked="f">
              <v:textbox>
                <w:txbxContent>
                  <w:p w14:paraId="3389CB3C" w14:textId="77777777" w:rsidR="00FC2A41" w:rsidRDefault="00166212">
                    <w:pPr>
                      <w:spacing w:after="0"/>
                      <w:jc w:val="center"/>
                      <w:rPr>
                        <w:color w:val="FFFFFF" w:themeColor="background1"/>
                      </w:rPr>
                    </w:pPr>
                    <w:r>
                      <w:rPr>
                        <w:color w:val="FFFFFF" w:themeColor="background1"/>
                      </w:rPr>
                      <w:t>Please do not adjust margins</w:t>
                    </w:r>
                  </w:p>
                </w:txbxContent>
              </v:textbox>
              <w10:wrap anchory="page"/>
            </v:shape>
          </w:pict>
        </mc:Fallback>
      </mc:AlternateContent>
    </w:r>
    <w:r>
      <w:rPr>
        <w:b/>
        <w:sz w:val="32"/>
        <w:szCs w:val="32"/>
      </w:rPr>
      <w:tab/>
    </w:r>
  </w:p>
  <w:p w14:paraId="0F774624" w14:textId="77777777" w:rsidR="00FC2A41" w:rsidRDefault="00FC2A41">
    <w:pPr>
      <w:pStyle w:val="Header"/>
      <w:shd w:val="clear" w:color="auto" w:fill="FFFFFF" w:themeFill="background1"/>
      <w:tabs>
        <w:tab w:val="clear" w:pos="4513"/>
        <w:tab w:val="clear" w:pos="9026"/>
        <w:tab w:val="right" w:pos="10205"/>
      </w:tabs>
      <w:spacing w:after="240"/>
      <w:rPr>
        <w:b/>
        <w:sz w:val="32"/>
        <w:szCs w:val="32"/>
      </w:rPr>
    </w:pPr>
  </w:p>
  <w:p w14:paraId="6DCA90BE" w14:textId="77777777" w:rsidR="00FC2A41" w:rsidRDefault="00166212">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b/>
        <w:sz w:val="32"/>
        <w:szCs w:val="32"/>
        <w:lang w:eastAsia="en-GB"/>
      </w:rP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C2B0EBB"/>
    <w:multiLevelType w:val="multilevel"/>
    <w:tmpl w:val="3C2B0EBB"/>
    <w:lvl w:ilvl="0">
      <w:start w:val="1"/>
      <w:numFmt w:val="lowerLetter"/>
      <w:pStyle w:val="RSCF01FootnoteAuthorAddress"/>
      <w:lvlText w:val="%1."/>
      <w:lvlJc w:val="left"/>
      <w:pPr>
        <w:ind w:left="720" w:hanging="360"/>
      </w:pPr>
      <w:rPr>
        <w:rFonts w:ascii="Calibri" w:hAnsi="Calibri" w:hint="default"/>
        <w:b w:val="0"/>
        <w:i/>
        <w:vertAlign w:val="superscrip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3CC4793E"/>
    <w:multiLevelType w:val="multilevel"/>
    <w:tmpl w:val="3CC4793E"/>
    <w:lvl w:ilvl="0">
      <w:start w:val="1"/>
      <w:numFmt w:val="decimal"/>
      <w:pStyle w:val="RSCR02References"/>
      <w:lvlText w:val="%1"/>
      <w:lvlJc w:val="left"/>
      <w:pPr>
        <w:ind w:left="643"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43DE6801"/>
    <w:multiLevelType w:val="multilevel"/>
    <w:tmpl w:val="43DE6801"/>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15:restartNumberingAfterBreak="0">
    <w:nsid w:val="6126553F"/>
    <w:multiLevelType w:val="singleLevel"/>
    <w:tmpl w:val="6126553F"/>
    <w:lvl w:ilvl="0">
      <w:start w:val="1"/>
      <w:numFmt w:val="decimal"/>
      <w:suff w:val="nothing"/>
      <w:lvlText w:val="%1．"/>
      <w:lvlJc w:val="left"/>
      <w:pPr>
        <w:ind w:left="0" w:firstLine="400"/>
      </w:pPr>
      <w:rPr>
        <w:rFont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00"/>
  <w:embedTrueTypeFonts/>
  <w:bordersDoNotSurroundHeader/>
  <w:bordersDoNotSurroundFooter/>
  <w:defaultTabStop w:val="284"/>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25A0"/>
    <w:rsid w:val="0000386C"/>
    <w:rsid w:val="00005B8A"/>
    <w:rsid w:val="00022D8A"/>
    <w:rsid w:val="00024043"/>
    <w:rsid w:val="00031812"/>
    <w:rsid w:val="0003744F"/>
    <w:rsid w:val="00042A54"/>
    <w:rsid w:val="00045B07"/>
    <w:rsid w:val="00055AB2"/>
    <w:rsid w:val="000622D1"/>
    <w:rsid w:val="0006569C"/>
    <w:rsid w:val="00071E41"/>
    <w:rsid w:val="00072FDF"/>
    <w:rsid w:val="00073639"/>
    <w:rsid w:val="00077125"/>
    <w:rsid w:val="000824F8"/>
    <w:rsid w:val="00087893"/>
    <w:rsid w:val="000910E9"/>
    <w:rsid w:val="000A2670"/>
    <w:rsid w:val="000B5546"/>
    <w:rsid w:val="000B60BC"/>
    <w:rsid w:val="000C0A9D"/>
    <w:rsid w:val="000D2E8B"/>
    <w:rsid w:val="000D2FAC"/>
    <w:rsid w:val="000D489D"/>
    <w:rsid w:val="000D5891"/>
    <w:rsid w:val="000D5F51"/>
    <w:rsid w:val="000D6963"/>
    <w:rsid w:val="000E15F6"/>
    <w:rsid w:val="000E7A32"/>
    <w:rsid w:val="000F0959"/>
    <w:rsid w:val="000F3A41"/>
    <w:rsid w:val="0010189B"/>
    <w:rsid w:val="00106B3A"/>
    <w:rsid w:val="00107BBA"/>
    <w:rsid w:val="00120227"/>
    <w:rsid w:val="00121502"/>
    <w:rsid w:val="00126027"/>
    <w:rsid w:val="0013097A"/>
    <w:rsid w:val="00141AE2"/>
    <w:rsid w:val="001508E9"/>
    <w:rsid w:val="001609F5"/>
    <w:rsid w:val="00162FF0"/>
    <w:rsid w:val="001633D9"/>
    <w:rsid w:val="00166212"/>
    <w:rsid w:val="001767CA"/>
    <w:rsid w:val="0017736B"/>
    <w:rsid w:val="00180ABE"/>
    <w:rsid w:val="00185ACF"/>
    <w:rsid w:val="001923AB"/>
    <w:rsid w:val="001925B0"/>
    <w:rsid w:val="001A3D04"/>
    <w:rsid w:val="001A3FB9"/>
    <w:rsid w:val="001C1EB8"/>
    <w:rsid w:val="001C3882"/>
    <w:rsid w:val="001E1713"/>
    <w:rsid w:val="001E1B52"/>
    <w:rsid w:val="001F5EE8"/>
    <w:rsid w:val="00200461"/>
    <w:rsid w:val="00206A82"/>
    <w:rsid w:val="002145EB"/>
    <w:rsid w:val="00214BEC"/>
    <w:rsid w:val="00216B83"/>
    <w:rsid w:val="00217B50"/>
    <w:rsid w:val="00221DB4"/>
    <w:rsid w:val="00230DFF"/>
    <w:rsid w:val="002340E5"/>
    <w:rsid w:val="0023459B"/>
    <w:rsid w:val="00237C8A"/>
    <w:rsid w:val="0024022C"/>
    <w:rsid w:val="00240353"/>
    <w:rsid w:val="00241ACD"/>
    <w:rsid w:val="00242160"/>
    <w:rsid w:val="00245C9B"/>
    <w:rsid w:val="00252897"/>
    <w:rsid w:val="00253551"/>
    <w:rsid w:val="00263821"/>
    <w:rsid w:val="00270DD5"/>
    <w:rsid w:val="00271235"/>
    <w:rsid w:val="00272D6F"/>
    <w:rsid w:val="00274346"/>
    <w:rsid w:val="0027644B"/>
    <w:rsid w:val="00285706"/>
    <w:rsid w:val="00286BBB"/>
    <w:rsid w:val="002A03A7"/>
    <w:rsid w:val="002A5421"/>
    <w:rsid w:val="002A6213"/>
    <w:rsid w:val="002A780D"/>
    <w:rsid w:val="002B26A2"/>
    <w:rsid w:val="002B7039"/>
    <w:rsid w:val="002B72FB"/>
    <w:rsid w:val="002C0803"/>
    <w:rsid w:val="002C251C"/>
    <w:rsid w:val="002C3D7C"/>
    <w:rsid w:val="002C4D58"/>
    <w:rsid w:val="002C6D4F"/>
    <w:rsid w:val="002E3248"/>
    <w:rsid w:val="002E5B1D"/>
    <w:rsid w:val="002F52C3"/>
    <w:rsid w:val="00307D3D"/>
    <w:rsid w:val="00307F6A"/>
    <w:rsid w:val="0031128F"/>
    <w:rsid w:val="0031316B"/>
    <w:rsid w:val="003149B6"/>
    <w:rsid w:val="00316CD3"/>
    <w:rsid w:val="0034731D"/>
    <w:rsid w:val="003513DD"/>
    <w:rsid w:val="00352029"/>
    <w:rsid w:val="00352AA4"/>
    <w:rsid w:val="00354579"/>
    <w:rsid w:val="00356F00"/>
    <w:rsid w:val="00377481"/>
    <w:rsid w:val="00385965"/>
    <w:rsid w:val="0039228D"/>
    <w:rsid w:val="00395311"/>
    <w:rsid w:val="003A0C6A"/>
    <w:rsid w:val="003A7301"/>
    <w:rsid w:val="003A7E95"/>
    <w:rsid w:val="003B3CCA"/>
    <w:rsid w:val="003B6931"/>
    <w:rsid w:val="003B739C"/>
    <w:rsid w:val="003C1D93"/>
    <w:rsid w:val="003C6313"/>
    <w:rsid w:val="003C7C6C"/>
    <w:rsid w:val="003D3097"/>
    <w:rsid w:val="003D4ECA"/>
    <w:rsid w:val="003D5968"/>
    <w:rsid w:val="003D6715"/>
    <w:rsid w:val="003E55B2"/>
    <w:rsid w:val="003E5E82"/>
    <w:rsid w:val="003E6211"/>
    <w:rsid w:val="00403464"/>
    <w:rsid w:val="0041100B"/>
    <w:rsid w:val="004214F3"/>
    <w:rsid w:val="0042269E"/>
    <w:rsid w:val="00423A7B"/>
    <w:rsid w:val="00423E7F"/>
    <w:rsid w:val="004266ED"/>
    <w:rsid w:val="0043180D"/>
    <w:rsid w:val="00434F14"/>
    <w:rsid w:val="004414A5"/>
    <w:rsid w:val="00442B26"/>
    <w:rsid w:val="0044700B"/>
    <w:rsid w:val="004519EF"/>
    <w:rsid w:val="0046026E"/>
    <w:rsid w:val="00460387"/>
    <w:rsid w:val="00462BA3"/>
    <w:rsid w:val="00467171"/>
    <w:rsid w:val="00467C80"/>
    <w:rsid w:val="00474052"/>
    <w:rsid w:val="0047645B"/>
    <w:rsid w:val="004877C8"/>
    <w:rsid w:val="004901D3"/>
    <w:rsid w:val="00493862"/>
    <w:rsid w:val="00495613"/>
    <w:rsid w:val="00497C67"/>
    <w:rsid w:val="004A2FC3"/>
    <w:rsid w:val="004A39DD"/>
    <w:rsid w:val="004A6728"/>
    <w:rsid w:val="004B0469"/>
    <w:rsid w:val="004B1109"/>
    <w:rsid w:val="004B5EA4"/>
    <w:rsid w:val="004C0C31"/>
    <w:rsid w:val="004C1627"/>
    <w:rsid w:val="004C531E"/>
    <w:rsid w:val="004C6C90"/>
    <w:rsid w:val="004D7841"/>
    <w:rsid w:val="004E2393"/>
    <w:rsid w:val="004F2538"/>
    <w:rsid w:val="004F6B8B"/>
    <w:rsid w:val="005001C9"/>
    <w:rsid w:val="005037CD"/>
    <w:rsid w:val="00504795"/>
    <w:rsid w:val="00514BE4"/>
    <w:rsid w:val="00514CBA"/>
    <w:rsid w:val="00516564"/>
    <w:rsid w:val="00521796"/>
    <w:rsid w:val="00522AC2"/>
    <w:rsid w:val="00524629"/>
    <w:rsid w:val="00525BA9"/>
    <w:rsid w:val="00525F50"/>
    <w:rsid w:val="00525FEB"/>
    <w:rsid w:val="0052630A"/>
    <w:rsid w:val="0053177A"/>
    <w:rsid w:val="00533EA1"/>
    <w:rsid w:val="0054009D"/>
    <w:rsid w:val="00543BB1"/>
    <w:rsid w:val="005468C0"/>
    <w:rsid w:val="00561DA0"/>
    <w:rsid w:val="005716F2"/>
    <w:rsid w:val="00575BE0"/>
    <w:rsid w:val="005771C3"/>
    <w:rsid w:val="00577B54"/>
    <w:rsid w:val="00590F6D"/>
    <w:rsid w:val="005A1734"/>
    <w:rsid w:val="005A5A6D"/>
    <w:rsid w:val="005A5ED7"/>
    <w:rsid w:val="005B116C"/>
    <w:rsid w:val="005C1A41"/>
    <w:rsid w:val="005C4565"/>
    <w:rsid w:val="005C7219"/>
    <w:rsid w:val="005C7E36"/>
    <w:rsid w:val="005E05CD"/>
    <w:rsid w:val="005E4B9C"/>
    <w:rsid w:val="005F0ED2"/>
    <w:rsid w:val="0060627E"/>
    <w:rsid w:val="00607E1B"/>
    <w:rsid w:val="00614893"/>
    <w:rsid w:val="0061572F"/>
    <w:rsid w:val="00616D34"/>
    <w:rsid w:val="00630C30"/>
    <w:rsid w:val="00631441"/>
    <w:rsid w:val="00641030"/>
    <w:rsid w:val="00645B5E"/>
    <w:rsid w:val="00645D52"/>
    <w:rsid w:val="0065125E"/>
    <w:rsid w:val="0065133B"/>
    <w:rsid w:val="006556AC"/>
    <w:rsid w:val="006602F1"/>
    <w:rsid w:val="00670ED4"/>
    <w:rsid w:val="00672928"/>
    <w:rsid w:val="00674A86"/>
    <w:rsid w:val="0067510D"/>
    <w:rsid w:val="00676545"/>
    <w:rsid w:val="00685DD3"/>
    <w:rsid w:val="00687131"/>
    <w:rsid w:val="00691F9A"/>
    <w:rsid w:val="006976F3"/>
    <w:rsid w:val="006A2F85"/>
    <w:rsid w:val="006A4DE4"/>
    <w:rsid w:val="006A69C8"/>
    <w:rsid w:val="006A74A7"/>
    <w:rsid w:val="006B0599"/>
    <w:rsid w:val="006B2153"/>
    <w:rsid w:val="006B218D"/>
    <w:rsid w:val="006B6A75"/>
    <w:rsid w:val="006D6163"/>
    <w:rsid w:val="006E4163"/>
    <w:rsid w:val="006E4E07"/>
    <w:rsid w:val="006E58B1"/>
    <w:rsid w:val="006F01C4"/>
    <w:rsid w:val="006F487B"/>
    <w:rsid w:val="006F4C10"/>
    <w:rsid w:val="006F740B"/>
    <w:rsid w:val="00703C85"/>
    <w:rsid w:val="00707864"/>
    <w:rsid w:val="007120B6"/>
    <w:rsid w:val="00716C0F"/>
    <w:rsid w:val="007171D2"/>
    <w:rsid w:val="00721AEA"/>
    <w:rsid w:val="00732D7F"/>
    <w:rsid w:val="00744A41"/>
    <w:rsid w:val="00754888"/>
    <w:rsid w:val="00757B3C"/>
    <w:rsid w:val="007705A4"/>
    <w:rsid w:val="007773D8"/>
    <w:rsid w:val="0078027A"/>
    <w:rsid w:val="00780A41"/>
    <w:rsid w:val="00784F8A"/>
    <w:rsid w:val="00785889"/>
    <w:rsid w:val="0078798E"/>
    <w:rsid w:val="00791A01"/>
    <w:rsid w:val="00791C70"/>
    <w:rsid w:val="00792AD9"/>
    <w:rsid w:val="007935F0"/>
    <w:rsid w:val="00794787"/>
    <w:rsid w:val="007A37D8"/>
    <w:rsid w:val="007A6F95"/>
    <w:rsid w:val="007B1E6D"/>
    <w:rsid w:val="007B7B20"/>
    <w:rsid w:val="007C27B2"/>
    <w:rsid w:val="007C3D03"/>
    <w:rsid w:val="007D1EFA"/>
    <w:rsid w:val="007D5FE4"/>
    <w:rsid w:val="007D76A8"/>
    <w:rsid w:val="007E1A2F"/>
    <w:rsid w:val="007E1DAE"/>
    <w:rsid w:val="007E1DDF"/>
    <w:rsid w:val="007E1F4A"/>
    <w:rsid w:val="00804D28"/>
    <w:rsid w:val="00810479"/>
    <w:rsid w:val="008125A0"/>
    <w:rsid w:val="00841D70"/>
    <w:rsid w:val="00844EB3"/>
    <w:rsid w:val="00845A50"/>
    <w:rsid w:val="00846B59"/>
    <w:rsid w:val="008560DE"/>
    <w:rsid w:val="00856AB8"/>
    <w:rsid w:val="008804B9"/>
    <w:rsid w:val="0088525A"/>
    <w:rsid w:val="008869C2"/>
    <w:rsid w:val="00892D49"/>
    <w:rsid w:val="00896B73"/>
    <w:rsid w:val="008A0D60"/>
    <w:rsid w:val="008B1223"/>
    <w:rsid w:val="008C1387"/>
    <w:rsid w:val="008C682F"/>
    <w:rsid w:val="008C6BDF"/>
    <w:rsid w:val="008D16A7"/>
    <w:rsid w:val="008D732D"/>
    <w:rsid w:val="008E509B"/>
    <w:rsid w:val="008F4811"/>
    <w:rsid w:val="008F525A"/>
    <w:rsid w:val="009026D4"/>
    <w:rsid w:val="0090438F"/>
    <w:rsid w:val="00910B97"/>
    <w:rsid w:val="009248FB"/>
    <w:rsid w:val="00924C7C"/>
    <w:rsid w:val="009250AC"/>
    <w:rsid w:val="00926099"/>
    <w:rsid w:val="0092763E"/>
    <w:rsid w:val="009316A6"/>
    <w:rsid w:val="00936114"/>
    <w:rsid w:val="009400E9"/>
    <w:rsid w:val="00941DEC"/>
    <w:rsid w:val="009432AD"/>
    <w:rsid w:val="00946830"/>
    <w:rsid w:val="0095194E"/>
    <w:rsid w:val="00956CDF"/>
    <w:rsid w:val="00962729"/>
    <w:rsid w:val="00962779"/>
    <w:rsid w:val="009654EC"/>
    <w:rsid w:val="00966058"/>
    <w:rsid w:val="00972063"/>
    <w:rsid w:val="009918D9"/>
    <w:rsid w:val="009A392D"/>
    <w:rsid w:val="009C3824"/>
    <w:rsid w:val="009C6EDB"/>
    <w:rsid w:val="009C7CAC"/>
    <w:rsid w:val="009D04C4"/>
    <w:rsid w:val="009D106A"/>
    <w:rsid w:val="009D17C3"/>
    <w:rsid w:val="009D47C2"/>
    <w:rsid w:val="009E51F8"/>
    <w:rsid w:val="009E6E1C"/>
    <w:rsid w:val="009F2649"/>
    <w:rsid w:val="009F5FE9"/>
    <w:rsid w:val="009F6489"/>
    <w:rsid w:val="00A010D8"/>
    <w:rsid w:val="00A01B65"/>
    <w:rsid w:val="00A05364"/>
    <w:rsid w:val="00A074D7"/>
    <w:rsid w:val="00A12236"/>
    <w:rsid w:val="00A17D23"/>
    <w:rsid w:val="00A208E1"/>
    <w:rsid w:val="00A3729F"/>
    <w:rsid w:val="00A427E7"/>
    <w:rsid w:val="00A521AB"/>
    <w:rsid w:val="00A56CD0"/>
    <w:rsid w:val="00A61D3E"/>
    <w:rsid w:val="00A63B01"/>
    <w:rsid w:val="00A738E5"/>
    <w:rsid w:val="00A7643E"/>
    <w:rsid w:val="00A81E8A"/>
    <w:rsid w:val="00A8383A"/>
    <w:rsid w:val="00A83D6A"/>
    <w:rsid w:val="00A85563"/>
    <w:rsid w:val="00A914DE"/>
    <w:rsid w:val="00A9649E"/>
    <w:rsid w:val="00A9716C"/>
    <w:rsid w:val="00A9789C"/>
    <w:rsid w:val="00AA1341"/>
    <w:rsid w:val="00AA2221"/>
    <w:rsid w:val="00AA2CBD"/>
    <w:rsid w:val="00AA440F"/>
    <w:rsid w:val="00AB16D0"/>
    <w:rsid w:val="00AB2C1B"/>
    <w:rsid w:val="00AC3BF2"/>
    <w:rsid w:val="00AC494A"/>
    <w:rsid w:val="00AC6955"/>
    <w:rsid w:val="00AC6B5E"/>
    <w:rsid w:val="00AD5483"/>
    <w:rsid w:val="00AE01C7"/>
    <w:rsid w:val="00AE5F1C"/>
    <w:rsid w:val="00AF0249"/>
    <w:rsid w:val="00AF150F"/>
    <w:rsid w:val="00AF23D9"/>
    <w:rsid w:val="00AF4737"/>
    <w:rsid w:val="00B03575"/>
    <w:rsid w:val="00B0470A"/>
    <w:rsid w:val="00B04CAE"/>
    <w:rsid w:val="00B07B1F"/>
    <w:rsid w:val="00B10D4C"/>
    <w:rsid w:val="00B14498"/>
    <w:rsid w:val="00B1477D"/>
    <w:rsid w:val="00B15861"/>
    <w:rsid w:val="00B2364D"/>
    <w:rsid w:val="00B431CA"/>
    <w:rsid w:val="00B44D4B"/>
    <w:rsid w:val="00B4576F"/>
    <w:rsid w:val="00B51DE5"/>
    <w:rsid w:val="00B53582"/>
    <w:rsid w:val="00B57FD0"/>
    <w:rsid w:val="00B6239D"/>
    <w:rsid w:val="00B639B4"/>
    <w:rsid w:val="00B63A2C"/>
    <w:rsid w:val="00B67630"/>
    <w:rsid w:val="00B70B18"/>
    <w:rsid w:val="00B7134D"/>
    <w:rsid w:val="00B722DE"/>
    <w:rsid w:val="00B80DDB"/>
    <w:rsid w:val="00B81EE1"/>
    <w:rsid w:val="00B8455F"/>
    <w:rsid w:val="00B8533B"/>
    <w:rsid w:val="00B9099B"/>
    <w:rsid w:val="00B9392D"/>
    <w:rsid w:val="00BA3A40"/>
    <w:rsid w:val="00BA42DD"/>
    <w:rsid w:val="00BA5917"/>
    <w:rsid w:val="00BA761E"/>
    <w:rsid w:val="00BB3FBE"/>
    <w:rsid w:val="00BC472A"/>
    <w:rsid w:val="00BC603D"/>
    <w:rsid w:val="00BC60D4"/>
    <w:rsid w:val="00BF6D4E"/>
    <w:rsid w:val="00C02557"/>
    <w:rsid w:val="00C03CE1"/>
    <w:rsid w:val="00C050AE"/>
    <w:rsid w:val="00C16FA7"/>
    <w:rsid w:val="00C26A4D"/>
    <w:rsid w:val="00C3016F"/>
    <w:rsid w:val="00C31922"/>
    <w:rsid w:val="00C32927"/>
    <w:rsid w:val="00C32EDF"/>
    <w:rsid w:val="00C339BF"/>
    <w:rsid w:val="00C36D67"/>
    <w:rsid w:val="00C379DA"/>
    <w:rsid w:val="00C405FD"/>
    <w:rsid w:val="00C42573"/>
    <w:rsid w:val="00C474BA"/>
    <w:rsid w:val="00C5024A"/>
    <w:rsid w:val="00C57107"/>
    <w:rsid w:val="00C62C2D"/>
    <w:rsid w:val="00C7323E"/>
    <w:rsid w:val="00C7798E"/>
    <w:rsid w:val="00C77B63"/>
    <w:rsid w:val="00C9227C"/>
    <w:rsid w:val="00C9557D"/>
    <w:rsid w:val="00C973B9"/>
    <w:rsid w:val="00C97705"/>
    <w:rsid w:val="00CA1836"/>
    <w:rsid w:val="00CA2488"/>
    <w:rsid w:val="00CA2740"/>
    <w:rsid w:val="00CA46DB"/>
    <w:rsid w:val="00CB5B03"/>
    <w:rsid w:val="00CC12E6"/>
    <w:rsid w:val="00CC2AE4"/>
    <w:rsid w:val="00CC2E25"/>
    <w:rsid w:val="00CC7C64"/>
    <w:rsid w:val="00CD0B47"/>
    <w:rsid w:val="00CD3950"/>
    <w:rsid w:val="00CD559E"/>
    <w:rsid w:val="00CD7B44"/>
    <w:rsid w:val="00CE46C3"/>
    <w:rsid w:val="00CF5F1A"/>
    <w:rsid w:val="00D010E8"/>
    <w:rsid w:val="00D02C04"/>
    <w:rsid w:val="00D130EB"/>
    <w:rsid w:val="00D138E8"/>
    <w:rsid w:val="00D20259"/>
    <w:rsid w:val="00D208BA"/>
    <w:rsid w:val="00D21668"/>
    <w:rsid w:val="00D216BC"/>
    <w:rsid w:val="00D240E0"/>
    <w:rsid w:val="00D373B6"/>
    <w:rsid w:val="00D42F8F"/>
    <w:rsid w:val="00D44537"/>
    <w:rsid w:val="00D45ADF"/>
    <w:rsid w:val="00D57B4C"/>
    <w:rsid w:val="00D57DFD"/>
    <w:rsid w:val="00D779C0"/>
    <w:rsid w:val="00D825A5"/>
    <w:rsid w:val="00D838B2"/>
    <w:rsid w:val="00D91CCA"/>
    <w:rsid w:val="00DA07F1"/>
    <w:rsid w:val="00DC2296"/>
    <w:rsid w:val="00DC3DC9"/>
    <w:rsid w:val="00DD06F4"/>
    <w:rsid w:val="00DD08C9"/>
    <w:rsid w:val="00DD500F"/>
    <w:rsid w:val="00DD6D8E"/>
    <w:rsid w:val="00DF1AF6"/>
    <w:rsid w:val="00DF2F93"/>
    <w:rsid w:val="00DF373B"/>
    <w:rsid w:val="00DF4526"/>
    <w:rsid w:val="00DF522A"/>
    <w:rsid w:val="00DF53E4"/>
    <w:rsid w:val="00E121DC"/>
    <w:rsid w:val="00E175C1"/>
    <w:rsid w:val="00E2136E"/>
    <w:rsid w:val="00E25AF8"/>
    <w:rsid w:val="00E318DB"/>
    <w:rsid w:val="00E31A6A"/>
    <w:rsid w:val="00E37E97"/>
    <w:rsid w:val="00E41D96"/>
    <w:rsid w:val="00E45EC7"/>
    <w:rsid w:val="00E46BDF"/>
    <w:rsid w:val="00E50534"/>
    <w:rsid w:val="00E523D5"/>
    <w:rsid w:val="00E547DB"/>
    <w:rsid w:val="00E555BF"/>
    <w:rsid w:val="00E61949"/>
    <w:rsid w:val="00E639DD"/>
    <w:rsid w:val="00E70DCE"/>
    <w:rsid w:val="00E82B7D"/>
    <w:rsid w:val="00E87276"/>
    <w:rsid w:val="00E9086A"/>
    <w:rsid w:val="00E90C85"/>
    <w:rsid w:val="00EA314F"/>
    <w:rsid w:val="00EA446A"/>
    <w:rsid w:val="00EA7DC1"/>
    <w:rsid w:val="00EB55DC"/>
    <w:rsid w:val="00EB5BA2"/>
    <w:rsid w:val="00EB5C28"/>
    <w:rsid w:val="00EC2CF6"/>
    <w:rsid w:val="00EC6884"/>
    <w:rsid w:val="00ED2EBE"/>
    <w:rsid w:val="00EE3AFB"/>
    <w:rsid w:val="00EE689C"/>
    <w:rsid w:val="00EF06A1"/>
    <w:rsid w:val="00EF0D19"/>
    <w:rsid w:val="00EF1577"/>
    <w:rsid w:val="00EF3C8F"/>
    <w:rsid w:val="00EF6BD4"/>
    <w:rsid w:val="00F02A47"/>
    <w:rsid w:val="00F02F81"/>
    <w:rsid w:val="00F05C18"/>
    <w:rsid w:val="00F157DD"/>
    <w:rsid w:val="00F15F90"/>
    <w:rsid w:val="00F21465"/>
    <w:rsid w:val="00F25DA1"/>
    <w:rsid w:val="00F27D23"/>
    <w:rsid w:val="00F36F2E"/>
    <w:rsid w:val="00F4256E"/>
    <w:rsid w:val="00F45E29"/>
    <w:rsid w:val="00F549DE"/>
    <w:rsid w:val="00F6065C"/>
    <w:rsid w:val="00F61EB1"/>
    <w:rsid w:val="00F62C8B"/>
    <w:rsid w:val="00F66E6E"/>
    <w:rsid w:val="00F744D7"/>
    <w:rsid w:val="00F802D4"/>
    <w:rsid w:val="00F80339"/>
    <w:rsid w:val="00F80F50"/>
    <w:rsid w:val="00F84318"/>
    <w:rsid w:val="00F84E07"/>
    <w:rsid w:val="00F85FB9"/>
    <w:rsid w:val="00F91982"/>
    <w:rsid w:val="00F940A0"/>
    <w:rsid w:val="00FA2DA2"/>
    <w:rsid w:val="00FA311A"/>
    <w:rsid w:val="00FA3BA5"/>
    <w:rsid w:val="00FB16A8"/>
    <w:rsid w:val="00FB2279"/>
    <w:rsid w:val="00FC1AAD"/>
    <w:rsid w:val="00FC2A41"/>
    <w:rsid w:val="00FC541A"/>
    <w:rsid w:val="00FC5630"/>
    <w:rsid w:val="00FE0FE8"/>
    <w:rsid w:val="00FE3BD7"/>
    <w:rsid w:val="00FF56AA"/>
    <w:rsid w:val="5D312140"/>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7A7DF848"/>
  <w15:docId w15:val="{32B2887F-0602-0B4E-AF8B-197A34E414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iPriority="0" w:unhideWhenUsed="1" w:qFormat="1"/>
    <w:lsdException w:name="annotation text" w:uiPriority="0" w:unhideWhenUsed="1" w:qFormat="1"/>
    <w:lsdException w:name="header" w:uiPriority="0" w:unhideWhenUsed="1" w:qFormat="1"/>
    <w:lsdException w:name="footer" w:uiPriority="0"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uiPriority="0" w:unhideWhenUsed="1" w:qFormat="1"/>
    <w:lsdException w:name="annotation reference" w:uiPriority="0" w:unhideWhenUsed="1" w:qFormat="1"/>
    <w:lsdException w:name="line number" w:uiPriority="0" w:qFormat="1"/>
    <w:lsdException w:name="page number" w:uiPriority="0" w:qFormat="1"/>
    <w:lsdException w:name="endnote reference" w:uiPriority="0" w:qFormat="1"/>
    <w:lsdException w:name="endnote text" w:uiPriority="0"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unhideWhenUsed="1" w:qFormat="1"/>
    <w:lsdException w:name="FollowedHyperlink" w:uiPriority="0" w:unhideWhenUsed="1" w:qFormat="1"/>
    <w:lsdException w:name="Strong" w:uiPriority="22"/>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unhideWhenUsed="1" w:qFormat="1"/>
    <w:lsdException w:name="Table Grid"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pacing w:after="200" w:line="276" w:lineRule="auto"/>
    </w:pPr>
    <w:rPr>
      <w:sz w:val="22"/>
      <w:szCs w:val="22"/>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pPr>
      <w:spacing w:line="200" w:lineRule="exact"/>
    </w:pPr>
    <w:rPr>
      <w:bCs/>
      <w:sz w:val="14"/>
      <w:szCs w:val="18"/>
    </w:rPr>
  </w:style>
  <w:style w:type="paragraph" w:styleId="CommentText">
    <w:name w:val="annotation text"/>
    <w:basedOn w:val="Normal"/>
    <w:link w:val="CommentTextChar"/>
    <w:unhideWhenUsed/>
    <w:qFormat/>
    <w:pPr>
      <w:spacing w:line="240" w:lineRule="auto"/>
    </w:pPr>
    <w:rPr>
      <w:sz w:val="20"/>
      <w:szCs w:val="20"/>
    </w:rPr>
  </w:style>
  <w:style w:type="paragraph" w:styleId="EndnoteText">
    <w:name w:val="endnote text"/>
    <w:basedOn w:val="Normal"/>
    <w:link w:val="EndnoteTextChar"/>
    <w:qFormat/>
    <w:pPr>
      <w:widowControl w:val="0"/>
      <w:snapToGrid w:val="0"/>
      <w:spacing w:after="0" w:line="240" w:lineRule="auto"/>
    </w:pPr>
    <w:rPr>
      <w:kern w:val="2"/>
      <w:sz w:val="21"/>
      <w:szCs w:val="24"/>
      <w:lang w:val="en-US" w:eastAsia="zh-CN"/>
    </w:rPr>
  </w:style>
  <w:style w:type="paragraph" w:styleId="BalloonText">
    <w:name w:val="Balloon Text"/>
    <w:basedOn w:val="Normal"/>
    <w:link w:val="BalloonTextChar"/>
    <w:unhideWhenUsed/>
    <w:qFormat/>
    <w:pPr>
      <w:spacing w:after="0" w:line="240" w:lineRule="auto"/>
    </w:pPr>
    <w:rPr>
      <w:rFonts w:ascii="Tahoma" w:hAnsi="Tahoma" w:cs="Tahoma"/>
      <w:sz w:val="16"/>
      <w:szCs w:val="16"/>
    </w:rPr>
  </w:style>
  <w:style w:type="paragraph" w:styleId="Footer">
    <w:name w:val="footer"/>
    <w:basedOn w:val="Normal"/>
    <w:link w:val="FooterChar"/>
    <w:unhideWhenUsed/>
    <w:qFormat/>
    <w:pPr>
      <w:tabs>
        <w:tab w:val="center" w:pos="4513"/>
        <w:tab w:val="right" w:pos="9026"/>
      </w:tabs>
      <w:spacing w:after="0" w:line="240" w:lineRule="auto"/>
    </w:pPr>
  </w:style>
  <w:style w:type="paragraph" w:styleId="Header">
    <w:name w:val="header"/>
    <w:basedOn w:val="Normal"/>
    <w:link w:val="HeaderChar"/>
    <w:unhideWhenUsed/>
    <w:qFormat/>
    <w:pPr>
      <w:tabs>
        <w:tab w:val="center" w:pos="4513"/>
        <w:tab w:val="right" w:pos="9026"/>
      </w:tabs>
      <w:spacing w:after="0" w:line="240" w:lineRule="auto"/>
    </w:pPr>
  </w:style>
  <w:style w:type="paragraph" w:styleId="FootnoteText">
    <w:name w:val="footnote text"/>
    <w:basedOn w:val="Normal"/>
    <w:link w:val="FootnoteTextChar"/>
    <w:unhideWhenUsed/>
    <w:qFormat/>
    <w:pPr>
      <w:spacing w:after="0" w:line="240" w:lineRule="auto"/>
    </w:pPr>
    <w:rPr>
      <w:sz w:val="20"/>
      <w:szCs w:val="20"/>
    </w:rPr>
  </w:style>
  <w:style w:type="paragraph" w:styleId="NormalWeb">
    <w:name w:val="Normal (Web)"/>
    <w:basedOn w:val="Normal"/>
    <w:unhideWhenUsed/>
    <w:qFormat/>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ommentSubject">
    <w:name w:val="annotation subject"/>
    <w:basedOn w:val="CommentText"/>
    <w:next w:val="CommentText"/>
    <w:link w:val="CommentSubjectChar"/>
    <w:unhideWhenUsed/>
    <w:qFormat/>
    <w:rPr>
      <w:b/>
      <w:bCs/>
    </w:rPr>
  </w:style>
  <w:style w:type="table" w:styleId="TableGrid">
    <w:name w:val="Table Grid"/>
    <w:basedOn w:val="TableNormal"/>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basedOn w:val="DefaultParagraphFont"/>
    <w:qFormat/>
    <w:rPr>
      <w:vertAlign w:val="superscript"/>
    </w:rPr>
  </w:style>
  <w:style w:type="character" w:styleId="PageNumber">
    <w:name w:val="page number"/>
    <w:basedOn w:val="DefaultParagraphFont"/>
    <w:qFormat/>
  </w:style>
  <w:style w:type="character" w:styleId="FollowedHyperlink">
    <w:name w:val="FollowedHyperlink"/>
    <w:basedOn w:val="DefaultParagraphFont"/>
    <w:unhideWhenUsed/>
    <w:qFormat/>
    <w:rPr>
      <w:color w:val="800080" w:themeColor="followedHyperlink"/>
      <w:u w:val="single"/>
    </w:rPr>
  </w:style>
  <w:style w:type="character" w:styleId="Emphasis">
    <w:name w:val="Emphasis"/>
    <w:basedOn w:val="DefaultParagraphFont"/>
    <w:qFormat/>
    <w:rPr>
      <w:i/>
    </w:rPr>
  </w:style>
  <w:style w:type="character" w:styleId="LineNumber">
    <w:name w:val="line number"/>
    <w:basedOn w:val="DefaultParagraphFont"/>
    <w:qFormat/>
  </w:style>
  <w:style w:type="character" w:styleId="Hyperlink">
    <w:name w:val="Hyperlink"/>
    <w:basedOn w:val="DefaultParagraphFont"/>
    <w:unhideWhenUsed/>
    <w:qFormat/>
    <w:rPr>
      <w:color w:val="0000FF" w:themeColor="hyperlink"/>
      <w:u w:val="single"/>
    </w:rPr>
  </w:style>
  <w:style w:type="character" w:styleId="CommentReference">
    <w:name w:val="annotation reference"/>
    <w:basedOn w:val="DefaultParagraphFont"/>
    <w:unhideWhenUsed/>
    <w:qFormat/>
    <w:rPr>
      <w:sz w:val="16"/>
      <w:szCs w:val="16"/>
    </w:rPr>
  </w:style>
  <w:style w:type="character" w:styleId="FootnoteReference">
    <w:name w:val="footnote reference"/>
    <w:basedOn w:val="DefaultParagraphFont"/>
    <w:unhideWhenUsed/>
    <w:qFormat/>
    <w:rPr>
      <w:vertAlign w:val="superscript"/>
    </w:rPr>
  </w:style>
  <w:style w:type="character" w:customStyle="1" w:styleId="HeaderChar">
    <w:name w:val="Header Char"/>
    <w:basedOn w:val="DefaultParagraphFont"/>
    <w:link w:val="Header"/>
    <w:qFormat/>
  </w:style>
  <w:style w:type="character" w:customStyle="1" w:styleId="FooterChar">
    <w:name w:val="Footer Char"/>
    <w:basedOn w:val="DefaultParagraphFont"/>
    <w:link w:val="Footer"/>
    <w:qFormat/>
  </w:style>
  <w:style w:type="character" w:customStyle="1" w:styleId="BalloonTextChar">
    <w:name w:val="Balloon Text Char"/>
    <w:basedOn w:val="DefaultParagraphFont"/>
    <w:link w:val="BalloonText"/>
    <w:qFormat/>
    <w:rPr>
      <w:rFonts w:ascii="Tahoma" w:hAnsi="Tahoma" w:cs="Tahoma"/>
      <w:sz w:val="16"/>
      <w:szCs w:val="16"/>
    </w:rPr>
  </w:style>
  <w:style w:type="paragraph" w:customStyle="1" w:styleId="RSCH01PaperTitle">
    <w:name w:val="RSC H01 Paper Title"/>
    <w:basedOn w:val="Normal"/>
    <w:next w:val="Normal"/>
    <w:link w:val="RSCH01PaperTitleChar"/>
    <w:qFormat/>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pPr>
      <w:spacing w:after="120" w:line="240" w:lineRule="exact"/>
    </w:pPr>
    <w:rPr>
      <w:rFonts w:cs="Times New Roman"/>
      <w:sz w:val="20"/>
    </w:rPr>
  </w:style>
  <w:style w:type="paragraph" w:customStyle="1" w:styleId="RSCB01ARTAbstract">
    <w:name w:val="RSC B01 ART Abstract"/>
    <w:basedOn w:val="Normal"/>
    <w:link w:val="RSCB01ARTAbstractChar"/>
    <w:qFormat/>
    <w:pPr>
      <w:spacing w:line="240" w:lineRule="exact"/>
      <w:jc w:val="both"/>
    </w:pPr>
    <w:rPr>
      <w:sz w:val="16"/>
      <w:lang w:eastAsia="en-GB"/>
    </w:rPr>
  </w:style>
  <w:style w:type="paragraph" w:customStyle="1" w:styleId="05BHeading">
    <w:name w:val="05 B Heading"/>
    <w:basedOn w:val="RSCB04AHeadingSection"/>
    <w:link w:val="05BHeadingChar"/>
    <w:qFormat/>
    <w:pPr>
      <w:spacing w:before="160" w:line="240" w:lineRule="exact"/>
    </w:pPr>
    <w:rPr>
      <w:rFonts w:ascii="Times New Roman" w:hAnsi="Times New Roman" w:cs="Times New Roman"/>
      <w:sz w:val="18"/>
      <w:szCs w:val="18"/>
    </w:rPr>
  </w:style>
  <w:style w:type="paragraph" w:customStyle="1" w:styleId="RSCB04AHeadingSection">
    <w:name w:val="RSC B04 A Heading (Section)"/>
    <w:basedOn w:val="Normal"/>
    <w:link w:val="RSCB04AHeadingSectionChar"/>
    <w:qFormat/>
    <w:pPr>
      <w:spacing w:before="400" w:after="80" w:line="240" w:lineRule="auto"/>
    </w:pPr>
    <w:rPr>
      <w:b/>
      <w:sz w:val="24"/>
    </w:rPr>
  </w:style>
  <w:style w:type="paragraph" w:customStyle="1" w:styleId="RSCB02ArticleText">
    <w:name w:val="RSC B02 Article Text"/>
    <w:basedOn w:val="Normal"/>
    <w:link w:val="RSCB02ArticleTextChar"/>
    <w:qFormat/>
    <w:pPr>
      <w:spacing w:after="0" w:line="240" w:lineRule="exact"/>
      <w:jc w:val="both"/>
    </w:pPr>
    <w:rPr>
      <w:rFonts w:cs="Times New Roman"/>
      <w:w w:val="108"/>
      <w:sz w:val="18"/>
      <w:szCs w:val="18"/>
    </w:rPr>
  </w:style>
  <w:style w:type="character" w:customStyle="1" w:styleId="06CHeading">
    <w:name w:val="06 C Heading"/>
    <w:basedOn w:val="RSCB02ArticleTextChar"/>
    <w:uiPriority w:val="1"/>
    <w:qFormat/>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qFormat/>
    <w:rPr>
      <w:rFonts w:cs="Times New Roman"/>
      <w:w w:val="108"/>
      <w:sz w:val="18"/>
      <w:szCs w:val="18"/>
    </w:rPr>
  </w:style>
  <w:style w:type="paragraph" w:customStyle="1" w:styleId="09ListText">
    <w:name w:val="09 List Text"/>
    <w:basedOn w:val="RSCB02ArticleText"/>
    <w:link w:val="09ListTextChar"/>
    <w:qFormat/>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pPr>
      <w:framePr w:wrap="auto" w:hAnchor="text" w:y="1"/>
      <w:numPr>
        <w:numId w:val="1"/>
      </w:numPr>
      <w:pBdr>
        <w:top w:val="single" w:sz="12" w:space="1" w:color="A6A6A6" w:themeColor="background1" w:themeShade="A6"/>
      </w:pBdr>
      <w:ind w:left="85" w:hanging="85"/>
      <w:suppressOverlap/>
    </w:pPr>
    <w:rPr>
      <w:rFonts w:cs="Times New Roman"/>
      <w:i/>
      <w:w w:val="105"/>
      <w:sz w:val="14"/>
      <w:szCs w:val="14"/>
      <w:lang w:val="en-GB" w:eastAsia="en-US"/>
    </w:rPr>
  </w:style>
  <w:style w:type="paragraph" w:customStyle="1" w:styleId="RSCI02FigureSchemeChartwithtopbar">
    <w:name w:val="RSC I02 Figure/Scheme/Chart with top bar"/>
    <w:basedOn w:val="Normal"/>
    <w:link w:val="RSCI02FigureSchemeChartwithtopbarChar"/>
    <w:qFormat/>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pPr>
      <w:pBdr>
        <w:top w:val="single" w:sz="6" w:space="1" w:color="auto"/>
      </w:pBdr>
    </w:pPr>
    <w:rPr>
      <w:i/>
    </w:rPr>
  </w:style>
  <w:style w:type="character" w:customStyle="1" w:styleId="RSCB09BiographyChar">
    <w:name w:val="RSC B09 Biography Char"/>
    <w:basedOn w:val="RSCB02ArticleTextChar"/>
    <w:link w:val="RSCB09Biography"/>
    <w:qFormat/>
    <w:rPr>
      <w:rFonts w:cs="Times New Roman"/>
      <w:i/>
      <w:w w:val="108"/>
      <w:sz w:val="18"/>
      <w:szCs w:val="18"/>
    </w:rPr>
  </w:style>
  <w:style w:type="paragraph" w:customStyle="1" w:styleId="RSCF02FootnotestoTitleAuthors">
    <w:name w:val="RSC F02 Footnotes to Title/Authors"/>
    <w:basedOn w:val="Normal"/>
    <w:link w:val="RSCF02FootnotestoTitleAuthorsChar"/>
    <w:qFormat/>
    <w:pPr>
      <w:framePr w:wrap="auto" w:hAnchor="text" w:y="1"/>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qFormat/>
    <w:rPr>
      <w:rFonts w:cs="Times New Roman"/>
      <w:i/>
      <w:w w:val="105"/>
      <w:sz w:val="14"/>
      <w:szCs w:val="14"/>
    </w:rPr>
  </w:style>
  <w:style w:type="paragraph" w:customStyle="1" w:styleId="RSCR02References">
    <w:name w:val="RSC R02 References"/>
    <w:basedOn w:val="RSCB02ArticleText"/>
    <w:link w:val="RSCR02ReferencesChar"/>
    <w:qFormat/>
    <w:pPr>
      <w:numPr>
        <w:numId w:val="2"/>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Pr>
      <w:rFonts w:cs="Times New Roman"/>
      <w:w w:val="105"/>
      <w:sz w:val="14"/>
      <w:szCs w:val="14"/>
    </w:rPr>
  </w:style>
  <w:style w:type="paragraph" w:styleId="NoSpacing">
    <w:name w:val="No Spacing"/>
    <w:uiPriority w:val="1"/>
    <w:qFormat/>
    <w:rPr>
      <w:sz w:val="22"/>
      <w:szCs w:val="22"/>
      <w:lang w:val="en-GB" w:eastAsia="en-US"/>
    </w:rPr>
  </w:style>
  <w:style w:type="character" w:customStyle="1" w:styleId="RSCR02ReferencesChar">
    <w:name w:val="RSC R02 References Char"/>
    <w:basedOn w:val="DefaultParagraphFont"/>
    <w:link w:val="RSCR02References"/>
    <w:qFormat/>
    <w:rPr>
      <w:rFonts w:cs="Times New Roman"/>
      <w:w w:val="105"/>
      <w:sz w:val="18"/>
      <w:szCs w:val="18"/>
    </w:rPr>
  </w:style>
  <w:style w:type="character" w:customStyle="1" w:styleId="RSCH01PaperTitleChar">
    <w:name w:val="RSC H01 Paper Title Char"/>
    <w:basedOn w:val="DefaultParagraphFont"/>
    <w:link w:val="RSCH01PaperTitle"/>
    <w:qFormat/>
    <w:rPr>
      <w:rFonts w:cs="Times New Roman"/>
      <w:b/>
      <w:sz w:val="29"/>
      <w:szCs w:val="32"/>
    </w:rPr>
  </w:style>
  <w:style w:type="character" w:customStyle="1" w:styleId="RSCH02PaperAuthorsandBylineChar">
    <w:name w:val="RSC H02 Paper Authors and Byline Char"/>
    <w:basedOn w:val="DefaultParagraphFont"/>
    <w:link w:val="RSCH02PaperAuthorsandByline"/>
    <w:qFormat/>
    <w:rPr>
      <w:rFonts w:cs="Times New Roman"/>
      <w:sz w:val="20"/>
    </w:rPr>
  </w:style>
  <w:style w:type="character" w:customStyle="1" w:styleId="RSCB01ARTAbstractChar">
    <w:name w:val="RSC B01 ART Abstract Char"/>
    <w:basedOn w:val="DefaultParagraphFont"/>
    <w:link w:val="RSCB01ARTAbstract"/>
    <w:qFormat/>
    <w:rPr>
      <w:sz w:val="16"/>
      <w:lang w:eastAsia="en-GB"/>
    </w:rPr>
  </w:style>
  <w:style w:type="character" w:customStyle="1" w:styleId="09ListTextChar">
    <w:name w:val="09 List Text Char"/>
    <w:basedOn w:val="RSCB02ArticleTextChar"/>
    <w:link w:val="09ListText"/>
    <w:qFormat/>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qFormat/>
    <w:rPr>
      <w:b/>
      <w:sz w:val="24"/>
    </w:rPr>
  </w:style>
  <w:style w:type="character" w:customStyle="1" w:styleId="05BHeadingChar">
    <w:name w:val="05 B Heading Char"/>
    <w:basedOn w:val="RSCB04AHeadingSectionChar"/>
    <w:link w:val="05BHeading"/>
    <w:qFormat/>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qFormat/>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qFormat/>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qFormat/>
    <w:rPr>
      <w:rFonts w:cs="Times New Roman"/>
      <w:sz w:val="16"/>
      <w:szCs w:val="16"/>
    </w:rPr>
  </w:style>
  <w:style w:type="character" w:customStyle="1" w:styleId="RSCB03MathematicsGreeketcChar">
    <w:name w:val="RSC B03 Mathematics/Greek etc Char"/>
    <w:basedOn w:val="DefaultParagraphFont"/>
    <w:link w:val="RSCB03MathematicsGreeketc"/>
    <w:qFormat/>
    <w:rPr>
      <w:rFonts w:ascii="Times New Roman" w:hAnsi="Times New Roman"/>
      <w:sz w:val="18"/>
    </w:rPr>
  </w:style>
  <w:style w:type="paragraph" w:customStyle="1" w:styleId="RSCT03TableBody">
    <w:name w:val="RSC T03 Table Body"/>
    <w:basedOn w:val="Normal"/>
    <w:link w:val="RSCT03TableBodyChar"/>
    <w:qFormat/>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qFormat/>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qFormat/>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qFormat/>
    <w:rPr>
      <w:rFonts w:eastAsia="Times New Roman" w:cs="Times New Roman"/>
      <w:sz w:val="15"/>
      <w:szCs w:val="20"/>
      <w:lang w:eastAsia="en-GB"/>
    </w:rPr>
  </w:style>
  <w:style w:type="paragraph" w:styleId="ListParagraph">
    <w:name w:val="List Paragraph"/>
    <w:basedOn w:val="Normal"/>
    <w:uiPriority w:val="99"/>
    <w:qFormat/>
    <w:pPr>
      <w:ind w:left="720"/>
      <w:contextualSpacing/>
    </w:pPr>
  </w:style>
  <w:style w:type="paragraph" w:customStyle="1" w:styleId="1">
    <w:name w:val="修订1"/>
    <w:hidden/>
    <w:uiPriority w:val="99"/>
    <w:semiHidden/>
    <w:qFormat/>
    <w:rPr>
      <w:sz w:val="22"/>
      <w:szCs w:val="22"/>
      <w:lang w:val="en-GB" w:eastAsia="en-US"/>
    </w:rPr>
  </w:style>
  <w:style w:type="character" w:customStyle="1" w:styleId="FootnoteTextChar">
    <w:name w:val="Footnote Text Char"/>
    <w:basedOn w:val="DefaultParagraphFont"/>
    <w:link w:val="FootnoteText"/>
    <w:qFormat/>
    <w:rPr>
      <w:sz w:val="20"/>
      <w:szCs w:val="20"/>
    </w:rPr>
  </w:style>
  <w:style w:type="paragraph" w:customStyle="1" w:styleId="Style1">
    <w:name w:val="Style1"/>
    <w:basedOn w:val="RSCB02ArticleText"/>
    <w:link w:val="Style1Char"/>
    <w:qFormat/>
  </w:style>
  <w:style w:type="paragraph" w:customStyle="1" w:styleId="RSCT05TableFootnotewithoutbottombar">
    <w:name w:val="RSC T05 Table Footnote without bottom bar"/>
    <w:basedOn w:val="RSCT04TableFootnotewithbottombar"/>
    <w:link w:val="RSCT05TableFootnotewithoutbottombarChar"/>
    <w:qFormat/>
    <w:pPr>
      <w:pBdr>
        <w:bottom w:val="none" w:sz="0" w:space="0" w:color="auto"/>
      </w:pBdr>
    </w:pPr>
  </w:style>
  <w:style w:type="character" w:customStyle="1" w:styleId="Style1Char">
    <w:name w:val="Style1 Char"/>
    <w:basedOn w:val="RSCB02ArticleTextChar"/>
    <w:link w:val="Style1"/>
    <w:qFormat/>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qFormat/>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pPr>
      <w:spacing w:after="200" w:line="200" w:lineRule="exact"/>
      <w:jc w:val="both"/>
    </w:pPr>
    <w:rPr>
      <w:bCs/>
      <w:sz w:val="14"/>
      <w:szCs w:val="18"/>
      <w:lang w:val="en-GB" w:eastAsia="en-US"/>
    </w:rPr>
  </w:style>
  <w:style w:type="character" w:customStyle="1" w:styleId="RSCT02TabletitlewithouttopbarChar">
    <w:name w:val="RSC T02 Table title without top bar Char"/>
    <w:basedOn w:val="RSCT01TableTitlewithtopbarChar"/>
    <w:link w:val="RSCT02Tabletitlewithouttopbar"/>
    <w:qFormat/>
    <w:rPr>
      <w:rFonts w:eastAsia="Times New Roman" w:cs="Times New Roman"/>
      <w:sz w:val="14"/>
      <w:szCs w:val="20"/>
      <w:lang w:eastAsia="en-GB"/>
    </w:rPr>
  </w:style>
  <w:style w:type="paragraph" w:customStyle="1" w:styleId="RSCR01Footnotestomaintext">
    <w:name w:val="RSC R01 Footnotes to main text"/>
    <w:link w:val="RSCR01FootnotestomaintextChar"/>
    <w:qFormat/>
    <w:pPr>
      <w:spacing w:after="200" w:line="200" w:lineRule="exact"/>
      <w:jc w:val="both"/>
    </w:pPr>
    <w:rPr>
      <w:bCs/>
      <w:sz w:val="18"/>
      <w:szCs w:val="18"/>
      <w:lang w:val="en-GB" w:eastAsia="en-US"/>
    </w:rPr>
  </w:style>
  <w:style w:type="character" w:customStyle="1" w:styleId="RSCI04CaptiontoFigureSchemeChartChar">
    <w:name w:val="RSC I04 Caption to Figure/Scheme/Chart Char"/>
    <w:basedOn w:val="DefaultParagraphFont"/>
    <w:link w:val="RSCI04CaptiontoFigureSchemeChart"/>
    <w:qFormat/>
    <w:rPr>
      <w:bCs/>
      <w:sz w:val="14"/>
      <w:szCs w:val="18"/>
    </w:rPr>
  </w:style>
  <w:style w:type="paragraph" w:customStyle="1" w:styleId="RSCM01ReceivedAccepted">
    <w:name w:val="RSC M01 Received/Accepted"/>
    <w:basedOn w:val="Normal"/>
    <w:link w:val="RSCM01ReceivedAcceptedChar"/>
    <w:qFormat/>
    <w:pPr>
      <w:spacing w:before="960" w:after="0" w:line="180" w:lineRule="exact"/>
      <w:contextualSpacing/>
    </w:pPr>
    <w:rPr>
      <w:sz w:val="14"/>
      <w:szCs w:val="14"/>
      <w:lang w:eastAsia="en-GB"/>
    </w:rPr>
  </w:style>
  <w:style w:type="character" w:customStyle="1" w:styleId="RSCR01FootnotestomaintextChar">
    <w:name w:val="RSC R01 Footnotes to main text Char"/>
    <w:basedOn w:val="RSCI04CaptiontoFigureSchemeChartChar"/>
    <w:link w:val="RSCR01Footnotestomaintext"/>
    <w:rPr>
      <w:bCs/>
      <w:sz w:val="18"/>
      <w:szCs w:val="18"/>
    </w:rPr>
  </w:style>
  <w:style w:type="paragraph" w:customStyle="1" w:styleId="RSCM02DOI">
    <w:name w:val="RSC M02 DOI"/>
    <w:basedOn w:val="Normal"/>
    <w:link w:val="RSCM02DOIChar"/>
    <w:qFormat/>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qFormat/>
    <w:rPr>
      <w:rFonts w:eastAsiaTheme="minorEastAsia"/>
      <w:sz w:val="14"/>
      <w:szCs w:val="14"/>
      <w:lang w:eastAsia="en-GB"/>
    </w:rPr>
  </w:style>
  <w:style w:type="paragraph" w:customStyle="1" w:styleId="RSCM03Website">
    <w:name w:val="RSC M03 Website"/>
    <w:basedOn w:val="Normal"/>
    <w:link w:val="RSCM03WebsiteChar"/>
    <w:qFormat/>
    <w:pPr>
      <w:spacing w:line="400" w:lineRule="exact"/>
    </w:pPr>
    <w:rPr>
      <w:b/>
      <w:sz w:val="14"/>
      <w:szCs w:val="14"/>
    </w:rPr>
  </w:style>
  <w:style w:type="character" w:customStyle="1" w:styleId="RSCM02DOIChar">
    <w:name w:val="RSC M02 DOI Char"/>
    <w:basedOn w:val="DefaultParagraphFont"/>
    <w:link w:val="RSCM02DOI"/>
    <w:rPr>
      <w:sz w:val="14"/>
      <w:szCs w:val="14"/>
    </w:rPr>
  </w:style>
  <w:style w:type="paragraph" w:customStyle="1" w:styleId="RSCB05AHeadingSection-standalone">
    <w:name w:val="RSC B05 A Heading (Section - stand alone)"/>
    <w:link w:val="RSCB05AHeadingSection-standaloneChar"/>
    <w:qFormat/>
    <w:pPr>
      <w:spacing w:before="400" w:after="160"/>
    </w:pPr>
    <w:rPr>
      <w:rFonts w:cs="Times New Roman"/>
      <w:sz w:val="24"/>
      <w:szCs w:val="22"/>
      <w:lang w:val="en-GB" w:eastAsia="en-US"/>
    </w:rPr>
  </w:style>
  <w:style w:type="character" w:customStyle="1" w:styleId="RSCM03WebsiteChar">
    <w:name w:val="RSC M03 Website Char"/>
    <w:basedOn w:val="DefaultParagraphFont"/>
    <w:link w:val="RSCM03Website"/>
    <w:rPr>
      <w:b/>
      <w:sz w:val="14"/>
      <w:szCs w:val="14"/>
    </w:rPr>
  </w:style>
  <w:style w:type="paragraph" w:customStyle="1" w:styleId="RSCB06BHeadingSub-Section">
    <w:name w:val="RSC B06 B Heading (Sub-Section)"/>
    <w:link w:val="RSCB06BHeadingSub-SectionChar"/>
    <w:qFormat/>
    <w:pPr>
      <w:spacing w:after="80" w:line="240" w:lineRule="exact"/>
    </w:pPr>
    <w:rPr>
      <w:b/>
      <w:sz w:val="18"/>
      <w:szCs w:val="22"/>
      <w:lang w:val="en-GB" w:eastAsia="en-US"/>
    </w:rPr>
  </w:style>
  <w:style w:type="character" w:customStyle="1" w:styleId="RSCB05AHeadingSection-standaloneChar">
    <w:name w:val="RSC B05 A Heading (Section - stand alone) Char"/>
    <w:basedOn w:val="RSCH02PaperAuthorsandBylineChar"/>
    <w:link w:val="RSCB05AHeadingSection-standalone"/>
    <w:qFormat/>
    <w:rPr>
      <w:rFonts w:cs="Times New Roman"/>
      <w:sz w:val="24"/>
    </w:rPr>
  </w:style>
  <w:style w:type="paragraph" w:customStyle="1" w:styleId="RSCB07BHeadingSub-Section-standalone">
    <w:name w:val="RSC B07 B Heading (Sub-Section - stand alone)"/>
    <w:link w:val="RSCB07BHeadingSub-Section-standaloneChar"/>
    <w:qFormat/>
    <w:pPr>
      <w:spacing w:before="160" w:after="80" w:line="240" w:lineRule="exact"/>
    </w:pPr>
    <w:rPr>
      <w:b/>
      <w:sz w:val="18"/>
      <w:szCs w:val="22"/>
      <w:lang w:val="en-GB" w:eastAsia="en-US"/>
    </w:rPr>
  </w:style>
  <w:style w:type="character" w:customStyle="1" w:styleId="RSCB06BHeadingSub-SectionChar">
    <w:name w:val="RSC B06 B Heading (Sub-Section) Char"/>
    <w:basedOn w:val="DefaultParagraphFont"/>
    <w:link w:val="RSCB06BHeadingSub-Section"/>
    <w:qFormat/>
    <w:rPr>
      <w:b/>
      <w:sz w:val="18"/>
    </w:rPr>
  </w:style>
  <w:style w:type="paragraph" w:customStyle="1" w:styleId="RSCB08CHeadingIn-line">
    <w:name w:val="RSC B08 C Heading (In-line)"/>
    <w:link w:val="RSCB08CHeadingIn-lineChar"/>
    <w:qFormat/>
    <w:pPr>
      <w:spacing w:line="276" w:lineRule="auto"/>
    </w:pPr>
    <w:rPr>
      <w:b/>
      <w:sz w:val="18"/>
      <w:szCs w:val="22"/>
      <w:lang w:val="en-GB" w:eastAsia="en-US"/>
    </w:rPr>
  </w:style>
  <w:style w:type="character" w:customStyle="1" w:styleId="RSCB07BHeadingSub-Section-standaloneChar">
    <w:name w:val="RSC B07 B Heading (Sub-Section - stand alone) Char"/>
    <w:basedOn w:val="DefaultParagraphFont"/>
    <w:link w:val="RSCB07BHeadingSub-Section-standalone"/>
    <w:qFormat/>
    <w:rPr>
      <w:b/>
      <w:sz w:val="18"/>
    </w:rPr>
  </w:style>
  <w:style w:type="character" w:customStyle="1" w:styleId="RSCB08CHeadingIn-lineChar">
    <w:name w:val="RSC B08 C Heading (In-line) Char"/>
    <w:basedOn w:val="DefaultParagraphFont"/>
    <w:link w:val="RSCB08CHeadingIn-line"/>
    <w:qFormat/>
    <w:rPr>
      <w:b/>
      <w:sz w:val="18"/>
    </w:rPr>
  </w:style>
  <w:style w:type="paragraph" w:customStyle="1" w:styleId="RSCI05CaptiontoFigureSchemeChartwithbottombar">
    <w:name w:val="RSC I05 Caption to Figure/Scheme/Chart with bottom bar"/>
    <w:link w:val="RSCI05CaptiontoFigureSchemeChartwithbottombarChar"/>
    <w:qFormat/>
    <w:pPr>
      <w:pBdr>
        <w:bottom w:val="single" w:sz="12" w:space="1" w:color="A6A6A6" w:themeColor="background1" w:themeShade="A6"/>
      </w:pBdr>
      <w:spacing w:after="200" w:line="276" w:lineRule="auto"/>
      <w:jc w:val="both"/>
    </w:pPr>
    <w:rPr>
      <w:bCs/>
      <w:sz w:val="14"/>
      <w:szCs w:val="18"/>
      <w:lang w:val="en-GB" w:eastAsia="en-US"/>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qFormat/>
    <w:rPr>
      <w:bCs/>
      <w:sz w:val="14"/>
      <w:szCs w:val="18"/>
    </w:rPr>
  </w:style>
  <w:style w:type="paragraph" w:customStyle="1" w:styleId="04AHeading">
    <w:name w:val="04 A Heading"/>
    <w:basedOn w:val="Normal"/>
    <w:next w:val="Normal"/>
    <w:link w:val="04AHeadingChar"/>
    <w:qFormat/>
    <w:pPr>
      <w:spacing w:before="240" w:after="120" w:line="240" w:lineRule="auto"/>
    </w:pPr>
    <w:rPr>
      <w:rFonts w:ascii="Calibri" w:eastAsia="Calibri" w:hAnsi="Calibri" w:cs="Times New Roman"/>
      <w:b/>
    </w:rPr>
  </w:style>
  <w:style w:type="character" w:customStyle="1" w:styleId="04AHeadingChar">
    <w:name w:val="04 A Heading Char"/>
    <w:link w:val="04AHeading"/>
    <w:qFormat/>
    <w:rPr>
      <w:rFonts w:ascii="Calibri" w:eastAsia="Calibri" w:hAnsi="Calibri" w:cs="Times New Roman"/>
      <w:b/>
    </w:rPr>
  </w:style>
  <w:style w:type="paragraph" w:customStyle="1" w:styleId="08ArticleText">
    <w:name w:val="08 Article Text"/>
    <w:basedOn w:val="Normal"/>
    <w:link w:val="08ArticleTextChar"/>
    <w:qFormat/>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qFormat/>
    <w:rPr>
      <w:rFonts w:ascii="Times New Roman" w:eastAsia="Calibri" w:hAnsi="Times New Roman" w:cs="Times New Roman"/>
      <w:w w:val="108"/>
      <w:sz w:val="18"/>
      <w:szCs w:val="18"/>
    </w:rPr>
  </w:style>
  <w:style w:type="character" w:customStyle="1" w:styleId="CommentTextChar">
    <w:name w:val="Comment Text Char"/>
    <w:basedOn w:val="DefaultParagraphFont"/>
    <w:link w:val="CommentText"/>
    <w:qFormat/>
    <w:rPr>
      <w:sz w:val="20"/>
      <w:szCs w:val="20"/>
    </w:rPr>
  </w:style>
  <w:style w:type="character" w:customStyle="1" w:styleId="CommentSubjectChar">
    <w:name w:val="Comment Subject Char"/>
    <w:basedOn w:val="CommentTextChar"/>
    <w:link w:val="CommentSubject"/>
    <w:qFormat/>
    <w:rPr>
      <w:b/>
      <w:bCs/>
      <w:sz w:val="20"/>
      <w:szCs w:val="20"/>
    </w:rPr>
  </w:style>
  <w:style w:type="paragraph" w:customStyle="1" w:styleId="EndNoteBibliography">
    <w:name w:val="EndNote Bibliography"/>
    <w:basedOn w:val="Normal"/>
    <w:link w:val="EndNoteBibliography0"/>
    <w:qFormat/>
    <w:pPr>
      <w:widowControl w:val="0"/>
      <w:spacing w:after="0" w:line="240" w:lineRule="auto"/>
    </w:pPr>
    <w:rPr>
      <w:rFonts w:ascii="Times New Roman" w:hAnsi="Times New Roman" w:cs="Times New Roman"/>
      <w:kern w:val="2"/>
      <w:sz w:val="20"/>
      <w:szCs w:val="24"/>
      <w:lang w:val="en-US" w:eastAsia="zh-CN"/>
    </w:rPr>
  </w:style>
  <w:style w:type="character" w:customStyle="1" w:styleId="EndNoteBibliography0">
    <w:name w:val="EndNote Bibliography 字符"/>
    <w:basedOn w:val="DefaultParagraphFont"/>
    <w:link w:val="EndNoteBibliography"/>
    <w:qFormat/>
    <w:rPr>
      <w:rFonts w:ascii="Times New Roman" w:hAnsi="Times New Roman" w:cs="Times New Roman"/>
      <w:kern w:val="2"/>
      <w:sz w:val="20"/>
      <w:szCs w:val="24"/>
      <w:lang w:val="en-US" w:eastAsia="zh-CN"/>
    </w:rPr>
  </w:style>
  <w:style w:type="character" w:customStyle="1" w:styleId="EndnoteTextChar">
    <w:name w:val="Endnote Text Char"/>
    <w:basedOn w:val="DefaultParagraphFont"/>
    <w:link w:val="EndnoteText"/>
    <w:qFormat/>
    <w:rPr>
      <w:kern w:val="2"/>
      <w:sz w:val="21"/>
      <w:szCs w:val="24"/>
      <w:lang w:val="en-US" w:eastAsia="zh-CN"/>
    </w:rPr>
  </w:style>
  <w:style w:type="paragraph" w:customStyle="1" w:styleId="p1">
    <w:name w:val="p1"/>
    <w:basedOn w:val="Normal"/>
    <w:qFormat/>
    <w:pPr>
      <w:widowControl w:val="0"/>
      <w:spacing w:after="0" w:line="240" w:lineRule="auto"/>
    </w:pPr>
    <w:rPr>
      <w:rFonts w:ascii="Helvetica" w:eastAsia="Helvetica" w:hAnsi="Helvetica" w:cs="Times New Roman"/>
      <w:color w:val="000000"/>
      <w:sz w:val="16"/>
      <w:szCs w:val="16"/>
      <w:lang w:val="en-US" w:eastAsia="zh-CN"/>
    </w:rPr>
  </w:style>
  <w:style w:type="character" w:customStyle="1" w:styleId="s1">
    <w:name w:val="s1"/>
    <w:basedOn w:val="DefaultParagraphFont"/>
    <w:qFormat/>
    <w:rPr>
      <w:rFonts w:ascii="Times" w:eastAsia="Times" w:hAnsi="Times" w:cs="Times"/>
      <w:sz w:val="12"/>
      <w:szCs w:val="12"/>
    </w:rPr>
  </w:style>
  <w:style w:type="character" w:customStyle="1" w:styleId="s2">
    <w:name w:val="s2"/>
    <w:basedOn w:val="DefaultParagraphFont"/>
    <w:qFormat/>
    <w:rPr>
      <w:rFonts w:ascii="Times" w:eastAsia="Times" w:hAnsi="Times" w:cs="Times" w:hint="default"/>
      <w:sz w:val="18"/>
      <w:szCs w:val="18"/>
    </w:rPr>
  </w:style>
  <w:style w:type="paragraph" w:customStyle="1" w:styleId="p2">
    <w:name w:val="p2"/>
    <w:basedOn w:val="Normal"/>
    <w:qFormat/>
    <w:pPr>
      <w:widowControl w:val="0"/>
      <w:spacing w:after="0" w:line="240" w:lineRule="auto"/>
    </w:pPr>
    <w:rPr>
      <w:rFonts w:ascii="Times" w:eastAsia="Times" w:hAnsi="Times" w:cs="Times New Roman"/>
      <w:color w:val="000000"/>
      <w:sz w:val="20"/>
      <w:szCs w:val="20"/>
      <w:lang w:val="en-US" w:eastAsia="zh-CN"/>
    </w:rPr>
  </w:style>
  <w:style w:type="paragraph" w:customStyle="1" w:styleId="10">
    <w:name w:val="列表段落1"/>
    <w:basedOn w:val="Normal"/>
    <w:uiPriority w:val="34"/>
    <w:qFormat/>
    <w:pPr>
      <w:widowControl w:val="0"/>
      <w:spacing w:after="0" w:line="240" w:lineRule="auto"/>
      <w:ind w:firstLineChars="200" w:firstLine="420"/>
      <w:jc w:val="both"/>
    </w:pPr>
    <w:rPr>
      <w:kern w:val="2"/>
      <w:sz w:val="21"/>
      <w:szCs w:val="24"/>
      <w:lang w:val="en-US" w:eastAsia="zh-CN"/>
    </w:rPr>
  </w:style>
  <w:style w:type="paragraph" w:customStyle="1" w:styleId="EndNoteBibliographyTitle">
    <w:name w:val="EndNote Bibliography Title"/>
    <w:basedOn w:val="Normal"/>
    <w:link w:val="EndNoteBibliographyTitle0"/>
    <w:qFormat/>
    <w:pPr>
      <w:widowControl w:val="0"/>
      <w:spacing w:after="0" w:line="240" w:lineRule="auto"/>
      <w:jc w:val="center"/>
    </w:pPr>
    <w:rPr>
      <w:rFonts w:ascii="Times New Roman" w:hAnsi="Times New Roman" w:cs="Times New Roman"/>
      <w:kern w:val="2"/>
      <w:sz w:val="20"/>
      <w:szCs w:val="24"/>
      <w:lang w:val="en-US" w:eastAsia="zh-CN"/>
    </w:rPr>
  </w:style>
  <w:style w:type="character" w:customStyle="1" w:styleId="EndNoteBibliographyTitle0">
    <w:name w:val="EndNote Bibliography Title 字符"/>
    <w:basedOn w:val="DefaultParagraphFont"/>
    <w:link w:val="EndNoteBibliographyTitle"/>
    <w:qFormat/>
    <w:rPr>
      <w:rFonts w:ascii="Times New Roman" w:hAnsi="Times New Roman" w:cs="Times New Roman"/>
      <w:kern w:val="2"/>
      <w:sz w:val="20"/>
      <w:szCs w:val="24"/>
      <w:lang w:val="en-US" w:eastAsia="zh-CN"/>
    </w:rPr>
  </w:style>
  <w:style w:type="character" w:customStyle="1" w:styleId="11">
    <w:name w:val="未处理的提及1"/>
    <w:basedOn w:val="DefaultParagraphFont"/>
    <w:uiPriority w:val="99"/>
    <w:unhideWhenUsed/>
    <w:qFormat/>
    <w:rPr>
      <w:color w:val="605E5C"/>
      <w:shd w:val="clear" w:color="auto" w:fill="E1DFDD"/>
    </w:rPr>
  </w:style>
  <w:style w:type="character" w:customStyle="1" w:styleId="12">
    <w:name w:val="占位符文本1"/>
    <w:basedOn w:val="DefaultParagraphFont"/>
    <w:uiPriority w:val="99"/>
    <w:semiHidden/>
    <w:qFormat/>
    <w:rPr>
      <w:color w:val="808080"/>
    </w:rPr>
  </w:style>
  <w:style w:type="paragraph" w:customStyle="1" w:styleId="13">
    <w:name w:val="修订1"/>
    <w:hidden/>
    <w:uiPriority w:val="99"/>
    <w:semiHidden/>
    <w:qFormat/>
    <w:rPr>
      <w:kern w:val="2"/>
      <w:sz w:val="21"/>
      <w:szCs w:val="24"/>
    </w:rPr>
  </w:style>
  <w:style w:type="character" w:customStyle="1" w:styleId="2">
    <w:name w:val="未处理的提及2"/>
    <w:basedOn w:val="DefaultParagraphFont"/>
    <w:uiPriority w:val="99"/>
    <w:unhideWhenUsed/>
    <w:qFormat/>
    <w:rPr>
      <w:color w:val="605E5C"/>
      <w:shd w:val="clear" w:color="auto" w:fill="E1DFDD"/>
    </w:rPr>
  </w:style>
  <w:style w:type="paragraph" w:customStyle="1" w:styleId="Text">
    <w:name w:val="Text"/>
    <w:basedOn w:val="Normal"/>
    <w:qFormat/>
    <w:pPr>
      <w:widowControl w:val="0"/>
      <w:spacing w:after="0" w:line="252" w:lineRule="auto"/>
      <w:ind w:firstLine="202"/>
      <w:jc w:val="both"/>
    </w:pPr>
    <w:rPr>
      <w:rFonts w:ascii="Times New Roman" w:eastAsia="SimSun" w:hAnsi="Times New Roman" w:cs="Times New Roman"/>
      <w:sz w:val="20"/>
      <w:szCs w:val="20"/>
      <w:lang w:val="en-US"/>
    </w:rPr>
  </w:style>
  <w:style w:type="character" w:styleId="PlaceholderText">
    <w:name w:val="Placeholder Text"/>
    <w:basedOn w:val="DefaultParagraphFont"/>
    <w:uiPriority w:val="99"/>
    <w:semiHidden/>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12.png"/><Relationship Id="rId39" Type="http://schemas.openxmlformats.org/officeDocument/2006/relationships/fontTable" Target="fontTable.xml"/><Relationship Id="rId21" Type="http://schemas.openxmlformats.org/officeDocument/2006/relationships/image" Target="media/image7.jpeg"/><Relationship Id="rId34" Type="http://schemas.openxmlformats.org/officeDocument/2006/relationships/image" Target="media/image20.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jpeg"/><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image" Target="media/image17.jpe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8" Type="http://schemas.openxmlformats.org/officeDocument/2006/relationships/endnotes" Target="endnotes.xml"/><Relationship Id="rId3" Type="http://schemas.openxmlformats.org/officeDocument/2006/relationships/numbering" Target="numbering.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6715610-EA33-4A97-AC93-BC8D0AC1DA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14439</Words>
  <Characters>82303</Characters>
  <Application>Microsoft Office Word</Application>
  <DocSecurity>0</DocSecurity>
  <Lines>685</Lines>
  <Paragraphs>193</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96549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Kate McCallum</dc:creator>
  <cp:lastModifiedBy>George Chen</cp:lastModifiedBy>
  <cp:revision>3</cp:revision>
  <cp:lastPrinted>2021-11-11T02:17:00Z</cp:lastPrinted>
  <dcterms:created xsi:type="dcterms:W3CDTF">2022-01-17T10:18:00Z</dcterms:created>
  <dcterms:modified xsi:type="dcterms:W3CDTF">2022-01-17T10:18:00Z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2052-11.1.0.11045</vt:lpwstr>
  </property>
  <property fmtid="{D5CDD505-2E9C-101B-9397-08002B2CF9AE}" pid="3" name="ICV">
    <vt:lpwstr>06E4336FF8CA4C03B29D2966ED423123</vt:lpwstr>
  </property>
  <property fmtid="{D5CDD505-2E9C-101B-9397-08002B2CF9AE}" pid="4" name="_AdHocReviewCycleID">
    <vt:i4>-299510737</vt:i4>
  </property>
  <property fmtid="{D5CDD505-2E9C-101B-9397-08002B2CF9AE}" pid="5" name="_NewReviewCycle">
    <vt:lpwstr/>
  </property>
  <property fmtid="{D5CDD505-2E9C-101B-9397-08002B2CF9AE}" pid="6" name="_EmailSubject">
    <vt:lpwstr>Accepted manuscript for Pure - ACTION REQUIRED</vt:lpwstr>
  </property>
  <property fmtid="{D5CDD505-2E9C-101B-9397-08002B2CF9AE}" pid="7" name="_AuthorEmail">
    <vt:lpwstr>gc@ecs.soton.ac.uk</vt:lpwstr>
  </property>
  <property fmtid="{D5CDD505-2E9C-101B-9397-08002B2CF9AE}" pid="8" name="_AuthorEmailDisplayName">
    <vt:lpwstr>George Chen</vt:lpwstr>
  </property>
</Properties>
</file>