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A2F00" w14:textId="2DE16928" w:rsidR="00CF7BC4" w:rsidRPr="00E678AB" w:rsidRDefault="009D77B2">
      <w:pPr>
        <w:pStyle w:val="Title"/>
        <w:rPr>
          <w:lang w:val="en-GB"/>
        </w:rPr>
      </w:pPr>
      <w:r w:rsidRPr="00E678AB">
        <w:rPr>
          <w:lang w:val="en-GB"/>
        </w:rPr>
        <w:t xml:space="preserve">Influence of hospital </w:t>
      </w:r>
      <w:r w:rsidR="0084325A">
        <w:rPr>
          <w:lang w:val="en-GB"/>
        </w:rPr>
        <w:t>facilities</w:t>
      </w:r>
      <w:r w:rsidRPr="00E678AB">
        <w:rPr>
          <w:lang w:val="en-GB"/>
        </w:rPr>
        <w:t xml:space="preserve"> on patient outcomes following cancer surgery: an international</w:t>
      </w:r>
      <w:r w:rsidR="00BB05E5">
        <w:rPr>
          <w:lang w:val="en-GB"/>
        </w:rPr>
        <w:t>, prospective observational</w:t>
      </w:r>
      <w:r w:rsidR="00C456F5">
        <w:rPr>
          <w:lang w:val="en-GB"/>
        </w:rPr>
        <w:t xml:space="preserve"> </w:t>
      </w:r>
      <w:r w:rsidRPr="00E678AB">
        <w:rPr>
          <w:lang w:val="en-GB"/>
        </w:rPr>
        <w:t>study</w:t>
      </w:r>
    </w:p>
    <w:p w14:paraId="7D69D2C3" w14:textId="77777777" w:rsidR="00CF7BC4" w:rsidRPr="00E678AB" w:rsidRDefault="009D77B2">
      <w:pPr>
        <w:pStyle w:val="Heading3"/>
        <w:rPr>
          <w:lang w:val="en-GB"/>
        </w:rPr>
      </w:pPr>
      <w:bookmarkStart w:id="0" w:name="summary"/>
      <w:r w:rsidRPr="00E678AB">
        <w:rPr>
          <w:lang w:val="en-GB"/>
        </w:rPr>
        <w:t>Summary</w:t>
      </w:r>
      <w:bookmarkEnd w:id="0"/>
    </w:p>
    <w:p w14:paraId="5FC772C8" w14:textId="77777777" w:rsidR="00CF7BC4" w:rsidRPr="00E678AB" w:rsidRDefault="009D77B2">
      <w:pPr>
        <w:pStyle w:val="FirstParagraph"/>
        <w:rPr>
          <w:lang w:val="en-GB"/>
        </w:rPr>
      </w:pPr>
      <w:r w:rsidRPr="00E678AB">
        <w:rPr>
          <w:b/>
          <w:lang w:val="en-GB"/>
        </w:rPr>
        <w:t>Background</w:t>
      </w:r>
    </w:p>
    <w:p w14:paraId="018B4AE3" w14:textId="7E3403C3" w:rsidR="00CF7BC4" w:rsidRPr="00E678AB" w:rsidRDefault="009D77B2">
      <w:pPr>
        <w:pStyle w:val="BodyText"/>
        <w:rPr>
          <w:lang w:val="en-GB"/>
        </w:rPr>
      </w:pPr>
      <w:r w:rsidRPr="00E678AB">
        <w:rPr>
          <w:lang w:val="en-GB"/>
        </w:rPr>
        <w:t xml:space="preserve">Early death after cancer surgery is higher in low- and middle-income </w:t>
      </w:r>
      <w:r w:rsidR="001E680A">
        <w:rPr>
          <w:lang w:val="en-GB"/>
        </w:rPr>
        <w:t>countries</w:t>
      </w:r>
      <w:r w:rsidRPr="00E678AB">
        <w:rPr>
          <w:lang w:val="en-GB"/>
        </w:rPr>
        <w:t xml:space="preserve">, yet the impact of </w:t>
      </w:r>
      <w:r w:rsidR="00632131">
        <w:rPr>
          <w:lang w:val="en-GB"/>
        </w:rPr>
        <w:t>facility</w:t>
      </w:r>
      <w:r w:rsidR="00632131" w:rsidRPr="00E678AB">
        <w:rPr>
          <w:lang w:val="en-GB"/>
        </w:rPr>
        <w:t xml:space="preserve"> </w:t>
      </w:r>
      <w:r w:rsidRPr="00E678AB">
        <w:rPr>
          <w:lang w:val="en-GB"/>
        </w:rPr>
        <w:t xml:space="preserve">characteristics on early postoperative outcomes </w:t>
      </w:r>
      <w:r w:rsidR="00E678AB">
        <w:rPr>
          <w:lang w:val="en-GB"/>
        </w:rPr>
        <w:t>is</w:t>
      </w:r>
      <w:r w:rsidRPr="00E678AB">
        <w:rPr>
          <w:lang w:val="en-GB"/>
        </w:rPr>
        <w:t xml:space="preserve"> unknown. </w:t>
      </w:r>
      <w:r w:rsidR="00C93C3A">
        <w:rPr>
          <w:lang w:val="en-GB"/>
        </w:rPr>
        <w:t>The aim of this study was to</w:t>
      </w:r>
      <w:r w:rsidRPr="00E678AB">
        <w:rPr>
          <w:lang w:val="en-GB"/>
        </w:rPr>
        <w:t xml:space="preserve"> examine the association between </w:t>
      </w:r>
      <w:r w:rsidRPr="00B87168">
        <w:rPr>
          <w:lang w:val="en-GB"/>
        </w:rPr>
        <w:t xml:space="preserve">hospital </w:t>
      </w:r>
      <w:r w:rsidR="00787ED3" w:rsidRPr="00B87168">
        <w:rPr>
          <w:lang w:val="en-GB"/>
        </w:rPr>
        <w:t xml:space="preserve">infrastructure, </w:t>
      </w:r>
      <w:r w:rsidR="00A42465" w:rsidRPr="00B87168">
        <w:rPr>
          <w:lang w:val="en-GB"/>
        </w:rPr>
        <w:t>resource availability</w:t>
      </w:r>
      <w:r w:rsidR="00787ED3" w:rsidRPr="00B87168">
        <w:rPr>
          <w:lang w:val="en-GB"/>
        </w:rPr>
        <w:t>,</w:t>
      </w:r>
      <w:r w:rsidR="00D15E64" w:rsidRPr="00B87168">
        <w:rPr>
          <w:lang w:val="en-GB"/>
        </w:rPr>
        <w:t xml:space="preserve"> and processes</w:t>
      </w:r>
      <w:r w:rsidR="007A4B89">
        <w:rPr>
          <w:lang w:val="en-GB"/>
        </w:rPr>
        <w:t xml:space="preserve"> </w:t>
      </w:r>
      <w:r w:rsidR="00D15E64">
        <w:rPr>
          <w:lang w:val="en-GB"/>
        </w:rPr>
        <w:t>on</w:t>
      </w:r>
      <w:r w:rsidRPr="00E678AB">
        <w:rPr>
          <w:lang w:val="en-GB"/>
        </w:rPr>
        <w:t xml:space="preserve"> early outcomes following cancer surgery worldwide.</w:t>
      </w:r>
    </w:p>
    <w:p w14:paraId="57C48CFA" w14:textId="77777777" w:rsidR="00CF7BC4" w:rsidRPr="00E678AB" w:rsidRDefault="009D77B2">
      <w:pPr>
        <w:pStyle w:val="BodyText"/>
        <w:rPr>
          <w:lang w:val="en-GB"/>
        </w:rPr>
      </w:pPr>
      <w:r w:rsidRPr="00E678AB">
        <w:rPr>
          <w:b/>
          <w:lang w:val="en-GB"/>
        </w:rPr>
        <w:t>Methods</w:t>
      </w:r>
    </w:p>
    <w:p w14:paraId="3CA0E02F" w14:textId="3F63B634" w:rsidR="00301A66" w:rsidRDefault="009D77B2">
      <w:pPr>
        <w:pStyle w:val="BodyText"/>
        <w:rPr>
          <w:lang w:val="en-GB"/>
        </w:rPr>
      </w:pPr>
      <w:r w:rsidRPr="005C7942">
        <w:rPr>
          <w:lang w:val="en-GB"/>
        </w:rPr>
        <w:t xml:space="preserve">A mixed-methods analysis was performed </w:t>
      </w:r>
      <w:r w:rsidR="009B1F90">
        <w:rPr>
          <w:lang w:val="en-GB"/>
        </w:rPr>
        <w:t xml:space="preserve">as part of </w:t>
      </w:r>
      <w:r w:rsidRPr="005C7942">
        <w:rPr>
          <w:lang w:val="en-GB"/>
        </w:rPr>
        <w:t xml:space="preserve">the GlobalSurg 3 study, a multicentre, international prospective cohort study of patients who underwent surgery for breast, </w:t>
      </w:r>
      <w:r w:rsidR="001767D8">
        <w:rPr>
          <w:lang w:val="en-GB"/>
        </w:rPr>
        <w:t>colorectal</w:t>
      </w:r>
      <w:r w:rsidRPr="005C7942">
        <w:rPr>
          <w:lang w:val="en-GB"/>
        </w:rPr>
        <w:t xml:space="preserve"> or </w:t>
      </w:r>
      <w:r w:rsidR="001767D8">
        <w:rPr>
          <w:lang w:val="en-GB"/>
        </w:rPr>
        <w:t xml:space="preserve">gastric </w:t>
      </w:r>
      <w:r w:rsidRPr="005C7942">
        <w:rPr>
          <w:lang w:val="en-GB"/>
        </w:rPr>
        <w:t xml:space="preserve">cancer. The primary outcomes were 30-day mortality and major complication rates. </w:t>
      </w:r>
      <w:r w:rsidR="004F7A4E">
        <w:rPr>
          <w:lang w:val="en-GB"/>
        </w:rPr>
        <w:t>P</w:t>
      </w:r>
      <w:r w:rsidR="004F7A4E" w:rsidRPr="005C7942">
        <w:rPr>
          <w:lang w:val="en-GB"/>
        </w:rPr>
        <w:t xml:space="preserve">otentially </w:t>
      </w:r>
      <w:r w:rsidR="004F7A4E" w:rsidRPr="0084325A">
        <w:rPr>
          <w:lang w:val="en-GB"/>
        </w:rPr>
        <w:t xml:space="preserve">beneficial </w:t>
      </w:r>
      <w:r w:rsidR="0084325A" w:rsidRPr="0084325A">
        <w:rPr>
          <w:lang w:val="en-GB"/>
        </w:rPr>
        <w:t>hospital</w:t>
      </w:r>
      <w:r w:rsidR="0084325A">
        <w:rPr>
          <w:lang w:val="en-GB"/>
        </w:rPr>
        <w:t xml:space="preserve"> facilities</w:t>
      </w:r>
      <w:r w:rsidR="004F7A4E" w:rsidRPr="005C7942">
        <w:rPr>
          <w:lang w:val="en-GB"/>
        </w:rPr>
        <w:t xml:space="preserve"> </w:t>
      </w:r>
      <w:r w:rsidR="004F7A4E">
        <w:rPr>
          <w:lang w:val="en-GB"/>
        </w:rPr>
        <w:t xml:space="preserve">were identified by </w:t>
      </w:r>
      <w:r w:rsidR="004F7A4E" w:rsidRPr="00E678AB">
        <w:rPr>
          <w:lang w:val="en-GB"/>
        </w:rPr>
        <w:t xml:space="preserve">variable selection </w:t>
      </w:r>
      <w:r w:rsidR="00F0088F" w:rsidRPr="00E678AB">
        <w:rPr>
          <w:lang w:val="en-GB"/>
        </w:rPr>
        <w:t>to select those associated with 30-day mortality</w:t>
      </w:r>
      <w:r w:rsidR="000F3BBF">
        <w:rPr>
          <w:lang w:val="en-GB"/>
        </w:rPr>
        <w:t xml:space="preserve">. </w:t>
      </w:r>
      <w:r w:rsidR="005B565F">
        <w:rPr>
          <w:lang w:val="en-GB"/>
        </w:rPr>
        <w:t xml:space="preserve">Adjusted outcomes were </w:t>
      </w:r>
      <w:r w:rsidR="00643AF8">
        <w:rPr>
          <w:lang w:val="en-GB"/>
        </w:rPr>
        <w:t>determined</w:t>
      </w:r>
      <w:r w:rsidR="005B565F">
        <w:rPr>
          <w:lang w:val="en-GB"/>
        </w:rPr>
        <w:t xml:space="preserve"> using </w:t>
      </w:r>
      <w:r w:rsidR="001767D8">
        <w:rPr>
          <w:lang w:val="en-GB"/>
        </w:rPr>
        <w:t>generalised</w:t>
      </w:r>
      <w:r w:rsidR="005B565F">
        <w:rPr>
          <w:lang w:val="en-GB"/>
        </w:rPr>
        <w:t xml:space="preserve"> estimating equations </w:t>
      </w:r>
      <w:r w:rsidR="00643AF8">
        <w:rPr>
          <w:lang w:val="en-GB"/>
        </w:rPr>
        <w:t>to account for patient characteristics and country-income group, with population stratification by hospital.</w:t>
      </w:r>
      <w:r w:rsidR="00211769">
        <w:rPr>
          <w:lang w:val="en-GB"/>
        </w:rPr>
        <w:t xml:space="preserve"> </w:t>
      </w:r>
    </w:p>
    <w:p w14:paraId="6F11D479" w14:textId="77777777" w:rsidR="00CF7BC4" w:rsidRPr="00E678AB" w:rsidRDefault="009D77B2">
      <w:pPr>
        <w:pStyle w:val="BodyText"/>
        <w:rPr>
          <w:lang w:val="en-GB"/>
        </w:rPr>
      </w:pPr>
      <w:r w:rsidRPr="00E678AB">
        <w:rPr>
          <w:b/>
          <w:lang w:val="en-GB"/>
        </w:rPr>
        <w:t>Findings</w:t>
      </w:r>
    </w:p>
    <w:p w14:paraId="1A111E72" w14:textId="182C3EC4" w:rsidR="00CF7BC4" w:rsidRPr="00E678AB" w:rsidRDefault="00AE25A9">
      <w:pPr>
        <w:pStyle w:val="BodyText"/>
        <w:rPr>
          <w:lang w:val="en-GB"/>
        </w:rPr>
      </w:pPr>
      <w:r>
        <w:rPr>
          <w:lang w:val="en-GB"/>
        </w:rPr>
        <w:t>Between April 1, 2018, and April 23, 2019, f</w:t>
      </w:r>
      <w:r w:rsidR="00301180">
        <w:rPr>
          <w:lang w:val="en-GB"/>
        </w:rPr>
        <w:t>acility</w:t>
      </w:r>
      <w:r w:rsidR="009D77B2" w:rsidRPr="00E678AB">
        <w:rPr>
          <w:lang w:val="en-GB"/>
        </w:rPr>
        <w:t>-level data w</w:t>
      </w:r>
      <w:r w:rsidR="000953BB">
        <w:rPr>
          <w:lang w:val="en-GB"/>
        </w:rPr>
        <w:t>as</w:t>
      </w:r>
      <w:r w:rsidR="009D77B2" w:rsidRPr="00E678AB">
        <w:rPr>
          <w:lang w:val="en-GB"/>
        </w:rPr>
        <w:t xml:space="preserve"> </w:t>
      </w:r>
      <w:r>
        <w:rPr>
          <w:lang w:val="en-GB"/>
        </w:rPr>
        <w:t>collected</w:t>
      </w:r>
      <w:r w:rsidR="009D77B2" w:rsidRPr="00E678AB">
        <w:rPr>
          <w:lang w:val="en-GB"/>
        </w:rPr>
        <w:t xml:space="preserve"> for 9685 patients across 238 hospitals (91 hospitals, 20 </w:t>
      </w:r>
      <w:r w:rsidR="00787ED3" w:rsidRPr="00E678AB">
        <w:rPr>
          <w:lang w:val="en-GB"/>
        </w:rPr>
        <w:t xml:space="preserve">high income </w:t>
      </w:r>
      <w:r w:rsidR="009D77B2" w:rsidRPr="00E678AB">
        <w:rPr>
          <w:lang w:val="en-GB"/>
        </w:rPr>
        <w:t xml:space="preserve">countries; 57 hospitals, 19 </w:t>
      </w:r>
      <w:r w:rsidR="00787ED3" w:rsidRPr="00E678AB">
        <w:rPr>
          <w:lang w:val="en-GB"/>
        </w:rPr>
        <w:t xml:space="preserve">upper </w:t>
      </w:r>
      <w:proofErr w:type="gramStart"/>
      <w:r w:rsidR="00787ED3" w:rsidRPr="00E678AB">
        <w:rPr>
          <w:lang w:val="en-GB"/>
        </w:rPr>
        <w:t>middle income</w:t>
      </w:r>
      <w:proofErr w:type="gramEnd"/>
      <w:r w:rsidR="00787ED3" w:rsidRPr="00E678AB">
        <w:rPr>
          <w:lang w:val="en-GB"/>
        </w:rPr>
        <w:t xml:space="preserve"> </w:t>
      </w:r>
      <w:r w:rsidR="009D77B2" w:rsidRPr="00E678AB">
        <w:rPr>
          <w:lang w:val="en-GB"/>
        </w:rPr>
        <w:t xml:space="preserve">countries; 90 hospitals, 27 </w:t>
      </w:r>
      <w:r w:rsidR="00787ED3" w:rsidRPr="00E678AB">
        <w:rPr>
          <w:lang w:val="en-GB"/>
        </w:rPr>
        <w:t xml:space="preserve">low/lower middle income </w:t>
      </w:r>
      <w:r w:rsidR="009D77B2" w:rsidRPr="00E678AB">
        <w:rPr>
          <w:lang w:val="en-GB"/>
        </w:rPr>
        <w:t xml:space="preserve">countries). </w:t>
      </w:r>
      <w:r w:rsidR="003D22B8">
        <w:rPr>
          <w:lang w:val="en-GB"/>
        </w:rPr>
        <w:t xml:space="preserve">The availability </w:t>
      </w:r>
      <w:r w:rsidR="003D22B8" w:rsidRPr="0084325A">
        <w:rPr>
          <w:lang w:val="en-GB"/>
        </w:rPr>
        <w:t>of f</w:t>
      </w:r>
      <w:r w:rsidR="009D77B2" w:rsidRPr="0084325A">
        <w:rPr>
          <w:lang w:val="en-GB"/>
        </w:rPr>
        <w:t xml:space="preserve">ive </w:t>
      </w:r>
      <w:r w:rsidR="0084325A" w:rsidRPr="0084325A">
        <w:rPr>
          <w:lang w:val="en-GB"/>
        </w:rPr>
        <w:t>hospital facilities</w:t>
      </w:r>
      <w:r w:rsidR="009D77B2" w:rsidRPr="0084325A">
        <w:rPr>
          <w:lang w:val="en-GB"/>
        </w:rPr>
        <w:t xml:space="preserve"> </w:t>
      </w:r>
      <w:r w:rsidR="00D72ADE" w:rsidRPr="00E678AB">
        <w:rPr>
          <w:lang w:val="en-GB"/>
        </w:rPr>
        <w:t>w</w:t>
      </w:r>
      <w:r w:rsidR="0084325A">
        <w:rPr>
          <w:lang w:val="en-GB"/>
        </w:rPr>
        <w:t>ere</w:t>
      </w:r>
      <w:r w:rsidR="00D72ADE" w:rsidRPr="00E678AB">
        <w:rPr>
          <w:lang w:val="en-GB"/>
        </w:rPr>
        <w:t xml:space="preserve"> inversely </w:t>
      </w:r>
      <w:r w:rsidR="009D77B2" w:rsidRPr="00E678AB">
        <w:rPr>
          <w:lang w:val="en-GB"/>
        </w:rPr>
        <w:t>associat</w:t>
      </w:r>
      <w:r w:rsidR="00D72ADE" w:rsidRPr="00E678AB">
        <w:rPr>
          <w:lang w:val="en-GB"/>
        </w:rPr>
        <w:t>ed</w:t>
      </w:r>
      <w:r w:rsidR="009D77B2" w:rsidRPr="00E678AB">
        <w:rPr>
          <w:lang w:val="en-GB"/>
        </w:rPr>
        <w:t xml:space="preserve"> with mortality: ultrasound, CT scanner, critical care unit, opioid analgesia, and oncologist. After adjustment for case-mix and country income group, hospitals with three or less </w:t>
      </w:r>
      <w:r w:rsidR="005C7942">
        <w:rPr>
          <w:lang w:val="en-GB"/>
        </w:rPr>
        <w:t>characteristics</w:t>
      </w:r>
      <w:r w:rsidR="00D72ADE" w:rsidRPr="00E678AB">
        <w:rPr>
          <w:lang w:val="en-GB"/>
        </w:rPr>
        <w:t xml:space="preserve"> </w:t>
      </w:r>
      <w:r w:rsidR="009D77B2" w:rsidRPr="00E678AB">
        <w:rPr>
          <w:lang w:val="en-GB"/>
        </w:rPr>
        <w:t xml:space="preserve">(62 hospitals, 1294 patients) had higher mortality (adjusted odds ratio 3.46, 95% CI 2.38-5.03; P&lt;0.001), with excess mortality predominantly explained by limited capacity to rescue following the development of major complications (69.4 vs. 80.1%; P=0.008). Across LMICs, improvements in hospital </w:t>
      </w:r>
      <w:r w:rsidR="00DA1A17">
        <w:rPr>
          <w:lang w:val="en-GB"/>
        </w:rPr>
        <w:t>facilities</w:t>
      </w:r>
      <w:r w:rsidR="009D77B2" w:rsidRPr="00E678AB">
        <w:rPr>
          <w:lang w:val="en-GB"/>
        </w:rPr>
        <w:t xml:space="preserve"> would prevent one to three deaths for every 100 patients undergoing surgery for cancer.</w:t>
      </w:r>
    </w:p>
    <w:p w14:paraId="1DC9B1E4" w14:textId="77777777" w:rsidR="00CF7BC4" w:rsidRPr="00E678AB" w:rsidRDefault="009D77B2">
      <w:pPr>
        <w:pStyle w:val="BodyText"/>
        <w:rPr>
          <w:lang w:val="en-GB"/>
        </w:rPr>
      </w:pPr>
      <w:r w:rsidRPr="00E678AB">
        <w:rPr>
          <w:b/>
          <w:lang w:val="en-GB"/>
        </w:rPr>
        <w:t>Interpretation</w:t>
      </w:r>
    </w:p>
    <w:p w14:paraId="5DBA2D53" w14:textId="43321991" w:rsidR="00CF7BC4" w:rsidRPr="00E678AB" w:rsidRDefault="009D77B2">
      <w:pPr>
        <w:pStyle w:val="BodyText"/>
        <w:rPr>
          <w:lang w:val="en-GB"/>
        </w:rPr>
      </w:pPr>
      <w:r w:rsidRPr="00E678AB">
        <w:rPr>
          <w:lang w:val="en-GB"/>
        </w:rPr>
        <w:t>Hospitals with</w:t>
      </w:r>
      <w:r w:rsidR="00856DCD">
        <w:rPr>
          <w:lang w:val="en-GB"/>
        </w:rPr>
        <w:t xml:space="preserve"> </w:t>
      </w:r>
      <w:r w:rsidR="00B37FC8" w:rsidRPr="00CF7397">
        <w:rPr>
          <w:lang w:val="en-GB"/>
        </w:rPr>
        <w:t>higher</w:t>
      </w:r>
      <w:r w:rsidR="00856DCD" w:rsidRPr="00CF7397">
        <w:rPr>
          <w:lang w:val="en-GB"/>
        </w:rPr>
        <w:t xml:space="preserve"> level</w:t>
      </w:r>
      <w:r w:rsidR="00B37FC8" w:rsidRPr="00CF7397">
        <w:rPr>
          <w:lang w:val="en-GB"/>
        </w:rPr>
        <w:t xml:space="preserve">s of infrastructure and </w:t>
      </w:r>
      <w:r w:rsidR="00A42465" w:rsidRPr="00CF7397">
        <w:rPr>
          <w:lang w:val="en-GB"/>
        </w:rPr>
        <w:t>resources</w:t>
      </w:r>
      <w:r w:rsidRPr="00E678AB">
        <w:rPr>
          <w:lang w:val="en-GB"/>
        </w:rPr>
        <w:t xml:space="preserve"> achieve better outcomes following cancer surgery, independent of country</w:t>
      </w:r>
      <w:r w:rsidR="00C15E3E">
        <w:rPr>
          <w:lang w:val="en-GB"/>
        </w:rPr>
        <w:t xml:space="preserve"> </w:t>
      </w:r>
      <w:r w:rsidRPr="00E678AB">
        <w:rPr>
          <w:lang w:val="en-GB"/>
        </w:rPr>
        <w:t xml:space="preserve">income. </w:t>
      </w:r>
      <w:r w:rsidR="008B71A2">
        <w:rPr>
          <w:lang w:val="en-GB"/>
        </w:rPr>
        <w:t>Without urgent strengthening of</w:t>
      </w:r>
      <w:r w:rsidR="008B71A2" w:rsidRPr="00E678AB">
        <w:rPr>
          <w:lang w:val="en-GB"/>
        </w:rPr>
        <w:t xml:space="preserve"> </w:t>
      </w:r>
      <w:r w:rsidR="008B71A2">
        <w:rPr>
          <w:lang w:val="en-GB"/>
        </w:rPr>
        <w:t>hospital infrastructure</w:t>
      </w:r>
      <w:r w:rsidR="008B71A2" w:rsidRPr="00E678AB">
        <w:rPr>
          <w:lang w:val="en-GB"/>
        </w:rPr>
        <w:t xml:space="preserve"> </w:t>
      </w:r>
      <w:r w:rsidR="008B71A2">
        <w:rPr>
          <w:lang w:val="en-GB"/>
        </w:rPr>
        <w:t xml:space="preserve">and resources, the </w:t>
      </w:r>
      <w:r w:rsidR="008B71A2" w:rsidRPr="00E678AB">
        <w:rPr>
          <w:lang w:val="en-GB"/>
        </w:rPr>
        <w:t>reductions in cancer-associated mortality</w:t>
      </w:r>
      <w:r w:rsidR="008B71A2">
        <w:rPr>
          <w:lang w:val="en-GB"/>
        </w:rPr>
        <w:t xml:space="preserve"> associated with improved access will not be realised</w:t>
      </w:r>
      <w:r w:rsidR="008B71A2" w:rsidRPr="00E678AB">
        <w:rPr>
          <w:lang w:val="en-GB"/>
        </w:rPr>
        <w:t>.</w:t>
      </w:r>
    </w:p>
    <w:p w14:paraId="4A69BD84" w14:textId="77777777" w:rsidR="00CF7BC4" w:rsidRPr="00E678AB" w:rsidRDefault="009D77B2">
      <w:pPr>
        <w:pStyle w:val="BodyText"/>
        <w:rPr>
          <w:lang w:val="en-GB"/>
        </w:rPr>
      </w:pPr>
      <w:r w:rsidRPr="00E678AB">
        <w:rPr>
          <w:b/>
          <w:lang w:val="en-GB"/>
        </w:rPr>
        <w:t>Funding</w:t>
      </w:r>
      <w:r w:rsidRPr="00E678AB">
        <w:rPr>
          <w:lang w:val="en-GB"/>
        </w:rPr>
        <w:t xml:space="preserve"> National Institute for Health Research Global Health Research Unit.</w:t>
      </w:r>
    </w:p>
    <w:p w14:paraId="55984E2A" w14:textId="67945B11" w:rsidR="00CF7BC4" w:rsidRDefault="009D77B2">
      <w:pPr>
        <w:pStyle w:val="BodyText"/>
        <w:rPr>
          <w:lang w:val="en-GB"/>
        </w:rPr>
      </w:pPr>
      <w:r w:rsidRPr="00E678AB">
        <w:rPr>
          <w:b/>
          <w:lang w:val="en-GB"/>
        </w:rPr>
        <w:t>Key words</w:t>
      </w:r>
      <w:r w:rsidRPr="00E678AB">
        <w:rPr>
          <w:lang w:val="en-GB"/>
        </w:rPr>
        <w:t xml:space="preserve"> cancer, surgery, LMIC, health systems, quality, outcomes</w:t>
      </w:r>
    </w:p>
    <w:p w14:paraId="41769C6D" w14:textId="12016F69" w:rsidR="008A533F" w:rsidRDefault="008A533F">
      <w:r>
        <w:br w:type="page"/>
      </w:r>
    </w:p>
    <w:p w14:paraId="33111C63" w14:textId="77777777" w:rsidR="008A533F" w:rsidRPr="00E678AB" w:rsidRDefault="008A533F" w:rsidP="008A533F">
      <w:pPr>
        <w:pStyle w:val="BodyText"/>
        <w:rPr>
          <w:lang w:val="en-GB"/>
        </w:rPr>
      </w:pPr>
      <w:r w:rsidRPr="00E678AB">
        <w:rPr>
          <w:b/>
          <w:lang w:val="en-GB"/>
        </w:rPr>
        <w:lastRenderedPageBreak/>
        <w:t>Research in context</w:t>
      </w:r>
    </w:p>
    <w:p w14:paraId="327AD716" w14:textId="77777777" w:rsidR="008A533F" w:rsidRPr="00E678AB" w:rsidRDefault="008A533F" w:rsidP="008A533F">
      <w:pPr>
        <w:pStyle w:val="BodyText"/>
        <w:rPr>
          <w:lang w:val="en-GB"/>
        </w:rPr>
      </w:pPr>
      <w:r w:rsidRPr="00E678AB">
        <w:rPr>
          <w:b/>
          <w:lang w:val="en-GB"/>
        </w:rPr>
        <w:t>Evidence before this study</w:t>
      </w:r>
    </w:p>
    <w:p w14:paraId="2D9A27A8" w14:textId="0C066264" w:rsidR="008A533F" w:rsidRPr="00E678AB" w:rsidRDefault="008A533F" w:rsidP="008A533F">
      <w:pPr>
        <w:pStyle w:val="BodyText"/>
        <w:rPr>
          <w:lang w:val="en-GB"/>
        </w:rPr>
      </w:pPr>
      <w:r w:rsidRPr="00E678AB">
        <w:rPr>
          <w:lang w:val="en-GB"/>
        </w:rPr>
        <w:t xml:space="preserve">Excess mortality following cancer surgery in LMICs </w:t>
      </w:r>
      <w:r w:rsidR="00674C9B">
        <w:rPr>
          <w:lang w:val="en-GB"/>
        </w:rPr>
        <w:t>has recently</w:t>
      </w:r>
      <w:r w:rsidR="009D6F7C">
        <w:rPr>
          <w:lang w:val="en-GB"/>
        </w:rPr>
        <w:t xml:space="preserve"> been</w:t>
      </w:r>
      <w:r w:rsidR="00674C9B">
        <w:rPr>
          <w:lang w:val="en-GB"/>
        </w:rPr>
        <w:t xml:space="preserve"> described</w:t>
      </w:r>
      <w:r w:rsidR="007E2C5D">
        <w:rPr>
          <w:lang w:val="en-GB"/>
        </w:rPr>
        <w:t>, however</w:t>
      </w:r>
      <w:r w:rsidR="00674C9B">
        <w:rPr>
          <w:lang w:val="en-GB"/>
        </w:rPr>
        <w:t xml:space="preserve"> the impact of hospital facilities </w:t>
      </w:r>
      <w:r w:rsidR="00F7768C">
        <w:rPr>
          <w:lang w:val="en-GB"/>
        </w:rPr>
        <w:t xml:space="preserve">on </w:t>
      </w:r>
      <w:r w:rsidR="002520B4">
        <w:rPr>
          <w:lang w:val="en-GB"/>
        </w:rPr>
        <w:t xml:space="preserve">early </w:t>
      </w:r>
      <w:r w:rsidR="00F7768C">
        <w:rPr>
          <w:lang w:val="en-GB"/>
        </w:rPr>
        <w:t>patient outcomes is unknown.</w:t>
      </w:r>
      <w:r w:rsidRPr="00E678AB">
        <w:rPr>
          <w:lang w:val="en-GB"/>
        </w:rPr>
        <w:t xml:space="preserve"> The quantification and effect of </w:t>
      </w:r>
      <w:r w:rsidRPr="00CF7397">
        <w:rPr>
          <w:lang w:val="en-GB"/>
        </w:rPr>
        <w:t xml:space="preserve">hospital </w:t>
      </w:r>
      <w:r w:rsidR="007D3D19" w:rsidRPr="00CF7397">
        <w:rPr>
          <w:lang w:val="en-GB"/>
        </w:rPr>
        <w:t>facili</w:t>
      </w:r>
      <w:r w:rsidR="00CF7397" w:rsidRPr="00CF7397">
        <w:rPr>
          <w:lang w:val="en-GB"/>
        </w:rPr>
        <w:t>ties</w:t>
      </w:r>
      <w:r w:rsidRPr="00E678AB">
        <w:rPr>
          <w:lang w:val="en-GB"/>
        </w:rPr>
        <w:t xml:space="preserve"> on early outcomes following cancer surgery worldwide are important to understand, guide further research, and provide additional rationale for inclusion in national surgical plans. We reviewed the </w:t>
      </w:r>
      <w:r w:rsidRPr="00194973">
        <w:rPr>
          <w:lang w:val="en-GB"/>
        </w:rPr>
        <w:t xml:space="preserve">evidence for </w:t>
      </w:r>
      <w:r w:rsidR="000263A3" w:rsidRPr="00194973">
        <w:rPr>
          <w:lang w:val="en-GB"/>
        </w:rPr>
        <w:t>hospital infrastructure and resource availability</w:t>
      </w:r>
      <w:r w:rsidRPr="00E678AB">
        <w:rPr>
          <w:lang w:val="en-GB"/>
        </w:rPr>
        <w:t xml:space="preserve"> on early outcomes following cancer surgery. We searched PubMed, MEDLINE, Google Scholar, and ClinicalTrials.gov for articles published between Jan 1, 1990, and </w:t>
      </w:r>
      <w:r w:rsidR="00295C45">
        <w:rPr>
          <w:lang w:val="en-GB"/>
        </w:rPr>
        <w:t>May 19</w:t>
      </w:r>
      <w:r w:rsidRPr="00E678AB">
        <w:rPr>
          <w:lang w:val="en-GB"/>
        </w:rPr>
        <w:t xml:space="preserve">, 2021, using the terms “cancer” OR “malignancy” AND “surgery” AND “hospital” OR “characteristics” OR “facilities” AND “outcomes”, without language restrictions. Identified studies largely focused on single tumour types and compared outcomes within single high-income countries. No studies explored the impact of </w:t>
      </w:r>
      <w:r w:rsidR="006C2DFC">
        <w:rPr>
          <w:lang w:val="en-GB"/>
        </w:rPr>
        <w:t xml:space="preserve">hospital </w:t>
      </w:r>
      <w:r w:rsidRPr="00E678AB">
        <w:rPr>
          <w:lang w:val="en-GB"/>
        </w:rPr>
        <w:t>characteristics on outcomes after cancer surgery across different income settings.</w:t>
      </w:r>
    </w:p>
    <w:p w14:paraId="0DF02882" w14:textId="77777777" w:rsidR="008A533F" w:rsidRPr="00E678AB" w:rsidRDefault="008A533F" w:rsidP="008A533F">
      <w:pPr>
        <w:pStyle w:val="BodyText"/>
        <w:rPr>
          <w:lang w:val="en-GB"/>
        </w:rPr>
      </w:pPr>
      <w:r w:rsidRPr="00E678AB">
        <w:rPr>
          <w:b/>
          <w:lang w:val="en-GB"/>
        </w:rPr>
        <w:t>Added value of this study</w:t>
      </w:r>
    </w:p>
    <w:p w14:paraId="514EB9D9" w14:textId="449BEADF" w:rsidR="008A533F" w:rsidRPr="00E678AB" w:rsidRDefault="008A533F" w:rsidP="008A533F">
      <w:pPr>
        <w:pStyle w:val="BodyText"/>
        <w:rPr>
          <w:lang w:val="en-GB"/>
        </w:rPr>
      </w:pPr>
      <w:r w:rsidRPr="00E678AB">
        <w:rPr>
          <w:lang w:val="en-GB"/>
        </w:rPr>
        <w:t xml:space="preserve">To our knowledge, our study is the first to provide comprehensive data across income settings on the effect of </w:t>
      </w:r>
      <w:r w:rsidRPr="00CF7397">
        <w:rPr>
          <w:lang w:val="en-GB"/>
        </w:rPr>
        <w:t xml:space="preserve">hospital </w:t>
      </w:r>
      <w:r w:rsidR="005D5974" w:rsidRPr="00CF7397">
        <w:rPr>
          <w:lang w:val="en-GB"/>
        </w:rPr>
        <w:t>facilit</w:t>
      </w:r>
      <w:r w:rsidR="00CF7397" w:rsidRPr="00CF7397">
        <w:rPr>
          <w:lang w:val="en-GB"/>
        </w:rPr>
        <w:t>ies</w:t>
      </w:r>
      <w:r w:rsidR="00CF7397">
        <w:rPr>
          <w:lang w:val="en-GB"/>
        </w:rPr>
        <w:t xml:space="preserve"> </w:t>
      </w:r>
      <w:r w:rsidRPr="00E678AB">
        <w:rPr>
          <w:lang w:val="en-GB"/>
        </w:rPr>
        <w:t xml:space="preserve">on early outcomes in patients undergoing surgery for three common cancers. Even after case-mix adjustment, patients treated in hospitals with </w:t>
      </w:r>
      <w:r w:rsidR="005D5974">
        <w:rPr>
          <w:lang w:val="en-GB"/>
        </w:rPr>
        <w:t>reduced</w:t>
      </w:r>
      <w:r w:rsidRPr="00E678AB">
        <w:rPr>
          <w:lang w:val="en-GB"/>
        </w:rPr>
        <w:t xml:space="preserve"> hospital </w:t>
      </w:r>
      <w:r w:rsidRPr="00CF7397">
        <w:rPr>
          <w:lang w:val="en-GB"/>
        </w:rPr>
        <w:t>infrastructure and resources</w:t>
      </w:r>
      <w:r w:rsidRPr="00E678AB">
        <w:rPr>
          <w:lang w:val="en-GB"/>
        </w:rPr>
        <w:t xml:space="preserve"> had higher postoperative mortality, despite similar complication rates. Excess mortality following surgery in these hospitals is explained by the absence of </w:t>
      </w:r>
      <w:r w:rsidRPr="00CF7397">
        <w:rPr>
          <w:lang w:val="en-GB"/>
        </w:rPr>
        <w:t xml:space="preserve">these hospital </w:t>
      </w:r>
      <w:r w:rsidR="00CF7397">
        <w:rPr>
          <w:lang w:val="en-GB"/>
        </w:rPr>
        <w:t>facilities</w:t>
      </w:r>
      <w:r w:rsidRPr="00E678AB">
        <w:rPr>
          <w:lang w:val="en-GB"/>
        </w:rPr>
        <w:t xml:space="preserve"> which aid early identification and treatment of postoperative complications. The presence of five key </w:t>
      </w:r>
      <w:r w:rsidR="00CF7397">
        <w:rPr>
          <w:lang w:val="en-GB"/>
        </w:rPr>
        <w:t>hospital facilities</w:t>
      </w:r>
      <w:r w:rsidRPr="00E678AB">
        <w:rPr>
          <w:lang w:val="en-GB"/>
        </w:rPr>
        <w:t xml:space="preserve"> correlates with a hospital’s ability to perform safe elective operations for a broad range of cancers, highlighting their importance for access to high quality, effective global surgical cancer care.</w:t>
      </w:r>
    </w:p>
    <w:p w14:paraId="543CA3A1" w14:textId="77777777" w:rsidR="008A533F" w:rsidRPr="00E678AB" w:rsidRDefault="008A533F" w:rsidP="008A533F">
      <w:pPr>
        <w:pStyle w:val="BodyText"/>
        <w:rPr>
          <w:lang w:val="en-GB"/>
        </w:rPr>
      </w:pPr>
      <w:r w:rsidRPr="00E678AB">
        <w:rPr>
          <w:b/>
          <w:lang w:val="en-GB"/>
        </w:rPr>
        <w:t>Implications of all the available evidence</w:t>
      </w:r>
    </w:p>
    <w:p w14:paraId="355E439C" w14:textId="11278AD2" w:rsidR="008A533F" w:rsidRPr="00E678AB" w:rsidRDefault="008A533F" w:rsidP="008A533F">
      <w:pPr>
        <w:pStyle w:val="BodyText"/>
        <w:rPr>
          <w:lang w:val="en-GB"/>
        </w:rPr>
      </w:pPr>
      <w:r w:rsidRPr="00E678AB">
        <w:rPr>
          <w:lang w:val="en-GB"/>
        </w:rPr>
        <w:t xml:space="preserve">We estimate one to </w:t>
      </w:r>
      <w:r w:rsidR="008531AB">
        <w:rPr>
          <w:lang w:val="en-GB"/>
        </w:rPr>
        <w:t>three</w:t>
      </w:r>
      <w:r w:rsidRPr="00E678AB">
        <w:rPr>
          <w:lang w:val="en-GB"/>
        </w:rPr>
        <w:t xml:space="preserve"> early surgical deaths per 100 patients undergoing cancer surgery in LMICs can be saved with improvements in hospital services. These estimates could help policy makers develop national cancer plans which include the up-scale in </w:t>
      </w:r>
      <w:r w:rsidRPr="00754A2D">
        <w:rPr>
          <w:lang w:val="en-GB"/>
        </w:rPr>
        <w:t>hospital</w:t>
      </w:r>
      <w:r w:rsidR="00754A2D" w:rsidRPr="00754A2D">
        <w:rPr>
          <w:lang w:val="en-GB"/>
        </w:rPr>
        <w:t xml:space="preserve"> cancer care</w:t>
      </w:r>
      <w:r w:rsidRPr="00754A2D">
        <w:rPr>
          <w:lang w:val="en-GB"/>
        </w:rPr>
        <w:t xml:space="preserve"> facilities</w:t>
      </w:r>
      <w:r w:rsidRPr="00E678AB">
        <w:rPr>
          <w:lang w:val="en-GB"/>
        </w:rPr>
        <w:t>, together with the current focus on improving access to cancer services.</w:t>
      </w:r>
    </w:p>
    <w:p w14:paraId="5C1BD6ED" w14:textId="77777777" w:rsidR="008A533F" w:rsidRPr="00E678AB" w:rsidRDefault="008A533F">
      <w:pPr>
        <w:pStyle w:val="BodyText"/>
        <w:rPr>
          <w:lang w:val="en-GB"/>
        </w:rPr>
      </w:pPr>
    </w:p>
    <w:p w14:paraId="4EFB7999" w14:textId="77777777" w:rsidR="00CF7BC4" w:rsidRPr="00E678AB" w:rsidRDefault="009D77B2">
      <w:r w:rsidRPr="00E678AB">
        <w:br w:type="page"/>
      </w:r>
    </w:p>
    <w:p w14:paraId="2074C258" w14:textId="77777777" w:rsidR="00CF7BC4" w:rsidRPr="00E678AB" w:rsidRDefault="009D77B2">
      <w:pPr>
        <w:pStyle w:val="Heading3"/>
        <w:rPr>
          <w:lang w:val="en-GB"/>
        </w:rPr>
      </w:pPr>
      <w:bookmarkStart w:id="1" w:name="introduction"/>
      <w:r w:rsidRPr="00E678AB">
        <w:rPr>
          <w:lang w:val="en-GB"/>
        </w:rPr>
        <w:lastRenderedPageBreak/>
        <w:t>Introduction</w:t>
      </w:r>
      <w:bookmarkEnd w:id="1"/>
    </w:p>
    <w:p w14:paraId="3A5062B1" w14:textId="0BA9FE37" w:rsidR="00CF7BC4" w:rsidRPr="00E678AB" w:rsidRDefault="009D77B2">
      <w:pPr>
        <w:pStyle w:val="FirstParagraph"/>
        <w:rPr>
          <w:lang w:val="en-GB"/>
        </w:rPr>
      </w:pPr>
      <w:r w:rsidRPr="00E678AB">
        <w:rPr>
          <w:lang w:val="en-GB"/>
        </w:rPr>
        <w:t>Of the 15.2 million individuals diagnosed with cancer in 2015, 80% required surgery.</w:t>
      </w:r>
      <w:r w:rsidR="00F13F07" w:rsidRPr="00E678AB">
        <w:rPr>
          <w:lang w:val="en-GB"/>
        </w:rPr>
        <w:fldChar w:fldCharType="begin"/>
      </w:r>
      <w:r w:rsidR="00F13F07" w:rsidRPr="00E678AB">
        <w:rPr>
          <w:lang w:val="en-GB"/>
        </w:rPr>
        <w:instrText xml:space="preserve"> ADDIN ZOTERO_ITEM CSL_CITATION {"citationID":"tC7BvQEO","properties":{"formattedCitation":"\\super 1\\nosupersub{}","plainCitation":"1","noteIndex":0},"citationItems":[{"id":290,"uris":["http://zotero.org/users/4732780/items/N2GHI7F4"],"uri":["http://zotero.org/users/4732780/items/N2GHI7F4"],"itemData":{"id":290,"type":"article-journal","abstract":"Surgery is essential for global cancer care in all resource settings. Of the 15.2 million new cases of cancer in 2015, over 80% of cases will need surgery, some several times. By 2030, we estimate that annually 45 million surgical procedures will be needed worldwide. Yet, less than 25% of patients with cancer worldwide actually get safe, affordable, or timely surgery. This Commission on global cancer surgery, building on Global Surgery 2030, has examined the state of global cancer surgery through an analysis of the burden of surgical disease and breadth of cancer surgery, economics and financing, factors for strengthening surgical systems for cancer with multiple-country studies, the research agenda, and the political factors that frame policy making in this area. We found wide equity and economic gaps in global cancer surgery. Many patients throughout the world do not have access to cancer surgery, and the failure to train more cancer surgeons and strengthen systems could result in as much as US $6.2 trillion in lost cumulative gross domestic product by 2030. Many of the key adjunct treatment modalities for cancer surgery--e.g., pathology and imaging--are also inadequate. Our analysis identified substantial issues, but also highlights solutions and innovations. Issues of access, a paucity of investment in public surgical systems, low investment in research, and training and education gaps are remarkably widespread. Solutions include better regulated public systems, international partnerships, super-centralisation of surgical services, novel surgical clinical trials, and new approaches to improve quality and scale up cancer surgical systems through education and training. Our key messages are directed at many global stakeholders, but the central message is that to deliver safe, affordable, and timely cancer surgery to all, surgery must be at the heart of global and national cancer control planning.","container-title":"The Lancet. Oncology","DOI":"10.1016/S1470-2045(15)00223-5","ISSN":"1474-5488","issue":"11","journalAbbreviation":"Lancet Oncol.","language":"eng","note":"PMID: 26427363","page":"1193-1224","source":"PubMed","title":"Global cancer surgery: delivering safe, affordable, and timely cancer surgery","title-short":"Global cancer surgery","volume":"16","author":[{"family":"Sullivan","given":"Richard"},{"family":"Alatise","given":"Olusegun Isaac"},{"family":"Anderson","given":"Benjamin O."},{"family":"Audisio","given":"Riccardo"},{"family":"Autier","given":"Philippe"},{"family":"Aggarwal","given":"Ajay"},{"family":"Balch","given":"Charles"},{"family":"Brennan","given":"Murray F."},{"family":"Dare","given":"Anna"},{"family":"D'Cruz","given":"Anil"},{"family":"Eggermont","given":"Alexander M. M."},{"family":"Fleming","given":"Kenneth"},{"family":"Gueye","given":"Serigne Magueye"},{"family":"Hagander","given":"Lars"},{"family":"Herrera","given":"Cristian A."},{"family":"Holmer","given":"Hampus"},{"family":"Ilbawi","given":"André M."},{"family":"Jarnheimer","given":"Anton"},{"family":"Ji","given":"Jia-Fu"},{"family":"Kingham","given":"T. Peter"},{"family":"Liberman","given":"Jonathan"},{"family":"Leather","given":"Andrew J. M."},{"family":"Meara","given":"John G."},{"family":"Mukhopadhyay","given":"Swagoto"},{"family":"Murthy","given":"Shilpa S."},{"family":"Omar","given":"Sherif"},{"family":"Parham","given":"Groesbeck P."},{"family":"Pramesh","given":"C. S."},{"family":"Riviello","given":"Robert"},{"family":"Rodin","given":"Danielle"},{"family":"Santini","given":"Luiz"},{"family":"Shrikhande","given":"Shailesh V."},{"family":"Shrime","given":"Mark"},{"family":"Thomas","given":"Robert"},{"family":"Tsunoda","given":"Audrey T."},{"family":"Velde","given":"Cornelis","non-dropping-particle":"van de"},{"family":"Veronesi","given":"Umberto"},{"family":"Vijaykumar","given":"Dehannathparambil Kottarathil"},{"family":"Watters","given":"David"},{"family":"Wang","given":"Shan"},{"family":"Wu","given":"Yi-Long"},{"family":"Zeiton","given":"Moez"},{"family":"Purushotham","given":"Arnie"}],"issued":{"date-parts":[["2015",9]]}}}],"schema":"https://github.com/citation-style-language/schema/raw/master/csl-citation.json"} </w:instrText>
      </w:r>
      <w:r w:rsidR="00F13F07" w:rsidRPr="00E678AB">
        <w:rPr>
          <w:lang w:val="en-GB"/>
        </w:rPr>
        <w:fldChar w:fldCharType="separate"/>
      </w:r>
      <w:r w:rsidR="00F13F07" w:rsidRPr="00E678AB">
        <w:rPr>
          <w:rFonts w:ascii="Cambria" w:cs="Times New Roman"/>
          <w:vertAlign w:val="superscript"/>
          <w:lang w:val="en-GB"/>
        </w:rPr>
        <w:t>1</w:t>
      </w:r>
      <w:r w:rsidR="00F13F07" w:rsidRPr="00E678AB">
        <w:rPr>
          <w:lang w:val="en-GB"/>
        </w:rPr>
        <w:fldChar w:fldCharType="end"/>
      </w:r>
      <w:r w:rsidRPr="00E678AB">
        <w:rPr>
          <w:lang w:val="en-GB"/>
        </w:rPr>
        <w:t xml:space="preserve"> In tumours amenable to surgical resection, surgery often offers the best chance of cure, particularly in early stage disease. It has been estimated that 45 million surgical procedures are needed </w:t>
      </w:r>
      <w:r w:rsidR="00D72ADE" w:rsidRPr="00E678AB">
        <w:rPr>
          <w:lang w:val="en-GB"/>
        </w:rPr>
        <w:t xml:space="preserve">worldwide </w:t>
      </w:r>
      <w:r w:rsidRPr="00E678AB">
        <w:rPr>
          <w:lang w:val="en-GB"/>
        </w:rPr>
        <w:t xml:space="preserve">each year </w:t>
      </w:r>
      <w:r w:rsidR="00D72ADE" w:rsidRPr="00E678AB">
        <w:rPr>
          <w:lang w:val="en-GB"/>
        </w:rPr>
        <w:t>to address and treat cancer</w:t>
      </w:r>
      <w:r w:rsidRPr="00E678AB">
        <w:rPr>
          <w:lang w:val="en-GB"/>
        </w:rPr>
        <w:t>, yet fewer than 25% of patients with cancer have robust access to safe, affordable and timely surgery</w:t>
      </w:r>
      <w:r w:rsidR="00D72ADE" w:rsidRPr="00E678AB">
        <w:rPr>
          <w:lang w:val="en-GB"/>
        </w:rPr>
        <w:t>.</w:t>
      </w:r>
      <w:r w:rsidR="00F13F07" w:rsidRPr="00E678AB">
        <w:rPr>
          <w:lang w:val="en-GB"/>
        </w:rPr>
        <w:fldChar w:fldCharType="begin"/>
      </w:r>
      <w:r w:rsidR="00F13F07" w:rsidRPr="00E678AB">
        <w:rPr>
          <w:lang w:val="en-GB"/>
        </w:rPr>
        <w:instrText xml:space="preserve"> ADDIN ZOTERO_ITEM CSL_CITATION {"citationID":"G77htcYl","properties":{"formattedCitation":"\\super 2\\nosupersub{}","plainCitation":"2","noteIndex":0},"citationItems":[{"id":5016,"uris":["http://zotero.org/users/4732780/items/IZBRKTY5"],"uri":["http://zotero.org/users/4732780/items/IZBRKTY5"],"itemData":{"id":5016,"type":"article-journal","container-title":"Lancet (London, England)","DOI":"10.1016/S0140-6736(13)62345-4","ISSN":"1474-547X","issue":"9911","journalAbbreviation":"Lancet","language":"eng","note":"PMID: 24332309","page":"12-13","source":"PubMed","title":"Surgery and global health: a Lancet Commission","title-short":"Surgery and global health","volume":"383","author":[{"family":"Meara","given":"John G."},{"family":"Hagander","given":"Lars"},{"family":"Leather","given":"Andrew J. M."}],"issued":{"date-parts":[["2014",1,4]]}}}],"schema":"https://github.com/citation-style-language/schema/raw/master/csl-citation.json"} </w:instrText>
      </w:r>
      <w:r w:rsidR="00F13F07" w:rsidRPr="00E678AB">
        <w:rPr>
          <w:lang w:val="en-GB"/>
        </w:rPr>
        <w:fldChar w:fldCharType="separate"/>
      </w:r>
      <w:r w:rsidR="00F13F07" w:rsidRPr="00E678AB">
        <w:rPr>
          <w:rFonts w:ascii="Cambria" w:cs="Times New Roman"/>
          <w:vertAlign w:val="superscript"/>
          <w:lang w:val="en-GB"/>
        </w:rPr>
        <w:t>2</w:t>
      </w:r>
      <w:r w:rsidR="00F13F07" w:rsidRPr="00E678AB">
        <w:rPr>
          <w:lang w:val="en-GB"/>
        </w:rPr>
        <w:fldChar w:fldCharType="end"/>
      </w:r>
    </w:p>
    <w:p w14:paraId="38E6E709" w14:textId="230CCB93" w:rsidR="00CF7BC4" w:rsidRPr="00E678AB" w:rsidRDefault="009D77B2">
      <w:pPr>
        <w:pStyle w:val="BodyText"/>
        <w:rPr>
          <w:lang w:val="en-GB"/>
        </w:rPr>
      </w:pPr>
      <w:r w:rsidRPr="00E678AB">
        <w:rPr>
          <w:lang w:val="en-GB"/>
        </w:rPr>
        <w:t>Simultaneous investment in cancer treatment, imaging, and quality of care could yield substantial health and economic benefits, particularly in LMICs.</w:t>
      </w:r>
      <w:r w:rsidR="00F13F07" w:rsidRPr="00E678AB">
        <w:rPr>
          <w:lang w:val="en-GB"/>
        </w:rPr>
        <w:fldChar w:fldCharType="begin"/>
      </w:r>
      <w:r w:rsidR="00F13F07" w:rsidRPr="00E678AB">
        <w:rPr>
          <w:lang w:val="en-GB"/>
        </w:rPr>
        <w:instrText xml:space="preserve"> ADDIN ZOTERO_ITEM CSL_CITATION {"citationID":"q56YYKdH","properties":{"formattedCitation":"\\super 3\\nosupersub{}","plainCitation":"3","noteIndex":0},"citationItems":[{"id":5457,"uris":["http://zotero.org/users/4732780/items/PY2DHEYG"],"uri":["http://zotero.org/users/4732780/items/PY2DHEYG"],"itemData":{"id":5457,"type":"article-journal","abstract":"&lt;h2&gt;Summary&lt;/h2&gt;&lt;h3&gt;Background&lt;/h3&gt;&lt;p&gt;In addition to increased availability of treatment modalities, advanced imaging modalities are increasingly recommended to improve global cancer care. However, estimates of the costs and benefits of investments to improve cancer survival are scarce, especially for low-income and middle-income countries (LMICs). In this analysis, we aimed to estimate the costs and lifetime health and economic benefits of scaling up imaging and treatment modality packages on cancer survival, both globally and by country income group.&lt;/p&gt;&lt;h3&gt;Methods&lt;/h3&gt;&lt;p&gt;Using a previously developed model of global cancer survival, we estimated stage-specific cancer survival and life-years gained (accounting for competing mortality) in 200 countries and territories for patients diagnosed with one of 11 cancers (oesophagus, stomach, colon, rectum, anus, liver, pancreas, lung, breast, cervix uteri, and prostate) representing 60% of all cancer diagnoses between 2020 and 2030 (inclusive of full years). We evaluated the costs and health and economic benefits of scaling up packages of treatment (chemotherapy, surgery, radiotherapy, and targeted therapy), imaging modalities (ultrasound, x-ray, CT, MRI, PET, single-photon emission CT), and quality of care to the mean level of high-income countries, separately and in combination, compared with no scale-up. Costs and benefits are presented in 2018 US$ and discounted at 3% annually.&lt;/p&gt;&lt;h3&gt;Findings&lt;/h3&gt;&lt;p&gt;For the 11 cancers studied, we estimated that without scale-up (ie, with current availability of treatment, imaging, and quality of care) there will be 76·0 million cancer deaths (95% UI 73·9–78·6) globally for patients diagnosed between 2020 and 2030, with more than 70% of these deaths occurring in LMICs. Comprehensive scale-up of treatment, imaging, and quality of care could avert 12·5% (95% UI 9·0–16·3) of these deaths globally, ranging from 2·8% (1·8–4·3) in high-income countries to 38·2% (32·6–44·5) in low-income countries. Globally, we estimate that comprehensive scale-up would cost an additional $232·9 billion (95% UI 85·9–422·0) between 2020 and 2030 (representing a 6·9% increase in cancer treatment costs), but produce $2·9 trillion (1·8–4·0) in lifetime economic benefits, yielding a return of $12·43 (6·47–33·23) per dollar invested. Scaling up treatment and quality of care without imaging would yield a return of $6·15 (2·66–16·71) per dollar invested and avert 7·0% (3·9–10·3) of cancer deaths worldwide.&lt;/p&gt;&lt;h3&gt;Interpretation&lt;/h3&gt;&lt;p&gt;Simultaneous investment in cancer treatment, imaging, and quality of care could yield substantial health and economic benefits, especially in LMICs. These results provide a compelling rationale for the value of investing in the global scale-up of cancer care.&lt;/p&gt;&lt;h3&gt;Funding&lt;/h3&gt;&lt;p&gt;Harvard TH Chan School of Public Health and National Cancer Institute.&lt;/p&gt;","container-title":"The Lancet Oncology","DOI":"10.1016/S1470-2045(20)30750-6","ISSN":"1470-2045, 1474-5488","issue":"3","journalAbbreviation":"The Lancet Oncology","language":"English","note":"publisher: Elsevier\nPMID: 33662286","page":"341-350","source":"www.thelancet.com","title":"Global costs, health benefits, and economic benefits of scaling up treatment and imaging modalities for survival of 11 cancers: a simulation-based analysis","title-short":"Global costs, health benefits, and economic benefits of scaling up treatment and imaging modalities for survival of 11 cancers","volume":"22","author":[{"family":"Ward","given":"Zachary J."},{"family":"Scott","given":"Andrew M."},{"family":"Hricak","given":"Hedvig"},{"family":"Atun","given":"Rifat"}],"issued":{"date-parts":[["2021",3,1]]}}}],"schema":"https://github.com/citation-style-language/schema/raw/master/csl-citation.json"} </w:instrText>
      </w:r>
      <w:r w:rsidR="00F13F07" w:rsidRPr="00E678AB">
        <w:rPr>
          <w:lang w:val="en-GB"/>
        </w:rPr>
        <w:fldChar w:fldCharType="separate"/>
      </w:r>
      <w:r w:rsidR="00F13F07" w:rsidRPr="00E678AB">
        <w:rPr>
          <w:rFonts w:ascii="Cambria" w:cs="Times New Roman"/>
          <w:vertAlign w:val="superscript"/>
          <w:lang w:val="en-GB"/>
        </w:rPr>
        <w:t>3</w:t>
      </w:r>
      <w:r w:rsidR="00F13F07" w:rsidRPr="00E678AB">
        <w:rPr>
          <w:lang w:val="en-GB"/>
        </w:rPr>
        <w:fldChar w:fldCharType="end"/>
      </w:r>
      <w:r w:rsidRPr="00E678AB">
        <w:rPr>
          <w:lang w:val="en-GB"/>
        </w:rPr>
        <w:t xml:space="preserve"> </w:t>
      </w:r>
      <w:r w:rsidR="00F65FBF">
        <w:rPr>
          <w:lang w:val="en-GB"/>
        </w:rPr>
        <w:t>A c</w:t>
      </w:r>
      <w:r w:rsidRPr="00E678AB">
        <w:rPr>
          <w:lang w:val="en-GB"/>
        </w:rPr>
        <w:t>ompelling rationale for investing in the global scale-up of cancer care exists, however</w:t>
      </w:r>
      <w:r w:rsidR="00D72ADE" w:rsidRPr="00E678AB">
        <w:rPr>
          <w:lang w:val="en-GB"/>
        </w:rPr>
        <w:t xml:space="preserve"> these data are</w:t>
      </w:r>
      <w:r w:rsidRPr="00E678AB">
        <w:rPr>
          <w:lang w:val="en-GB"/>
        </w:rPr>
        <w:t xml:space="preserve"> predominantly based on </w:t>
      </w:r>
      <w:r w:rsidR="00D72ADE" w:rsidRPr="00E678AB">
        <w:rPr>
          <w:lang w:val="en-GB"/>
        </w:rPr>
        <w:t>simulation and extrapolation</w:t>
      </w:r>
      <w:r w:rsidRPr="00E678AB">
        <w:rPr>
          <w:lang w:val="en-GB"/>
        </w:rPr>
        <w:t>.</w:t>
      </w:r>
      <w:r w:rsidR="00FD511C" w:rsidRPr="00E678AB">
        <w:rPr>
          <w:lang w:val="en-GB"/>
        </w:rPr>
        <w:fldChar w:fldCharType="begin"/>
      </w:r>
      <w:r w:rsidR="00FD511C" w:rsidRPr="00E678AB">
        <w:rPr>
          <w:lang w:val="en-GB"/>
        </w:rPr>
        <w:instrText xml:space="preserve"> ADDIN ZOTERO_ITEM CSL_CITATION {"citationID":"PFj9tP20","properties":{"formattedCitation":"\\super 1,3,4\\nosupersub{}","plainCitation":"1,3,4","noteIndex":0},"citationItems":[{"id":5457,"uris":["http://zotero.org/users/4732780/items/PY2DHEYG"],"uri":["http://zotero.org/users/4732780/items/PY2DHEYG"],"itemData":{"id":5457,"type":"article-journal","abstract":"&lt;h2&gt;Summary&lt;/h2&gt;&lt;h3&gt;Background&lt;/h3&gt;&lt;p&gt;In addition to increased availability of treatment modalities, advanced imaging modalities are increasingly recommended to improve global cancer care. However, estimates of the costs and benefits of investments to improve cancer survival are scarce, especially for low-income and middle-income countries (LMICs). In this analysis, we aimed to estimate the costs and lifetime health and economic benefits of scaling up imaging and treatment modality packages on cancer survival, both globally and by country income group.&lt;/p&gt;&lt;h3&gt;Methods&lt;/h3&gt;&lt;p&gt;Using a previously developed model of global cancer survival, we estimated stage-specific cancer survival and life-years gained (accounting for competing mortality) in 200 countries and territories for patients diagnosed with one of 11 cancers (oesophagus, stomach, colon, rectum, anus, liver, pancreas, lung, breast, cervix uteri, and prostate) representing 60% of all cancer diagnoses between 2020 and 2030 (inclusive of full years). We evaluated the costs and health and economic benefits of scaling up packages of treatment (chemotherapy, surgery, radiotherapy, and targeted therapy), imaging modalities (ultrasound, x-ray, CT, MRI, PET, single-photon emission CT), and quality of care to the mean level of high-income countries, separately and in combination, compared with no scale-up. Costs and benefits are presented in 2018 US$ and discounted at 3% annually.&lt;/p&gt;&lt;h3&gt;Findings&lt;/h3&gt;&lt;p&gt;For the 11 cancers studied, we estimated that without scale-up (ie, with current availability of treatment, imaging, and quality of care) there will be 76·0 million cancer deaths (95% UI 73·9–78·6) globally for patients diagnosed between 2020 and 2030, with more than 70% of these deaths occurring in LMICs. Comprehensive scale-up of treatment, imaging, and quality of care could avert 12·5% (95% UI 9·0–16·3) of these deaths globally, ranging from 2·8% (1·8–4·3) in high-income countries to 38·2% (32·6–44·5) in low-income countries. Globally, we estimate that comprehensive scale-up would cost an additional $232·9 billion (95% UI 85·9–422·0) between 2020 and 2030 (representing a 6·9% increase in cancer treatment costs), but produce $2·9 trillion (1·8–4·0) in lifetime economic benefits, yielding a return of $12·43 (6·47–33·23) per dollar invested. Scaling up treatment and quality of care without imaging would yield a return of $6·15 (2·66–16·71) per dollar invested and avert 7·0% (3·9–10·3) of cancer deaths worldwide.&lt;/p&gt;&lt;h3&gt;Interpretation&lt;/h3&gt;&lt;p&gt;Simultaneous investment in cancer treatment, imaging, and quality of care could yield substantial health and economic benefits, especially in LMICs. These results provide a compelling rationale for the value of investing in the global scale-up of cancer care.&lt;/p&gt;&lt;h3&gt;Funding&lt;/h3&gt;&lt;p&gt;Harvard TH Chan School of Public Health and National Cancer Institute.&lt;/p&gt;","container-title":"The Lancet Oncology","DOI":"10.1016/S1470-2045(20)30750-6","ISSN":"1470-2045, 1474-5488","issue":"3","journalAbbreviation":"The Lancet Oncology","language":"English","note":"publisher: Elsevier\nPMID: 33662286","page":"341-350","source":"www.thelancet.com","title":"Global costs, health benefits, and economic benefits of scaling up treatment and imaging modalities for survival of 11 cancers: a simulation-based analysis","title-short":"Global costs, health benefits, and economic benefits of scaling up treatment and imaging modalities for survival of 11 cancers","volume":"22","author":[{"family":"Ward","given":"Zachary J."},{"family":"Scott","given":"Andrew M."},{"family":"Hricak","given":"Hedvig"},{"family":"Atun","given":"Rifat"}],"issued":{"date-parts":[["2021",3,1]]}}},{"id":5525,"uris":["http://zotero.org/users/4732780/items/GSJII8D5"],"uri":["http://zotero.org/users/4732780/items/GSJII8D5"],"itemData":{"id":5525,"type":"article-journal","abstract":"The diagnosis and treatment of patients with cancer requires access to imaging to ensure accurate management decisions and optimal outcomes. Our global assessment of imaging and nuclear medicine resources identified substantial shortages in equipment and workforce, particularly in low-income and middle-income countries (LMICs). A microsimulation model of 11 cancers showed that the scale-up of imaging would avert 3·2% (2·46 million) of all 76·0 million deaths caused by the modelled cancers worldwide between 2020 and 2030, saving 54·92 million life-years. A comprehensive scale-up of imaging, treatment, and care quality would avert 9·55 million (12·5%) of all cancer deaths caused by the modelled cancers worldwide, saving 232·30 million life-years. Scale-up of imaging would cost US$6·84 billion in 2020-30 but yield lifetime productivity gains of $1·23 trillion worldwide, a net return of $179·19 per $1 invested. Combining the scale-up of imaging, treatment, and quality of care would provide a net benefit of $2·66 trillion and a net return of $12·43 per $1 invested. With the use of a conservative approach regarding human capital, the scale-up of imaging alone would provide a net benefit of $209·46 billion and net return of $31·61 per $1 invested. With comprehensive scale-up, the worldwide net benefit using the human capital approach is $340·42 billion and the return per dollar invested is $2·46. These improved health and economic outcomes hold true across all geographical regions. We propose actions and investments that would enhance access to imaging equipment, workforce capacity, digital technology, radiopharmaceuticals, and research and training programmes in LMICs, to produce massive health and economic benefits and reduce the burden of cancer globally.","container-title":"The Lancet. Oncology","DOI":"10.1016/S1470-2045(20)30751-8","ISSN":"1474-5488","journalAbbreviation":"Lancet Oncol","language":"eng","note":"PMID: 33676609","source":"PubMed","title":"Medical imaging and nuclear medicine: a Lancet Oncology Commission","title-short":"Medical imaging and nuclear medicine","author":[{"family":"Hricak","given":"Hedvig"},{"family":"Abdel-Wahab","given":"May"},{"family":"Atun","given":"Rifat"},{"family":"Lette","given":"Miriam Mikhail"},{"family":"Paez","given":"Diana"},{"family":"Brink","given":"James A."},{"family":"Donoso-Bach","given":"Lluís"},{"family":"Frija","given":"Guy"},{"family":"Hierath","given":"Monika"},{"family":"Holmberg","given":"Ola"},{"family":"Khong","given":"Pek-Lan"},{"family":"Lewis","given":"Jason S."},{"family":"McGinty","given":"Geraldine"},{"family":"Oyen","given":"Wim J. G."},{"family":"Shulman","given":"Lawrence N."},{"family":"Ward","given":"Zachary J."},{"family":"Scott","given":"Andrew M."}],"issued":{"date-parts":[["2021",3,3]]}}},{"id":290,"uris":["http://zotero.org/users/4732780/items/N2GHI7F4"],"uri":["http://zotero.org/users/4732780/items/N2GHI7F4"],"itemData":{"id":290,"type":"article-journal","abstract":"Surgery is essential for global cancer care in all resource settings. Of the 15.2 million new cases of cancer in 2015, over 80% of cases will need surgery, some several times. By 2030, we estimate that annually 45 million surgical procedures will be needed worldwide. Yet, less than 25% of patients with cancer worldwide actually get safe, affordable, or timely surgery. This Commission on global cancer surgery, building on Global Surgery 2030, has examined the state of global cancer surgery through an analysis of the burden of surgical disease and breadth of cancer surgery, economics and financing, factors for strengthening surgical systems for cancer with multiple-country studies, the research agenda, and the political factors that frame policy making in this area. We found wide equity and economic gaps in global cancer surgery. Many patients throughout the world do not have access to cancer surgery, and the failure to train more cancer surgeons and strengthen systems could result in as much as US $6.2 trillion in lost cumulative gross domestic product by 2030. Many of the key adjunct treatment modalities for cancer surgery--e.g., pathology and imaging--are also inadequate. Our analysis identified substantial issues, but also highlights solutions and innovations. Issues of access, a paucity of investment in public surgical systems, low investment in research, and training and education gaps are remarkably widespread. Solutions include better regulated public systems, international partnerships, super-centralisation of surgical services, novel surgical clinical trials, and new approaches to improve quality and scale up cancer surgical systems through education and training. Our key messages are directed at many global stakeholders, but the central message is that to deliver safe, affordable, and timely cancer surgery to all, surgery must be at the heart of global and national cancer control planning.","container-title":"The Lancet. Oncology","DOI":"10.1016/S1470-2045(15)00223-5","ISSN":"1474-5488","issue":"11","journalAbbreviation":"Lancet Oncol.","language":"eng","note":"PMID: 26427363","page":"1193-1224","source":"PubMed","title":"Global cancer surgery: delivering safe, affordable, and timely cancer surgery","title-short":"Global cancer surgery","volume":"16","author":[{"family":"Sullivan","given":"Richard"},{"family":"Alatise","given":"Olusegun Isaac"},{"family":"Anderson","given":"Benjamin O."},{"family":"Audisio","given":"Riccardo"},{"family":"Autier","given":"Philippe"},{"family":"Aggarwal","given":"Ajay"},{"family":"Balch","given":"Charles"},{"family":"Brennan","given":"Murray F."},{"family":"Dare","given":"Anna"},{"family":"D'Cruz","given":"Anil"},{"family":"Eggermont","given":"Alexander M. M."},{"family":"Fleming","given":"Kenneth"},{"family":"Gueye","given":"Serigne Magueye"},{"family":"Hagander","given":"Lars"},{"family":"Herrera","given":"Cristian A."},{"family":"Holmer","given":"Hampus"},{"family":"Ilbawi","given":"André M."},{"family":"Jarnheimer","given":"Anton"},{"family":"Ji","given":"Jia-Fu"},{"family":"Kingham","given":"T. Peter"},{"family":"Liberman","given":"Jonathan"},{"family":"Leather","given":"Andrew J. M."},{"family":"Meara","given":"John G."},{"family":"Mukhopadhyay","given":"Swagoto"},{"family":"Murthy","given":"Shilpa S."},{"family":"Omar","given":"Sherif"},{"family":"Parham","given":"Groesbeck P."},{"family":"Pramesh","given":"C. S."},{"family":"Riviello","given":"Robert"},{"family":"Rodin","given":"Danielle"},{"family":"Santini","given":"Luiz"},{"family":"Shrikhande","given":"Shailesh V."},{"family":"Shrime","given":"Mark"},{"family":"Thomas","given":"Robert"},{"family":"Tsunoda","given":"Audrey T."},{"family":"Velde","given":"Cornelis","non-dropping-particle":"van de"},{"family":"Veronesi","given":"Umberto"},{"family":"Vijaykumar","given":"Dehannathparambil Kottarathil"},{"family":"Watters","given":"David"},{"family":"Wang","given":"Shan"},{"family":"Wu","given":"Yi-Long"},{"family":"Zeiton","given":"Moez"},{"family":"Purushotham","given":"Arnie"}],"issued":{"date-parts":[["2015",9]]}}}],"schema":"https://github.com/citation-style-language/schema/raw/master/csl-citation.json"} </w:instrText>
      </w:r>
      <w:r w:rsidR="00FD511C" w:rsidRPr="00E678AB">
        <w:rPr>
          <w:lang w:val="en-GB"/>
        </w:rPr>
        <w:fldChar w:fldCharType="separate"/>
      </w:r>
      <w:r w:rsidR="00FD511C" w:rsidRPr="00E678AB">
        <w:rPr>
          <w:rFonts w:ascii="Cambria" w:cs="Times New Roman"/>
          <w:vertAlign w:val="superscript"/>
          <w:lang w:val="en-GB"/>
        </w:rPr>
        <w:t>1,3,4</w:t>
      </w:r>
      <w:r w:rsidR="00FD511C" w:rsidRPr="00E678AB">
        <w:rPr>
          <w:lang w:val="en-GB"/>
        </w:rPr>
        <w:fldChar w:fldCharType="end"/>
      </w:r>
      <w:r w:rsidR="00FD511C" w:rsidRPr="00E678AB">
        <w:rPr>
          <w:lang w:val="en-GB"/>
        </w:rPr>
        <w:t xml:space="preserve"> </w:t>
      </w:r>
      <w:r w:rsidRPr="00E678AB">
        <w:rPr>
          <w:lang w:val="en-GB"/>
        </w:rPr>
        <w:t xml:space="preserve">The general state of </w:t>
      </w:r>
      <w:r w:rsidRPr="00754A2D">
        <w:rPr>
          <w:lang w:val="en-GB"/>
        </w:rPr>
        <w:t>cancer systems</w:t>
      </w:r>
      <w:r w:rsidRPr="00E678AB">
        <w:rPr>
          <w:lang w:val="en-GB"/>
        </w:rPr>
        <w:t xml:space="preserve"> for surgically treatable disease for prevalent global cancers is unknown.</w:t>
      </w:r>
    </w:p>
    <w:p w14:paraId="0D3A09BB" w14:textId="48BF1DCD" w:rsidR="00CF7BC4" w:rsidRPr="00E678AB" w:rsidRDefault="009D77B2">
      <w:pPr>
        <w:pStyle w:val="BodyText"/>
        <w:rPr>
          <w:lang w:val="en-GB"/>
        </w:rPr>
      </w:pPr>
      <w:r w:rsidRPr="00E678AB">
        <w:rPr>
          <w:lang w:val="en-GB"/>
        </w:rPr>
        <w:t>This insufficiency of high</w:t>
      </w:r>
      <w:r w:rsidR="00F65FBF">
        <w:rPr>
          <w:lang w:val="en-GB"/>
        </w:rPr>
        <w:t>-</w:t>
      </w:r>
      <w:r w:rsidRPr="00E678AB">
        <w:rPr>
          <w:lang w:val="en-GB"/>
        </w:rPr>
        <w:t xml:space="preserve">quality data currently limits global efforts to improve cancer care. Given the increasing burden of cancer, suboptimal survival in many countries, and the rising costs of care, there is a </w:t>
      </w:r>
      <w:r w:rsidR="0011013C" w:rsidRPr="00E678AB">
        <w:rPr>
          <w:lang w:val="en-GB"/>
        </w:rPr>
        <w:t xml:space="preserve">pressing </w:t>
      </w:r>
      <w:r w:rsidRPr="00E678AB">
        <w:rPr>
          <w:lang w:val="en-GB"/>
        </w:rPr>
        <w:t xml:space="preserve">need to </w:t>
      </w:r>
      <w:r w:rsidR="0011013C" w:rsidRPr="00E678AB">
        <w:rPr>
          <w:lang w:val="en-GB"/>
        </w:rPr>
        <w:t>demonstrate how</w:t>
      </w:r>
      <w:r w:rsidRPr="00E678AB">
        <w:rPr>
          <w:lang w:val="en-GB"/>
        </w:rPr>
        <w:t xml:space="preserve"> invest</w:t>
      </w:r>
      <w:r w:rsidR="0011013C" w:rsidRPr="00E678AB">
        <w:rPr>
          <w:lang w:val="en-GB"/>
        </w:rPr>
        <w:t>ments</w:t>
      </w:r>
      <w:r w:rsidRPr="00E678AB">
        <w:rPr>
          <w:lang w:val="en-GB"/>
        </w:rPr>
        <w:t xml:space="preserve"> in improving surgical cancer treatment</w:t>
      </w:r>
      <w:r w:rsidR="0011013C" w:rsidRPr="00E678AB">
        <w:rPr>
          <w:lang w:val="en-GB"/>
        </w:rPr>
        <w:t xml:space="preserve"> will benefit populations</w:t>
      </w:r>
      <w:r w:rsidRPr="00E678AB">
        <w:rPr>
          <w:lang w:val="en-GB"/>
        </w:rPr>
        <w:t>. The quantification of surgical cancer services has been identified as a global priority.</w:t>
      </w:r>
      <w:r w:rsidR="004859B7">
        <w:rPr>
          <w:lang w:val="en-GB"/>
        </w:rPr>
        <w:fldChar w:fldCharType="begin"/>
      </w:r>
      <w:r w:rsidR="004859B7">
        <w:rPr>
          <w:lang w:val="en-GB"/>
        </w:rPr>
        <w:instrText xml:space="preserve"> ADDIN ZOTERO_ITEM CSL_CITATION {"citationID":"PpwnEq3e","properties":{"formattedCitation":"\\super 5\\nosupersub{}","plainCitation":"5","noteIndex":0},"citationItems":[{"id":5527,"uris":["http://zotero.org/users/4732780/items/RQGS94L5"],"uri":["http://zotero.org/users/4732780/items/RQGS94L5"],"itemData":{"id":5527,"type":"article-journal","abstract":"BACKGROUND: The National Institute for Health Research Global Health Research Unit on Global Surgery is establishing research Hubs in low- and middle-income countries (LMICs). The aim of this study was for the Hubs to prioritize future research into areas of unmet clinical need for patients in LMICs requiring surgery.\nMETHODS: A modified Delphi process was overseen by the research Hub leads and engaged LMIC clinicians, patients and expert methodologists. A four-stage iterative process was delivered to prioritize research topics. This included anonymous electronic voting, teleconference discussions and a 2-day priority-setting workshop.\nRESULTS: In stage 1, Hub leads proposed 32 topics across six domains: access to surgery, cancer, perioperative care, research methods, acute care surgery and communicable disease. In stages 2 and 3, 40 LMICs and 20 high-income countries participated in online voting, leading to identification of three priority research topics: access to surgery; outcomes of cancer surgery; and perioperative care. During stage 4, specific research plans to address each topic were developed by Hub leads at a priority-setting workshop.\nCONCLUSION: This process identified three priority areas for future research relevant to surgery in LMICs. It was driven by front-line LMIC clinicians, patients and other stakeholders representing a diverse range of settings. The results of the prioritization exercise provide a future framework for researchers and funders.","container-title":"The British Journal of Surgery","DOI":"10.1002/bjs.11037","ISSN":"1365-2168","issue":"2","journalAbbreviation":"Br J Surg","language":"eng","note":"PMID: 30620063","page":"e113-e120","source":"PubMed","title":"Prioritizing research for patients requiring surgery in low- and middle-income countries","volume":"106","author":[{"literal":"National Institute for Health Research Global Health Research Unit on Global Surgery"}],"issued":{"date-parts":[["2019",1]]}}}],"schema":"https://github.com/citation-style-language/schema/raw/master/csl-citation.json"} </w:instrText>
      </w:r>
      <w:r w:rsidR="004859B7">
        <w:rPr>
          <w:lang w:val="en-GB"/>
        </w:rPr>
        <w:fldChar w:fldCharType="separate"/>
      </w:r>
      <w:r w:rsidR="004859B7" w:rsidRPr="004859B7">
        <w:rPr>
          <w:rFonts w:ascii="Cambria" w:cs="Times New Roman"/>
          <w:vertAlign w:val="superscript"/>
        </w:rPr>
        <w:t>5</w:t>
      </w:r>
      <w:r w:rsidR="004859B7">
        <w:rPr>
          <w:lang w:val="en-GB"/>
        </w:rPr>
        <w:fldChar w:fldCharType="end"/>
      </w:r>
    </w:p>
    <w:p w14:paraId="67395FC5" w14:textId="23262FED" w:rsidR="0067417D" w:rsidRDefault="0011013C" w:rsidP="001C0374">
      <w:pPr>
        <w:pStyle w:val="FirstParagraph"/>
        <w:rPr>
          <w:lang w:val="en-GB"/>
        </w:rPr>
      </w:pPr>
      <w:r w:rsidRPr="00E678AB">
        <w:rPr>
          <w:lang w:val="en-GB"/>
        </w:rPr>
        <w:t>S</w:t>
      </w:r>
      <w:r w:rsidR="009D77B2" w:rsidRPr="00E678AB">
        <w:rPr>
          <w:lang w:val="en-GB"/>
        </w:rPr>
        <w:t xml:space="preserve">tructural characteristics such as </w:t>
      </w:r>
      <w:r w:rsidR="009D77B2" w:rsidRPr="00754A2D">
        <w:rPr>
          <w:lang w:val="en-GB"/>
        </w:rPr>
        <w:t>volume, facilit</w:t>
      </w:r>
      <w:r w:rsidR="00AA7470" w:rsidRPr="00754A2D">
        <w:rPr>
          <w:lang w:val="en-GB"/>
        </w:rPr>
        <w:t>y availability</w:t>
      </w:r>
      <w:r w:rsidR="009D77B2" w:rsidRPr="00E678AB">
        <w:rPr>
          <w:lang w:val="en-GB"/>
        </w:rPr>
        <w:t xml:space="preserve">, and the presence </w:t>
      </w:r>
      <w:r w:rsidR="009D77B2" w:rsidRPr="00754A2D">
        <w:rPr>
          <w:lang w:val="en-GB"/>
        </w:rPr>
        <w:t>of specialised services</w:t>
      </w:r>
      <w:r w:rsidR="009D77B2" w:rsidRPr="00E678AB">
        <w:rPr>
          <w:lang w:val="en-GB"/>
        </w:rPr>
        <w:t xml:space="preserve"> are known to impact surgical outcomes in high-income settings.</w:t>
      </w:r>
      <w:r w:rsidR="00F13F07" w:rsidRPr="00E678AB">
        <w:rPr>
          <w:lang w:val="en-GB"/>
        </w:rPr>
        <w:fldChar w:fldCharType="begin"/>
      </w:r>
      <w:r w:rsidR="004859B7">
        <w:rPr>
          <w:lang w:val="en-GB"/>
        </w:rPr>
        <w:instrText xml:space="preserve"> ADDIN ZOTERO_ITEM CSL_CITATION {"citationID":"Ceet3evH","properties":{"formattedCitation":"\\super 6\\uc0\\u8211{}8\\nosupersub{}","plainCitation":"6–8","noteIndex":0},"citationItems":[{"id":5460,"uris":["http://zotero.org/users/4732780/items/W8P2KD4X"],"uri":["http://zotero.org/users/4732780/items/W8P2KD4X"],"itemData":{"id":5460,"type":"article-journal","abstract":"OBJECTIVE: To evaluate the association between systems characteristics and esophagectomy mortality at low-volume hospitals\nBACKGROUND: High-volume hospitals have lower esophagectomy mortality rates, but receiving care at such centers is not always feasible. We examined low-volume hospitals and sought to identify characteristics of those with better outcomes.\nMETHODS: Using national data from Medicare and the American Hospital Association, we studied 4498 elderly patients who underwent an esophagectomy from 2004 to 2007. We divided hospitals into terciles based on esophagectomy volume and examined characteristics of patients and hospitals (size, nurse ratios, and presence of advanced medical, surgical, and radiological services). Our primary outcome was mortality. We identified 5 potentially beneficial systems characteristics in our data set and used multivariable logistic regression to determine whether these characteristics were associated with lower mortality rates at low-volume hospitals.\nRESULTS: Of the 874 hospitals that performed esophagectomies, 83% (723) were low-volume hospitals whereas only 3% (25) were high-volume. Low-volume hospitals performed a median of 1 esophagectomy during the 4-year study period and cared for patients that were older, more likely to be minority, and more likely to have multiple comorbidities compared with high-volume centers. Low-volume hospitals that had at least 3 of 5 characteristics (high nurse ratios, lung transplantation services, complex medical oncology services, bariatric surgery services, and positron emission tomography scanners) had markedly lower mortality rates compared with low-volume hospitals with none of these characteristics (12.5% vs. 5.0%; P value = 0.042).\nCONCLUSIONS: Low-volume hospitals with certain systems characteristics seem to achieve better esophagectomy outcomes. A more comprehensive study of the beneficial characteristics of low-volume hospitals is warranted because high-volume hospitals are difficult to access for many patients.","container-title":"Annals of Surgery","DOI":"10.1097/SLA.0b013e318213862f","ISSN":"1528-1140","issue":"5","journalAbbreviation":"Ann Surg","language":"eng","note":"PMID: 21422913\nPMCID: PMC7065506","page":"912-917","source":"PubMed","title":"Esophagectomy outcomes at low-volume hospitals: the association between systems characteristics and mortality","title-short":"Esophagectomy outcomes at low-volume hospitals","volume":"253","author":[{"family":"Funk","given":"Luke M."},{"family":"Gawande","given":"Atul A."},{"family":"Semel","given":"Marcus E."},{"family":"Lipsitz","given":"Stuart R."},{"family":"Berry","given":"William R."},{"family":"Zinner","given":"Michael J."},{"family":"Jha","given":"Ashish K."}],"issued":{"date-parts":[["2011",5]]}}},{"id":5463,"uris":["http://zotero.org/users/4732780/items/ZAIU93GI"],"uri":["http://zotero.org/users/4732780/items/ZAIU93GI"],"itemData":{"id":5463,"type":"article-journal","abstract":"OBJECTIVE: To determine the effect of hospital characteristics on failure to rescue after high-risk surgery in Medicare beneficiaries.\nSUMMARY BACKGROUND DATA: Reducing failure to rescue events is a common quality target for US hospitals. Little is known about which hospital characteristics influence this phenomenon and more importantly by how much.\nMETHODS: We identified 1,945,802 Medicare beneficiaries undergoing 1 of six high-risk general or vascular operations between 2007 and 2010. Using multilevel mixed-effects logistic regression modeling, we evaluated how failure to rescue rates were influenced by specific hospital characteristics previously associated with postsurgical outcomes. We used variance partitioning to determine the relative influence of patient and hospital characteristics on the between-hospital variability in failure to rescue rates.\nRESULTS: Failure to rescue rates varied up to 11-fold between very high and very low mortality hospitals. Comparing the highest and lowest mortality hospitals, we observed that teaching status (range: odds ratio [OR] 1.08-1.54), high hospital technology (range: OR 1.08-1.58), increasing nurse-to-patient ratio (range: OR 1.02-1.14), and presence of &gt;20 intensive care unit (ICU) beds (range: OR 1.09-1.62) significantly influenced failure to rescue rates for all procedures. When taken together, hospital and patient characteristics accounted for 12% (lower extremity revascularization) to 57% (esophagectomy) of the observed variation in failure to rescue rates across hospitals.\nCONCLUSIONS: Although several hospital characteristics are associated with lower failure to rescue rates, these macrosystem factors explain a small proportion of the variability between hospitals. This suggests that microsystem characteristics, such as hospital culture and safety climate, may play a larger role in improving a hospital's ability to manage postoperative complications.","container-title":"Annals of Surgery","DOI":"10.1097/SLA.0000000000001414","ISSN":"1528-1140","issue":"4","journalAbbreviation":"Ann Surg","language":"eng","note":"PMID: 26501706\nPMCID: PMC4777662","page":"692-697","source":"PubMed","title":"Impact of Hospital Characteristics on Failure to Rescue Following Major Surgery","volume":"263","author":[{"family":"Sheetz","given":"Kyle H."},{"family":"Dimick","given":"Justin B."},{"family":"Ghaferi","given":"Amir A."}],"issued":{"date-parts":[["2016",4]]}}},{"id":5466,"uris":["http://zotero.org/users/4732780/items/7NALD6Q5"],"uri":["http://zotero.org/users/4732780/items/7NALD6Q5"],"itemData":{"id":5466,"type":"article-journal","abstract":"OBJECTIVE: To determine whether the relationship between hospital volume and mortality has changed over time.\nBACKGROUND: It is generally accepted that hospital volume is associated with mortality in high-risk procedures. However, as surgical safety has improved over the last decade, recent evidence has suggested that the inverse relationship has diminished or been eliminated.\nMETHODS: Using national Medicare claims data from 2000 through 2009, we examined mortality among 3,282,127 patients who underwent 1 of 8 gastrointestinal, cardiac, or vascular procedures. Hospitals were stratified into quintiles of operative volume. Using multivariable logistic regression models to adjust for patient characteristics, we examined the relationship between hospital volume and mortality, and assessed for changes over time. We performed sensitivity analyses using hierarchical logistic regression modeling with hospital-level random effects to confirm our results.\nRESULTS: Throughout the 10-year period, a significant inverse relationship was observed in all procedures. In 5 of the 8 procedures studied, the strength of the volume-outcome relationship increased over time. In esophagectomy, for example, the adjusted odds ratio of mortality in very low volume hospitals compared to very high volume hospitals increased from 2.25 [95% confidence interval (CI): 1.57-3.23] in 2000-2001 to 3.68 (95% CI: 2.66-5.11) in 2008-2009. Only pancreatectomy showed a notable decrease in strength of the relationship over time, from 5.83 (95% CI: 3.64-9.36) in 2000-2001, to 3.08 (95% CI: 2.07-4.57) in 2008-2009.\nCONCLUSIONS: For all procedures examined, higher volume hospitals had significantly lower mortality rates than lower volume hospitals. Despite recent improvements in surgical safety, the strong inverse relationship between hospital volume and mortality persists in the modern era.","container-title":"Annals of Surgery","DOI":"10.1097/SLA.0000000000000375","ISSN":"1528-1140","issue":"2","journalAbbreviation":"Ann Surg","language":"eng","note":"PMID: 24368634\nPMCID: PMC4069246","page":"244-251","source":"PubMed","title":"Hospital volume and operative mortality in the modern era","volume":"260","author":[{"family":"Reames","given":"Bradley N."},{"family":"Ghaferi","given":"Amir A."},{"family":"Birkmeyer","given":"John D."},{"family":"Dimick","given":"Justin B."}],"issued":{"date-parts":[["2014",8]]}}}],"schema":"https://github.com/citation-style-language/schema/raw/master/csl-citation.json"} </w:instrText>
      </w:r>
      <w:r w:rsidR="00F13F07" w:rsidRPr="00E678AB">
        <w:rPr>
          <w:lang w:val="en-GB"/>
        </w:rPr>
        <w:fldChar w:fldCharType="separate"/>
      </w:r>
      <w:r w:rsidR="004859B7" w:rsidRPr="004859B7">
        <w:rPr>
          <w:rFonts w:ascii="Cambria" w:cs="Times New Roman"/>
          <w:vertAlign w:val="superscript"/>
        </w:rPr>
        <w:t>6–8</w:t>
      </w:r>
      <w:r w:rsidR="00F13F07" w:rsidRPr="00E678AB">
        <w:rPr>
          <w:lang w:val="en-GB"/>
        </w:rPr>
        <w:fldChar w:fldCharType="end"/>
      </w:r>
      <w:r w:rsidR="009D77B2" w:rsidRPr="00E678AB">
        <w:rPr>
          <w:lang w:val="en-GB"/>
        </w:rPr>
        <w:t xml:space="preserve"> </w:t>
      </w:r>
      <w:r w:rsidRPr="00E678AB">
        <w:rPr>
          <w:lang w:val="en-GB"/>
        </w:rPr>
        <w:t>I</w:t>
      </w:r>
      <w:r w:rsidR="009D77B2" w:rsidRPr="00E678AB">
        <w:rPr>
          <w:lang w:val="en-GB"/>
        </w:rPr>
        <w:t>mprov</w:t>
      </w:r>
      <w:r w:rsidRPr="00E678AB">
        <w:rPr>
          <w:lang w:val="en-GB"/>
        </w:rPr>
        <w:t>ing</w:t>
      </w:r>
      <w:r w:rsidR="009D77B2" w:rsidRPr="00E678AB">
        <w:rPr>
          <w:lang w:val="en-GB"/>
        </w:rPr>
        <w:t xml:space="preserve"> </w:t>
      </w:r>
      <w:r w:rsidR="009D77B2" w:rsidRPr="00754A2D">
        <w:rPr>
          <w:lang w:val="en-GB"/>
        </w:rPr>
        <w:t xml:space="preserve">hospital </w:t>
      </w:r>
      <w:r w:rsidR="00754A2D" w:rsidRPr="00754A2D">
        <w:rPr>
          <w:lang w:val="en-GB"/>
        </w:rPr>
        <w:t>facilities</w:t>
      </w:r>
      <w:r w:rsidRPr="00754A2D">
        <w:rPr>
          <w:lang w:val="en-GB"/>
        </w:rPr>
        <w:t xml:space="preserve"> through additional infrastructure</w:t>
      </w:r>
      <w:r w:rsidR="00874F83" w:rsidRPr="00754A2D">
        <w:rPr>
          <w:lang w:val="en-GB"/>
        </w:rPr>
        <w:t xml:space="preserve"> and </w:t>
      </w:r>
      <w:r w:rsidRPr="00754A2D">
        <w:rPr>
          <w:lang w:val="en-GB"/>
        </w:rPr>
        <w:t xml:space="preserve">resources, </w:t>
      </w:r>
      <w:r w:rsidR="00812CFD" w:rsidRPr="00754A2D">
        <w:rPr>
          <w:lang w:val="en-GB"/>
        </w:rPr>
        <w:t>translating to greater capacity</w:t>
      </w:r>
      <w:r w:rsidR="00665C0D" w:rsidRPr="00754A2D">
        <w:rPr>
          <w:lang w:val="en-GB"/>
        </w:rPr>
        <w:t>,</w:t>
      </w:r>
      <w:r w:rsidR="009D77B2" w:rsidRPr="00E678AB">
        <w:rPr>
          <w:lang w:val="en-GB"/>
        </w:rPr>
        <w:t xml:space="preserve"> is thought to influence clinical outcomes in lower income settings</w:t>
      </w:r>
      <w:r w:rsidR="00665C0D">
        <w:rPr>
          <w:lang w:val="en-GB"/>
        </w:rPr>
        <w:t>.</w:t>
      </w:r>
      <w:r w:rsidR="009D77B2" w:rsidRPr="00E678AB">
        <w:rPr>
          <w:lang w:val="en-GB"/>
        </w:rPr>
        <w:t xml:space="preserve"> </w:t>
      </w:r>
      <w:r w:rsidR="008B42C0">
        <w:rPr>
          <w:lang w:val="en-GB"/>
        </w:rPr>
        <w:t>W</w:t>
      </w:r>
      <w:r w:rsidR="00440B04">
        <w:rPr>
          <w:lang w:val="en-GB"/>
        </w:rPr>
        <w:t xml:space="preserve">e recently </w:t>
      </w:r>
      <w:r w:rsidR="00440B04" w:rsidRPr="00A34F58">
        <w:rPr>
          <w:lang w:val="en-GB"/>
        </w:rPr>
        <w:t xml:space="preserve">reported </w:t>
      </w:r>
      <w:r w:rsidR="00966C49">
        <w:rPr>
          <w:lang w:val="en-GB"/>
        </w:rPr>
        <w:t>patients in low income countries have higher levels of mortality after cancer surgery</w:t>
      </w:r>
      <w:r w:rsidR="008B42C0">
        <w:rPr>
          <w:lang w:val="en-GB"/>
        </w:rPr>
        <w:t>,</w:t>
      </w:r>
      <w:r w:rsidR="001B1749">
        <w:rPr>
          <w:lang w:val="en-GB"/>
        </w:rPr>
        <w:fldChar w:fldCharType="begin"/>
      </w:r>
      <w:r w:rsidR="001B1749">
        <w:rPr>
          <w:lang w:val="en-GB"/>
        </w:rPr>
        <w:instrText xml:space="preserve"> ADDIN ZOTERO_ITEM CSL_CITATION {"citationID":"l8aPd0F9","properties":{"formattedCitation":"\\super 9\\nosupersub{}","plainCitation":"9","noteIndex":0},"citationItems":[{"id":5399,"uris":["http://zotero.org/users/4732780/items/AXV7CY9P"],"uri":["http://zotero.org/users/4732780/items/AXV7CY9P"],"itemData":{"id":5399,"type":"webpage","abstract":"National Institute for Health Research Global Health Research Unit.","container-title":"Lancet (London, England)","language":"en","note":"ISSN: 1474-547X\nissue: 10272\npublisher: Lancet\nvolume: 397\nPMID: 33485461\nDOI: 10.1016/S0140-6736(21)00001-5","title":"Global variation in postoperative mortality and complications after cancer surgery: a multicentre, prospective cohort study in 82 countries","title-short":"Global variation in postoperative mortality and complications after cancer surgery","URL":"https://pubmed.ncbi.nlm.nih.gov/33485461/","accessed":{"date-parts":[["2021",2,3]]},"issued":{"date-parts":[["2021",1,30]]}}}],"schema":"https://github.com/citation-style-language/schema/raw/master/csl-citation.json"} </w:instrText>
      </w:r>
      <w:r w:rsidR="001B1749">
        <w:rPr>
          <w:lang w:val="en-GB"/>
        </w:rPr>
        <w:fldChar w:fldCharType="separate"/>
      </w:r>
      <w:r w:rsidR="001B1749" w:rsidRPr="001B1749">
        <w:rPr>
          <w:rFonts w:ascii="Cambria" w:cs="Times New Roman"/>
          <w:vertAlign w:val="superscript"/>
        </w:rPr>
        <w:t>9</w:t>
      </w:r>
      <w:r w:rsidR="001B1749">
        <w:rPr>
          <w:lang w:val="en-GB"/>
        </w:rPr>
        <w:fldChar w:fldCharType="end"/>
      </w:r>
      <w:r w:rsidR="007A3B20">
        <w:rPr>
          <w:lang w:val="en-GB"/>
        </w:rPr>
        <w:t xml:space="preserve"> </w:t>
      </w:r>
      <w:r w:rsidR="00460120">
        <w:rPr>
          <w:lang w:val="en-GB"/>
        </w:rPr>
        <w:t>however</w:t>
      </w:r>
      <w:r w:rsidR="00BE4A33">
        <w:rPr>
          <w:lang w:val="en-GB"/>
        </w:rPr>
        <w:t xml:space="preserve"> </w:t>
      </w:r>
      <w:r w:rsidR="00B86ACC">
        <w:rPr>
          <w:lang w:val="en-GB"/>
        </w:rPr>
        <w:t>the</w:t>
      </w:r>
      <w:r w:rsidR="00BE4A33">
        <w:rPr>
          <w:lang w:val="en-GB"/>
        </w:rPr>
        <w:t xml:space="preserve"> impact of </w:t>
      </w:r>
      <w:r w:rsidR="00CC3B49">
        <w:rPr>
          <w:lang w:val="en-GB"/>
        </w:rPr>
        <w:t>hospital facilities</w:t>
      </w:r>
      <w:r w:rsidR="00460120">
        <w:rPr>
          <w:lang w:val="en-GB"/>
        </w:rPr>
        <w:t xml:space="preserve"> </w:t>
      </w:r>
      <w:r w:rsidR="00217093">
        <w:rPr>
          <w:lang w:val="en-GB"/>
        </w:rPr>
        <w:t xml:space="preserve">on </w:t>
      </w:r>
      <w:r w:rsidR="00F27B23">
        <w:rPr>
          <w:lang w:val="en-GB"/>
        </w:rPr>
        <w:t>patient outcomes</w:t>
      </w:r>
      <w:r w:rsidR="00E17EAA">
        <w:rPr>
          <w:lang w:val="en-GB"/>
        </w:rPr>
        <w:t xml:space="preserve"> was not explored</w:t>
      </w:r>
      <w:r w:rsidR="00217093">
        <w:rPr>
          <w:lang w:val="en-GB"/>
        </w:rPr>
        <w:t>.</w:t>
      </w:r>
    </w:p>
    <w:p w14:paraId="78C45A98" w14:textId="78FD8C5F" w:rsidR="00CF7BC4" w:rsidRPr="00E678AB" w:rsidRDefault="009D77B2" w:rsidP="001C0374">
      <w:pPr>
        <w:pStyle w:val="FirstParagraph"/>
        <w:rPr>
          <w:lang w:val="en-GB"/>
        </w:rPr>
      </w:pPr>
      <w:r w:rsidRPr="00E678AB">
        <w:rPr>
          <w:lang w:val="en-GB"/>
        </w:rPr>
        <w:t xml:space="preserve">Using a systems-based approach, we aimed to </w:t>
      </w:r>
      <w:r w:rsidR="0011013C" w:rsidRPr="00E678AB">
        <w:rPr>
          <w:lang w:val="en-GB"/>
        </w:rPr>
        <w:t>describe critical</w:t>
      </w:r>
      <w:r w:rsidRPr="00E678AB">
        <w:rPr>
          <w:lang w:val="en-GB"/>
        </w:rPr>
        <w:t xml:space="preserve"> surgical oncology services available worldwide and determine whether</w:t>
      </w:r>
      <w:r w:rsidR="00754A2D">
        <w:rPr>
          <w:lang w:val="en-GB"/>
        </w:rPr>
        <w:t xml:space="preserve"> hospital</w:t>
      </w:r>
      <w:r w:rsidRPr="00E678AB">
        <w:rPr>
          <w:lang w:val="en-GB"/>
        </w:rPr>
        <w:t xml:space="preserve"> </w:t>
      </w:r>
      <w:r w:rsidR="00856DCD" w:rsidRPr="00754A2D">
        <w:rPr>
          <w:lang w:val="en-GB"/>
        </w:rPr>
        <w:t>facilit</w:t>
      </w:r>
      <w:r w:rsidR="00754A2D" w:rsidRPr="00754A2D">
        <w:rPr>
          <w:lang w:val="en-GB"/>
        </w:rPr>
        <w:t>ie</w:t>
      </w:r>
      <w:r w:rsidR="00754A2D">
        <w:rPr>
          <w:lang w:val="en-GB"/>
        </w:rPr>
        <w:t xml:space="preserve">s </w:t>
      </w:r>
      <w:r w:rsidRPr="00E678AB">
        <w:rPr>
          <w:lang w:val="en-GB"/>
        </w:rPr>
        <w:t xml:space="preserve">are associated with better outcomes </w:t>
      </w:r>
      <w:r w:rsidR="00C6335C">
        <w:rPr>
          <w:lang w:val="en-GB"/>
        </w:rPr>
        <w:t xml:space="preserve">following </w:t>
      </w:r>
      <w:r w:rsidRPr="00E678AB">
        <w:rPr>
          <w:lang w:val="en-GB"/>
        </w:rPr>
        <w:t>cancer surgery worldwide, particularly in low-income settings</w:t>
      </w:r>
      <w:r w:rsidR="0011013C" w:rsidRPr="00E678AB">
        <w:rPr>
          <w:lang w:val="en-GB"/>
        </w:rPr>
        <w:t xml:space="preserve">, and the potential effects of improving </w:t>
      </w:r>
      <w:r w:rsidR="00856DCD">
        <w:rPr>
          <w:lang w:val="en-GB"/>
        </w:rPr>
        <w:t>these resources</w:t>
      </w:r>
      <w:r w:rsidRPr="00E678AB">
        <w:rPr>
          <w:lang w:val="en-GB"/>
        </w:rPr>
        <w:t>.</w:t>
      </w:r>
    </w:p>
    <w:p w14:paraId="1FD47AFF" w14:textId="77777777" w:rsidR="00CF7BC4" w:rsidRPr="00E678AB" w:rsidRDefault="009D77B2">
      <w:r w:rsidRPr="00E678AB">
        <w:br w:type="page"/>
      </w:r>
    </w:p>
    <w:p w14:paraId="6F07C74C" w14:textId="77777777" w:rsidR="00CF7BC4" w:rsidRPr="00E678AB" w:rsidRDefault="009D77B2">
      <w:pPr>
        <w:pStyle w:val="Heading3"/>
        <w:rPr>
          <w:lang w:val="en-GB"/>
        </w:rPr>
      </w:pPr>
      <w:bookmarkStart w:id="2" w:name="methods"/>
      <w:r w:rsidRPr="00E678AB">
        <w:rPr>
          <w:lang w:val="en-GB"/>
        </w:rPr>
        <w:lastRenderedPageBreak/>
        <w:t>Methods</w:t>
      </w:r>
      <w:bookmarkEnd w:id="2"/>
    </w:p>
    <w:p w14:paraId="1875A96B" w14:textId="77777777" w:rsidR="00CF7BC4" w:rsidRPr="00E678AB" w:rsidRDefault="009D77B2">
      <w:pPr>
        <w:pStyle w:val="FirstParagraph"/>
        <w:rPr>
          <w:lang w:val="en-GB"/>
        </w:rPr>
      </w:pPr>
      <w:r w:rsidRPr="00E678AB">
        <w:rPr>
          <w:b/>
          <w:lang w:val="en-GB"/>
        </w:rPr>
        <w:t>Study design and participants</w:t>
      </w:r>
    </w:p>
    <w:p w14:paraId="74F13C9E" w14:textId="1E62CDFD" w:rsidR="00CF7BC4" w:rsidRPr="00E678AB" w:rsidRDefault="009D77B2">
      <w:pPr>
        <w:pStyle w:val="BodyText"/>
        <w:rPr>
          <w:lang w:val="en-GB"/>
        </w:rPr>
      </w:pPr>
      <w:r w:rsidRPr="00E678AB">
        <w:rPr>
          <w:lang w:val="en-GB"/>
        </w:rPr>
        <w:t>A collaborative, international, multicent</w:t>
      </w:r>
      <w:r w:rsidR="00F65FBF">
        <w:rPr>
          <w:lang w:val="en-GB"/>
        </w:rPr>
        <w:t>re</w:t>
      </w:r>
      <w:r w:rsidRPr="00E678AB">
        <w:rPr>
          <w:lang w:val="en-GB"/>
        </w:rPr>
        <w:t>, prospective, observational cohort study was conducted according to a pre-specified, published protocol</w:t>
      </w:r>
      <w:r w:rsidR="00F13F07" w:rsidRPr="00E678AB">
        <w:rPr>
          <w:lang w:val="en-GB"/>
        </w:rPr>
        <w:fldChar w:fldCharType="begin"/>
      </w:r>
      <w:r w:rsidR="001B1749">
        <w:rPr>
          <w:lang w:val="en-GB"/>
        </w:rPr>
        <w:instrText xml:space="preserve"> ADDIN ZOTERO_ITEM CSL_CITATION {"citationID":"52zuhWqu","properties":{"formattedCitation":"\\super 10\\nosupersub{}","plainCitation":"10","noteIndex":0},"citationItems":[{"id":5026,"uris":["http://zotero.org/users/4732780/items/D83UUV8Q"],"uri":["http://zotero.org/users/4732780/items/D83UUV8Q"],"itemData":{"id":5026,"type":"article-journal","abstract":"Introduction Empirical, observational data relating to the diagnosis, management and outcome of three common worldwide cancers requiring surgery is lacking. However, it has been demonstrated that patients in low/middle-income countries undergoing surgery for cancer are at increased risk of death and major complications postoperatively. This study aims to determine quality and outcomes in breast, gastric and colorectal cancer surgery across worldwide hospital settings.\nMethods and analysis This multicentre, international prospective cohort study will be undertaken by any hospital providing emergency or elective surgical services for breast, gastric or colorectal cancer. Centres will collect observational data on consecutive patients undergoing primary emergency or elective surgery for breast, gastric or colorectal cancer during a 6-month period. The primary outcome is the incidence of mortality and major complication rate at 30 days after cancer surgery. Infrastructure and care processes in the treatment of these cancers worldwide will also be characterised.\nEthics and dissemination This project will not affect clinical practice and has been classified as clinical audit following research ethics review. The protocol will be disseminated through the international GlobalSurg network.\nTrial registration number NCT03471494; Pre-results.","container-title":"BMJ Open","DOI":"10.1136/bmjopen-2018-026646","ISSN":"2044-6055, 2044-6055","issue":"5","language":"en","note":"PMID: 31129582","source":"bmjopen.bmj.com","title":"Quality and outcomes in global cancer surgery: protocol for a multicentre, international, prospective cohort study (GlobalSurg 3)","title-short":"Quality and outcomes in global cancer surgery","URL":"https://bmjopen.bmj.com/content/9/5/e026646","volume":"9","author":[{"family":"Surgery","given":"NIHR Global Health Research Unit on Global"}],"accessed":{"date-parts":[["2020",1,20]]},"issued":{"date-parts":[["2019",5,1]]}}}],"schema":"https://github.com/citation-style-language/schema/raw/master/csl-citation.json"} </w:instrText>
      </w:r>
      <w:r w:rsidR="00F13F07" w:rsidRPr="00E678AB">
        <w:rPr>
          <w:lang w:val="en-GB"/>
        </w:rPr>
        <w:fldChar w:fldCharType="separate"/>
      </w:r>
      <w:r w:rsidR="001B1749" w:rsidRPr="001B1749">
        <w:rPr>
          <w:rFonts w:ascii="Cambria" w:cs="Times New Roman"/>
          <w:vertAlign w:val="superscript"/>
        </w:rPr>
        <w:t>10</w:t>
      </w:r>
      <w:r w:rsidR="00F13F07" w:rsidRPr="00E678AB">
        <w:rPr>
          <w:lang w:val="en-GB"/>
        </w:rPr>
        <w:fldChar w:fldCharType="end"/>
      </w:r>
      <w:r w:rsidR="00F13F07" w:rsidRPr="00E678AB">
        <w:rPr>
          <w:lang w:val="en-GB"/>
        </w:rPr>
        <w:t xml:space="preserve"> </w:t>
      </w:r>
      <w:r w:rsidRPr="00E678AB">
        <w:rPr>
          <w:lang w:val="en-GB"/>
        </w:rPr>
        <w:t>(ClinicalTrials.gov identifier: NCT03471494). The collaborative network methodology has been described elsewhere.</w:t>
      </w:r>
      <w:r w:rsidR="00F13F07" w:rsidRPr="00E678AB">
        <w:rPr>
          <w:lang w:val="en-GB"/>
        </w:rPr>
        <w:fldChar w:fldCharType="begin"/>
      </w:r>
      <w:r w:rsidR="001B1749">
        <w:rPr>
          <w:lang w:val="en-GB"/>
        </w:rPr>
        <w:instrText xml:space="preserve"> ADDIN ZOTERO_ITEM CSL_CITATION {"citationID":"2UCrNVh0","properties":{"formattedCitation":"\\super 11\\nosupersub{}","plainCitation":"11","noteIndex":0},"citationItems":[{"id":5469,"uris":["http://zotero.org/users/4732780/items/HEFVTU42"],"uri":["http://zotero.org/users/4732780/items/HEFVTU42"],"itemData":{"id":5469,"type":"article-journal","container-title":"Lancet (London, England)","DOI":"10.1016/S0140-6736(13)62013-9","ISSN":"1474-547X","issue":"9898","journalAbbreviation":"Lancet","language":"eng","note":"PMID: 24075040","page":"1091-1092","source":"PubMed","title":"Surgical research collaboratives in the UK","volume":"382","author":[{"family":"Bhangu","given":"Aneel"},{"family":"Kolias","given":"Angelos G."},{"family":"Pinkney","given":"Thomas"},{"family":"Hall","given":"Nigel J."},{"family":"Fitzgerald","given":"J. Edward"}],"issued":{"date-parts":[["2013",9,28]]}}}],"schema":"https://github.com/citation-style-language/schema/raw/master/csl-citation.json"} </w:instrText>
      </w:r>
      <w:r w:rsidR="00F13F07" w:rsidRPr="00E678AB">
        <w:rPr>
          <w:lang w:val="en-GB"/>
        </w:rPr>
        <w:fldChar w:fldCharType="separate"/>
      </w:r>
      <w:r w:rsidR="001B1749" w:rsidRPr="001B1749">
        <w:rPr>
          <w:rFonts w:ascii="Cambria" w:cs="Times New Roman"/>
          <w:vertAlign w:val="superscript"/>
        </w:rPr>
        <w:t>11</w:t>
      </w:r>
      <w:r w:rsidR="00F13F07" w:rsidRPr="00E678AB">
        <w:rPr>
          <w:lang w:val="en-GB"/>
        </w:rPr>
        <w:fldChar w:fldCharType="end"/>
      </w:r>
      <w:r w:rsidR="00F13F07" w:rsidRPr="00E678AB">
        <w:rPr>
          <w:lang w:val="en-GB"/>
        </w:rPr>
        <w:t xml:space="preserve"> </w:t>
      </w:r>
      <w:r w:rsidRPr="00E678AB">
        <w:rPr>
          <w:lang w:val="en-GB"/>
        </w:rPr>
        <w:t xml:space="preserve">Briefly, any hospital </w:t>
      </w:r>
      <w:r w:rsidR="002A54FB">
        <w:rPr>
          <w:lang w:val="en-GB"/>
        </w:rPr>
        <w:t xml:space="preserve">worldwide </w:t>
      </w:r>
      <w:r w:rsidRPr="00E678AB">
        <w:rPr>
          <w:lang w:val="en-GB"/>
        </w:rPr>
        <w:t xml:space="preserve">providing surgical services for breast, colorectal, or gastric cancer was eligible to take part, with centres collecting observational data on consecutive patients undergoing primary emergency or elective surgery for breast, gastric or colorectal cancer </w:t>
      </w:r>
      <w:r w:rsidR="00AE25A9">
        <w:rPr>
          <w:lang w:val="en-GB"/>
        </w:rPr>
        <w:t>between April 1, 2018 , and Jan 31, 2019</w:t>
      </w:r>
      <w:r w:rsidRPr="00E678AB">
        <w:rPr>
          <w:lang w:val="en-GB"/>
        </w:rPr>
        <w:t>. Case ascertainment and data accuracy were high.</w:t>
      </w:r>
      <w:r w:rsidR="00F13F07" w:rsidRPr="00E678AB">
        <w:rPr>
          <w:lang w:val="en-GB"/>
        </w:rPr>
        <w:fldChar w:fldCharType="begin"/>
      </w:r>
      <w:r w:rsidR="001B1749">
        <w:rPr>
          <w:lang w:val="en-GB"/>
        </w:rPr>
        <w:instrText xml:space="preserve"> ADDIN ZOTERO_ITEM CSL_CITATION {"citationID":"qh83LkUr","properties":{"formattedCitation":"\\super 9\\nosupersub{}","plainCitation":"9","noteIndex":0},"citationItems":[{"id":5399,"uris":["http://zotero.org/users/4732780/items/AXV7CY9P"],"uri":["http://zotero.org/users/4732780/items/AXV7CY9P"],"itemData":{"id":5399,"type":"webpage","abstract":"National Institute for Health Research Global Health Research Unit.","container-title":"Lancet (London, England)","language":"en","note":"ISSN: 1474-547X\nissue: 10272\npublisher: Lancet\nvolume: 397\nPMID: 33485461\nDOI: 10.1016/S0140-6736(21)00001-5","title":"Global variation in postoperative mortality and complications after cancer surgery: a multicentre, prospective cohort study in 82 countries","title-short":"Global variation in postoperative mortality and complications after cancer surgery","URL":"https://pubmed.ncbi.nlm.nih.gov/33485461/","accessed":{"date-parts":[["2021",2,3]]},"issued":{"date-parts":[["2021",1,30]]}}}],"schema":"https://github.com/citation-style-language/schema/raw/master/csl-citation.json"} </w:instrText>
      </w:r>
      <w:r w:rsidR="00F13F07" w:rsidRPr="00E678AB">
        <w:rPr>
          <w:lang w:val="en-GB"/>
        </w:rPr>
        <w:fldChar w:fldCharType="separate"/>
      </w:r>
      <w:r w:rsidR="001B1749" w:rsidRPr="001B1749">
        <w:rPr>
          <w:rFonts w:ascii="Cambria" w:cs="Times New Roman"/>
          <w:vertAlign w:val="superscript"/>
        </w:rPr>
        <w:t>9</w:t>
      </w:r>
      <w:r w:rsidR="00F13F07" w:rsidRPr="00E678AB">
        <w:rPr>
          <w:lang w:val="en-GB"/>
        </w:rPr>
        <w:fldChar w:fldCharType="end"/>
      </w:r>
    </w:p>
    <w:p w14:paraId="65AF75ED" w14:textId="5F51880E" w:rsidR="00CF7BC4" w:rsidRPr="00E678AB" w:rsidRDefault="009D77B2">
      <w:pPr>
        <w:pStyle w:val="BodyText"/>
        <w:rPr>
          <w:lang w:val="en-GB"/>
        </w:rPr>
      </w:pPr>
      <w:r w:rsidRPr="00E678AB">
        <w:rPr>
          <w:lang w:val="en-GB"/>
        </w:rPr>
        <w:t>The survey design followed a system-based approach</w:t>
      </w:r>
      <w:r w:rsidR="00D00FDD" w:rsidRPr="00D00FDD">
        <w:rPr>
          <w:lang w:val="en-GB"/>
        </w:rPr>
        <w:t xml:space="preserve"> </w:t>
      </w:r>
      <w:r w:rsidR="00120768">
        <w:rPr>
          <w:lang w:val="en-GB"/>
        </w:rPr>
        <w:t>adapting</w:t>
      </w:r>
      <w:r w:rsidR="00D96849">
        <w:rPr>
          <w:lang w:val="en-GB"/>
        </w:rPr>
        <w:t xml:space="preserve"> </w:t>
      </w:r>
      <w:r w:rsidR="00D00FDD">
        <w:rPr>
          <w:lang w:val="en-GB"/>
        </w:rPr>
        <w:t xml:space="preserve">the </w:t>
      </w:r>
      <w:r w:rsidR="00AA3EC4">
        <w:rPr>
          <w:lang w:val="en-GB"/>
        </w:rPr>
        <w:t>framework for Comprehensive Cancer Centres</w:t>
      </w:r>
      <w:r w:rsidR="005850F2">
        <w:rPr>
          <w:lang w:val="en-GB"/>
        </w:rPr>
        <w:t xml:space="preserve"> in LMICs</w:t>
      </w:r>
      <w:r w:rsidR="00974651">
        <w:rPr>
          <w:lang w:val="en-GB"/>
        </w:rPr>
        <w:t>.</w:t>
      </w:r>
      <w:r w:rsidR="00AD1843">
        <w:rPr>
          <w:lang w:val="en-GB"/>
        </w:rPr>
        <w:fldChar w:fldCharType="begin"/>
      </w:r>
      <w:r w:rsidR="00AD1843">
        <w:rPr>
          <w:lang w:val="en-GB"/>
        </w:rPr>
        <w:instrText xml:space="preserve"> ADDIN ZOTERO_ITEM CSL_CITATION {"citationID":"fEwCmmD0","properties":{"formattedCitation":"\\super 12\\nosupersub{}","plainCitation":"12","noteIndex":0},"citationItems":[{"id":5592,"uris":["http://zotero.org/users/4732780/items/6GVMCB5I"],"uri":["http://zotero.org/users/4732780/items/6GVMCB5I"],"itemData":{"id":5592,"type":"article-journal","language":"en","page":"43","source":"Zotero","title":"CHAPTER 11. CANCER SERVICES AND THE COMPREHENSIVE CANCER CENTER","author":[{"family":"Gospodarowicz","given":"Mary"},{"family":"Trypuc","given":"Joann"},{"family":"Cruz","given":"Anil D"},{"family":"Khader","given":"Jamal"},{"family":"Omar","given":"Sherif"},{"family":"Knaul","given":"Felicia"}]}}],"schema":"https://github.com/citation-style-language/schema/raw/master/csl-citation.json"} </w:instrText>
      </w:r>
      <w:r w:rsidR="00AD1843">
        <w:rPr>
          <w:lang w:val="en-GB"/>
        </w:rPr>
        <w:fldChar w:fldCharType="separate"/>
      </w:r>
      <w:r w:rsidR="00AD1843" w:rsidRPr="00AD1843">
        <w:rPr>
          <w:rFonts w:ascii="Cambria" w:cs="Times New Roman"/>
          <w:vertAlign w:val="superscript"/>
        </w:rPr>
        <w:t>12</w:t>
      </w:r>
      <w:r w:rsidR="00AD1843">
        <w:rPr>
          <w:lang w:val="en-GB"/>
        </w:rPr>
        <w:fldChar w:fldCharType="end"/>
      </w:r>
      <w:r w:rsidR="00AA3EC4">
        <w:rPr>
          <w:lang w:val="en-GB"/>
        </w:rPr>
        <w:t xml:space="preserve"> </w:t>
      </w:r>
      <w:r w:rsidR="00974651" w:rsidRPr="00754A2D">
        <w:rPr>
          <w:lang w:val="en-GB"/>
        </w:rPr>
        <w:t>H</w:t>
      </w:r>
      <w:r w:rsidRPr="00754A2D">
        <w:rPr>
          <w:lang w:val="en-GB"/>
        </w:rPr>
        <w:t xml:space="preserve">ospital </w:t>
      </w:r>
      <w:r w:rsidR="009D4075" w:rsidRPr="00754A2D">
        <w:rPr>
          <w:lang w:val="en-GB"/>
        </w:rPr>
        <w:t>infrastructure</w:t>
      </w:r>
      <w:r w:rsidR="00017892" w:rsidRPr="00754A2D">
        <w:rPr>
          <w:lang w:val="en-GB"/>
        </w:rPr>
        <w:t xml:space="preserve"> </w:t>
      </w:r>
      <w:r w:rsidR="00253E44" w:rsidRPr="00754A2D">
        <w:rPr>
          <w:lang w:val="en-GB"/>
        </w:rPr>
        <w:t xml:space="preserve">and process </w:t>
      </w:r>
      <w:r w:rsidR="00017892" w:rsidRPr="00754A2D">
        <w:rPr>
          <w:lang w:val="en-GB"/>
        </w:rPr>
        <w:t>resources</w:t>
      </w:r>
      <w:r w:rsidR="00AA3EC4">
        <w:rPr>
          <w:lang w:val="en-GB"/>
        </w:rPr>
        <w:t xml:space="preserve"> identified as core clinical service components</w:t>
      </w:r>
      <w:r w:rsidR="005850F2">
        <w:rPr>
          <w:lang w:val="en-GB"/>
        </w:rPr>
        <w:t xml:space="preserve"> to ensure access to high quality cancer care</w:t>
      </w:r>
      <w:r w:rsidR="00974651">
        <w:rPr>
          <w:lang w:val="en-GB"/>
        </w:rPr>
        <w:t xml:space="preserve"> were captured, such as</w:t>
      </w:r>
      <w:r w:rsidR="005850F2">
        <w:rPr>
          <w:lang w:val="en-GB"/>
        </w:rPr>
        <w:t xml:space="preserve"> t</w:t>
      </w:r>
      <w:r w:rsidR="00253E44">
        <w:rPr>
          <w:lang w:val="en-GB"/>
        </w:rPr>
        <w:t>he presence of</w:t>
      </w:r>
      <w:r w:rsidRPr="00E678AB">
        <w:rPr>
          <w:lang w:val="en-GB"/>
        </w:rPr>
        <w:t xml:space="preserve"> imaging modalities, oncological services, surgical treatment and perioperative care</w:t>
      </w:r>
      <w:r w:rsidR="001443A0">
        <w:rPr>
          <w:lang w:val="en-GB"/>
        </w:rPr>
        <w:t xml:space="preserve"> (Appendix</w:t>
      </w:r>
      <w:r w:rsidR="006701A9">
        <w:rPr>
          <w:lang w:val="en-GB"/>
        </w:rPr>
        <w:t xml:space="preserve"> 1</w:t>
      </w:r>
      <w:r w:rsidR="001443A0">
        <w:rPr>
          <w:lang w:val="en-GB"/>
        </w:rPr>
        <w:t>)</w:t>
      </w:r>
      <w:r w:rsidRPr="00E678AB">
        <w:rPr>
          <w:lang w:val="en-GB"/>
        </w:rPr>
        <w:t xml:space="preserve">. </w:t>
      </w:r>
      <w:r w:rsidR="00DC00A2" w:rsidRPr="00E678AB">
        <w:rPr>
          <w:lang w:val="en-GB"/>
        </w:rPr>
        <w:t>The ability of hospitals to perform elective operations for eleven globally prevalent cancers was also ascertained.</w:t>
      </w:r>
      <w:r w:rsidR="00DC00A2" w:rsidRPr="00E678AB">
        <w:rPr>
          <w:lang w:val="en-GB"/>
        </w:rPr>
        <w:fldChar w:fldCharType="begin"/>
      </w:r>
      <w:r w:rsidR="00DC00A2" w:rsidRPr="00E678AB">
        <w:rPr>
          <w:lang w:val="en-GB"/>
        </w:rPr>
        <w:instrText xml:space="preserve"> ADDIN ZOTERO_TEMP </w:instrText>
      </w:r>
      <w:r w:rsidR="00DC00A2" w:rsidRPr="00E678AB">
        <w:rPr>
          <w:lang w:val="en-GB"/>
        </w:rPr>
        <w:fldChar w:fldCharType="separate"/>
      </w:r>
      <w:r w:rsidR="00DC00A2" w:rsidRPr="00E678AB">
        <w:rPr>
          <w:rFonts w:ascii="Cambria" w:hAnsi="Cambria" w:cs="Times New Roman"/>
          <w:vertAlign w:val="superscript"/>
          <w:lang w:val="en-GB"/>
        </w:rPr>
        <w:t>3</w:t>
      </w:r>
      <w:r w:rsidR="00DC00A2" w:rsidRPr="00E678AB">
        <w:rPr>
          <w:rFonts w:ascii="Cambria" w:hAnsi="Cambria" w:cs="Times New Roman"/>
          <w:vertAlign w:val="superscript"/>
          <w:lang w:val="en-GB"/>
        </w:rPr>
        <w:fldChar w:fldCharType="end"/>
      </w:r>
      <w:r w:rsidR="00DC00A2" w:rsidRPr="00E678AB">
        <w:rPr>
          <w:lang w:val="en-GB"/>
        </w:rPr>
        <w:t xml:space="preserve"> </w:t>
      </w:r>
      <w:r w:rsidRPr="00E678AB">
        <w:rPr>
          <w:lang w:val="en-GB"/>
        </w:rPr>
        <w:t xml:space="preserve">Twenty surgical experts across nine LMICs reviewed multiple survey iterations, with specific criteria to ensure included </w:t>
      </w:r>
      <w:r w:rsidRPr="00754A2D">
        <w:rPr>
          <w:lang w:val="en-GB"/>
        </w:rPr>
        <w:t>hospital</w:t>
      </w:r>
      <w:r w:rsidR="00D166FC" w:rsidRPr="00754A2D">
        <w:rPr>
          <w:lang w:val="en-GB"/>
        </w:rPr>
        <w:t xml:space="preserve"> </w:t>
      </w:r>
      <w:r w:rsidR="00754A2D">
        <w:rPr>
          <w:lang w:val="en-GB"/>
        </w:rPr>
        <w:t>facilities</w:t>
      </w:r>
      <w:r w:rsidRPr="00E678AB">
        <w:rPr>
          <w:lang w:val="en-GB"/>
        </w:rPr>
        <w:t xml:space="preserve"> had relevance in low</w:t>
      </w:r>
      <w:r w:rsidR="00F13F07" w:rsidRPr="00E678AB">
        <w:rPr>
          <w:lang w:val="en-GB"/>
        </w:rPr>
        <w:t>-</w:t>
      </w:r>
      <w:r w:rsidRPr="00E678AB">
        <w:rPr>
          <w:lang w:val="en-GB"/>
        </w:rPr>
        <w:t>income settings.</w:t>
      </w:r>
    </w:p>
    <w:p w14:paraId="174C011B" w14:textId="4B97A417" w:rsidR="00CF7BC4" w:rsidRPr="00E678AB" w:rsidRDefault="009D77B2">
      <w:pPr>
        <w:pStyle w:val="BodyText"/>
        <w:rPr>
          <w:lang w:val="en-GB"/>
        </w:rPr>
      </w:pPr>
      <w:r w:rsidRPr="00E678AB">
        <w:rPr>
          <w:lang w:val="en-GB"/>
        </w:rPr>
        <w:t xml:space="preserve">Definitions for each </w:t>
      </w:r>
      <w:r w:rsidRPr="00754A2D">
        <w:rPr>
          <w:lang w:val="en-GB"/>
        </w:rPr>
        <w:t xml:space="preserve">hospital </w:t>
      </w:r>
      <w:r w:rsidR="00AB34AE" w:rsidRPr="00754A2D">
        <w:rPr>
          <w:lang w:val="en-GB"/>
        </w:rPr>
        <w:t>facility</w:t>
      </w:r>
      <w:r w:rsidRPr="00754A2D">
        <w:rPr>
          <w:lang w:val="en-GB"/>
        </w:rPr>
        <w:t xml:space="preserve"> </w:t>
      </w:r>
      <w:r w:rsidRPr="00E678AB">
        <w:rPr>
          <w:lang w:val="en-GB"/>
        </w:rPr>
        <w:t>were taken from the World Health Organisation,</w:t>
      </w:r>
      <w:r w:rsidR="00F13F07" w:rsidRPr="00E678AB">
        <w:rPr>
          <w:lang w:val="en-GB"/>
        </w:rPr>
        <w:fldChar w:fldCharType="begin"/>
      </w:r>
      <w:r w:rsidR="006C06A9">
        <w:rPr>
          <w:lang w:val="en-GB"/>
        </w:rPr>
        <w:instrText xml:space="preserve"> ADDIN ZOTERO_ITEM CSL_CITATION {"citationID":"r0okkLfg","properties":{"formattedCitation":"\\super 13\\nosupersub{}","plainCitation":"13","noteIndex":0},"citationItems":[{"id":5479,"uris":["http://zotero.org/users/4732780/items/49JDX2JW"],"uri":["http://zotero.org/users/4732780/items/49JDX2JW"],"itemData":{"id":5479,"type":"webpage","language":"en","title":"Health topics","URL":"https://www.who.int/health-topics","accessed":{"date-parts":[["2021",3,24]]}}}],"schema":"https://github.com/citation-style-language/schema/raw/master/csl-citation.json"} </w:instrText>
      </w:r>
      <w:r w:rsidR="00F13F07" w:rsidRPr="00E678AB">
        <w:rPr>
          <w:lang w:val="en-GB"/>
        </w:rPr>
        <w:fldChar w:fldCharType="separate"/>
      </w:r>
      <w:r w:rsidR="006C06A9" w:rsidRPr="006C06A9">
        <w:rPr>
          <w:rFonts w:ascii="Cambria" w:cs="Times New Roman"/>
          <w:vertAlign w:val="superscript"/>
        </w:rPr>
        <w:t>13</w:t>
      </w:r>
      <w:r w:rsidR="00F13F07" w:rsidRPr="00E678AB">
        <w:rPr>
          <w:lang w:val="en-GB"/>
        </w:rPr>
        <w:fldChar w:fldCharType="end"/>
      </w:r>
      <w:r w:rsidR="00E678AB" w:rsidRPr="00E678AB">
        <w:rPr>
          <w:lang w:val="en-GB"/>
        </w:rPr>
        <w:fldChar w:fldCharType="begin"/>
      </w:r>
      <w:r w:rsidR="00E678AB" w:rsidRPr="00E678AB">
        <w:rPr>
          <w:lang w:val="en-GB"/>
        </w:rPr>
        <w:instrText xml:space="preserve"> ADDIN ZOTERO_TEMP </w:instrText>
      </w:r>
      <w:r w:rsidR="00E678AB" w:rsidRPr="00E678AB">
        <w:rPr>
          <w:lang w:val="en-GB"/>
        </w:rPr>
        <w:fldChar w:fldCharType="end"/>
      </w:r>
      <w:r w:rsidR="00F13F07" w:rsidRPr="00E678AB">
        <w:rPr>
          <w:lang w:val="en-GB"/>
        </w:rPr>
        <w:t xml:space="preserve"> </w:t>
      </w:r>
      <w:r w:rsidRPr="00E678AB">
        <w:rPr>
          <w:lang w:val="en-GB"/>
        </w:rPr>
        <w:t>where available, the National Health Service data dictionary</w:t>
      </w:r>
      <w:r w:rsidR="00F13F07" w:rsidRPr="00E678AB">
        <w:rPr>
          <w:lang w:val="en-GB"/>
        </w:rPr>
        <w:fldChar w:fldCharType="begin"/>
      </w:r>
      <w:r w:rsidR="006C06A9">
        <w:rPr>
          <w:lang w:val="en-GB"/>
        </w:rPr>
        <w:instrText xml:space="preserve"> ADDIN ZOTERO_ITEM CSL_CITATION {"citationID":"SoJoOCUc","properties":{"formattedCitation":"\\super 14\\nosupersub{}","plainCitation":"14","noteIndex":0},"citationItems":[{"id":5475,"uris":["http://zotero.org/users/4732780/items/WRVM2PB8"],"uri":["http://zotero.org/users/4732780/items/WRVM2PB8"],"itemData":{"id":5475,"type":"webpage","title":"NHS Data Model and Dictionary","URL":"https://datadictionary.nhs.uk/","accessed":{"date-parts":[["2021",3,24]]}}}],"schema":"https://github.com/citation-style-language/schema/raw/master/csl-citation.json"} </w:instrText>
      </w:r>
      <w:r w:rsidR="00F13F07" w:rsidRPr="00E678AB">
        <w:rPr>
          <w:lang w:val="en-GB"/>
        </w:rPr>
        <w:fldChar w:fldCharType="separate"/>
      </w:r>
      <w:r w:rsidR="006C06A9" w:rsidRPr="006C06A9">
        <w:rPr>
          <w:rFonts w:ascii="Cambria" w:cs="Times New Roman"/>
          <w:vertAlign w:val="superscript"/>
        </w:rPr>
        <w:t>14</w:t>
      </w:r>
      <w:r w:rsidR="00F13F07" w:rsidRPr="00E678AB">
        <w:rPr>
          <w:lang w:val="en-GB"/>
        </w:rPr>
        <w:fldChar w:fldCharType="end"/>
      </w:r>
      <w:r w:rsidRPr="00E678AB">
        <w:rPr>
          <w:lang w:val="en-GB"/>
        </w:rPr>
        <w:t xml:space="preserve"> </w:t>
      </w:r>
      <w:r w:rsidR="00F3627B">
        <w:rPr>
          <w:lang w:val="en-GB"/>
        </w:rPr>
        <w:t>or American Association of Clinical Oncology</w:t>
      </w:r>
      <w:r w:rsidR="00F3627B">
        <w:rPr>
          <w:lang w:val="en-GB"/>
        </w:rPr>
        <w:fldChar w:fldCharType="begin"/>
      </w:r>
      <w:r w:rsidR="00F3627B">
        <w:rPr>
          <w:lang w:val="en-GB"/>
        </w:rPr>
        <w:instrText xml:space="preserve"> ADDIN ZOTERO_ITEM CSL_CITATION {"citationID":"CnpaixUI","properties":{"formattedCitation":"\\super 15\\nosupersub{}","plainCitation":"15","noteIndex":0},"citationItems":[{"id":478,"uris":["http://zotero.org/users/4732780/items/TX7S7L6F"],"uri":["http://zotero.org/users/4732780/items/TX7S7L6F"],"itemData":{"id":478,"type":"webpage","title":"Types of Oncologists | Cancer.Net","URL":"https://www.cancer.net/navigating-cancer-care/cancer-basics/cancer-care-team/types-oncologists","accessed":{"date-parts":[["2019",1,10]]}}}],"schema":"https://github.com/citation-style-language/schema/raw/master/csl-citation.json"} </w:instrText>
      </w:r>
      <w:r w:rsidR="00F3627B">
        <w:rPr>
          <w:lang w:val="en-GB"/>
        </w:rPr>
        <w:fldChar w:fldCharType="separate"/>
      </w:r>
      <w:r w:rsidR="00F3627B" w:rsidRPr="00F3627B">
        <w:rPr>
          <w:rFonts w:ascii="Cambria" w:cs="Times New Roman"/>
          <w:vertAlign w:val="superscript"/>
        </w:rPr>
        <w:t>15</w:t>
      </w:r>
      <w:r w:rsidR="00F3627B">
        <w:rPr>
          <w:lang w:val="en-GB"/>
        </w:rPr>
        <w:fldChar w:fldCharType="end"/>
      </w:r>
      <w:r w:rsidR="00F3627B">
        <w:rPr>
          <w:lang w:val="en-GB"/>
        </w:rPr>
        <w:t xml:space="preserve"> </w:t>
      </w:r>
      <w:r w:rsidRPr="00E678AB">
        <w:rPr>
          <w:lang w:val="en-GB"/>
        </w:rPr>
        <w:t>(Appendix</w:t>
      </w:r>
      <w:r w:rsidR="006701A9">
        <w:rPr>
          <w:lang w:val="en-GB"/>
        </w:rPr>
        <w:t xml:space="preserve"> 1</w:t>
      </w:r>
      <w:r w:rsidRPr="00E678AB">
        <w:rPr>
          <w:lang w:val="en-GB"/>
        </w:rPr>
        <w:t>). Members listed within the tumour board structure were taken from the recently published National Institute for Health &amp; Care Excellence (NICE) guidelines.</w:t>
      </w:r>
      <w:r w:rsidR="00F13F07" w:rsidRPr="00E678AB">
        <w:rPr>
          <w:lang w:val="en-GB"/>
        </w:rPr>
        <w:fldChar w:fldCharType="begin"/>
      </w:r>
      <w:r w:rsidR="00F3627B">
        <w:rPr>
          <w:lang w:val="en-GB"/>
        </w:rPr>
        <w:instrText xml:space="preserve"> ADDIN ZOTERO_ITEM CSL_CITATION {"citationID":"u5XO8auY","properties":{"formattedCitation":"\\super 16\\nosupersub{}","plainCitation":"16","noteIndex":0},"citationItems":[{"id":480,"uris":["http://zotero.org/users/4732780/items/NFFSSG64"],"uri":["http://zotero.org/users/4732780/items/NFFSSG64"],"itemData":{"id":480,"type":"webpage","language":"eng","title":"Oesophago-gastric cancer | Guidance and guidelines | NICE","URL":"https://www.nice.org.uk/guidance/qs176/chapter/Quality-statement-2-Multidisciplinary-review","accessed":{"date-parts":[["2019",1,10]]}}}],"schema":"https://github.com/citation-style-language/schema/raw/master/csl-citation.json"} </w:instrText>
      </w:r>
      <w:r w:rsidR="00F13F07" w:rsidRPr="00E678AB">
        <w:rPr>
          <w:lang w:val="en-GB"/>
        </w:rPr>
        <w:fldChar w:fldCharType="separate"/>
      </w:r>
      <w:r w:rsidR="00F3627B" w:rsidRPr="00F3627B">
        <w:rPr>
          <w:rFonts w:ascii="Cambria" w:cs="Times New Roman"/>
          <w:vertAlign w:val="superscript"/>
        </w:rPr>
        <w:t>16</w:t>
      </w:r>
      <w:r w:rsidR="00F13F07" w:rsidRPr="00E678AB">
        <w:rPr>
          <w:lang w:val="en-GB"/>
        </w:rPr>
        <w:fldChar w:fldCharType="end"/>
      </w:r>
    </w:p>
    <w:p w14:paraId="59D333E3" w14:textId="73A28BF6" w:rsidR="00CF7BC4" w:rsidRPr="00E678AB" w:rsidRDefault="009D77B2">
      <w:pPr>
        <w:pStyle w:val="BodyText"/>
        <w:rPr>
          <w:lang w:val="en-GB"/>
        </w:rPr>
      </w:pPr>
      <w:r w:rsidRPr="00E678AB">
        <w:rPr>
          <w:lang w:val="en-GB"/>
        </w:rPr>
        <w:t>Beta testing at two LMIC hospital sites was performed to ensure survey clarity prior to formal release across all collaborating hospitals. Collaborators at hospitals who had entered patient-level data for GlobalSurg 3 were invited to complete the hospital level survey via a secure online link and entered directly onto the REDCap database. Collaborators were provided with a data extraction sheet to aid completion. The survey remained open for eight weeks,</w:t>
      </w:r>
      <w:r w:rsidR="00841A14">
        <w:rPr>
          <w:lang w:val="en-GB"/>
        </w:rPr>
        <w:t xml:space="preserve"> </w:t>
      </w:r>
      <w:r w:rsidR="00841A14">
        <w:rPr>
          <w:lang w:val="en-GB"/>
        </w:rPr>
        <w:t>until April 23, 2019</w:t>
      </w:r>
      <w:r w:rsidR="00841A14">
        <w:rPr>
          <w:lang w:val="en-GB"/>
        </w:rPr>
        <w:t>,</w:t>
      </w:r>
      <w:r w:rsidRPr="00E678AB">
        <w:rPr>
          <w:lang w:val="en-GB"/>
        </w:rPr>
        <w:t xml:space="preserve"> with reminders sent every four weeks if the survey remained incomplete.</w:t>
      </w:r>
    </w:p>
    <w:p w14:paraId="167A6575" w14:textId="36BEA382" w:rsidR="00CF7BC4" w:rsidRPr="00E678AB" w:rsidRDefault="009D77B2">
      <w:pPr>
        <w:pStyle w:val="BodyText"/>
        <w:rPr>
          <w:lang w:val="en-GB"/>
        </w:rPr>
      </w:pPr>
      <w:r w:rsidRPr="00E678AB">
        <w:rPr>
          <w:lang w:val="en-GB"/>
        </w:rPr>
        <w:t>A UK National Health Service (NHS) Research Ethics proportionate review considered this study exempt from formal research registration (South East Scotland Research Ethics Service, reference NR/161AB6) because it was deemed a clinical audit. Individual centres obtained their own audit or institutional approval, together with ethical approval as per local regulations. This study is reported according to the Strengthening the Reporting of Observational Studies in Epidemiology (STROBE) and Standards for Quality Improvement Reporting Excellence (SQUIRE</w:t>
      </w:r>
      <w:r w:rsidR="00F13F07" w:rsidRPr="00E678AB">
        <w:rPr>
          <w:lang w:val="en-GB"/>
        </w:rPr>
        <w:t xml:space="preserve"> 2.0</w:t>
      </w:r>
      <w:r w:rsidRPr="00E678AB">
        <w:rPr>
          <w:lang w:val="en-GB"/>
        </w:rPr>
        <w:t>) guidelines</w:t>
      </w:r>
      <w:r w:rsidR="00F13F07" w:rsidRPr="00E678AB">
        <w:rPr>
          <w:lang w:val="en-GB"/>
        </w:rPr>
        <w:fldChar w:fldCharType="begin"/>
      </w:r>
      <w:r w:rsidR="00F3627B">
        <w:rPr>
          <w:lang w:val="en-GB"/>
        </w:rPr>
        <w:instrText xml:space="preserve"> ADDIN ZOTERO_ITEM CSL_CITATION {"citationID":"eLVJZl6c","properties":{"formattedCitation":"\\super 17,18\\nosupersub{}","plainCitation":"17,18","noteIndex":0},"citationItems":[{"id":5141,"uris":["http://zotero.org/users/4732780/items/EQKP733L"],"uri":["http://zotero.org/users/4732780/items/EQKP733L"],"itemData":{"id":5141,"type":"article-journal","abstract":"Much of biomedical research is observational. The reporting of such research is often inadequate, which hampers the assessment of its strengths and weaknesses and of a study's generalizability. The Strengthening the Reporting of Observational Studies in Epidemiology (STROBE) Initiative developed recommendations on what should be included in an accurate and complete report of an observational study. We defined the scope of the recommendations to cover three main study designs: cohort, case-control, and cross-sectional studies. We convened a 2-day workshop in September 2004, with methodologists, researchers, and journal editors to draft a checklist of items. This list was subsequently revised during several meetings of the coordinating group and in e-mail discussions with the larger group of STROBE contributors, taking into account empirical evidence and methodological considerations. The workshop and the subsequent iterative process of consultation and revision resulted in a checklist of 22 items (the STROBE Statement) that relate to the title, abstract, introduction, methods, results, and discussion sections of articles. Eighteen items are common to all three study designs and four are specific for cohort, case-control, or cross-sectional studies. A detailed Explanation and Elaboration document is published separately and is freely available on the web sites of PLoS Medicine, Annals of Internal Medicine, and Epidemiology. We hope that the STROBE Statement will contribute to improving the quality of reporting of observational studies.","container-title":"Journal of Clinical Epidemiology","DOI":"10.1016/j.jclinepi.2007.11.008","ISSN":"0895-4356","issue":"4","journalAbbreviation":"J Clin Epidemiol","language":"eng","note":"PMID: 18313558","page":"344-349","source":"PubMed","title":"The Strengthening the Reporting of Observational Studies in Epidemiology (STROBE) statement: guidelines for reporting observational studies","title-short":"The Strengthening the Reporting of Observational Studies in Epidemiology (STROBE) statement","volume":"61","author":[{"family":"Elm","given":"Erik","non-dropping-particle":"von"},{"family":"Altman","given":"Douglas G."},{"family":"Egger","given":"Matthias"},{"family":"Pocock","given":"Stuart J."},{"family":"Gøtzsche","given":"Peter C."},{"family":"Vandenbroucke","given":"Jan P."},{"literal":"STROBE Initiative"}],"issued":{"date-parts":[["2008",4]]}}},{"id":5481,"uris":["http://zotero.org/users/4732780/items/TCARPEI4"],"uri":["http://zotero.org/users/4732780/items/TCARPEI4"],"itemData":{"id":5481,"type":"article-journal","abstract":"Since the publication of Standards for QUality Improvement Reporting Excellence (SQUIRE 1.0) guidelines in 2008, the science of the field has advanced considerably. In this manuscript, we describe the development of SQUIRE 2.0 and its key components. We undertook the revision between 2012 and 2015 using (1) semistructured interviews and focus groups to evaluate SQUIRE 1.0 plus feedback from an international steering group, (2) two face-to-face consensus meetings to develop interim drafts and (3) pilot testing with authors and a public comment period. SQUIRE 2.0 emphasises the reporting of three key components of systematic efforts to improve the quality, value and safety of healthcare: the use of formal and informal theory in planning, implementing and evaluating improvement work; the context in which the work is done and the study of the intervention(s). SQUIRE 2.0 is intended for reporting the range of methods used to improve healthcare, recognising that they can be complex and multidimensional. It provides common ground to share these discoveries in the scholarly literature (http://www.squire-statement.org).","container-title":"BMJ Quality &amp; Safety","DOI":"10.1136/bmjqs-2015-004411","ISSN":"2044-5415, 2044-5423","issue":"12","journalAbbreviation":"BMJ Qual Saf","language":"en","note":"publisher: BMJ Publishing Group Ltd\nsection: Research and reporting methodology\nPMID: 26369893","page":"986-992","source":"qualitysafety.bmj.com","title":"SQUIRE 2.0 (Standards for QUality Improvement Reporting Excellence): revised publication guidelines from a detailed consensus process","title-short":"SQUIRE 2.0 (Standards for QUality Improvement Reporting Excellence)","volume":"25","author":[{"family":"Ogrinc","given":"Greg"},{"family":"Davies","given":"Louise"},{"family":"Goodman","given":"Daisy"},{"family":"Batalden","given":"Paul"},{"family":"Davidoff","given":"Frank"},{"family":"Stevens","given":"David"}],"issued":{"date-parts":[["2016",12,1]]}}}],"schema":"https://github.com/citation-style-language/schema/raw/master/csl-citation.json"} </w:instrText>
      </w:r>
      <w:r w:rsidR="00F13F07" w:rsidRPr="00E678AB">
        <w:rPr>
          <w:lang w:val="en-GB"/>
        </w:rPr>
        <w:fldChar w:fldCharType="separate"/>
      </w:r>
      <w:r w:rsidR="00F3627B" w:rsidRPr="00F3627B">
        <w:rPr>
          <w:rFonts w:ascii="Cambria" w:cs="Times New Roman"/>
          <w:vertAlign w:val="superscript"/>
        </w:rPr>
        <w:t>17,18</w:t>
      </w:r>
      <w:r w:rsidR="00F13F07" w:rsidRPr="00E678AB">
        <w:rPr>
          <w:lang w:val="en-GB"/>
        </w:rPr>
        <w:fldChar w:fldCharType="end"/>
      </w:r>
    </w:p>
    <w:p w14:paraId="7092F2BF" w14:textId="77777777" w:rsidR="00CF7BC4" w:rsidRPr="00E678AB" w:rsidRDefault="009D77B2">
      <w:pPr>
        <w:pStyle w:val="BodyText"/>
        <w:rPr>
          <w:lang w:val="en-GB"/>
        </w:rPr>
      </w:pPr>
      <w:r w:rsidRPr="00E678AB">
        <w:rPr>
          <w:b/>
          <w:lang w:val="en-GB"/>
        </w:rPr>
        <w:t>Outcomes</w:t>
      </w:r>
    </w:p>
    <w:p w14:paraId="3CE4C1C7" w14:textId="1CE539EA" w:rsidR="00A419E1" w:rsidRDefault="009D77B2">
      <w:pPr>
        <w:pStyle w:val="BodyText"/>
        <w:rPr>
          <w:lang w:val="en-GB"/>
        </w:rPr>
      </w:pPr>
      <w:r w:rsidRPr="00E678AB">
        <w:rPr>
          <w:lang w:val="en-GB"/>
        </w:rPr>
        <w:t xml:space="preserve">The primary outcome measures were 30-day mortality and 30-day major complication, as defined by </w:t>
      </w:r>
      <w:proofErr w:type="spellStart"/>
      <w:r w:rsidRPr="00E678AB">
        <w:rPr>
          <w:lang w:val="en-GB"/>
        </w:rPr>
        <w:t>Clavien-Dindo</w:t>
      </w:r>
      <w:proofErr w:type="spellEnd"/>
      <w:r w:rsidRPr="00E678AB">
        <w:rPr>
          <w:lang w:val="en-GB"/>
        </w:rPr>
        <w:t xml:space="preserve"> grade III, IV, or V.</w:t>
      </w:r>
      <w:r w:rsidR="00EF74BB" w:rsidRPr="00E678AB">
        <w:rPr>
          <w:lang w:val="en-GB"/>
        </w:rPr>
        <w:fldChar w:fldCharType="begin"/>
      </w:r>
      <w:r w:rsidR="00F3627B">
        <w:rPr>
          <w:lang w:val="en-GB"/>
        </w:rPr>
        <w:instrText xml:space="preserve"> ADDIN ZOTERO_ITEM CSL_CITATION {"citationID":"8GG0rGke","properties":{"formattedCitation":"\\super 19\\nosupersub{}","plainCitation":"19","noteIndex":0},"citationItems":[{"id":5484,"uris":["http://zotero.org/users/4732780/items/V5QC8TVA"],"uri":["http://zotero.org/users/4732780/items/V5QC8TVA"],"itemData":{"id":5484,"type":"article-journal","abstract":"OBJECTIVE: Although quality assessment is gaining increasing attention, there is still no consensus on how to define and grade postoperative complications. This shortcoming hampers comparison of outcome data among different centers and therapies and over time.\nPATIENTS AND METHODS: A classification of complications published by one of the authors in 1992 was critically re-evaluated and modified to increase its accuracy and its acceptability in the surgical community. Modifications mainly focused on the manner of reporting life-threatening and permanently disabling complications. The new grading system still mostly relies on the therapy used to treat the complication. The classification was tested in a cohort of 6336 patients who underwent elective general surgery at our institution. The reproducibility and personal judgment of the classification were evaluated through an international survey with 2 questionnaires sent to 10 surgical centers worldwide.\nRESULTS: The new ranking system significantly correlated with complexity of surgery (P &lt; 0.0001) as well as with the length of the hospital stay (P &lt; 0.0001). A total of 144 surgeons from 10 different centers around the world and at different levels of training returned the survey. Ninety percent of the case presentations were correctly graded. The classification was considered to be simple (92% of the respondents), reproducible (91%), logical (92%), useful (90%), and comprehensive (89%). The answers of both questionnaires were not dependent on the origin of the reply and the level of training of the surgeons.\nCONCLUSIONS: The new complication classification appears reliable and may represent a compelling tool for quality assessment in surgery in all parts of the world.","container-title":"Annals of Surgery","DOI":"10.1097/01.sla.0000133083.54934.ae","ISSN":"0003-4932","issue":"2","journalAbbreviation":"Ann Surg","language":"eng","note":"PMID: 15273542\nPMCID: PMC1360123","page":"205-213","source":"PubMed","title":"Classification of surgical complications: a new proposal with evaluation in a cohort of 6336 patients and results of a survey","title-short":"Classification of surgical complications","volume":"240","author":[{"family":"Dindo","given":"Daniel"},{"family":"Demartines","given":"Nicolas"},{"family":"Clavien","given":"Pierre-Alain"}],"issued":{"date-parts":[["2004",8]]}}}],"schema":"https://github.com/citation-style-language/schema/raw/master/csl-citation.json"} </w:instrText>
      </w:r>
      <w:r w:rsidR="00EF74BB" w:rsidRPr="00E678AB">
        <w:rPr>
          <w:lang w:val="en-GB"/>
        </w:rPr>
        <w:fldChar w:fldCharType="separate"/>
      </w:r>
      <w:r w:rsidR="00F3627B" w:rsidRPr="00F3627B">
        <w:rPr>
          <w:rFonts w:ascii="Cambria" w:cs="Times New Roman"/>
          <w:vertAlign w:val="superscript"/>
        </w:rPr>
        <w:t>19</w:t>
      </w:r>
      <w:r w:rsidR="00EF74BB" w:rsidRPr="00E678AB">
        <w:rPr>
          <w:lang w:val="en-GB"/>
        </w:rPr>
        <w:fldChar w:fldCharType="end"/>
      </w:r>
      <w:r w:rsidRPr="00E678AB">
        <w:rPr>
          <w:lang w:val="en-GB"/>
        </w:rPr>
        <w:t xml:space="preserve"> Death was included in the definition of major complication and therefore was not a competing risk. Capacity to rescue was defined as the absolute risk difference of death in patients sustaining a complication of surgery. </w:t>
      </w:r>
      <w:r w:rsidR="00A419E1">
        <w:rPr>
          <w:lang w:val="en-GB"/>
        </w:rPr>
        <w:t>Secondary outcomes measures, as defined previously in the protocol,</w:t>
      </w:r>
      <w:r w:rsidR="00515E65">
        <w:rPr>
          <w:lang w:val="en-GB"/>
        </w:rPr>
        <w:fldChar w:fldCharType="begin"/>
      </w:r>
      <w:r w:rsidR="001B1749">
        <w:rPr>
          <w:lang w:val="en-GB"/>
        </w:rPr>
        <w:instrText xml:space="preserve"> ADDIN ZOTERO_ITEM CSL_CITATION {"citationID":"jkzDVDjq","properties":{"formattedCitation":"\\super 10\\nosupersub{}","plainCitation":"10","noteIndex":0},"citationItems":[{"id":5026,"uris":["http://zotero.org/users/4732780/items/D83UUV8Q"],"uri":["http://zotero.org/users/4732780/items/D83UUV8Q"],"itemData":{"id":5026,"type":"article-journal","abstract":"Introduction Empirical, observational data relating to the diagnosis, management and outcome of three common worldwide cancers requiring surgery is lacking. However, it has been demonstrated that patients in low/middle-income countries undergoing surgery for cancer are at increased risk of death and major complications postoperatively. This study aims to determine quality and outcomes in breast, gastric and colorectal cancer surgery across worldwide hospital settings.\nMethods and analysis This multicentre, international prospective cohort study will be undertaken by any hospital providing emergency or elective surgical services for breast, gastric or colorectal cancer. Centres will collect observational data on consecutive patients undergoing primary emergency or elective surgery for breast, gastric or colorectal cancer during a 6-month period. The primary outcome is the incidence of mortality and major complication rate at 30 days after cancer surgery. Infrastructure and care processes in the treatment of these cancers worldwide will also be characterised.\nEthics and dissemination This project will not affect clinical practice and has been classified as clinical audit following research ethics review. The protocol will be disseminated through the international GlobalSurg network.\nTrial registration number NCT03471494; Pre-results.","container-title":"BMJ Open","DOI":"10.1136/bmjopen-2018-026646","ISSN":"2044-6055, 2044-6055","issue":"5","language":"en","note":"PMID: 31129582","source":"bmjopen.bmj.com","title":"Quality and outcomes in global cancer surgery: protocol for a multicentre, international, prospective cohort study (GlobalSurg 3)","title-short":"Quality and outcomes in global cancer surgery","URL":"https://bmjopen.bmj.com/content/9/5/e026646","volume":"9","author":[{"family":"Surgery","given":"NIHR Global Health Research Unit on Global"}],"accessed":{"date-parts":[["2020",1,20]]},"issued":{"date-parts":[["2019",5,1]]}},"locator":"3"}],"schema":"https://github.com/citation-style-language/schema/raw/master/csl-citation.json"} </w:instrText>
      </w:r>
      <w:r w:rsidR="00515E65">
        <w:rPr>
          <w:lang w:val="en-GB"/>
        </w:rPr>
        <w:fldChar w:fldCharType="separate"/>
      </w:r>
      <w:r w:rsidR="001B1749" w:rsidRPr="001B1749">
        <w:rPr>
          <w:rFonts w:ascii="Cambria" w:cs="Times New Roman"/>
          <w:vertAlign w:val="superscript"/>
        </w:rPr>
        <w:t>10</w:t>
      </w:r>
      <w:r w:rsidR="00515E65">
        <w:rPr>
          <w:lang w:val="en-GB"/>
        </w:rPr>
        <w:fldChar w:fldCharType="end"/>
      </w:r>
      <w:r w:rsidR="00A419E1">
        <w:rPr>
          <w:lang w:val="en-GB"/>
        </w:rPr>
        <w:t xml:space="preserve"> were </w:t>
      </w:r>
      <w:r w:rsidR="00515E65">
        <w:rPr>
          <w:lang w:val="en-GB"/>
        </w:rPr>
        <w:t>selected</w:t>
      </w:r>
      <w:r w:rsidR="00A419E1">
        <w:rPr>
          <w:lang w:val="en-GB"/>
        </w:rPr>
        <w:t xml:space="preserve"> </w:t>
      </w:r>
      <w:r w:rsidR="00FA09BD">
        <w:rPr>
          <w:lang w:val="en-GB"/>
        </w:rPr>
        <w:t>as potential surrogate measures for</w:t>
      </w:r>
      <w:r w:rsidR="00E61780">
        <w:rPr>
          <w:lang w:val="en-GB"/>
        </w:rPr>
        <w:t xml:space="preserve"> patient safety and</w:t>
      </w:r>
      <w:r w:rsidR="00A419E1">
        <w:rPr>
          <w:lang w:val="en-GB"/>
        </w:rPr>
        <w:t xml:space="preserve"> cancer care quality</w:t>
      </w:r>
      <w:r w:rsidR="00E61780">
        <w:rPr>
          <w:lang w:val="en-GB"/>
        </w:rPr>
        <w:t xml:space="preserve"> </w:t>
      </w:r>
      <w:r w:rsidR="00A226D6">
        <w:rPr>
          <w:lang w:val="en-GB"/>
        </w:rPr>
        <w:t>within hospitals</w:t>
      </w:r>
      <w:r w:rsidR="00A419E1">
        <w:rPr>
          <w:lang w:val="en-GB"/>
        </w:rPr>
        <w:t>.</w:t>
      </w:r>
      <w:r w:rsidR="00A419E1" w:rsidRPr="00A419E1">
        <w:rPr>
          <w:lang w:val="en-GB"/>
        </w:rPr>
        <w:t xml:space="preserve"> </w:t>
      </w:r>
      <w:r w:rsidR="00515E65">
        <w:rPr>
          <w:lang w:val="en-GB"/>
        </w:rPr>
        <w:t>These</w:t>
      </w:r>
      <w:r w:rsidR="006079B9">
        <w:rPr>
          <w:lang w:val="en-GB"/>
        </w:rPr>
        <w:t xml:space="preserve"> </w:t>
      </w:r>
      <w:r w:rsidR="00515E65">
        <w:rPr>
          <w:lang w:val="en-GB"/>
        </w:rPr>
        <w:t>included</w:t>
      </w:r>
      <w:r w:rsidR="006079B9">
        <w:rPr>
          <w:lang w:val="en-GB"/>
        </w:rPr>
        <w:t>;</w:t>
      </w:r>
      <w:r w:rsidR="00515E65">
        <w:rPr>
          <w:lang w:val="en-GB"/>
        </w:rPr>
        <w:t xml:space="preserve"> </w:t>
      </w:r>
      <w:r w:rsidR="00A226D6">
        <w:rPr>
          <w:lang w:val="en-GB"/>
        </w:rPr>
        <w:t>use of surgical safety checklists,</w:t>
      </w:r>
      <w:r w:rsidR="00E61780">
        <w:rPr>
          <w:lang w:val="en-GB"/>
        </w:rPr>
        <w:fldChar w:fldCharType="begin"/>
      </w:r>
      <w:r w:rsidR="00F3627B">
        <w:rPr>
          <w:lang w:val="en-GB"/>
        </w:rPr>
        <w:instrText xml:space="preserve"> ADDIN ZOTERO_ITEM CSL_CITATION {"citationID":"nDDSWS5A","properties":{"formattedCitation":"\\super 20,21\\nosupersub{}","plainCitation":"20,21","noteIndex":0},"citationItems":[{"id":5597,"uris":["http://zotero.org/users/4732780/items/LZXW5DSC"],"uri":["http://zotero.org/users/4732780/items/LZXW5DSC"],"itemData":{"id":5597,"type":"article-journal","abstract":"Background Surgical complications represent a significant cause of morbidity and mortality with the rate of major complications after inpatient surgery estimated at 3–17% in industrialised countries. The purpose of this review was to summarise experience with surgical checklist use and efficacy for improving patient safety.\nMethods A search of four databases (MEDLINE, CINAHL, EMBASE and the Cochrane Database of Controlled Trials) was conducted from 1 January 2000 to 26 October 2012. Articles describing actual use of the WHO checklist, the Surgical Patient Safety System (SURPASS) checklist, a wrong-site surgery checklist or an anaesthesia equipment checklist were eligible for inclusion (this manuscript summarises all but the anaesthesia equipment checklists, which are described in the Agency for Healthcare Research and Quality publication).\nResults We included a total of 33 studies. We report a variety of outcomes including avoidance of adverse events, facilitators and barriers to implementation. Checklists have been adopted in a wide variety of settings and represent a promising strategy for improving the culture of patient safety and perioperative care in a wide variety of settings. Surgical checklists were associated with increased detection of potential safety hazards, decreased surgical complications and improved communication among operating staff. Strategies for successful checklist implementation included enlisting institutional leaders as local champions, incorporating staff feedback for checklist adaptation and avoiding redundancies with existing systems for collecting information.\nConclusions Surgical checklists represent a relatively simple and promising strategy for addressing surgical patient safety worldwide. Further studies are needed to evaluate to what degree checklists improve clinical outcomes and whether improvements may be more pronounced in particular settings.","container-title":"BMJ Quality &amp; Safety","DOI":"10.1136/bmjqs-2012-001797","ISSN":"2044-5415, 2044-5423","issue":"4","journalAbbreviation":"BMJ Qual Saf","language":"en","note":"publisher: BMJ Publishing Group Ltd\nsection: Systematic review\nPMID: 23922403","page":"299-318","source":"qualitysafety.bmj.com","title":"Surgical checklists: a systematic review of impacts and implementation","title-short":"Surgical checklists","volume":"23","author":[{"family":"Treadwell","given":"Jonathan R."},{"family":"Lucas","given":"Scott"},{"family":"Tsou","given":"Amy Y."}],"issued":{"date-parts":[["2014",4,1]]}}},{"id":5601,"uris":["http://zotero.org/users/4732780/items/N926V5V9"],"uri":["http://zotero.org/users/4732780/items/N926V5V9"],"itemData":{"id":5601,"type":"article-journal","abstract":"&lt;h2&gt;Summary&lt;/h2&gt;&lt;p&gt;The concept of using a checklist in surgical and anaesthetic practice was energized by publication of the WHO Surgical Safety Checklist in 2008. It was believed that by routinely checking common safety issues, and by better team communication and dynamics, perioperative morbidity and mortality could be improved. The magnitude of improvement demonstrated by the WHO pilot studies was surprising. These initial results have been confirmed by further detailed work demonstrating that surgical checklists, when properly implemented, can make a substantial difference to patient safety. However, introducing surgical checklists is not as straightforward as it seems, and requires leadership, flexibility, and teamwork in a different way to that which is currently practiced. Future work should be aimed at ensuring effective implementation of the WHO Surgical Safety Checklist, which will benefit our patients on a global scale.&lt;/p&gt;","container-title":"British Journal of Anaesthesia","DOI":"10.1093/bja/aes175","ISSN":"0007-0912, 1471-6771","issue":"1","journalAbbreviation":"British Journal of Anaesthesia","language":"English","note":"publisher: Elsevier","page":"47-54","source":"www.bjanaesthesia.org.uk","title":"Surgical safety checklists: do they improve outcomes?","title-short":"Surgical safety checklists","volume":"109","author":[{"family":"Walker","given":"I. A."},{"family":"Reshamwalla","given":"S."},{"family":"Wilson","given":"I. H."}],"issued":{"date-parts":[["2012",7,1]]}}}],"schema":"https://github.com/citation-style-language/schema/raw/master/csl-citation.json"} </w:instrText>
      </w:r>
      <w:r w:rsidR="00E61780">
        <w:rPr>
          <w:lang w:val="en-GB"/>
        </w:rPr>
        <w:fldChar w:fldCharType="separate"/>
      </w:r>
      <w:r w:rsidR="00F3627B" w:rsidRPr="00F3627B">
        <w:rPr>
          <w:rFonts w:ascii="Cambria" w:cs="Times New Roman"/>
          <w:vertAlign w:val="superscript"/>
        </w:rPr>
        <w:t>20,21</w:t>
      </w:r>
      <w:r w:rsidR="00E61780">
        <w:rPr>
          <w:lang w:val="en-GB"/>
        </w:rPr>
        <w:fldChar w:fldCharType="end"/>
      </w:r>
      <w:r w:rsidR="00A226D6">
        <w:rPr>
          <w:lang w:val="en-GB"/>
        </w:rPr>
        <w:t xml:space="preserve"> negative</w:t>
      </w:r>
      <w:r w:rsidR="00E61780">
        <w:rPr>
          <w:lang w:val="en-GB"/>
        </w:rPr>
        <w:t xml:space="preserve"> </w:t>
      </w:r>
      <w:r w:rsidR="00E01B60">
        <w:rPr>
          <w:lang w:val="en-GB"/>
        </w:rPr>
        <w:t xml:space="preserve">resection </w:t>
      </w:r>
      <w:r w:rsidR="00A226D6">
        <w:rPr>
          <w:lang w:val="en-GB"/>
        </w:rPr>
        <w:t>margin</w:t>
      </w:r>
      <w:r w:rsidR="00E61780">
        <w:rPr>
          <w:lang w:val="en-GB"/>
        </w:rPr>
        <w:t xml:space="preserve"> rates</w:t>
      </w:r>
      <w:r w:rsidR="00A226D6">
        <w:rPr>
          <w:lang w:val="en-GB"/>
        </w:rPr>
        <w:t>,</w:t>
      </w:r>
      <w:r w:rsidR="007A5040">
        <w:rPr>
          <w:lang w:val="en-GB"/>
        </w:rPr>
        <w:fldChar w:fldCharType="begin"/>
      </w:r>
      <w:r w:rsidR="00F3627B">
        <w:rPr>
          <w:lang w:val="en-GB"/>
        </w:rPr>
        <w:instrText xml:space="preserve"> ADDIN ZOTERO_ITEM CSL_CITATION {"citationID":"C2OCAcHI","properties":{"formattedCitation":"\\super 22,23\\nosupersub{}","plainCitation":"22,23","noteIndex":0},"citationItems":[{"id":5606,"uris":["http://zotero.org/users/4732780/items/PNYXKQ9Q"],"uri":["http://zotero.org/users/4732780/items/PNYXKQ9Q"],"itemData":{"id":5606,"type":"webpage","abstract":"Guidance, advice and information services for health, public health and social care professionals.","container-title":"NICE","genre":"CorporatePage","language":"eng","note":"publisher: NICE","title":"NICE | The National Institute for Health and Care Excellence","URL":"https://www.nice.org.uk/","accessed":{"date-parts":[["2021",4,9]]}}},{"id":5604,"uris":["http://zotero.org/users/4732780/items/36QCSKEP"],"uri":["http://zotero.org/users/4732780/items/36QCSKEP"],"itemData":{"id":5604,"type":"webpage","abstract":"National Quality Forum endorsed Commission on Cancer measures for quality of cancer care using registry data.","container-title":"American College of Surgeons","language":"en","title":"CoC Quality of Care Measures","URL":"http://www.facs.org/quality-programs/cancer/ncdb/qualitymeasures","author":[{"family":"November 15","given":"Updated","dropping-particle":"on"},{"literal":"2019"}],"accessed":{"date-parts":[["2021",4,9]]}}}],"schema":"https://github.com/citation-style-language/schema/raw/master/csl-citation.json"} </w:instrText>
      </w:r>
      <w:r w:rsidR="007A5040">
        <w:rPr>
          <w:lang w:val="en-GB"/>
        </w:rPr>
        <w:fldChar w:fldCharType="separate"/>
      </w:r>
      <w:r w:rsidR="00F3627B" w:rsidRPr="00F3627B">
        <w:rPr>
          <w:rFonts w:ascii="Cambria" w:cs="Times New Roman"/>
          <w:vertAlign w:val="superscript"/>
        </w:rPr>
        <w:t>22,23</w:t>
      </w:r>
      <w:r w:rsidR="007A5040">
        <w:rPr>
          <w:lang w:val="en-GB"/>
        </w:rPr>
        <w:fldChar w:fldCharType="end"/>
      </w:r>
      <w:r w:rsidR="00A226D6">
        <w:rPr>
          <w:lang w:val="en-GB"/>
        </w:rPr>
        <w:t xml:space="preserve"> length of in-patient stay,</w:t>
      </w:r>
      <w:r w:rsidR="00FA09BD">
        <w:rPr>
          <w:lang w:val="en-GB"/>
        </w:rPr>
        <w:fldChar w:fldCharType="begin"/>
      </w:r>
      <w:r w:rsidR="00F3627B">
        <w:rPr>
          <w:lang w:val="en-GB"/>
        </w:rPr>
        <w:instrText xml:space="preserve"> ADDIN ZOTERO_ITEM CSL_CITATION {"citationID":"0IMYw9uI","properties":{"formattedCitation":"\\super 24,25\\nosupersub{}","plainCitation":"24,25","noteIndex":0},"citationItems":[{"id":5608,"uris":["http://zotero.org/users/4732780/items/TXYWQWID"],"uri":["http://zotero.org/users/4732780/items/TXYWQWID"],"itemData":{"id":5608,"type":"article-journal","abstract":"The study of length of stay (LOS) outliers is important for the management and financing of hospitals. Our aim was to study variables associated with high LOS outliers and their evolution over time.","container-title":"BMC Health Services Research","DOI":"10.1186/1472-6963-12-265","ISSN":"1472-6963","issue":"1","journalAbbreviation":"BMC Health Services Research","page":"265","source":"BioMed Central","title":"Factors influencing hospital high length of stay outliers","volume":"12","author":[{"family":"Freitas","given":"Alberto"},{"family":"Silva-Costa","given":"Tiago"},{"family":"Lopes","given":"Fernando"},{"family":"Garcia-Lema","given":"Isabel"},{"family":"Teixeira-Pinto","given":"Armando"},{"family":"Brazdil","given":"Pavel"},{"family":"Costa-Pereira","given":"Altamiro"}],"issued":{"date-parts":[["2012",8,20]]}}},{"id":5610,"uris":["http://zotero.org/users/4732780/items/TVVU66Y7"],"uri":["http://zotero.org/users/4732780/items/TVVU66Y7"],"itemData":{"id":5610,"type":"article-journal","abstract":"BACKGROUND: Improving clinical outcomes requires that physicians examine and change their clinical practice. Sustaining outcome improvements requires a dedicated and dynamic program of analyzing and improving patient care. In 1992 North Mississippi Health Services (NMHS) implemented a program to improve physicians' clinical efficiency. CLINICAL PRACTICE ANALYSIS ( CPA): CPA uses evidenced-based guidelines and examines each physician's resource utilization, processes, and outcomes for a diagnosis or procedure. Clinical practice profiles are developed, and individual performance is compared to local and national benchmarks and presented to physicians. The CPA process is used on its own or as a component of more comprehensive performance improvements projects. Physicians have been engaged in outcome improvement by more than 55 CPA projects.\nRESULTS: NHMS has progressively reduced its Medicare loss and its length of stay (LOS) to 4.9 days. Mortality  and readmission rates have been reduced in specific diagnoses. The community-acquired pneumonia project reduced the LOS from 7.7 to 5.1 days, decreaesed the mortality rate from 8.9% to 5.0%, and decreased the cost of care from $4,269 to $3,834. The ischemic stroke project reduced the aspiration pneumonia rate from 6.4% to 0% and mortality from 11.0% to 4.6%. Patients' average LOS decreased from 10.7 days to 6.5 days, and their cost of care was reduced by $1,100 per patient.\nDISCUSSION: Providing individualized    data has engaged physicians in improving outcomes. The program has evolved from improving efficiency to managing outcomes and from simple CPA projects to integrated performance improvement projects; however, the CPA process remains the cornerstone of the current process.","container-title":"The Joint Commission Journal on Quality Improvement","DOI":"10.1016/s1070-3241(01)27025-4","ISSN":"1070-3241","issue":"6","journalAbbreviation":"Jt Comm J Qual Improv","language":"eng","note":"PMID: 11402776","page":"291-301","source":"PubMed","title":"Using clinical practice analysis to improve care","volume":"27","author":[{"family":"Englert","given":"J."},{"family":"Davis","given":"K. M."},{"family":"Koch","given":"K. E."}],"issued":{"date-parts":[["2001",6]]}}}],"schema":"https://github.com/citation-style-language/schema/raw/master/csl-citation.json"} </w:instrText>
      </w:r>
      <w:r w:rsidR="00FA09BD">
        <w:rPr>
          <w:lang w:val="en-GB"/>
        </w:rPr>
        <w:fldChar w:fldCharType="separate"/>
      </w:r>
      <w:r w:rsidR="00F3627B" w:rsidRPr="00F3627B">
        <w:rPr>
          <w:rFonts w:ascii="Cambria" w:cs="Times New Roman"/>
          <w:vertAlign w:val="superscript"/>
        </w:rPr>
        <w:t>24,25</w:t>
      </w:r>
      <w:r w:rsidR="00FA09BD">
        <w:rPr>
          <w:lang w:val="en-GB"/>
        </w:rPr>
        <w:fldChar w:fldCharType="end"/>
      </w:r>
      <w:r w:rsidR="00A226D6">
        <w:rPr>
          <w:lang w:val="en-GB"/>
        </w:rPr>
        <w:t xml:space="preserve"> readmission rates</w:t>
      </w:r>
      <w:r w:rsidR="00955852">
        <w:rPr>
          <w:lang w:val="en-GB"/>
        </w:rPr>
        <w:t>,</w:t>
      </w:r>
      <w:r w:rsidR="00FA09BD">
        <w:rPr>
          <w:lang w:val="en-GB"/>
        </w:rPr>
        <w:fldChar w:fldCharType="begin"/>
      </w:r>
      <w:r w:rsidR="00F3627B">
        <w:rPr>
          <w:lang w:val="en-GB"/>
        </w:rPr>
        <w:instrText xml:space="preserve"> ADDIN ZOTERO_ITEM CSL_CITATION {"citationID":"Hky16QTK","properties":{"formattedCitation":"\\super 26,27\\nosupersub{}","plainCitation":"26,27","noteIndex":0},"citationItems":[{"id":5616,"uris":["http://zotero.org/users/4732780/items/KM5QMPVB"],"uri":["http://zotero.org/users/4732780/items/KM5QMPVB"],"itemData":{"id":5616,"type":"article-journal","abstract":"Importance: Although current federal quality improvement programs do not include cancer surgery, the Centers for Medicare &amp; Medicaid Services and other payers are considering extending readmission reduction initiatives to include these and other common high-cost episodes.\nObjectives: To quantify between-hospital variation in quality-related outcomes and identify hospital characteristics associated with high and low performance.\nDesign, Setting, and Participants: This retrospective cohort study obtained data through linkage of the California Cancer Registry to hospital discharge claims databases maintained by the California Office of Statewide Health Planning and Development. All 351 acute care hospitals in California at which 1 or more adults underwent curative intent surgery between January 1, 2007, and December 31, 2011, with analyses finalized July 15, 2018, were included. A total of 138 799 adults undergoing surgery for colorectal, breast, lung, prostate, bladder, thyroid, kidney, endometrial, pancreatic, liver, or esophageal cancer within 6 months of diagnosis, with an American Joint Committee on Cancer stage of I to III at diagnosis, were included.\nMain Outcomes and Measures: Measures included adjusted odds ratios and variance components from hierarchical mixed-effects logistic regression analyses of in-hospital mortality, 90-day readmission, and 90-day mortality, as well as hospital-specific risk-adjusted rates and risk-adjusted standardized rate ratios for hospitals with a mean annual surgical volume of 10 or more.\nResults: Across 138 799 patients at the 351 included hospitals, 8.9% were aged 18 to 44 years and 45.9% were aged 65 years or older, 57.4% were women, and 18.2% were nonwhite. Among these, 1240 patients (0.9%) died during the index admission. Among 137 559 patients discharged alive, 19 670 (14.3%) were readmitted and 1754 (1.3%) died within 90 days. After adjusting for patient case-mix differences, evidence of statistically significant variation in risk across hospitals was identified, as characterized by the variance of the random effects in the mixed model, for all 3 metrics (P &lt; .001). In addition, substantial variation was observed in hospital performance profiles: across 260 hospitals with a mean annual surgical volume of 10 or more, 59 (22.7%) had lower-than-expected rates for all 3 metrics, 105 (40.4%) had higher-than-expected rates for 2 of the 3, and 19 (7.3%) had higher-than-expected rates for all 3 metrics.\nConclusions and Relevance: Accounting for patient case-mix differences, there appears to be substantial between-hospital variation in in-hospital mortality, 90-day readmission, and 90-day mortality after cancer surgical procedures. Recognizing the multifaceted nature of hospital performance through consideration of mortality and readmission simultaneously may help to prioritize strategies for improving surgical outcomes.","container-title":"JAMA network open","DOI":"10.1001/jamanetworkopen.2018.3038","ISSN":"2574-3805","issue":"6","journalAbbreviation":"JAMA Netw Open","language":"eng","note":"PMID: 30646221\nPMCID: PMC6324436","page":"e183038","source":"PubMed","title":"Assessment of Between-Hospital Variation in Readmission and Mortality After Cancer Surgical Procedures","volume":"1","author":[{"family":"Haneuse","given":"Sebastien"},{"family":"Dominici","given":"Francesca"},{"family":"Normand","given":"Sharon-Lise"},{"family":"Schrag","given":"Deborah"}],"issued":{"date-parts":[["2018",10,5]]}}},{"id":5621,"uris":["http://zotero.org/users/4732780/items/BT22ZK6H"],"uri":["http://zotero.org/users/4732780/items/BT22ZK6H"],"itemData":{"id":5621,"type":"article-journal","abstract":"PURPOSE: Readmission within 30 days has been used as a metric for quality of care received at hospitals for certain diagnoses. In the era of accountability, value-based care, and increasing cancer costs, policymakers are looking into cancer readmissions as well. It is important to describe the readmission profile of patients with cancer in the most clinically relevant approach to inform policy and health care delivery that can positively impact patient outcomes.\nPATIENTS AND METHODS: We conducted a retrospective cohort study using linked Texas Cancer Registry and Medicare claims data. We included elderly Texas residents diagnosed with GI cancer and identified risk factors for unplanned readmission using generalized estimating equations, comparing medical with surgical cancer-related hospitalizations.\nRESULTS: We analyzed 69,693 hospitalizations from 31,736 patients. The unplanned readmission rate was higher after medical hospitalizations than after surgical hospitalizations (21.6% v 13.4%, respectively). Shared risk factors for readmission after medical and surgical hospitalizations included advanced disease stage, high comorbidity index, and emergency room visit and radiation therapy within 30 days before index hospitalization. Several other associated factors and reasons for readmission were noted to be unique to medical or surgical hospitalizations alone.\nCONCLUSION: Unplanned readmissions among elderly patients with GI cancer are more common after medical hospitalizations compared with surgical hospitalizations. There are shared risk factors and unique risk factors for these hospitalizations that can inform policy, health care delivery, and interventions to reduce readmissions. Other findings underscore the importance of care coordination and comorbidity management in this patient population.","container-title":"Journal of Oncology Practice","DOI":"10.1200/JOP.2017.026310","ISSN":"1935-469X","issue":"3","journalAbbreviation":"J Oncol Pract","language":"eng","note":"PMID: 29443648\nPMCID: PMC6550055","page":"e137-e148","source":"PubMed","title":"Readmission Patterns After GI Cancer Hospitalizations: The Medical Versus Surgical Patient","title-short":"Readmission Patterns After GI Cancer Hospitalizations","volume":"14","author":[{"family":"Manzano","given":"Joanna-Grace M."},{"family":"Yang","given":"Ming"},{"family":"Zhao","given":"Hui"},{"family":"Elting","given":"Linda S."},{"family":"George","given":"Marina C."},{"family":"Luo","given":"Ruili"},{"family":"Suarez-Almazor","given":"Maria E."}],"issued":{"date-parts":[["2018",3]]}}}],"schema":"https://github.com/citation-style-language/schema/raw/master/csl-citation.json"} </w:instrText>
      </w:r>
      <w:r w:rsidR="00FA09BD">
        <w:rPr>
          <w:lang w:val="en-GB"/>
        </w:rPr>
        <w:fldChar w:fldCharType="separate"/>
      </w:r>
      <w:r w:rsidR="00F3627B" w:rsidRPr="00F3627B">
        <w:rPr>
          <w:rFonts w:ascii="Cambria" w:cs="Times New Roman"/>
          <w:vertAlign w:val="superscript"/>
        </w:rPr>
        <w:t>26,27</w:t>
      </w:r>
      <w:r w:rsidR="00FA09BD">
        <w:rPr>
          <w:lang w:val="en-GB"/>
        </w:rPr>
        <w:fldChar w:fldCharType="end"/>
      </w:r>
      <w:r w:rsidR="00A226D6">
        <w:rPr>
          <w:lang w:val="en-GB"/>
        </w:rPr>
        <w:t xml:space="preserve"> and follow-up method.</w:t>
      </w:r>
      <w:r w:rsidR="00FA09BD">
        <w:rPr>
          <w:lang w:val="en-GB"/>
        </w:rPr>
        <w:fldChar w:fldCharType="begin"/>
      </w:r>
      <w:r w:rsidR="00F3627B">
        <w:rPr>
          <w:lang w:val="en-GB"/>
        </w:rPr>
        <w:instrText xml:space="preserve"> ADDIN ZOTERO_ITEM CSL_CITATION {"citationID":"QTj0EX5o","properties":{"formattedCitation":"\\super 28\\nosupersub{}","plainCitation":"28","noteIndex":0},"citationItems":[{"id":5624,"uris":["http://zotero.org/users/4732780/items/AUBPRRH2"],"uri":["http://zotero.org/users/4732780/items/AUBPRRH2"],"itemData":{"id":5624,"type":"article-journal","abstract":"BACKGROUND: The Institute of Medicine (IOM) report Crossing the Quality Chasm proposed 6 aims for high-quality healthcare: effective, safe, timely, efficient, equitable, and patient-centered, and emphasized care coordination. Through interviews with nationally recognized experts in healthcare quality, perspectives on barriers and facilitators to achieving these aims for cancer patients were elicited.\nMETHODS: In all, 23 peer-nominated experts with diverse backgrounds in policy, healthcare, patient advocacy, and research were individually interviewed. They were asked about barriers and facilitators to achieving high-quality cancer care, and information technology or other innovations that might improve the quality of cancer diagnosis, treatment, and surveillance. Interviews were tape-recorded and transcribed. Two analysts independently reviewed and coded each transcript using ethnographic software to elucidate key themes.\nRESULTS: The major perceived barrier to providing high-quality cancer care was unnecessary variation in cancer care because of lack of standardization or adherence to guidelines during diagnosis, treatment, and surveillance. Additional barriers included insufficient teamwork and communication among multidisciplinary care teams, lack of patient awareness and empowerment, diagnostic delays during provider transitions, and excessive reimbursement for treatment. Experts suggested improving cancer patients' experiences by standardizing care, adhering to guidelines, and using \"patient navigators\" and an interoperable electronic medical record accessible to patients and providers at multiple facilities.\nCONCLUSIONS: Some of these solutions have been developed and tested, whereas others have not. It is hoped that these suggestions provide impetus for new research, accelerating progress toward achieving the IOM's vision for high-quality cancer care.","container-title":"Cancer","DOI":"10.1002/cncr.23250","ISSN":"0008-543X","issue":"4","journalAbbreviation":"Cancer","language":"eng","note":"PMID: 18181099","page":"934-942","source":"PubMed","title":"Understanding high-quality cancer care: a summary of expert perspectives","title-short":"Understanding high-quality cancer care","volume":"112","author":[{"family":"Aiello Bowles","given":"Erin J."},{"family":"Tuzzio","given":"Leah"},{"family":"Wiese","given":"Cheryl J."},{"family":"Kirlin","given":"Beth"},{"family":"Greene","given":"Sarah M."},{"family":"Clauser","given":"Steven B."},{"family":"Wagner","given":"Edward H."}],"issued":{"date-parts":[["2008",2,15]]}}}],"schema":"https://github.com/citation-style-language/schema/raw/master/csl-citation.json"} </w:instrText>
      </w:r>
      <w:r w:rsidR="00FA09BD">
        <w:rPr>
          <w:lang w:val="en-GB"/>
        </w:rPr>
        <w:fldChar w:fldCharType="separate"/>
      </w:r>
      <w:r w:rsidR="00F3627B" w:rsidRPr="00F3627B">
        <w:rPr>
          <w:rFonts w:ascii="Cambria" w:cs="Times New Roman"/>
          <w:vertAlign w:val="superscript"/>
        </w:rPr>
        <w:t>28</w:t>
      </w:r>
      <w:r w:rsidR="00FA09BD">
        <w:rPr>
          <w:lang w:val="en-GB"/>
        </w:rPr>
        <w:fldChar w:fldCharType="end"/>
      </w:r>
      <w:r w:rsidR="00FA09BD">
        <w:rPr>
          <w:lang w:val="en-GB"/>
        </w:rPr>
        <w:t xml:space="preserve"> </w:t>
      </w:r>
      <w:r w:rsidR="00A419E1" w:rsidRPr="00E678AB">
        <w:rPr>
          <w:lang w:val="en-GB"/>
        </w:rPr>
        <w:t>Patients were assessed at 30 days to determine postoperative outcomes, with follow-up done in person, by telephone, or by review of medical or re-admission records, dependent on local practices.</w:t>
      </w:r>
    </w:p>
    <w:p w14:paraId="0E2713E3" w14:textId="0C32B26D" w:rsidR="00BC68A9" w:rsidRDefault="00BC68A9">
      <w:pPr>
        <w:pStyle w:val="BodyText"/>
        <w:rPr>
          <w:lang w:val="en-GB"/>
        </w:rPr>
      </w:pPr>
    </w:p>
    <w:p w14:paraId="0FF3B39A" w14:textId="77777777" w:rsidR="00BC68A9" w:rsidRPr="00E678AB" w:rsidRDefault="00BC68A9">
      <w:pPr>
        <w:pStyle w:val="BodyText"/>
        <w:rPr>
          <w:lang w:val="en-GB"/>
        </w:rPr>
      </w:pPr>
    </w:p>
    <w:p w14:paraId="1398C69B" w14:textId="77777777" w:rsidR="00CF7BC4" w:rsidRPr="00E678AB" w:rsidRDefault="009D77B2">
      <w:pPr>
        <w:pStyle w:val="BodyText"/>
        <w:rPr>
          <w:lang w:val="en-GB"/>
        </w:rPr>
      </w:pPr>
      <w:r w:rsidRPr="00E678AB">
        <w:rPr>
          <w:b/>
          <w:lang w:val="en-GB"/>
        </w:rPr>
        <w:lastRenderedPageBreak/>
        <w:t>Statistical analysis</w:t>
      </w:r>
    </w:p>
    <w:p w14:paraId="6707F3FC" w14:textId="4C5C6DF8" w:rsidR="00CF7BC4" w:rsidRPr="00E678AB" w:rsidRDefault="009D77B2">
      <w:pPr>
        <w:pStyle w:val="BodyText"/>
        <w:rPr>
          <w:lang w:val="en-GB"/>
        </w:rPr>
      </w:pPr>
      <w:r w:rsidRPr="0062596D">
        <w:rPr>
          <w:lang w:val="en-GB"/>
        </w:rPr>
        <w:t xml:space="preserve">Eleven hospital </w:t>
      </w:r>
      <w:r w:rsidR="0062596D">
        <w:rPr>
          <w:lang w:val="en-GB"/>
        </w:rPr>
        <w:t>facilities</w:t>
      </w:r>
      <w:r w:rsidRPr="00E678AB">
        <w:rPr>
          <w:lang w:val="en-GB"/>
        </w:rPr>
        <w:t xml:space="preserve"> were selected </w:t>
      </w:r>
      <w:r w:rsidRPr="0049473B">
        <w:rPr>
          <w:i/>
          <w:iCs/>
          <w:lang w:val="en-GB"/>
        </w:rPr>
        <w:t>a priori</w:t>
      </w:r>
      <w:r w:rsidRPr="00E678AB">
        <w:rPr>
          <w:lang w:val="en-GB"/>
        </w:rPr>
        <w:t xml:space="preserve"> on the basis of their potential to directly or indirectly affect patient outcomes following cancer surgery</w:t>
      </w:r>
      <w:r w:rsidR="00BC68A9">
        <w:rPr>
          <w:lang w:val="en-GB"/>
        </w:rPr>
        <w:t>.</w:t>
      </w:r>
      <w:r w:rsidR="000B17FC">
        <w:rPr>
          <w:lang w:val="en-GB"/>
        </w:rPr>
        <w:fldChar w:fldCharType="begin"/>
      </w:r>
      <w:r w:rsidR="00F3627B">
        <w:rPr>
          <w:lang w:val="en-GB"/>
        </w:rPr>
        <w:instrText xml:space="preserve"> ADDIN ZOTERO_ITEM CSL_CITATION {"citationID":"vOpTw9qq","properties":{"formattedCitation":"\\super 3,6,7,12,29,30\\nosupersub{}","plainCitation":"3,6,7,12,29,30","noteIndex":0},"citationItems":[{"id":5457,"uris":["http://zotero.org/users/4732780/items/PY2DHEYG"],"uri":["http://zotero.org/users/4732780/items/PY2DHEYG"],"itemData":{"id":5457,"type":"article-journal","abstract":"&lt;h2&gt;Summary&lt;/h2&gt;&lt;h3&gt;Background&lt;/h3&gt;&lt;p&gt;In addition to increased availability of treatment modalities, advanced imaging modalities are increasingly recommended to improve global cancer care. However, estimates of the costs and benefits of investments to improve cancer survival are scarce, especially for low-income and middle-income countries (LMICs). In this analysis, we aimed to estimate the costs and lifetime health and economic benefits of scaling up imaging and treatment modality packages on cancer survival, both globally and by country income group.&lt;/p&gt;&lt;h3&gt;Methods&lt;/h3&gt;&lt;p&gt;Using a previously developed model of global cancer survival, we estimated stage-specific cancer survival and life-years gained (accounting for competing mortality) in 200 countries and territories for patients diagnosed with one of 11 cancers (oesophagus, stomach, colon, rectum, anus, liver, pancreas, lung, breast, cervix uteri, and prostate) representing 60% of all cancer diagnoses between 2020 and 2030 (inclusive of full years). We evaluated the costs and health and economic benefits of scaling up packages of treatment (chemotherapy, surgery, radiotherapy, and targeted therapy), imaging modalities (ultrasound, x-ray, CT, MRI, PET, single-photon emission CT), and quality of care to the mean level of high-income countries, separately and in combination, compared with no scale-up. Costs and benefits are presented in 2018 US$ and discounted at 3% annually.&lt;/p&gt;&lt;h3&gt;Findings&lt;/h3&gt;&lt;p&gt;For the 11 cancers studied, we estimated that without scale-up (ie, with current availability of treatment, imaging, and quality of care) there will be 76·0 million cancer deaths (95% UI 73·9–78·6) globally for patients diagnosed between 2020 and 2030, with more than 70% of these deaths occurring in LMICs. Comprehensive scale-up of treatment, imaging, and quality of care could avert 12·5% (95% UI 9·0–16·3) of these deaths globally, ranging from 2·8% (1·8–4·3) in high-income countries to 38·2% (32·6–44·5) in low-income countries. Globally, we estimate that comprehensive scale-up would cost an additional $232·9 billion (95% UI 85·9–422·0) between 2020 and 2030 (representing a 6·9% increase in cancer treatment costs), but produce $2·9 trillion (1·8–4·0) in lifetime economic benefits, yielding a return of $12·43 (6·47–33·23) per dollar invested. Scaling up treatment and quality of care without imaging would yield a return of $6·15 (2·66–16·71) per dollar invested and avert 7·0% (3·9–10·3) of cancer deaths worldwide.&lt;/p&gt;&lt;h3&gt;Interpretation&lt;/h3&gt;&lt;p&gt;Simultaneous investment in cancer treatment, imaging, and quality of care could yield substantial health and economic benefits, especially in LMICs. These results provide a compelling rationale for the value of investing in the global scale-up of cancer care.&lt;/p&gt;&lt;h3&gt;Funding&lt;/h3&gt;&lt;p&gt;Harvard TH Chan School of Public Health and National Cancer Institute.&lt;/p&gt;","container-title":"The Lancet Oncology","DOI":"10.1016/S1470-2045(20)30750-6","ISSN":"1470-2045, 1474-5488","issue":"3","journalAbbreviation":"The Lancet Oncology","language":"English","note":"publisher: Elsevier\nPMID: 33662286","page":"341-350","source":"www.thelancet.com","title":"Global costs, health benefits, and economic benefits of scaling up treatment and imaging modalities for survival of 11 cancers: a simulation-based analysis","title-short":"Global costs, health benefits, and economic benefits of scaling up treatment and imaging modalities for survival of 11 cancers","volume":"22","author":[{"family":"Ward","given":"Zachary J."},{"family":"Scott","given":"Andrew M."},{"family":"Hricak","given":"Hedvig"},{"family":"Atun","given":"Rifat"}],"issued":{"date-parts":[["2021",3,1]]}}},{"id":5460,"uris":["http://zotero.org/users/4732780/items/W8P2KD4X"],"uri":["http://zotero.org/users/4732780/items/W8P2KD4X"],"itemData":{"id":5460,"type":"article-journal","abstract":"OBJECTIVE: To evaluate the association between systems characteristics and esophagectomy mortality at low-volume hospitals\nBACKGROUND: High-volume hospitals have lower esophagectomy mortality rates, but receiving care at such centers is not always feasible. We examined low-volume hospitals and sought to identify characteristics of those with better outcomes.\nMETHODS: Using national data from Medicare and the American Hospital Association, we studied 4498 elderly patients who underwent an esophagectomy from 2004 to 2007. We divided hospitals into terciles based on esophagectomy volume and examined characteristics of patients and hospitals (size, nurse ratios, and presence of advanced medical, surgical, and radiological services). Our primary outcome was mortality. We identified 5 potentially beneficial systems characteristics in our data set and used multivariable logistic regression to determine whether these characteristics were associated with lower mortality rates at low-volume hospitals.\nRESULTS: Of the 874 hospitals that performed esophagectomies, 83% (723) were low-volume hospitals whereas only 3% (25) were high-volume. Low-volume hospitals performed a median of 1 esophagectomy during the 4-year study period and cared for patients that were older, more likely to be minority, and more likely to have multiple comorbidities compared with high-volume centers. Low-volume hospitals that had at least 3 of 5 characteristics (high nurse ratios, lung transplantation services, complex medical oncology services, bariatric surgery services, and positron emission tomography scanners) had markedly lower mortality rates compared with low-volume hospitals with none of these characteristics (12.5% vs. 5.0%; P value = 0.042).\nCONCLUSIONS: Low-volume hospitals with certain systems characteristics seem to achieve better esophagectomy outcomes. A more comprehensive study of the beneficial characteristics of low-volume hospitals is warranted because high-volume hospitals are difficult to access for many patients.","container-title":"Annals of Surgery","DOI":"10.1097/SLA.0b013e318213862f","ISSN":"1528-1140","issue":"5","journalAbbreviation":"Ann Surg","language":"eng","note":"PMID: 21422913\nPMCID: PMC7065506","page":"912-917","source":"PubMed","title":"Esophagectomy outcomes at low-volume hospitals: the association between systems characteristics and mortality","title-short":"Esophagectomy outcomes at low-volume hospitals","volume":"253","author":[{"family":"Funk","given":"Luke M."},{"family":"Gawande","given":"Atul A."},{"family":"Semel","given":"Marcus E."},{"family":"Lipsitz","given":"Stuart R."},{"family":"Berry","given":"William R."},{"family":"Zinner","given":"Michael J."},{"family":"Jha","given":"Ashish K."}],"issued":{"date-parts":[["2011",5]]}}},{"id":5463,"uris":["http://zotero.org/users/4732780/items/ZAIU93GI"],"uri":["http://zotero.org/users/4732780/items/ZAIU93GI"],"itemData":{"id":5463,"type":"article-journal","abstract":"OBJECTIVE: To determine the effect of hospital characteristics on failure to rescue after high-risk surgery in Medicare beneficiaries.\nSUMMARY BACKGROUND DATA: Reducing failure to rescue events is a common quality target for US hospitals. Little is known about which hospital characteristics influence this phenomenon and more importantly by how much.\nMETHODS: We identified 1,945,802 Medicare beneficiaries undergoing 1 of six high-risk general or vascular operations between 2007 and 2010. Using multilevel mixed-effects logistic regression modeling, we evaluated how failure to rescue rates were influenced by specific hospital characteristics previously associated with postsurgical outcomes. We used variance partitioning to determine the relative influence of patient and hospital characteristics on the between-hospital variability in failure to rescue rates.\nRESULTS: Failure to rescue rates varied up to 11-fold between very high and very low mortality hospitals. Comparing the highest and lowest mortality hospitals, we observed that teaching status (range: odds ratio [OR] 1.08-1.54), high hospital technology (range: OR 1.08-1.58), increasing nurse-to-patient ratio (range: OR 1.02-1.14), and presence of &gt;20 intensive care unit (ICU) beds (range: OR 1.09-1.62) significantly influenced failure to rescue rates for all procedures. When taken together, hospital and patient characteristics accounted for 12% (lower extremity revascularization) to 57% (esophagectomy) of the observed variation in failure to rescue rates across hospitals.\nCONCLUSIONS: Although several hospital characteristics are associated with lower failure to rescue rates, these macrosystem factors explain a small proportion of the variability between hospitals. This suggests that microsystem characteristics, such as hospital culture and safety climate, may play a larger role in improving a hospital's ability to manage postoperative complications.","container-title":"Annals of Surgery","DOI":"10.1097/SLA.0000000000001414","ISSN":"1528-1140","issue":"4","journalAbbreviation":"Ann Surg","language":"eng","note":"PMID: 26501706\nPMCID: PMC4777662","page":"692-697","source":"PubMed","title":"Impact of Hospital Characteristics on Failure to Rescue Following Major Surgery","volume":"263","author":[{"family":"Sheetz","given":"Kyle H."},{"family":"Dimick","given":"Justin B."},{"family":"Ghaferi","given":"Amir A."}],"issued":{"date-parts":[["2016",4]]}}},{"id":5592,"uris":["http://zotero.org/users/4732780/items/6GVMCB5I"],"uri":["http://zotero.org/users/4732780/items/6GVMCB5I"],"itemData":{"id":5592,"type":"article-journal","language":"en","page":"43","source":"Zotero","title":"CHAPTER 11. CANCER SERVICES AND THE COMPREHENSIVE CANCER CENTER","author":[{"family":"Gospodarowicz","given":"Mary"},{"family":"Trypuc","given":"Joann"},{"family":"Cruz","given":"Anil D"},{"family":"Khader","given":"Jamal"},{"family":"Omar","given":"Sherif"},{"family":"Knaul","given":"Felicia"}]}},{"id":5493,"uris":["http://zotero.org/users/4732780/items/G3NEVBEI"],"uri":["http://zotero.org/users/4732780/items/G3NEVBEI"],"itemData":{"id":5493,"type":"article-journal","abstract":"BACKGROUND: Hospitals show wide variation in outcomes and systems of care. It is unclear whether hospital complexity-the range of services and technologies provided-affects outcomes and in what direction. We sought to determine whether complexity was associated with inpatient surgical mortality.\nMETHODS: Using national Medicare data, we identified all fee-for-service inpatients who underwent 1 of 5 common high-risk surgical procedures in 2008-2009 and measured complexity by the number of unique primary diagnoses admitted to each hospital over the 2-year period. We calculated 30-day postoperative mortality rates, adjusting for patient and hospital characteristics, and used multivariable Poisson regression models to test for an association between hospital complexity and mortality rates. We then used this model to generate predicted mortality rates for low-volume and high-volume hospitals across the spectrum of hospital complexity.\nRESULTS: A total of 2691 hospitals were analyzed, representing a total of 382,372 admissions. After adjusting for hospital characteristics, including hospital volume, increasing hospital complexity was associated with lower surgical mortality rates. Patients receiving care at the hospitals in the lowest quintile of unique diagnoses had a 27% higher risk of death than those at the highest quintile. The effect of complexity was largest for low-volume hospitals, which were capable of achieving mortality rates similar to high-volume hospitals when in the most complex quintile.\nCONCLUSIONS: Hospital complexity matters and is associated with lower surgical mortality rates, independent of hospital volume. The effect of complexity on outcomes for nonsurgical services warrants investigation.","container-title":"Medical Care","DOI":"10.1097/MLR.0000000000000077","ISSN":"1537-1948","issue":"3","journalAbbreviation":"Med Care","language":"eng","note":"PMID: 24509361","page":"235-242","source":"PubMed","title":"Beyond volume: does hospital complexity matter?: an analysis of inpatient surgical mortality in the United States","title-short":"Beyond volume","volume":"52","author":[{"family":"McCrum","given":"Marta L."},{"family":"Lipsitz","given":"Stuart R."},{"family":"Berry","given":"William R."},{"family":"Jha","given":"Ashish K."},{"family":"Gawande","given":"Atul A."}],"issued":{"date-parts":[["2014",3]]}}},{"id":5129,"uris":["http://zotero.org/users/4732780/items/3UHIH9TK"],"uri":["http://zotero.org/users/4732780/items/3UHIH9TK"],"itemData":{"id":5129,"type":"article-journal","abstract":"OBJECTIVE: The objective of this study was to identify the determinants of 30-day postoperative mortality and long-term survival after major surgery as exemplified by 8 common operations.\nSUMMARY BACKGROUND DATA: The National Surgical Quality Improvement Program (NSQIP) database contains pre-, intra-, and 30-day postoperative data, prospectively collected in a standardized fashion by a dedicated nurse reviewer, on major surgery in the Veterans Administration (VA). The Beneficiary Identification and Records Locator Subsystem (BIRLS) is a VA file that depicts the vital status of U.S. veterans with 87% to 95% accuracy.\nMETHODS: NSQIP data were merged with BIRLS to determine the vital status of 105,951 patients who underwent 8 types of operations performed between 1991 and 1999, providing an average follow up of 8 years. Logistic and Cox regression analyses were performed to identify the predictors of 30-day mortality and long-term survival, respectively.\nRESULTS: The most important determinant of decreased postoperative survival was the occurrence, within 30 days postoperatively, of any one of 22 types of complications collected in the NSQIP. Independent of preoperative patient risk, the occurrence of a 30-day complication in the total patient group reduced median patient survival by 69%. The adverse effect of a complication on patient survival was also influenced by the operation type and was sustained even when patients who did not survive for 30 days were excluded from the analyses.\nCONCLUSIONS: The occurrence of a 30-day postoperative complication is more important than preoperative patient risk and intraoperative factors in determining the survival after major surgery in the VA. Quality and process improvement in surgery should be directed toward the prevention of postoperative complications.","container-title":"Annals of Surgery","DOI":"10.1097/01.sla.0000179621.33268.83","ISSN":"0003-4932","issue":"3","journalAbbreviation":"Ann. Surg.","language":"eng","note":"PMID: 16135919\nPMCID: PMC1357741","page":"326-341; discussion 341-343","source":"PubMed","title":"Determinants of long-term survival after major surgery and the adverse effect of postoperative complications","volume":"242","author":[{"family":"Khuri","given":"Shukri F."},{"family":"Henderson","given":"William G."},{"family":"DePalma","given":"Ralph G."},{"family":"Mosca","given":"Cecilia"},{"family":"Healey","given":"Nancy A."},{"family":"Kumbhani","given":"Dharam J."},{"literal":"Participants in the VA National Surgical Quality Improvement Program"}],"issued":{"date-parts":[["2005",9]]}}}],"schema":"https://github.com/citation-style-language/schema/raw/master/csl-citation.json"} </w:instrText>
      </w:r>
      <w:r w:rsidR="000B17FC">
        <w:rPr>
          <w:lang w:val="en-GB"/>
        </w:rPr>
        <w:fldChar w:fldCharType="separate"/>
      </w:r>
      <w:r w:rsidR="00F3627B" w:rsidRPr="00F3627B">
        <w:rPr>
          <w:rFonts w:ascii="Cambria" w:cs="Times New Roman"/>
          <w:vertAlign w:val="superscript"/>
        </w:rPr>
        <w:t>3,6,7,12,29,30</w:t>
      </w:r>
      <w:r w:rsidR="000B17FC">
        <w:rPr>
          <w:lang w:val="en-GB"/>
        </w:rPr>
        <w:fldChar w:fldCharType="end"/>
      </w:r>
      <w:r w:rsidRPr="00E678AB">
        <w:rPr>
          <w:lang w:val="en-GB"/>
        </w:rPr>
        <w:t xml:space="preserve"> They were categorised into four areas</w:t>
      </w:r>
      <w:r w:rsidR="00017892" w:rsidRPr="00E678AB">
        <w:rPr>
          <w:lang w:val="en-GB"/>
        </w:rPr>
        <w:t xml:space="preserve"> potentially representing </w:t>
      </w:r>
      <w:r w:rsidR="00017892" w:rsidRPr="0062596D">
        <w:rPr>
          <w:lang w:val="en-GB"/>
        </w:rPr>
        <w:t>structure and process measures</w:t>
      </w:r>
      <w:r w:rsidR="00017892" w:rsidRPr="00E678AB">
        <w:rPr>
          <w:lang w:val="en-GB"/>
        </w:rPr>
        <w:t xml:space="preserve"> within the hospital that support the management of high-risk surgical patients</w:t>
      </w:r>
      <w:r w:rsidR="000B17FC">
        <w:rPr>
          <w:lang w:val="en-GB"/>
        </w:rPr>
        <w:t>:</w:t>
      </w:r>
      <w:r w:rsidR="000B17FC">
        <w:rPr>
          <w:lang w:val="en-GB"/>
        </w:rPr>
        <w:fldChar w:fldCharType="begin"/>
      </w:r>
      <w:r w:rsidR="000B17FC">
        <w:rPr>
          <w:lang w:val="en-GB"/>
        </w:rPr>
        <w:instrText xml:space="preserve"> ADDIN ZOTERO_ITEM CSL_CITATION {"citationID":"KjO8Pdrs","properties":{"formattedCitation":"\\super 6,12\\nosupersub{}","plainCitation":"6,12","noteIndex":0},"citationItems":[{"id":5460,"uris":["http://zotero.org/users/4732780/items/W8P2KD4X"],"uri":["http://zotero.org/users/4732780/items/W8P2KD4X"],"itemData":{"id":5460,"type":"article-journal","abstract":"OBJECTIVE: To evaluate the association between systems characteristics and esophagectomy mortality at low-volume hospitals\nBACKGROUND: High-volume hospitals have lower esophagectomy mortality rates, but receiving care at such centers is not always feasible. We examined low-volume hospitals and sought to identify characteristics of those with better outcomes.\nMETHODS: Using national data from Medicare and the American Hospital Association, we studied 4498 elderly patients who underwent an esophagectomy from 2004 to 2007. We divided hospitals into terciles based on esophagectomy volume and examined characteristics of patients and hospitals (size, nurse ratios, and presence of advanced medical, surgical, and radiological services). Our primary outcome was mortality. We identified 5 potentially beneficial systems characteristics in our data set and used multivariable logistic regression to determine whether these characteristics were associated with lower mortality rates at low-volume hospitals.\nRESULTS: Of the 874 hospitals that performed esophagectomies, 83% (723) were low-volume hospitals whereas only 3% (25) were high-volume. Low-volume hospitals performed a median of 1 esophagectomy during the 4-year study period and cared for patients that were older, more likely to be minority, and more likely to have multiple comorbidities compared with high-volume centers. Low-volume hospitals that had at least 3 of 5 characteristics (high nurse ratios, lung transplantation services, complex medical oncology services, bariatric surgery services, and positron emission tomography scanners) had markedly lower mortality rates compared with low-volume hospitals with none of these characteristics (12.5% vs. 5.0%; P value = 0.042).\nCONCLUSIONS: Low-volume hospitals with certain systems characteristics seem to achieve better esophagectomy outcomes. A more comprehensive study of the beneficial characteristics of low-volume hospitals is warranted because high-volume hospitals are difficult to access for many patients.","container-title":"Annals of Surgery","DOI":"10.1097/SLA.0b013e318213862f","ISSN":"1528-1140","issue":"5","journalAbbreviation":"Ann Surg","language":"eng","note":"PMID: 21422913\nPMCID: PMC7065506","page":"912-917","source":"PubMed","title":"Esophagectomy outcomes at low-volume hospitals: the association between systems characteristics and mortality","title-short":"Esophagectomy outcomes at low-volume hospitals","volume":"253","author":[{"family":"Funk","given":"Luke M."},{"family":"Gawande","given":"Atul A."},{"family":"Semel","given":"Marcus E."},{"family":"Lipsitz","given":"Stuart R."},{"family":"Berry","given":"William R."},{"family":"Zinner","given":"Michael J."},{"family":"Jha","given":"Ashish K."}],"issued":{"date-parts":[["2011",5]]}}},{"id":5592,"uris":["http://zotero.org/users/4732780/items/6GVMCB5I"],"uri":["http://zotero.org/users/4732780/items/6GVMCB5I"],"itemData":{"id":5592,"type":"article-journal","language":"en","page":"43","source":"Zotero","title":"CHAPTER 11. CANCER SERVICES AND THE COMPREHENSIVE CANCER CENTER","author":[{"family":"Gospodarowicz","given":"Mary"},{"family":"Trypuc","given":"Joann"},{"family":"Cruz","given":"Anil D"},{"family":"Khader","given":"Jamal"},{"family":"Omar","given":"Sherif"},{"family":"Knaul","given":"Felicia"}]}}],"schema":"https://github.com/citation-style-language/schema/raw/master/csl-citation.json"} </w:instrText>
      </w:r>
      <w:r w:rsidR="000B17FC">
        <w:rPr>
          <w:lang w:val="en-GB"/>
        </w:rPr>
        <w:fldChar w:fldCharType="separate"/>
      </w:r>
      <w:r w:rsidR="000B17FC" w:rsidRPr="000B17FC">
        <w:rPr>
          <w:rFonts w:ascii="Cambria" w:cs="Times New Roman"/>
          <w:vertAlign w:val="superscript"/>
        </w:rPr>
        <w:t>6,12</w:t>
      </w:r>
      <w:r w:rsidR="000B17FC">
        <w:rPr>
          <w:lang w:val="en-GB"/>
        </w:rPr>
        <w:fldChar w:fldCharType="end"/>
      </w:r>
      <w:r w:rsidRPr="00E678AB">
        <w:rPr>
          <w:lang w:val="en-GB"/>
        </w:rPr>
        <w:t xml:space="preserve"> imaging modalities (ultrasound and CT scan); oncological</w:t>
      </w:r>
      <w:r w:rsidR="00017892" w:rsidRPr="00E678AB">
        <w:rPr>
          <w:lang w:val="en-GB"/>
        </w:rPr>
        <w:t xml:space="preserve"> service organisation</w:t>
      </w:r>
      <w:r w:rsidRPr="00E678AB">
        <w:rPr>
          <w:lang w:val="en-GB"/>
        </w:rPr>
        <w:t xml:space="preserve"> (oncologist, pathologist, tumour board); perioperative care </w:t>
      </w:r>
      <w:r w:rsidR="00017892" w:rsidRPr="00E678AB">
        <w:rPr>
          <w:lang w:val="en-GB"/>
        </w:rPr>
        <w:t xml:space="preserve">organization </w:t>
      </w:r>
      <w:r w:rsidRPr="00E678AB">
        <w:rPr>
          <w:lang w:val="en-GB"/>
        </w:rPr>
        <w:t xml:space="preserve">(postoperative recovery area, opioid analgesia, palliative care, HDU and/or ITU area); and specialist cancer services (specialist hospital and capability to perform elective </w:t>
      </w:r>
      <w:proofErr w:type="spellStart"/>
      <w:r w:rsidRPr="00E678AB">
        <w:rPr>
          <w:lang w:val="en-GB"/>
        </w:rPr>
        <w:t>oesophagecetomy</w:t>
      </w:r>
      <w:proofErr w:type="spellEnd"/>
      <w:r w:rsidRPr="00E678AB">
        <w:rPr>
          <w:lang w:val="en-GB"/>
        </w:rPr>
        <w:t xml:space="preserve">). The relationship between elective </w:t>
      </w:r>
      <w:proofErr w:type="spellStart"/>
      <w:r w:rsidRPr="00E678AB">
        <w:rPr>
          <w:lang w:val="en-GB"/>
        </w:rPr>
        <w:t>oesophagectomy</w:t>
      </w:r>
      <w:proofErr w:type="spellEnd"/>
      <w:r w:rsidRPr="00E678AB">
        <w:rPr>
          <w:lang w:val="en-GB"/>
        </w:rPr>
        <w:t xml:space="preserve">, </w:t>
      </w:r>
      <w:r w:rsidR="00467FAD" w:rsidRPr="00001491">
        <w:rPr>
          <w:lang w:val="en-GB"/>
        </w:rPr>
        <w:t>facility availability,</w:t>
      </w:r>
      <w:r w:rsidR="00D359C9" w:rsidRPr="00001491">
        <w:rPr>
          <w:lang w:val="en-GB"/>
        </w:rPr>
        <w:t xml:space="preserve"> service complexity</w:t>
      </w:r>
      <w:r w:rsidRPr="00E678AB">
        <w:rPr>
          <w:lang w:val="en-GB"/>
        </w:rPr>
        <w:t xml:space="preserve"> and mortality is well described in high-income settings</w:t>
      </w:r>
      <w:r w:rsidR="00EF74BB" w:rsidRPr="00E678AB">
        <w:rPr>
          <w:lang w:val="en-GB"/>
        </w:rPr>
        <w:t>.</w:t>
      </w:r>
      <w:r w:rsidR="00EF74BB" w:rsidRPr="00E678AB">
        <w:rPr>
          <w:lang w:val="en-GB"/>
        </w:rPr>
        <w:fldChar w:fldCharType="begin"/>
      </w:r>
      <w:r w:rsidR="00F3627B">
        <w:rPr>
          <w:lang w:val="en-GB"/>
        </w:rPr>
        <w:instrText xml:space="preserve"> ADDIN ZOTERO_ITEM CSL_CITATION {"citationID":"zz7YNmbd","properties":{"formattedCitation":"\\super 6,7,29\\nosupersub{}","plainCitation":"6,7,29","noteIndex":0},"citationItems":[{"id":5460,"uris":["http://zotero.org/users/4732780/items/W8P2KD4X"],"uri":["http://zotero.org/users/4732780/items/W8P2KD4X"],"itemData":{"id":5460,"type":"article-journal","abstract":"OBJECTIVE: To evaluate the association between systems characteristics and esophagectomy mortality at low-volume hospitals\nBACKGROUND: High-volume hospitals have lower esophagectomy mortality rates, but receiving care at such centers is not always feasible. We examined low-volume hospitals and sought to identify characteristics of those with better outcomes.\nMETHODS: Using national data from Medicare and the American Hospital Association, we studied 4498 elderly patients who underwent an esophagectomy from 2004 to 2007. We divided hospitals into terciles based on esophagectomy volume and examined characteristics of patients and hospitals (size, nurse ratios, and presence of advanced medical, surgical, and radiological services). Our primary outcome was mortality. We identified 5 potentially beneficial systems characteristics in our data set and used multivariable logistic regression to determine whether these characteristics were associated with lower mortality rates at low-volume hospitals.\nRESULTS: Of the 874 hospitals that performed esophagectomies, 83% (723) were low-volume hospitals whereas only 3% (25) were high-volume. Low-volume hospitals performed a median of 1 esophagectomy during the 4-year study period and cared for patients that were older, more likely to be minority, and more likely to have multiple comorbidities compared with high-volume centers. Low-volume hospitals that had at least 3 of 5 characteristics (high nurse ratios, lung transplantation services, complex medical oncology services, bariatric surgery services, and positron emission tomography scanners) had markedly lower mortality rates compared with low-volume hospitals with none of these characteristics (12.5% vs. 5.0%; P value = 0.042).\nCONCLUSIONS: Low-volume hospitals with certain systems characteristics seem to achieve better esophagectomy outcomes. A more comprehensive study of the beneficial characteristics of low-volume hospitals is warranted because high-volume hospitals are difficult to access for many patients.","container-title":"Annals of Surgery","DOI":"10.1097/SLA.0b013e318213862f","ISSN":"1528-1140","issue":"5","journalAbbreviation":"Ann Surg","language":"eng","note":"PMID: 21422913\nPMCID: PMC7065506","page":"912-917","source":"PubMed","title":"Esophagectomy outcomes at low-volume hospitals: the association between systems characteristics and mortality","title-short":"Esophagectomy outcomes at low-volume hospitals","volume":"253","author":[{"family":"Funk","given":"Luke M."},{"family":"Gawande","given":"Atul A."},{"family":"Semel","given":"Marcus E."},{"family":"Lipsitz","given":"Stuart R."},{"family":"Berry","given":"William R."},{"family":"Zinner","given":"Michael J."},{"family":"Jha","given":"Ashish K."}],"issued":{"date-parts":[["2011",5]]}}},{"id":5463,"uris":["http://zotero.org/users/4732780/items/ZAIU93GI"],"uri":["http://zotero.org/users/4732780/items/ZAIU93GI"],"itemData":{"id":5463,"type":"article-journal","abstract":"OBJECTIVE: To determine the effect of hospital characteristics on failure to rescue after high-risk surgery in Medicare beneficiaries.\nSUMMARY BACKGROUND DATA: Reducing failure to rescue events is a common quality target for US hospitals. Little is known about which hospital characteristics influence this phenomenon and more importantly by how much.\nMETHODS: We identified 1,945,802 Medicare beneficiaries undergoing 1 of six high-risk general or vascular operations between 2007 and 2010. Using multilevel mixed-effects logistic regression modeling, we evaluated how failure to rescue rates were influenced by specific hospital characteristics previously associated with postsurgical outcomes. We used variance partitioning to determine the relative influence of patient and hospital characteristics on the between-hospital variability in failure to rescue rates.\nRESULTS: Failure to rescue rates varied up to 11-fold between very high and very low mortality hospitals. Comparing the highest and lowest mortality hospitals, we observed that teaching status (range: odds ratio [OR] 1.08-1.54), high hospital technology (range: OR 1.08-1.58), increasing nurse-to-patient ratio (range: OR 1.02-1.14), and presence of &gt;20 intensive care unit (ICU) beds (range: OR 1.09-1.62) significantly influenced failure to rescue rates for all procedures. When taken together, hospital and patient characteristics accounted for 12% (lower extremity revascularization) to 57% (esophagectomy) of the observed variation in failure to rescue rates across hospitals.\nCONCLUSIONS: Although several hospital characteristics are associated with lower failure to rescue rates, these macrosystem factors explain a small proportion of the variability between hospitals. This suggests that microsystem characteristics, such as hospital culture and safety climate, may play a larger role in improving a hospital's ability to manage postoperative complications.","container-title":"Annals of Surgery","DOI":"10.1097/SLA.0000000000001414","ISSN":"1528-1140","issue":"4","journalAbbreviation":"Ann Surg","language":"eng","note":"PMID: 26501706\nPMCID: PMC4777662","page":"692-697","source":"PubMed","title":"Impact of Hospital Characteristics on Failure to Rescue Following Major Surgery","volume":"263","author":[{"family":"Sheetz","given":"Kyle H."},{"family":"Dimick","given":"Justin B."},{"family":"Ghaferi","given":"Amir A."}],"issued":{"date-parts":[["2016",4]]}}},{"id":5493,"uris":["http://zotero.org/users/4732780/items/G3NEVBEI"],"uri":["http://zotero.org/users/4732780/items/G3NEVBEI"],"itemData":{"id":5493,"type":"article-journal","abstract":"BACKGROUND: Hospitals show wide variation in outcomes and systems of care. It is unclear whether hospital complexity-the range of services and technologies provided-affects outcomes and in what direction. We sought to determine whether complexity was associated with inpatient surgical mortality.\nMETHODS: Using national Medicare data, we identified all fee-for-service inpatients who underwent 1 of 5 common high-risk surgical procedures in 2008-2009 and measured complexity by the number of unique primary diagnoses admitted to each hospital over the 2-year period. We calculated 30-day postoperative mortality rates, adjusting for patient and hospital characteristics, and used multivariable Poisson regression models to test for an association between hospital complexity and mortality rates. We then used this model to generate predicted mortality rates for low-volume and high-volume hospitals across the spectrum of hospital complexity.\nRESULTS: A total of 2691 hospitals were analyzed, representing a total of 382,372 admissions. After adjusting for hospital characteristics, including hospital volume, increasing hospital complexity was associated with lower surgical mortality rates. Patients receiving care at the hospitals in the lowest quintile of unique diagnoses had a 27% higher risk of death than those at the highest quintile. The effect of complexity was largest for low-volume hospitals, which were capable of achieving mortality rates similar to high-volume hospitals when in the most complex quintile.\nCONCLUSIONS: Hospital complexity matters and is associated with lower surgical mortality rates, independent of hospital volume. The effect of complexity on outcomes for nonsurgical services warrants investigation.","container-title":"Medical Care","DOI":"10.1097/MLR.0000000000000077","ISSN":"1537-1948","issue":"3","journalAbbreviation":"Med Care","language":"eng","note":"PMID: 24509361","page":"235-242","source":"PubMed","title":"Beyond volume: does hospital complexity matter?: an analysis of inpatient surgical mortality in the United States","title-short":"Beyond volume","volume":"52","author":[{"family":"McCrum","given":"Marta L."},{"family":"Lipsitz","given":"Stuart R."},{"family":"Berry","given":"William R."},{"family":"Jha","given":"Ashish K."},{"family":"Gawande","given":"Atul A."}],"issued":{"date-parts":[["2014",3]]}}}],"schema":"https://github.com/citation-style-language/schema/raw/master/csl-citation.json"} </w:instrText>
      </w:r>
      <w:r w:rsidR="00EF74BB" w:rsidRPr="00E678AB">
        <w:rPr>
          <w:lang w:val="en-GB"/>
        </w:rPr>
        <w:fldChar w:fldCharType="separate"/>
      </w:r>
      <w:r w:rsidR="00F3627B" w:rsidRPr="00F3627B">
        <w:rPr>
          <w:rFonts w:ascii="Cambria" w:cs="Times New Roman"/>
          <w:vertAlign w:val="superscript"/>
        </w:rPr>
        <w:t>6,7,29</w:t>
      </w:r>
      <w:r w:rsidR="00EF74BB" w:rsidRPr="00E678AB">
        <w:rPr>
          <w:lang w:val="en-GB"/>
        </w:rPr>
        <w:fldChar w:fldCharType="end"/>
      </w:r>
    </w:p>
    <w:p w14:paraId="3727F5EC" w14:textId="14651BAE" w:rsidR="00CF7BC4" w:rsidRPr="00E678AB" w:rsidRDefault="00C6335C">
      <w:pPr>
        <w:pStyle w:val="BodyText"/>
        <w:rPr>
          <w:lang w:val="en-GB"/>
        </w:rPr>
      </w:pPr>
      <w:r>
        <w:rPr>
          <w:lang w:val="en-GB"/>
        </w:rPr>
        <w:t>V</w:t>
      </w:r>
      <w:r w:rsidR="009D77B2" w:rsidRPr="00E678AB">
        <w:rPr>
          <w:lang w:val="en-GB"/>
        </w:rPr>
        <w:t xml:space="preserve">ariable selection </w:t>
      </w:r>
      <w:r>
        <w:rPr>
          <w:lang w:val="en-GB"/>
        </w:rPr>
        <w:t xml:space="preserve">was performed </w:t>
      </w:r>
      <w:r w:rsidR="009D77B2" w:rsidRPr="00E678AB">
        <w:rPr>
          <w:lang w:val="en-GB"/>
        </w:rPr>
        <w:t xml:space="preserve">to select those </w:t>
      </w:r>
      <w:r w:rsidR="009D77B2" w:rsidRPr="00001491">
        <w:rPr>
          <w:lang w:val="en-GB"/>
        </w:rPr>
        <w:t xml:space="preserve">hospital </w:t>
      </w:r>
      <w:r w:rsidR="005F3744" w:rsidRPr="00001491">
        <w:rPr>
          <w:lang w:val="en-GB"/>
        </w:rPr>
        <w:t>facilit</w:t>
      </w:r>
      <w:r w:rsidR="00001491" w:rsidRPr="00001491">
        <w:rPr>
          <w:lang w:val="en-GB"/>
        </w:rPr>
        <w:t>ies</w:t>
      </w:r>
      <w:r w:rsidR="009D77B2" w:rsidRPr="00E678AB">
        <w:rPr>
          <w:lang w:val="en-GB"/>
        </w:rPr>
        <w:t xml:space="preserve"> associated with 30-day mortality using the Akaike information criterion</w:t>
      </w:r>
      <w:r w:rsidR="006E06CA">
        <w:rPr>
          <w:lang w:val="en-GB"/>
        </w:rPr>
        <w:t xml:space="preserve">, </w:t>
      </w:r>
      <w:r w:rsidR="009D77B2" w:rsidRPr="00E678AB">
        <w:rPr>
          <w:lang w:val="en-GB"/>
        </w:rPr>
        <w:t>as described by Moon et al</w:t>
      </w:r>
      <w:r w:rsidR="00EF74BB" w:rsidRPr="00E678AB">
        <w:rPr>
          <w:lang w:val="en-GB"/>
        </w:rPr>
        <w:t>.</w:t>
      </w:r>
      <w:r w:rsidR="00EF74BB" w:rsidRPr="00001491">
        <w:rPr>
          <w:lang w:val="en-GB"/>
        </w:rPr>
        <w:fldChar w:fldCharType="begin"/>
      </w:r>
      <w:r w:rsidR="00F3627B" w:rsidRPr="00001491">
        <w:rPr>
          <w:lang w:val="en-GB"/>
        </w:rPr>
        <w:instrText xml:space="preserve"> ADDIN ZOTERO_ITEM CSL_CITATION {"citationID":"Q6ZHLN05","properties":{"formattedCitation":"\\super 31\\nosupersub{}","plainCitation":"31","noteIndex":0},"citationItems":[{"id":5269,"uris":["http://zotero.org/users/4732780/items/693QZ75R"],"uri":["http://zotero.org/users/4732780/items/693QZ75R"],"itemData":{"id":5269,"type":"article-journal","abstract":"The TRIPOD (Transparent Reporting of a multivariable prediction model for Individual Prognosis Or Diagnosis) Statement includes a 22-item checklist, which aims to improve the reporting of studies developing, validating, or updating a prediction model, whether for diagnostic or prognostic purposes. The TRIPOD Statement aims to improve the transparency of the reporting of a prediction model study regardless of the study methods used. This explanation and elaboration document describes the rationale; clarifies the meaning of each item; and discusses why transparent reporting is important, with a view to assessing risk of bias and clinical usefulness of the prediction model. Each checklist item of the TRIPOD Statement is explained in detail and accompanied by published examples of good reporting. The document also provides a valuable reference of issues to consider when designing, conducting, and analyzing prediction model studies. To aid the editorial process and help peer reviewers and, ultimately, readers and systematic reviewers of prediction model studies, it is recommended that authors include a completed checklist in their submission. The TRIPOD checklist can also be downloaded from www.tripod-statement.org.","container-title":"Annals of Internal Medicine","DOI":"10.7326/M14-0698","ISSN":"1539-3704","issue":"1","journalAbbreviation":"Ann. Intern. Med.","language":"eng","note":"PMID: 25560730","page":"W1-73","source":"PubMed","title":"Transparent Reporting of a multivariable prediction model for Individual Prognosis or Diagnosis (TRIPOD): explanation and elaboration","title-short":"Transparent Reporting of a multivariable prediction model for Individual Prognosis or Diagnosis (TRIPOD)","volume":"162","author":[{"family":"Moons","given":"Karel G. M."},{"family":"Altman","given":"Douglas G."},{"family":"Reitsma","given":"Johannes B."},{"family":"Ioannidis","given":"John P. A."},{"family":"Macaskill","given":"Petra"},{"family":"Steyerberg","given":"Ewout W."},{"family":"Vickers","given":"Andrew J."},{"family":"Ransohoff","given":"David F."},{"family":"Collins","given":"Gary S."}],"issued":{"date-parts":[["2015",1,6]]}}}],"schema":"https://github.com/citation-style-language/schema/raw/master/csl-citation.json"} </w:instrText>
      </w:r>
      <w:r w:rsidR="00EF74BB" w:rsidRPr="00001491">
        <w:rPr>
          <w:lang w:val="en-GB"/>
        </w:rPr>
        <w:fldChar w:fldCharType="separate"/>
      </w:r>
      <w:r w:rsidR="00F3627B" w:rsidRPr="00001491">
        <w:rPr>
          <w:rFonts w:ascii="Cambria" w:cs="Times New Roman"/>
          <w:vertAlign w:val="superscript"/>
        </w:rPr>
        <w:t>31</w:t>
      </w:r>
      <w:r w:rsidR="00EF74BB" w:rsidRPr="00001491">
        <w:rPr>
          <w:lang w:val="en-GB"/>
        </w:rPr>
        <w:fldChar w:fldCharType="end"/>
      </w:r>
      <w:r w:rsidR="00EF74BB" w:rsidRPr="00001491">
        <w:rPr>
          <w:lang w:val="en-GB"/>
        </w:rPr>
        <w:t xml:space="preserve"> </w:t>
      </w:r>
      <w:r w:rsidR="009D77B2" w:rsidRPr="00001491">
        <w:rPr>
          <w:lang w:val="en-GB"/>
        </w:rPr>
        <w:t xml:space="preserve">All hospital </w:t>
      </w:r>
      <w:r w:rsidR="005F3744" w:rsidRPr="00001491">
        <w:rPr>
          <w:lang w:val="en-GB"/>
        </w:rPr>
        <w:t>facilit</w:t>
      </w:r>
      <w:r w:rsidR="00001491" w:rsidRPr="00001491">
        <w:rPr>
          <w:lang w:val="en-GB"/>
        </w:rPr>
        <w:t>ies</w:t>
      </w:r>
      <w:r w:rsidR="00001491">
        <w:rPr>
          <w:lang w:val="en-GB"/>
        </w:rPr>
        <w:t xml:space="preserve"> </w:t>
      </w:r>
      <w:r w:rsidR="009D77B2" w:rsidRPr="00E678AB">
        <w:rPr>
          <w:lang w:val="en-GB"/>
        </w:rPr>
        <w:t xml:space="preserve">were included as explanatory variables within this model, but with the exclusion of patient-level data. Only main interactions were included to avoid overfitting. </w:t>
      </w:r>
      <w:r w:rsidR="00001491">
        <w:rPr>
          <w:lang w:val="en-GB"/>
        </w:rPr>
        <w:t>Hospital facilities</w:t>
      </w:r>
      <w:r w:rsidR="009D77B2" w:rsidRPr="00E678AB">
        <w:rPr>
          <w:lang w:val="en-GB"/>
        </w:rPr>
        <w:t xml:space="preserve"> with a P value of &lt;0.05 were identified as candidate covariates. As a sensitivity analysis, a bootstrap procedure (n=5000) was performed to investigate variability in </w:t>
      </w:r>
      <w:r w:rsidR="009D77B2" w:rsidRPr="00665D39">
        <w:rPr>
          <w:lang w:val="en-GB"/>
        </w:rPr>
        <w:t xml:space="preserve">hospital </w:t>
      </w:r>
      <w:r w:rsidR="00C86AF8" w:rsidRPr="00665D39">
        <w:rPr>
          <w:lang w:val="en-GB"/>
        </w:rPr>
        <w:t xml:space="preserve">facility </w:t>
      </w:r>
      <w:r w:rsidR="009D77B2" w:rsidRPr="00E678AB">
        <w:rPr>
          <w:lang w:val="en-GB"/>
        </w:rPr>
        <w:t>selection.</w:t>
      </w:r>
    </w:p>
    <w:p w14:paraId="13121D61" w14:textId="00696828" w:rsidR="00CF7BC4" w:rsidRPr="00E678AB" w:rsidRDefault="009D77B2">
      <w:pPr>
        <w:pStyle w:val="BodyText"/>
        <w:rPr>
          <w:lang w:val="en-GB"/>
        </w:rPr>
      </w:pPr>
      <w:r w:rsidRPr="00E678AB">
        <w:rPr>
          <w:lang w:val="en-GB"/>
        </w:rPr>
        <w:t xml:space="preserve">To obtain adjusted outcomes at hospitals with different numbers of </w:t>
      </w:r>
      <w:r w:rsidR="00665D39">
        <w:rPr>
          <w:lang w:val="en-GB"/>
        </w:rPr>
        <w:t>facilities</w:t>
      </w:r>
      <w:r w:rsidRPr="00E678AB">
        <w:rPr>
          <w:lang w:val="en-GB"/>
        </w:rPr>
        <w:t xml:space="preserve">, we created an ordinal variable (0–5) which represented the </w:t>
      </w:r>
      <w:r w:rsidRPr="00665D39">
        <w:rPr>
          <w:lang w:val="en-GB"/>
        </w:rPr>
        <w:t xml:space="preserve">number of </w:t>
      </w:r>
      <w:r w:rsidR="00665D39">
        <w:rPr>
          <w:lang w:val="en-GB"/>
        </w:rPr>
        <w:t>facilities</w:t>
      </w:r>
      <w:r w:rsidRPr="00E678AB">
        <w:rPr>
          <w:lang w:val="en-GB"/>
        </w:rPr>
        <w:t xml:space="preserve"> at each hospital. Hospitals were then categorised into </w:t>
      </w:r>
      <w:r w:rsidRPr="0046659B">
        <w:rPr>
          <w:lang w:val="en-GB"/>
        </w:rPr>
        <w:t xml:space="preserve">different </w:t>
      </w:r>
      <w:r w:rsidR="0046659B" w:rsidRPr="00034328">
        <w:rPr>
          <w:lang w:val="en-GB"/>
        </w:rPr>
        <w:t xml:space="preserve">facility </w:t>
      </w:r>
      <w:r w:rsidR="00665D39" w:rsidRPr="00034328">
        <w:rPr>
          <w:lang w:val="en-GB"/>
        </w:rPr>
        <w:t>levels</w:t>
      </w:r>
      <w:r w:rsidRPr="00E678AB">
        <w:rPr>
          <w:lang w:val="en-GB"/>
        </w:rPr>
        <w:t xml:space="preserve"> by patient distribution.</w:t>
      </w:r>
    </w:p>
    <w:p w14:paraId="38FDC005" w14:textId="18537366" w:rsidR="00CF7BC4" w:rsidRPr="00E678AB" w:rsidRDefault="009D77B2">
      <w:pPr>
        <w:pStyle w:val="BodyText"/>
        <w:rPr>
          <w:lang w:val="en-GB"/>
        </w:rPr>
      </w:pPr>
      <w:r w:rsidRPr="00E678AB">
        <w:rPr>
          <w:lang w:val="en-GB"/>
        </w:rPr>
        <w:t xml:space="preserve">Variation across different international health settings was assessed by stratifying countries by World Bank country group classifications. Differences between groups were tested with the Pearson χ2 test for categorical variables and with the Kruskal-Wallis test for continuous variables. To characterize the relationship between </w:t>
      </w:r>
      <w:r w:rsidR="00740C66">
        <w:rPr>
          <w:lang w:val="en-GB"/>
        </w:rPr>
        <w:t>hospital facilities</w:t>
      </w:r>
      <w:r w:rsidR="00740C66" w:rsidRPr="00E678AB">
        <w:rPr>
          <w:lang w:val="en-GB"/>
        </w:rPr>
        <w:t xml:space="preserve"> </w:t>
      </w:r>
      <w:r w:rsidRPr="00E678AB">
        <w:rPr>
          <w:lang w:val="en-GB"/>
        </w:rPr>
        <w:t xml:space="preserve">and mortality, </w:t>
      </w:r>
      <w:r w:rsidR="001767D8">
        <w:rPr>
          <w:lang w:val="en-GB"/>
        </w:rPr>
        <w:t>generalised</w:t>
      </w:r>
      <w:r w:rsidRPr="00E678AB">
        <w:rPr>
          <w:lang w:val="en-GB"/>
        </w:rPr>
        <w:t xml:space="preserve"> estimating equations (GEE) were constructed to account for</w:t>
      </w:r>
      <w:r w:rsidR="00740C66">
        <w:rPr>
          <w:lang w:val="en-GB"/>
        </w:rPr>
        <w:t xml:space="preserve"> income group,</w:t>
      </w:r>
      <w:r w:rsidRPr="00E678AB">
        <w:rPr>
          <w:lang w:val="en-GB"/>
        </w:rPr>
        <w:t xml:space="preserve"> case mix</w:t>
      </w:r>
      <w:r w:rsidR="00740C66">
        <w:rPr>
          <w:lang w:val="en-GB"/>
        </w:rPr>
        <w:t xml:space="preserve"> </w:t>
      </w:r>
      <w:r w:rsidR="00740C66" w:rsidRPr="00E678AB">
        <w:rPr>
          <w:lang w:val="en-GB"/>
        </w:rPr>
        <w:t>(patient</w:t>
      </w:r>
      <w:r w:rsidR="00740C66">
        <w:rPr>
          <w:lang w:val="en-GB"/>
        </w:rPr>
        <w:t xml:space="preserve"> and </w:t>
      </w:r>
      <w:r w:rsidR="00740C66" w:rsidRPr="00E678AB">
        <w:rPr>
          <w:lang w:val="en-GB"/>
        </w:rPr>
        <w:t>disease</w:t>
      </w:r>
      <w:r w:rsidR="00740C66">
        <w:rPr>
          <w:lang w:val="en-GB"/>
        </w:rPr>
        <w:t xml:space="preserve"> factors</w:t>
      </w:r>
      <w:r w:rsidR="00740C66" w:rsidRPr="00E678AB">
        <w:rPr>
          <w:lang w:val="en-GB"/>
        </w:rPr>
        <w:t>)</w:t>
      </w:r>
      <w:r w:rsidRPr="00E678AB">
        <w:rPr>
          <w:lang w:val="en-GB"/>
        </w:rPr>
        <w:t xml:space="preserve"> and </w:t>
      </w:r>
      <w:r w:rsidRPr="00740C66">
        <w:rPr>
          <w:lang w:val="en-GB"/>
        </w:rPr>
        <w:t>operative characteristics</w:t>
      </w:r>
      <w:r w:rsidRPr="00E678AB">
        <w:rPr>
          <w:lang w:val="en-GB"/>
        </w:rPr>
        <w:t xml:space="preserve"> known to be associated with worse outcomes following cancer surgery,</w:t>
      </w:r>
      <w:r w:rsidR="0049473B">
        <w:rPr>
          <w:lang w:val="en-GB"/>
        </w:rPr>
        <w:fldChar w:fldCharType="begin"/>
      </w:r>
      <w:r w:rsidR="00F3627B">
        <w:rPr>
          <w:lang w:val="en-GB"/>
        </w:rPr>
        <w:instrText xml:space="preserve"> ADDIN ZOTERO_ITEM CSL_CITATION {"citationID":"OPQ964vL","properties":{"formattedCitation":"\\super 32\\nosupersub{}","plainCitation":"32","noteIndex":0},"citationItems":[{"id":5530,"uris":["http://zotero.org/users/4732780/items/HJ56UENJ"],"uri":["http://zotero.org/users/4732780/items/HJ56UENJ"],"itemData":{"id":5530,"type":"article-journal","abstract":"BACKGROUND: 80% of individuals with cancer will require a surgical procedure, yet little comparative data exist on early outcomes in low-income and middle-income countries (LMICs). We compared postoperative outcomes in breast, colorectal, and gastric cancer surgery in hospitals worldwide, focusing on the effect of disease stage and complications on postoperative mortality.\nMETHODS: This was a multicentre, international prospective cohort study of consecutive adult patients undergoing surgery for primary breast, colorectal, or gastric cancer requiring a skin incision done under general or neuraxial anaesthesia. The primary outcome was death or major complication within 30 days of surgery. Multilevel logistic regression determined relationships within three-level nested models of patients within hospitals and countries. Hospital-level infrastructure effects were explored with three-way mediation analyses. This study was registered with ClinicalTrials.gov, NCT03471494.\nFINDINGS: Between April 1, 2018, and Jan 31, 2019, we enrolled 15 958 patients from 428 hospitals in 82 countries (high income 9106 patients, 31 countries; upper-middle income 2721 patients, 23 countries; or lower-middle income 4131 patients, 28 countries). Patients in LMICs presented with more advanced disease compared with patients in high-income countries. 30-day mortality was higher for gastric cancer in low-income or lower-middle-income countries (adjusted odds ratio 3·72, 95% CI 1·70-8·16) and for colorectal cancer in low-income or lower-middle-income countries (4·59, 2·39-8·80) and upper-middle-income countries (2·06, 1·11-3·83). No difference in 30-day mortality was seen in breast cancer. The proportion of patients who died after a major complication was greatest in low-income or lower-middle-income countries (6·15, 3·26-11·59) and upper-middle-income countries (3·89, 2·08-7·29). Postoperative death after complications was partly explained by patient factors (60%) and partly by hospital or country (40%). The absence of consistently available postoperative care facilities was associated with seven to 10 more deaths per 100 major complications in LMICs. Cancer stage alone explained little of the early variation in mortality or postoperative complications.\nINTERPRETATION: Higher levels of mortality after cancer surgery in LMICs was not fully explained by later presentation of disease. The capacity to rescue patients from surgical complications is a tangible opportunity for meaningful intervention. Early death after cancer surgery might be reduced by policies focusing on strengthening perioperative care systems to detect and intervene in common complications.\nFUNDING: National Institute for Health Research Global Health Research Unit.","container-title":"Lancet (London, England)","DOI":"10.1016/S0140-6736(21)00001-5","ISSN":"1474-547X","issue":"10272","journalAbbreviation":"Lancet","language":"eng","note":"PMID: 33485461\nPMCID: PMC7846817","page":"387-397","source":"PubMed","title":"Global variation in postoperative mortality and complications after cancer surgery: a multicentre, prospective cohort study in 82 countries","title-short":"Global variation in postoperative mortality and complications after cancer surgery","volume":"397","author":[{"literal":"GlobalSurg Collaborative and National Institute for Health Research Global Health Research Unit on Global Surgery"}],"issued":{"date-parts":[["2021",1,30]]}}}],"schema":"https://github.com/citation-style-language/schema/raw/master/csl-citation.json"} </w:instrText>
      </w:r>
      <w:r w:rsidR="0049473B">
        <w:rPr>
          <w:lang w:val="en-GB"/>
        </w:rPr>
        <w:fldChar w:fldCharType="separate"/>
      </w:r>
      <w:r w:rsidR="00F3627B" w:rsidRPr="00F3627B">
        <w:rPr>
          <w:rFonts w:ascii="Cambria" w:cs="Times New Roman"/>
          <w:vertAlign w:val="superscript"/>
        </w:rPr>
        <w:t>32</w:t>
      </w:r>
      <w:r w:rsidR="0049473B">
        <w:rPr>
          <w:lang w:val="en-GB"/>
        </w:rPr>
        <w:fldChar w:fldCharType="end"/>
      </w:r>
      <w:r w:rsidRPr="00E678AB">
        <w:rPr>
          <w:lang w:val="en-GB"/>
        </w:rPr>
        <w:t xml:space="preserve"> with population stratification by hospital.</w:t>
      </w:r>
    </w:p>
    <w:p w14:paraId="79BC58FA" w14:textId="6290D9DB" w:rsidR="00CF7BC4" w:rsidRPr="00E678AB" w:rsidRDefault="009D77B2">
      <w:pPr>
        <w:pStyle w:val="BodyText"/>
        <w:rPr>
          <w:lang w:val="en-GB"/>
        </w:rPr>
      </w:pPr>
      <w:r w:rsidRPr="00E678AB">
        <w:rPr>
          <w:lang w:val="en-GB"/>
        </w:rPr>
        <w:t xml:space="preserve">Adjusted outcomes were calculated as predicted probabilities from a GEE logistic regression model, including potential confounders (patient age, gender, </w:t>
      </w:r>
      <w:r w:rsidR="00DC639B">
        <w:rPr>
          <w:lang w:val="en-GB"/>
        </w:rPr>
        <w:t xml:space="preserve">American Society of </w:t>
      </w:r>
      <w:proofErr w:type="spellStart"/>
      <w:r w:rsidR="00DC639B">
        <w:rPr>
          <w:lang w:val="en-GB"/>
        </w:rPr>
        <w:t>Anesthesiologists</w:t>
      </w:r>
      <w:proofErr w:type="spellEnd"/>
      <w:r w:rsidR="00DC639B">
        <w:rPr>
          <w:lang w:val="en-GB"/>
        </w:rPr>
        <w:t xml:space="preserve"> (</w:t>
      </w:r>
      <w:r w:rsidRPr="00E678AB">
        <w:rPr>
          <w:lang w:val="en-GB"/>
        </w:rPr>
        <w:t>ASA</w:t>
      </w:r>
      <w:r w:rsidR="00DC639B">
        <w:rPr>
          <w:lang w:val="en-GB"/>
        </w:rPr>
        <w:t>)</w:t>
      </w:r>
      <w:r w:rsidRPr="00E678AB">
        <w:rPr>
          <w:lang w:val="en-GB"/>
        </w:rPr>
        <w:t xml:space="preserve"> grade, performance status, disease stage and operative urgency) across income group and cancer type (colorectal and gastric). We obtained confidence intervals (CIs) and a P value for trend by fitting the GEE logistic regression model with </w:t>
      </w:r>
      <w:r w:rsidR="00530DD7">
        <w:rPr>
          <w:lang w:val="en-GB"/>
        </w:rPr>
        <w:t>facility ca</w:t>
      </w:r>
      <w:r w:rsidR="00B95B6B">
        <w:rPr>
          <w:lang w:val="en-GB"/>
        </w:rPr>
        <w:t>pability</w:t>
      </w:r>
      <w:r w:rsidR="00EA51E3">
        <w:rPr>
          <w:lang w:val="en-GB"/>
        </w:rPr>
        <w:t>.</w:t>
      </w:r>
    </w:p>
    <w:p w14:paraId="49AE74DE" w14:textId="115339FA" w:rsidR="00CF7BC4" w:rsidRPr="00E678AB" w:rsidRDefault="009D77B2">
      <w:pPr>
        <w:pStyle w:val="BodyText"/>
        <w:rPr>
          <w:lang w:val="en-GB"/>
        </w:rPr>
      </w:pPr>
      <w:r w:rsidRPr="00E678AB">
        <w:rPr>
          <w:lang w:val="en-GB"/>
        </w:rPr>
        <w:t xml:space="preserve">Sensitivity analyses for adjusted outcome rates, by imputing the average number of available </w:t>
      </w:r>
      <w:r w:rsidRPr="00EE71D7">
        <w:rPr>
          <w:lang w:val="en-GB"/>
        </w:rPr>
        <w:t xml:space="preserve">hospital </w:t>
      </w:r>
      <w:r w:rsidR="00EE71D7">
        <w:rPr>
          <w:lang w:val="en-GB"/>
        </w:rPr>
        <w:t>facilities</w:t>
      </w:r>
      <w:r w:rsidRPr="00E678AB">
        <w:rPr>
          <w:lang w:val="en-GB"/>
        </w:rPr>
        <w:t xml:space="preserve"> by nearest neighbour HDI rank for missing hospitals, was also performed. As an additional comparison, adjusted outcomes were also calculated using all eleven </w:t>
      </w:r>
      <w:r w:rsidR="00EE71D7" w:rsidRPr="00EE71D7">
        <w:rPr>
          <w:lang w:val="en-GB"/>
        </w:rPr>
        <w:t xml:space="preserve">hospital </w:t>
      </w:r>
      <w:r w:rsidR="00EE71D7">
        <w:rPr>
          <w:lang w:val="en-GB"/>
        </w:rPr>
        <w:t>facilities</w:t>
      </w:r>
      <w:r w:rsidR="00EE71D7" w:rsidRPr="00E678AB">
        <w:rPr>
          <w:lang w:val="en-GB"/>
        </w:rPr>
        <w:t xml:space="preserve"> </w:t>
      </w:r>
      <w:r w:rsidRPr="00E678AB">
        <w:rPr>
          <w:lang w:val="en-GB"/>
        </w:rPr>
        <w:t xml:space="preserve">(ordinal value 0-11) across included hospitals using </w:t>
      </w:r>
      <w:r w:rsidR="003F68E1">
        <w:rPr>
          <w:lang w:val="en-GB"/>
        </w:rPr>
        <w:t>the same</w:t>
      </w:r>
      <w:r w:rsidRPr="00E678AB">
        <w:rPr>
          <w:lang w:val="en-GB"/>
        </w:rPr>
        <w:t xml:space="preserve"> methodology.</w:t>
      </w:r>
    </w:p>
    <w:p w14:paraId="44C640D7" w14:textId="388D454A" w:rsidR="00CF7BC4" w:rsidRPr="00E678AB" w:rsidRDefault="009D77B2">
      <w:pPr>
        <w:pStyle w:val="BodyText"/>
        <w:rPr>
          <w:lang w:val="en-GB"/>
        </w:rPr>
      </w:pPr>
      <w:r w:rsidRPr="00D33389">
        <w:rPr>
          <w:lang w:val="en-GB"/>
        </w:rPr>
        <w:t xml:space="preserve">The relationship between </w:t>
      </w:r>
      <w:r w:rsidR="001E5D09" w:rsidRPr="00034328">
        <w:rPr>
          <w:lang w:val="en-GB"/>
        </w:rPr>
        <w:t>hospital facilit</w:t>
      </w:r>
      <w:r w:rsidR="001E5D09" w:rsidRPr="00034328">
        <w:rPr>
          <w:lang w:val="en-GB"/>
        </w:rPr>
        <w:t>y levels</w:t>
      </w:r>
      <w:r w:rsidR="001E5D09" w:rsidRPr="00E678AB">
        <w:rPr>
          <w:lang w:val="en-GB"/>
        </w:rPr>
        <w:t xml:space="preserve"> </w:t>
      </w:r>
      <w:r w:rsidRPr="00E678AB">
        <w:rPr>
          <w:lang w:val="en-GB"/>
        </w:rPr>
        <w:t>and 30-day mortality were calculated from logistic regression models for different covariate levels (patient and disease characteristics). Absolute risk differences were calculated, and CIs determined using bootstrap resampling (5000 draws). The number needed to treat to benefit was defined as the reciprocal of the absolute risk difference.</w:t>
      </w:r>
    </w:p>
    <w:p w14:paraId="04B249EE" w14:textId="77777777" w:rsidR="00CF7BC4" w:rsidRPr="00E678AB" w:rsidRDefault="009D77B2">
      <w:pPr>
        <w:pStyle w:val="BodyText"/>
        <w:rPr>
          <w:lang w:val="en-GB"/>
        </w:rPr>
      </w:pPr>
      <w:r w:rsidRPr="00E678AB">
        <w:rPr>
          <w:lang w:val="en-GB"/>
        </w:rPr>
        <w:t xml:space="preserve">All P values were 2-sided and were considered statistically significant if the P value was less than 0.05. All analyses were done using R (version 3.6.3), using the </w:t>
      </w:r>
      <w:proofErr w:type="spellStart"/>
      <w:r w:rsidRPr="00E678AB">
        <w:rPr>
          <w:lang w:val="en-GB"/>
        </w:rPr>
        <w:t>finalfit</w:t>
      </w:r>
      <w:proofErr w:type="spellEnd"/>
      <w:r w:rsidRPr="00E678AB">
        <w:rPr>
          <w:lang w:val="en-GB"/>
        </w:rPr>
        <w:t xml:space="preserve">, </w:t>
      </w:r>
      <w:proofErr w:type="spellStart"/>
      <w:r w:rsidRPr="00E678AB">
        <w:rPr>
          <w:lang w:val="en-GB"/>
        </w:rPr>
        <w:t>tidyverse</w:t>
      </w:r>
      <w:proofErr w:type="spellEnd"/>
      <w:r w:rsidRPr="00E678AB">
        <w:rPr>
          <w:lang w:val="en-GB"/>
        </w:rPr>
        <w:t xml:space="preserve">, </w:t>
      </w:r>
      <w:proofErr w:type="spellStart"/>
      <w:r w:rsidRPr="00E678AB">
        <w:rPr>
          <w:lang w:val="en-GB"/>
        </w:rPr>
        <w:t>geepack</w:t>
      </w:r>
      <w:proofErr w:type="spellEnd"/>
      <w:r w:rsidRPr="00E678AB">
        <w:rPr>
          <w:lang w:val="en-GB"/>
        </w:rPr>
        <w:t xml:space="preserve">, </w:t>
      </w:r>
      <w:proofErr w:type="spellStart"/>
      <w:r w:rsidRPr="00E678AB">
        <w:rPr>
          <w:lang w:val="en-GB"/>
        </w:rPr>
        <w:t>epitools</w:t>
      </w:r>
      <w:proofErr w:type="spellEnd"/>
      <w:r w:rsidRPr="00E678AB">
        <w:rPr>
          <w:lang w:val="en-GB"/>
        </w:rPr>
        <w:t xml:space="preserve"> and </w:t>
      </w:r>
      <w:proofErr w:type="spellStart"/>
      <w:r w:rsidRPr="00E678AB">
        <w:rPr>
          <w:lang w:val="en-GB"/>
        </w:rPr>
        <w:t>bootStepAIC</w:t>
      </w:r>
      <w:proofErr w:type="spellEnd"/>
      <w:r w:rsidRPr="00E678AB">
        <w:rPr>
          <w:lang w:val="en-GB"/>
        </w:rPr>
        <w:t>.</w:t>
      </w:r>
    </w:p>
    <w:p w14:paraId="46CAF06C" w14:textId="77777777" w:rsidR="00CF7BC4" w:rsidRPr="00E678AB" w:rsidRDefault="009D77B2">
      <w:pPr>
        <w:pStyle w:val="BodyText"/>
        <w:rPr>
          <w:lang w:val="en-GB"/>
        </w:rPr>
      </w:pPr>
      <w:r w:rsidRPr="00E678AB">
        <w:rPr>
          <w:lang w:val="en-GB"/>
        </w:rPr>
        <w:t>This trial was prospectively registered with ClinicalTrials.gov, NCT03471494.</w:t>
      </w:r>
    </w:p>
    <w:p w14:paraId="132FA133" w14:textId="77777777" w:rsidR="00194973" w:rsidRDefault="00194973">
      <w:pPr>
        <w:pStyle w:val="BodyText"/>
        <w:rPr>
          <w:b/>
          <w:lang w:val="en-GB"/>
        </w:rPr>
      </w:pPr>
    </w:p>
    <w:p w14:paraId="72764B94" w14:textId="24EC2AB8" w:rsidR="00CF7BC4" w:rsidRPr="00E678AB" w:rsidRDefault="009D77B2">
      <w:pPr>
        <w:pStyle w:val="BodyText"/>
        <w:rPr>
          <w:lang w:val="en-GB"/>
        </w:rPr>
      </w:pPr>
      <w:r w:rsidRPr="00E678AB">
        <w:rPr>
          <w:b/>
          <w:lang w:val="en-GB"/>
        </w:rPr>
        <w:lastRenderedPageBreak/>
        <w:t>Role of the funding source</w:t>
      </w:r>
    </w:p>
    <w:p w14:paraId="3F3E5FA2" w14:textId="10D87FD3" w:rsidR="00CF7BC4" w:rsidRDefault="009D77B2">
      <w:pPr>
        <w:pStyle w:val="BodyText"/>
        <w:rPr>
          <w:lang w:val="en-GB"/>
        </w:rPr>
      </w:pPr>
      <w:r w:rsidRPr="00E678AB">
        <w:rPr>
          <w:lang w:val="en-GB"/>
        </w:rPr>
        <w:t>National Institute for Health Research (NIHR) Global Health Research Unit Grant (NIHR 17–0799) funded hub development in a subset of contributing countries. The views expressed are those of the authors and not necessarily those of the NHS, the NIHR or the UK Department of Health and Social Care. The funder of the study had no role in study design, data collection, data analysis, data interpretation, or writing of the Article. The corresponding author had full access to all the data in the study and had final responsibility for the decision to submit for publication.</w:t>
      </w:r>
    </w:p>
    <w:p w14:paraId="5CAC7D12" w14:textId="77777777" w:rsidR="0049473B" w:rsidRPr="00E678AB" w:rsidRDefault="0049473B">
      <w:pPr>
        <w:pStyle w:val="BodyText"/>
        <w:rPr>
          <w:lang w:val="en-GB"/>
        </w:rPr>
      </w:pPr>
    </w:p>
    <w:p w14:paraId="1D7CB932" w14:textId="77777777" w:rsidR="0049473B" w:rsidRDefault="0049473B">
      <w:pPr>
        <w:rPr>
          <w:rFonts w:asciiTheme="majorHAnsi" w:eastAsiaTheme="majorEastAsia" w:hAnsiTheme="majorHAnsi" w:cstheme="majorBidi"/>
          <w:b/>
          <w:bCs/>
          <w:color w:val="4F81BD" w:themeColor="accent1"/>
          <w:sz w:val="28"/>
          <w:szCs w:val="28"/>
        </w:rPr>
      </w:pPr>
      <w:bookmarkStart w:id="3" w:name="results"/>
      <w:r>
        <w:br w:type="page"/>
      </w:r>
    </w:p>
    <w:p w14:paraId="0C6072EE" w14:textId="6046F6F3" w:rsidR="00CF7BC4" w:rsidRPr="00E678AB" w:rsidRDefault="009D77B2">
      <w:pPr>
        <w:pStyle w:val="Heading3"/>
        <w:rPr>
          <w:lang w:val="en-GB"/>
        </w:rPr>
      </w:pPr>
      <w:r w:rsidRPr="00E678AB">
        <w:rPr>
          <w:lang w:val="en-GB"/>
        </w:rPr>
        <w:lastRenderedPageBreak/>
        <w:t>Results</w:t>
      </w:r>
      <w:bookmarkEnd w:id="3"/>
    </w:p>
    <w:p w14:paraId="3464F45A" w14:textId="1F72658C" w:rsidR="003704B4" w:rsidRDefault="00A462B2">
      <w:pPr>
        <w:pStyle w:val="FirstParagraph"/>
        <w:rPr>
          <w:lang w:val="en-GB"/>
        </w:rPr>
      </w:pPr>
      <w:r>
        <w:rPr>
          <w:lang w:val="en-GB"/>
        </w:rPr>
        <w:t xml:space="preserve">Between April 1, 2018, and April 23, 2019, </w:t>
      </w:r>
      <w:r>
        <w:rPr>
          <w:lang w:val="en-GB"/>
        </w:rPr>
        <w:t>h</w:t>
      </w:r>
      <w:r w:rsidR="009D77B2" w:rsidRPr="00E678AB">
        <w:rPr>
          <w:lang w:val="en-GB"/>
        </w:rPr>
        <w:t>ospital-level data w</w:t>
      </w:r>
      <w:r>
        <w:rPr>
          <w:lang w:val="en-GB"/>
        </w:rPr>
        <w:t>as</w:t>
      </w:r>
      <w:r w:rsidR="009D77B2" w:rsidRPr="00E678AB">
        <w:rPr>
          <w:lang w:val="en-GB"/>
        </w:rPr>
        <w:t xml:space="preserve"> </w:t>
      </w:r>
      <w:r>
        <w:rPr>
          <w:lang w:val="en-GB"/>
        </w:rPr>
        <w:t>collected</w:t>
      </w:r>
      <w:r w:rsidR="00AE5A85">
        <w:rPr>
          <w:lang w:val="en-GB"/>
        </w:rPr>
        <w:t xml:space="preserve"> for 238 hospitals across 66 countries, who</w:t>
      </w:r>
      <w:r w:rsidR="00E25AB8">
        <w:rPr>
          <w:lang w:val="en-GB"/>
        </w:rPr>
        <w:t xml:space="preserve"> surgically-</w:t>
      </w:r>
      <w:r w:rsidR="00AE5A85">
        <w:rPr>
          <w:lang w:val="en-GB"/>
        </w:rPr>
        <w:t>treated</w:t>
      </w:r>
      <w:r w:rsidR="009D77B2" w:rsidRPr="00E678AB">
        <w:rPr>
          <w:lang w:val="en-GB"/>
        </w:rPr>
        <w:t xml:space="preserve"> 9685 patients</w:t>
      </w:r>
      <w:r w:rsidR="00E25AB8">
        <w:rPr>
          <w:lang w:val="en-GB"/>
        </w:rPr>
        <w:t xml:space="preserve"> with cancer</w:t>
      </w:r>
      <w:r w:rsidR="009D77B2" w:rsidRPr="00E678AB">
        <w:rPr>
          <w:lang w:val="en-GB"/>
        </w:rPr>
        <w:t xml:space="preserve"> (high income 91 hospitals, 20 countries, 3636 patients; upper middle income 57 hospitals, 19 countries, 2119 patients; low/lower middle income 90 hospitals, 27 countries, 3930 patients; Figure 1). The </w:t>
      </w:r>
      <w:r w:rsidR="009D77B2" w:rsidRPr="005228E2">
        <w:rPr>
          <w:lang w:val="en-GB"/>
        </w:rPr>
        <w:t>characteristics of included hospitals</w:t>
      </w:r>
      <w:r w:rsidR="009D77B2" w:rsidRPr="00E678AB">
        <w:rPr>
          <w:lang w:val="en-GB"/>
        </w:rPr>
        <w:t xml:space="preserve"> across income-group is summarised in Table 1. </w:t>
      </w:r>
      <w:r w:rsidR="005228E2">
        <w:rPr>
          <w:lang w:val="en-GB"/>
        </w:rPr>
        <w:t>H</w:t>
      </w:r>
      <w:r w:rsidR="005228E2" w:rsidRPr="00EE71D7">
        <w:rPr>
          <w:lang w:val="en-GB"/>
        </w:rPr>
        <w:t xml:space="preserve">ospital </w:t>
      </w:r>
      <w:r w:rsidR="005228E2">
        <w:rPr>
          <w:lang w:val="en-GB"/>
        </w:rPr>
        <w:t>facilities</w:t>
      </w:r>
      <w:r w:rsidR="005228E2" w:rsidRPr="00E678AB">
        <w:rPr>
          <w:lang w:val="en-GB"/>
        </w:rPr>
        <w:t xml:space="preserve"> </w:t>
      </w:r>
      <w:r w:rsidR="009D77B2" w:rsidRPr="00E678AB">
        <w:rPr>
          <w:lang w:val="en-GB"/>
        </w:rPr>
        <w:t>varied across income group except for the presence of ultrasound and pathology services. Elective procedures were similar across all income groups, except for liver surgery (Appendix</w:t>
      </w:r>
      <w:r w:rsidR="006701A9">
        <w:rPr>
          <w:lang w:val="en-GB"/>
        </w:rPr>
        <w:t xml:space="preserve"> 3</w:t>
      </w:r>
      <w:r w:rsidR="009D77B2" w:rsidRPr="00E678AB">
        <w:rPr>
          <w:lang w:val="en-GB"/>
        </w:rPr>
        <w:t xml:space="preserve">). </w:t>
      </w:r>
    </w:p>
    <w:p w14:paraId="6B25C23D" w14:textId="39791DBB" w:rsidR="00CF7BC4" w:rsidRPr="00E678AB" w:rsidRDefault="009D77B2">
      <w:pPr>
        <w:pStyle w:val="FirstParagraph"/>
        <w:rPr>
          <w:lang w:val="en-GB"/>
        </w:rPr>
      </w:pPr>
      <w:r w:rsidRPr="00E678AB">
        <w:rPr>
          <w:lang w:val="en-GB"/>
        </w:rPr>
        <w:t xml:space="preserve">A stepwise increase in all </w:t>
      </w:r>
      <w:r w:rsidR="005228E2" w:rsidRPr="00EE71D7">
        <w:rPr>
          <w:lang w:val="en-GB"/>
        </w:rPr>
        <w:t xml:space="preserve">hospital </w:t>
      </w:r>
      <w:r w:rsidR="005228E2">
        <w:rPr>
          <w:lang w:val="en-GB"/>
        </w:rPr>
        <w:t>facilities</w:t>
      </w:r>
      <w:r w:rsidR="005228E2" w:rsidRPr="00E678AB">
        <w:rPr>
          <w:lang w:val="en-GB"/>
        </w:rPr>
        <w:t xml:space="preserve"> </w:t>
      </w:r>
      <w:r w:rsidRPr="00E678AB">
        <w:rPr>
          <w:lang w:val="en-GB"/>
        </w:rPr>
        <w:t xml:space="preserve">was seen as </w:t>
      </w:r>
      <w:r w:rsidRPr="005228E2">
        <w:rPr>
          <w:lang w:val="en-GB"/>
        </w:rPr>
        <w:t>the total number of</w:t>
      </w:r>
      <w:r w:rsidR="00867D70">
        <w:rPr>
          <w:lang w:val="en-GB"/>
        </w:rPr>
        <w:t xml:space="preserve"> available</w:t>
      </w:r>
      <w:r w:rsidRPr="005228E2">
        <w:rPr>
          <w:lang w:val="en-GB"/>
        </w:rPr>
        <w:t xml:space="preserve"> </w:t>
      </w:r>
      <w:r w:rsidR="005228E2">
        <w:rPr>
          <w:lang w:val="en-GB"/>
        </w:rPr>
        <w:t>facilities</w:t>
      </w:r>
      <w:r w:rsidRPr="00E678AB">
        <w:rPr>
          <w:lang w:val="en-GB"/>
        </w:rPr>
        <w:t xml:space="preserve"> within a hospital increased </w:t>
      </w:r>
      <w:r w:rsidR="00BE4E52" w:rsidRPr="00E678AB">
        <w:rPr>
          <w:lang w:val="en-GB"/>
        </w:rPr>
        <w:t>(Appendix</w:t>
      </w:r>
      <w:r w:rsidR="006701A9">
        <w:rPr>
          <w:lang w:val="en-GB"/>
        </w:rPr>
        <w:t xml:space="preserve"> 4</w:t>
      </w:r>
      <w:r w:rsidR="00BE4E52" w:rsidRPr="00E678AB">
        <w:rPr>
          <w:lang w:val="en-GB"/>
        </w:rPr>
        <w:t>)</w:t>
      </w:r>
      <w:r w:rsidRPr="00E678AB">
        <w:rPr>
          <w:lang w:val="en-GB"/>
        </w:rPr>
        <w:t xml:space="preserve">. Across all included cancers, unadjusted mortality rates reduced as overall </w:t>
      </w:r>
      <w:r w:rsidRPr="00D25E3F">
        <w:rPr>
          <w:lang w:val="en-GB"/>
        </w:rPr>
        <w:t>hospital facility count</w:t>
      </w:r>
      <w:r w:rsidRPr="00E678AB">
        <w:rPr>
          <w:lang w:val="en-GB"/>
        </w:rPr>
        <w:t xml:space="preserve"> increased (Figure 2).</w:t>
      </w:r>
      <w:r w:rsidR="00430E36">
        <w:rPr>
          <w:lang w:val="en-GB"/>
        </w:rPr>
        <w:t xml:space="preserve"> </w:t>
      </w:r>
      <w:r w:rsidR="00862857">
        <w:rPr>
          <w:lang w:val="en-GB"/>
        </w:rPr>
        <w:t>For</w:t>
      </w:r>
      <w:r w:rsidR="00104B05">
        <w:rPr>
          <w:lang w:val="en-GB"/>
        </w:rPr>
        <w:t xml:space="preserve"> hospitals where </w:t>
      </w:r>
      <w:r w:rsidR="00862857">
        <w:rPr>
          <w:lang w:val="en-GB"/>
        </w:rPr>
        <w:t>hospital-level data were not available, a</w:t>
      </w:r>
      <w:r w:rsidR="00430E36">
        <w:rPr>
          <w:lang w:val="en-GB"/>
        </w:rPr>
        <w:t>djusted mortality rates were found</w:t>
      </w:r>
      <w:r w:rsidR="00862857">
        <w:rPr>
          <w:lang w:val="en-GB"/>
        </w:rPr>
        <w:t xml:space="preserve"> to be similar across</w:t>
      </w:r>
      <w:r w:rsidR="007F4BB4">
        <w:rPr>
          <w:lang w:val="en-GB"/>
        </w:rPr>
        <w:t xml:space="preserve"> each</w:t>
      </w:r>
      <w:r w:rsidR="00430E36">
        <w:rPr>
          <w:lang w:val="en-GB"/>
        </w:rPr>
        <w:t xml:space="preserve"> income group</w:t>
      </w:r>
      <w:r w:rsidR="007F4BB4">
        <w:rPr>
          <w:lang w:val="en-GB"/>
        </w:rPr>
        <w:t xml:space="preserve"> (Appendix</w:t>
      </w:r>
      <w:r w:rsidR="006701A9">
        <w:rPr>
          <w:lang w:val="en-GB"/>
        </w:rPr>
        <w:t xml:space="preserve"> 5</w:t>
      </w:r>
      <w:r w:rsidR="007F4BB4">
        <w:rPr>
          <w:lang w:val="en-GB"/>
        </w:rPr>
        <w:t>)</w:t>
      </w:r>
      <w:r w:rsidR="00430E36">
        <w:rPr>
          <w:lang w:val="en-GB"/>
        </w:rPr>
        <w:t>.</w:t>
      </w:r>
    </w:p>
    <w:p w14:paraId="22999DB1" w14:textId="77777777" w:rsidR="00CF7BC4" w:rsidRPr="00E678AB" w:rsidRDefault="009D77B2">
      <w:pPr>
        <w:pStyle w:val="BodyText"/>
        <w:rPr>
          <w:lang w:val="en-GB"/>
        </w:rPr>
      </w:pPr>
      <w:r w:rsidRPr="00E678AB">
        <w:rPr>
          <w:b/>
          <w:lang w:val="en-GB"/>
        </w:rPr>
        <w:t>Hospital system characteristic selection</w:t>
      </w:r>
    </w:p>
    <w:p w14:paraId="7A4348C4" w14:textId="478E5F58" w:rsidR="00CF7BC4" w:rsidRPr="00E678AB" w:rsidRDefault="009D77B2">
      <w:pPr>
        <w:pStyle w:val="BodyText"/>
        <w:rPr>
          <w:lang w:val="en-GB"/>
        </w:rPr>
      </w:pPr>
      <w:r w:rsidRPr="00E678AB">
        <w:rPr>
          <w:lang w:val="en-GB"/>
        </w:rPr>
        <w:t xml:space="preserve">Five hospital </w:t>
      </w:r>
      <w:r w:rsidR="00967951">
        <w:rPr>
          <w:lang w:val="en-GB"/>
        </w:rPr>
        <w:t>facilities</w:t>
      </w:r>
      <w:r w:rsidRPr="00E678AB">
        <w:rPr>
          <w:lang w:val="en-GB"/>
        </w:rPr>
        <w:t xml:space="preserve"> </w:t>
      </w:r>
      <w:r w:rsidR="002E75D7" w:rsidRPr="00E678AB">
        <w:rPr>
          <w:lang w:val="en-GB"/>
        </w:rPr>
        <w:t xml:space="preserve">were </w:t>
      </w:r>
      <w:r w:rsidRPr="00E678AB">
        <w:rPr>
          <w:lang w:val="en-GB"/>
        </w:rPr>
        <w:t>strong</w:t>
      </w:r>
      <w:r w:rsidR="002E75D7" w:rsidRPr="00E678AB">
        <w:rPr>
          <w:lang w:val="en-GB"/>
        </w:rPr>
        <w:t>ly</w:t>
      </w:r>
      <w:r w:rsidRPr="00E678AB">
        <w:rPr>
          <w:lang w:val="en-GB"/>
        </w:rPr>
        <w:t xml:space="preserve"> associat</w:t>
      </w:r>
      <w:r w:rsidR="002E75D7" w:rsidRPr="00E678AB">
        <w:rPr>
          <w:lang w:val="en-GB"/>
        </w:rPr>
        <w:t>ed</w:t>
      </w:r>
      <w:r w:rsidRPr="00E678AB">
        <w:rPr>
          <w:lang w:val="en-GB"/>
        </w:rPr>
        <w:t xml:space="preserve"> with 30-day mortality and covered a broad range of </w:t>
      </w:r>
      <w:r w:rsidR="009C53E2">
        <w:rPr>
          <w:lang w:val="en-GB"/>
        </w:rPr>
        <w:t xml:space="preserve">resources </w:t>
      </w:r>
      <w:r w:rsidRPr="00E678AB">
        <w:rPr>
          <w:lang w:val="en-GB"/>
        </w:rPr>
        <w:t>within the Donabedian framework of Structure</w:t>
      </w:r>
      <w:r w:rsidR="002E75D7" w:rsidRPr="00E678AB">
        <w:rPr>
          <w:lang w:val="en-GB"/>
        </w:rPr>
        <w:t xml:space="preserve"> and</w:t>
      </w:r>
      <w:r w:rsidRPr="00E678AB">
        <w:rPr>
          <w:lang w:val="en-GB"/>
        </w:rPr>
        <w:t xml:space="preserve"> Process</w:t>
      </w:r>
      <w:r w:rsidR="00881E8D">
        <w:rPr>
          <w:lang w:val="en-GB"/>
        </w:rPr>
        <w:fldChar w:fldCharType="begin"/>
      </w:r>
      <w:r w:rsidR="00F3627B">
        <w:rPr>
          <w:lang w:val="en-GB"/>
        </w:rPr>
        <w:instrText xml:space="preserve"> ADDIN ZOTERO_ITEM CSL_CITATION {"citationID":"8mEdRB8A","properties":{"formattedCitation":"\\super 33\\nosupersub{}","plainCitation":"33","noteIndex":0},"citationItems":[{"id":5533,"uris":["http://zotero.org/users/4732780/items/QTMAGYNZ"],"uri":["http://zotero.org/users/4732780/items/QTMAGYNZ"],"itemData":{"id":5533,"type":"article-journal","abstract":"Before assessment can begin we must decide how quality is to be defined and that depends on whether one assesses only the performance of practitioners or also the contributions of patients and of the health care system; on how broadly health and responsibility for health are defined; on whether the maximally effective or optimally effective care is sought; and on whether individual or social preferences define the optimum. We also need detailed information about the causal linkages among the structural attributes of the settings in which care occurs, the processes of care, and the outcomes of care. Specifying the components or outcomes of care to be sampled, formulating the appropriate criteria and standards, and obtaining the necessary information are the steps that follow. Though we know much about assessing quality, much remains to be known.","container-title":"JAMA","DOI":"10.1001/jama.260.12.1743","ISSN":"0098-7484","issue":"12","journalAbbreviation":"JAMA","language":"eng","note":"PMID: 3045356","page":"1743-1748","source":"PubMed","title":"The quality of care. How can it be assessed?","volume":"260","author":[{"family":"Donabedian","given":"A."}],"issued":{"date-parts":[["1988",9,23]]}}}],"schema":"https://github.com/citation-style-language/schema/raw/master/csl-citation.json"} </w:instrText>
      </w:r>
      <w:r w:rsidR="00881E8D">
        <w:rPr>
          <w:lang w:val="en-GB"/>
        </w:rPr>
        <w:fldChar w:fldCharType="separate"/>
      </w:r>
      <w:r w:rsidR="00F3627B" w:rsidRPr="00F3627B">
        <w:rPr>
          <w:rFonts w:ascii="Cambria" w:cs="Times New Roman"/>
          <w:vertAlign w:val="superscript"/>
        </w:rPr>
        <w:t>33</w:t>
      </w:r>
      <w:r w:rsidR="00881E8D">
        <w:rPr>
          <w:lang w:val="en-GB"/>
        </w:rPr>
        <w:fldChar w:fldCharType="end"/>
      </w:r>
      <w:r w:rsidRPr="00E678AB">
        <w:rPr>
          <w:lang w:val="en-GB"/>
        </w:rPr>
        <w:t xml:space="preserve"> (Imaging: Ultrasound and CT scanner; Provider: Oncologist; Supplies: Opioid analgesia; Process: HDU/ITU; Appendix</w:t>
      </w:r>
      <w:r w:rsidR="006701A9">
        <w:rPr>
          <w:lang w:val="en-GB"/>
        </w:rPr>
        <w:t xml:space="preserve"> 6</w:t>
      </w:r>
      <w:r w:rsidRPr="00E678AB">
        <w:rPr>
          <w:lang w:val="en-GB"/>
        </w:rPr>
        <w:t xml:space="preserve">). The same </w:t>
      </w:r>
      <w:r w:rsidR="000536B5">
        <w:rPr>
          <w:lang w:val="en-GB"/>
        </w:rPr>
        <w:t>f</w:t>
      </w:r>
      <w:r w:rsidR="006F0E9A">
        <w:rPr>
          <w:lang w:val="en-GB"/>
        </w:rPr>
        <w:t xml:space="preserve">ive facilities </w:t>
      </w:r>
      <w:r w:rsidRPr="00E678AB">
        <w:rPr>
          <w:lang w:val="en-GB"/>
        </w:rPr>
        <w:t>were identified in a sensitivity analysis (Appendix</w:t>
      </w:r>
      <w:r w:rsidR="006701A9">
        <w:rPr>
          <w:lang w:val="en-GB"/>
        </w:rPr>
        <w:t xml:space="preserve"> 7</w:t>
      </w:r>
      <w:r w:rsidRPr="00E678AB">
        <w:rPr>
          <w:lang w:val="en-GB"/>
        </w:rPr>
        <w:t xml:space="preserve">). Of the 238 hospitals included, 47% (n=113) had all </w:t>
      </w:r>
      <w:r w:rsidRPr="00967951">
        <w:rPr>
          <w:lang w:val="en-GB"/>
        </w:rPr>
        <w:t>five</w:t>
      </w:r>
      <w:r w:rsidR="00967951" w:rsidRPr="00967951">
        <w:rPr>
          <w:lang w:val="en-GB"/>
        </w:rPr>
        <w:t xml:space="preserve"> </w:t>
      </w:r>
      <w:r w:rsidR="00967951" w:rsidRPr="00EE71D7">
        <w:rPr>
          <w:lang w:val="en-GB"/>
        </w:rPr>
        <w:t xml:space="preserve">hospital </w:t>
      </w:r>
      <w:r w:rsidR="00967951">
        <w:rPr>
          <w:lang w:val="en-GB"/>
        </w:rPr>
        <w:t>facilities</w:t>
      </w:r>
      <w:r w:rsidR="00967951" w:rsidRPr="00E678AB">
        <w:rPr>
          <w:lang w:val="en-GB"/>
        </w:rPr>
        <w:t xml:space="preserve"> </w:t>
      </w:r>
      <w:r w:rsidRPr="00E678AB">
        <w:rPr>
          <w:lang w:val="en-GB"/>
        </w:rPr>
        <w:t xml:space="preserve">present (Figure 3). </w:t>
      </w:r>
      <w:r w:rsidR="00967951">
        <w:rPr>
          <w:lang w:val="en-GB"/>
        </w:rPr>
        <w:t>The number of</w:t>
      </w:r>
      <w:r w:rsidR="00714379">
        <w:rPr>
          <w:lang w:val="en-GB"/>
        </w:rPr>
        <w:t xml:space="preserve"> available</w:t>
      </w:r>
      <w:r w:rsidR="00967951">
        <w:rPr>
          <w:lang w:val="en-GB"/>
        </w:rPr>
        <w:t xml:space="preserve"> </w:t>
      </w:r>
      <w:r w:rsidR="00967951" w:rsidRPr="00EE71D7">
        <w:rPr>
          <w:lang w:val="en-GB"/>
        </w:rPr>
        <w:t xml:space="preserve">hospital </w:t>
      </w:r>
      <w:r w:rsidR="00967951">
        <w:rPr>
          <w:lang w:val="en-GB"/>
        </w:rPr>
        <w:t>facilities</w:t>
      </w:r>
      <w:r w:rsidR="00182A9B" w:rsidRPr="00E678AB">
        <w:rPr>
          <w:lang w:val="en-GB"/>
        </w:rPr>
        <w:t xml:space="preserve"> </w:t>
      </w:r>
      <w:r w:rsidR="00881E8D">
        <w:rPr>
          <w:lang w:val="en-GB"/>
        </w:rPr>
        <w:t xml:space="preserve">declined with worsening </w:t>
      </w:r>
      <w:r w:rsidRPr="00E678AB">
        <w:rPr>
          <w:lang w:val="en-GB"/>
        </w:rPr>
        <w:t>Human Development Index (HDI)</w:t>
      </w:r>
      <w:r w:rsidR="009F1358">
        <w:rPr>
          <w:lang w:val="en-GB"/>
        </w:rPr>
        <w:t xml:space="preserve">, particularly </w:t>
      </w:r>
      <w:r w:rsidR="0042616F">
        <w:rPr>
          <w:lang w:val="en-GB"/>
        </w:rPr>
        <w:t>in countries with a HDI rank above</w:t>
      </w:r>
      <w:r w:rsidRPr="00E678AB">
        <w:rPr>
          <w:lang w:val="en-GB"/>
        </w:rPr>
        <w:t xml:space="preserve"> 150 (Figure 3C).</w:t>
      </w:r>
    </w:p>
    <w:p w14:paraId="024B939F" w14:textId="63321EC4" w:rsidR="00CF7BC4" w:rsidRDefault="009D77B2">
      <w:pPr>
        <w:pStyle w:val="BodyText"/>
        <w:rPr>
          <w:lang w:val="en-GB"/>
        </w:rPr>
      </w:pPr>
      <w:r w:rsidRPr="00E678AB">
        <w:rPr>
          <w:lang w:val="en-GB"/>
        </w:rPr>
        <w:t>Following categorisation by patient distribution</w:t>
      </w:r>
      <w:r w:rsidRPr="00CF10C9">
        <w:rPr>
          <w:lang w:val="en-GB"/>
        </w:rPr>
        <w:t xml:space="preserve">, three </w:t>
      </w:r>
      <w:r w:rsidR="00182A9B" w:rsidRPr="00CF10C9">
        <w:rPr>
          <w:lang w:val="en-GB"/>
        </w:rPr>
        <w:t xml:space="preserve">hospital </w:t>
      </w:r>
      <w:r w:rsidR="00CF10C9">
        <w:rPr>
          <w:lang w:val="en-GB"/>
        </w:rPr>
        <w:t>facility levels</w:t>
      </w:r>
      <w:r w:rsidRPr="00E678AB">
        <w:rPr>
          <w:lang w:val="en-GB"/>
        </w:rPr>
        <w:t xml:space="preserve"> were identified (five </w:t>
      </w:r>
      <w:r w:rsidR="006311B5">
        <w:rPr>
          <w:lang w:val="en-GB"/>
        </w:rPr>
        <w:t>facilities</w:t>
      </w:r>
      <w:r w:rsidRPr="00E678AB">
        <w:rPr>
          <w:lang w:val="en-GB"/>
        </w:rPr>
        <w:t xml:space="preserve">, 113 hospitals; four </w:t>
      </w:r>
      <w:r w:rsidR="00CF10C9">
        <w:rPr>
          <w:lang w:val="en-GB"/>
        </w:rPr>
        <w:t>facilities</w:t>
      </w:r>
      <w:r w:rsidRPr="00E678AB">
        <w:rPr>
          <w:lang w:val="en-GB"/>
        </w:rPr>
        <w:t>, 6</w:t>
      </w:r>
      <w:r w:rsidR="00702743">
        <w:rPr>
          <w:lang w:val="en-GB"/>
        </w:rPr>
        <w:t>3</w:t>
      </w:r>
      <w:r w:rsidRPr="00E678AB">
        <w:rPr>
          <w:lang w:val="en-GB"/>
        </w:rPr>
        <w:t xml:space="preserve"> hospitals; </w:t>
      </w:r>
      <w:r w:rsidRPr="006311B5">
        <w:rPr>
          <w:lang w:val="en-GB"/>
        </w:rPr>
        <w:t xml:space="preserve">three or less </w:t>
      </w:r>
      <w:r w:rsidR="00CF10C9" w:rsidRPr="006311B5">
        <w:rPr>
          <w:lang w:val="en-GB"/>
        </w:rPr>
        <w:t>facilities</w:t>
      </w:r>
      <w:r w:rsidR="00CF10C9">
        <w:rPr>
          <w:lang w:val="en-GB"/>
        </w:rPr>
        <w:t xml:space="preserve"> available</w:t>
      </w:r>
      <w:r w:rsidRPr="00E678AB">
        <w:rPr>
          <w:lang w:val="en-GB"/>
        </w:rPr>
        <w:t xml:space="preserve">, 62 hospitals) Patient </w:t>
      </w:r>
      <w:r w:rsidR="00182A9B" w:rsidRPr="00E678AB">
        <w:rPr>
          <w:lang w:val="en-GB"/>
        </w:rPr>
        <w:t xml:space="preserve">distribution </w:t>
      </w:r>
      <w:r w:rsidRPr="00E678AB">
        <w:rPr>
          <w:lang w:val="en-GB"/>
        </w:rPr>
        <w:t>across the</w:t>
      </w:r>
      <w:r w:rsidR="00153E8D">
        <w:rPr>
          <w:lang w:val="en-GB"/>
        </w:rPr>
        <w:t xml:space="preserve"> three hospital facility levels</w:t>
      </w:r>
      <w:r w:rsidR="00182A9B" w:rsidRPr="00E678AB">
        <w:rPr>
          <w:lang w:val="en-GB"/>
        </w:rPr>
        <w:t xml:space="preserve"> </w:t>
      </w:r>
      <w:r w:rsidRPr="00E678AB">
        <w:rPr>
          <w:lang w:val="en-GB"/>
        </w:rPr>
        <w:t xml:space="preserve">is shown in Table 2. Patients at hospitals </w:t>
      </w:r>
      <w:r w:rsidRPr="00687199">
        <w:rPr>
          <w:lang w:val="en-GB"/>
        </w:rPr>
        <w:t xml:space="preserve">with </w:t>
      </w:r>
      <w:r w:rsidRPr="00196FFD">
        <w:rPr>
          <w:lang w:val="en-GB"/>
        </w:rPr>
        <w:t xml:space="preserve">three or less </w:t>
      </w:r>
      <w:r w:rsidR="00196FFD" w:rsidRPr="00196FFD">
        <w:rPr>
          <w:lang w:val="en-GB"/>
        </w:rPr>
        <w:t>f</w:t>
      </w:r>
      <w:r w:rsidR="00196FFD">
        <w:rPr>
          <w:lang w:val="en-GB"/>
        </w:rPr>
        <w:t>acilities</w:t>
      </w:r>
      <w:r w:rsidR="00B979C3" w:rsidRPr="00E678AB">
        <w:rPr>
          <w:lang w:val="en-GB"/>
        </w:rPr>
        <w:t xml:space="preserve"> </w:t>
      </w:r>
      <w:r w:rsidRPr="00E678AB">
        <w:rPr>
          <w:lang w:val="en-GB"/>
        </w:rPr>
        <w:t xml:space="preserve">were more likely to be from </w:t>
      </w:r>
      <w:proofErr w:type="gramStart"/>
      <w:r w:rsidRPr="00E678AB">
        <w:rPr>
          <w:lang w:val="en-GB"/>
        </w:rPr>
        <w:t>low income</w:t>
      </w:r>
      <w:proofErr w:type="gramEnd"/>
      <w:r w:rsidRPr="00E678AB">
        <w:rPr>
          <w:lang w:val="en-GB"/>
        </w:rPr>
        <w:t xml:space="preserve"> settings and </w:t>
      </w:r>
      <w:r w:rsidR="002B1DA2">
        <w:rPr>
          <w:lang w:val="en-GB"/>
        </w:rPr>
        <w:t>present with</w:t>
      </w:r>
      <w:r w:rsidRPr="00E678AB">
        <w:rPr>
          <w:lang w:val="en-GB"/>
        </w:rPr>
        <w:t xml:space="preserve"> colorectal or gastric cancer.</w:t>
      </w:r>
      <w:r w:rsidR="004D3864">
        <w:rPr>
          <w:lang w:val="en-GB"/>
        </w:rPr>
        <w:t xml:space="preserve"> Also,</w:t>
      </w:r>
      <w:r w:rsidR="009E228F">
        <w:rPr>
          <w:lang w:val="en-GB"/>
        </w:rPr>
        <w:t xml:space="preserve"> these</w:t>
      </w:r>
      <w:r w:rsidR="004D3864">
        <w:rPr>
          <w:lang w:val="en-GB"/>
        </w:rPr>
        <w:t xml:space="preserve"> p</w:t>
      </w:r>
      <w:r w:rsidRPr="00E678AB">
        <w:rPr>
          <w:lang w:val="en-GB"/>
        </w:rPr>
        <w:t>atients</w:t>
      </w:r>
      <w:r w:rsidR="004D3864">
        <w:rPr>
          <w:lang w:val="en-GB"/>
        </w:rPr>
        <w:t xml:space="preserve"> </w:t>
      </w:r>
      <w:r w:rsidRPr="00E678AB">
        <w:rPr>
          <w:lang w:val="en-GB"/>
        </w:rPr>
        <w:t>had poorer performance status, advanced disease and were more likely to require an emergency operation.</w:t>
      </w:r>
    </w:p>
    <w:p w14:paraId="3CA90B81" w14:textId="3BF68A86" w:rsidR="00C97FB6" w:rsidRDefault="00B778A8">
      <w:pPr>
        <w:pStyle w:val="BodyText"/>
        <w:rPr>
          <w:lang w:val="en-GB"/>
        </w:rPr>
      </w:pPr>
      <w:r>
        <w:rPr>
          <w:lang w:val="en-GB"/>
        </w:rPr>
        <w:t>H</w:t>
      </w:r>
      <w:r w:rsidR="00C97FB6">
        <w:rPr>
          <w:lang w:val="en-GB"/>
        </w:rPr>
        <w:t xml:space="preserve">ospitals with </w:t>
      </w:r>
      <w:r w:rsidR="00C97FB6" w:rsidRPr="00196FFD">
        <w:rPr>
          <w:lang w:val="en-GB"/>
        </w:rPr>
        <w:t xml:space="preserve">three or </w:t>
      </w:r>
      <w:r w:rsidR="00352886" w:rsidRPr="00196FFD">
        <w:rPr>
          <w:lang w:val="en-GB"/>
        </w:rPr>
        <w:t>fewer</w:t>
      </w:r>
      <w:r w:rsidR="00C97FB6" w:rsidRPr="00196FFD">
        <w:rPr>
          <w:lang w:val="en-GB"/>
        </w:rPr>
        <w:t xml:space="preserve"> </w:t>
      </w:r>
      <w:r w:rsidR="00196FFD" w:rsidRPr="00196FFD">
        <w:rPr>
          <w:lang w:val="en-GB"/>
        </w:rPr>
        <w:t>facilities</w:t>
      </w:r>
      <w:r w:rsidR="005A7059">
        <w:rPr>
          <w:lang w:val="en-GB"/>
        </w:rPr>
        <w:t xml:space="preserve"> </w:t>
      </w:r>
      <w:r w:rsidR="005A7059" w:rsidRPr="008C141A">
        <w:rPr>
          <w:lang w:val="en-GB"/>
        </w:rPr>
        <w:t>were less</w:t>
      </w:r>
      <w:r w:rsidR="005A7059">
        <w:rPr>
          <w:lang w:val="en-GB"/>
        </w:rPr>
        <w:t xml:space="preserve"> likely to</w:t>
      </w:r>
      <w:r>
        <w:rPr>
          <w:lang w:val="en-GB"/>
        </w:rPr>
        <w:t xml:space="preserve"> use the surgical safety checklist</w:t>
      </w:r>
      <w:r w:rsidR="00422757">
        <w:rPr>
          <w:lang w:val="en-GB"/>
        </w:rPr>
        <w:t xml:space="preserve"> (73.6</w:t>
      </w:r>
      <w:r w:rsidR="00985FCA">
        <w:rPr>
          <w:lang w:val="en-GB"/>
        </w:rPr>
        <w:t xml:space="preserve"> vs. 83.7%</w:t>
      </w:r>
      <w:r w:rsidR="00422757">
        <w:rPr>
          <w:lang w:val="en-GB"/>
        </w:rPr>
        <w:t>; P &lt; 0.001)</w:t>
      </w:r>
      <w:r>
        <w:rPr>
          <w:lang w:val="en-GB"/>
        </w:rPr>
        <w:t xml:space="preserve">, </w:t>
      </w:r>
      <w:r w:rsidR="00326246">
        <w:rPr>
          <w:lang w:val="en-GB"/>
        </w:rPr>
        <w:t>achieve a negative resection margin</w:t>
      </w:r>
      <w:r w:rsidR="0012449C">
        <w:rPr>
          <w:lang w:val="en-GB"/>
        </w:rPr>
        <w:t xml:space="preserve"> </w:t>
      </w:r>
      <w:r w:rsidR="0021185F">
        <w:rPr>
          <w:lang w:val="en-GB"/>
        </w:rPr>
        <w:t>(</w:t>
      </w:r>
      <w:r w:rsidR="00326246">
        <w:rPr>
          <w:lang w:val="en-GB"/>
        </w:rPr>
        <w:t>87</w:t>
      </w:r>
      <w:r w:rsidR="0021185F">
        <w:rPr>
          <w:lang w:val="en-GB"/>
        </w:rPr>
        <w:t>.5</w:t>
      </w:r>
      <w:r w:rsidR="00985FCA">
        <w:rPr>
          <w:lang w:val="en-GB"/>
        </w:rPr>
        <w:t xml:space="preserve"> vs. 90.8</w:t>
      </w:r>
      <w:r w:rsidR="0021185F">
        <w:rPr>
          <w:lang w:val="en-GB"/>
        </w:rPr>
        <w:t>; P = 0.00</w:t>
      </w:r>
      <w:r w:rsidR="00427634">
        <w:rPr>
          <w:lang w:val="en-GB"/>
        </w:rPr>
        <w:t>1</w:t>
      </w:r>
      <w:r w:rsidR="0021185F">
        <w:rPr>
          <w:lang w:val="en-GB"/>
        </w:rPr>
        <w:t>),</w:t>
      </w:r>
      <w:r w:rsidR="00422757">
        <w:rPr>
          <w:lang w:val="en-GB"/>
        </w:rPr>
        <w:t xml:space="preserve"> </w:t>
      </w:r>
      <w:r>
        <w:rPr>
          <w:lang w:val="en-GB"/>
        </w:rPr>
        <w:t xml:space="preserve">review patients </w:t>
      </w:r>
      <w:r w:rsidR="005A7059">
        <w:rPr>
          <w:lang w:val="en-GB"/>
        </w:rPr>
        <w:t>in clinic</w:t>
      </w:r>
      <w:r>
        <w:rPr>
          <w:lang w:val="en-GB"/>
        </w:rPr>
        <w:t xml:space="preserve"> after discharge</w:t>
      </w:r>
      <w:r w:rsidR="00422757">
        <w:rPr>
          <w:lang w:val="en-GB"/>
        </w:rPr>
        <w:t xml:space="preserve"> (45.</w:t>
      </w:r>
      <w:r w:rsidR="00FE10BC">
        <w:rPr>
          <w:lang w:val="en-GB"/>
        </w:rPr>
        <w:t>6</w:t>
      </w:r>
      <w:r w:rsidR="000478B0">
        <w:rPr>
          <w:lang w:val="en-GB"/>
        </w:rPr>
        <w:t xml:space="preserve"> vs. 75.9</w:t>
      </w:r>
      <w:r w:rsidR="00422757">
        <w:rPr>
          <w:lang w:val="en-GB"/>
        </w:rPr>
        <w:t>%; P &lt; 0.001)</w:t>
      </w:r>
      <w:r w:rsidR="005A7059">
        <w:rPr>
          <w:lang w:val="en-GB"/>
        </w:rPr>
        <w:t>, and had longer in-patient stays (</w:t>
      </w:r>
      <w:r w:rsidR="001F0C45">
        <w:rPr>
          <w:lang w:val="en-GB"/>
        </w:rPr>
        <w:t xml:space="preserve">5 days [IQR 3-9] </w:t>
      </w:r>
      <w:r w:rsidR="00F5638C">
        <w:rPr>
          <w:lang w:val="en-GB"/>
        </w:rPr>
        <w:t xml:space="preserve">vs. </w:t>
      </w:r>
      <w:r w:rsidR="001F0C45">
        <w:rPr>
          <w:lang w:val="en-GB"/>
        </w:rPr>
        <w:t xml:space="preserve">3 [1-7]; </w:t>
      </w:r>
      <w:r w:rsidR="005A7059">
        <w:rPr>
          <w:lang w:val="en-GB"/>
        </w:rPr>
        <w:t xml:space="preserve">P </w:t>
      </w:r>
      <w:r w:rsidR="00F57578">
        <w:rPr>
          <w:lang w:val="en-GB"/>
        </w:rPr>
        <w:t>&lt;</w:t>
      </w:r>
      <w:r w:rsidR="005A7059">
        <w:rPr>
          <w:lang w:val="en-GB"/>
        </w:rPr>
        <w:t xml:space="preserve"> 0.001),</w:t>
      </w:r>
      <w:r w:rsidR="00422757">
        <w:rPr>
          <w:lang w:val="en-GB"/>
        </w:rPr>
        <w:t xml:space="preserve"> compared to hospitals with </w:t>
      </w:r>
      <w:r w:rsidR="00422757" w:rsidRPr="00196FFD">
        <w:rPr>
          <w:lang w:val="en-GB"/>
        </w:rPr>
        <w:t xml:space="preserve">more </w:t>
      </w:r>
      <w:r w:rsidR="00196FFD">
        <w:rPr>
          <w:lang w:val="en-GB"/>
        </w:rPr>
        <w:t>facilities available</w:t>
      </w:r>
      <w:r w:rsidR="00C97FB6">
        <w:rPr>
          <w:lang w:val="en-GB"/>
        </w:rPr>
        <w:t xml:space="preserve"> </w:t>
      </w:r>
      <w:r w:rsidR="006242E2">
        <w:rPr>
          <w:lang w:val="en-GB"/>
        </w:rPr>
        <w:t>(Appendix</w:t>
      </w:r>
      <w:r w:rsidR="006701A9">
        <w:rPr>
          <w:lang w:val="en-GB"/>
        </w:rPr>
        <w:t xml:space="preserve"> </w:t>
      </w:r>
      <w:r w:rsidR="00D37CC3">
        <w:rPr>
          <w:lang w:val="en-GB"/>
        </w:rPr>
        <w:t>8</w:t>
      </w:r>
      <w:r w:rsidR="006242E2">
        <w:rPr>
          <w:lang w:val="en-GB"/>
        </w:rPr>
        <w:t>).</w:t>
      </w:r>
      <w:r w:rsidR="008A504B">
        <w:rPr>
          <w:lang w:val="en-GB"/>
        </w:rPr>
        <w:t xml:space="preserve"> </w:t>
      </w:r>
      <w:r w:rsidR="007B55D9">
        <w:rPr>
          <w:lang w:val="en-GB"/>
        </w:rPr>
        <w:t>The availability of surgical treatment for common cancer</w:t>
      </w:r>
      <w:r w:rsidR="00CE2A76">
        <w:rPr>
          <w:lang w:val="en-GB"/>
        </w:rPr>
        <w:t xml:space="preserve"> types</w:t>
      </w:r>
      <w:r w:rsidR="007B55D9">
        <w:rPr>
          <w:lang w:val="en-GB"/>
        </w:rPr>
        <w:t xml:space="preserve"> was also reduced in these hospitals (Appendix 9).</w:t>
      </w:r>
    </w:p>
    <w:p w14:paraId="286AFD86" w14:textId="74B1A9A6" w:rsidR="00CF7BC4" w:rsidRPr="00E678AB" w:rsidRDefault="009D77B2">
      <w:pPr>
        <w:pStyle w:val="BodyText"/>
        <w:rPr>
          <w:lang w:val="en-GB"/>
        </w:rPr>
      </w:pPr>
      <w:r w:rsidRPr="00E678AB">
        <w:rPr>
          <w:b/>
          <w:lang w:val="en-GB"/>
        </w:rPr>
        <w:t>Multilevel Logistic Regression Mode</w:t>
      </w:r>
      <w:r w:rsidR="00E94B03">
        <w:rPr>
          <w:b/>
          <w:lang w:val="en-GB"/>
        </w:rPr>
        <w:t>l</w:t>
      </w:r>
      <w:r w:rsidRPr="00E678AB">
        <w:rPr>
          <w:b/>
          <w:lang w:val="en-GB"/>
        </w:rPr>
        <w:t>ling</w:t>
      </w:r>
    </w:p>
    <w:p w14:paraId="2B8CD174" w14:textId="6B408E68" w:rsidR="00CF7BC4" w:rsidRPr="00E678AB" w:rsidRDefault="009D77B2">
      <w:pPr>
        <w:pStyle w:val="BodyText"/>
        <w:rPr>
          <w:lang w:val="en-GB"/>
        </w:rPr>
      </w:pPr>
      <w:r w:rsidRPr="00E678AB">
        <w:rPr>
          <w:lang w:val="en-GB"/>
        </w:rPr>
        <w:t xml:space="preserve">After adjusting for patient and disease factors, mortality rates were higher in hospitals </w:t>
      </w:r>
      <w:r w:rsidRPr="00196FFD">
        <w:rPr>
          <w:lang w:val="en-GB"/>
        </w:rPr>
        <w:t xml:space="preserve">with three or less </w:t>
      </w:r>
      <w:r w:rsidR="00E94B03" w:rsidRPr="00196FFD">
        <w:rPr>
          <w:lang w:val="en-GB"/>
        </w:rPr>
        <w:t>facilit</w:t>
      </w:r>
      <w:r w:rsidR="00196FFD" w:rsidRPr="00196FFD">
        <w:rPr>
          <w:lang w:val="en-GB"/>
        </w:rPr>
        <w:t>ies</w:t>
      </w:r>
      <w:r w:rsidR="00196FFD">
        <w:rPr>
          <w:lang w:val="en-GB"/>
        </w:rPr>
        <w:t xml:space="preserve"> </w:t>
      </w:r>
      <w:r w:rsidRPr="00687199">
        <w:rPr>
          <w:lang w:val="en-GB"/>
        </w:rPr>
        <w:t>across</w:t>
      </w:r>
      <w:r w:rsidRPr="00E678AB">
        <w:rPr>
          <w:lang w:val="en-GB"/>
        </w:rPr>
        <w:t xml:space="preserve"> all cancers (3.7 vs. 1%, OR 3.85, 2.58-5.75; P&lt;0.001; Table 3). No difference in adjusted mortality rates were seen in hospitals with </w:t>
      </w:r>
      <w:r w:rsidRPr="00DE6969">
        <w:rPr>
          <w:lang w:val="en-GB"/>
        </w:rPr>
        <w:t>four</w:t>
      </w:r>
      <w:r w:rsidRPr="00687199">
        <w:rPr>
          <w:lang w:val="en-GB"/>
        </w:rPr>
        <w:t xml:space="preserve"> </w:t>
      </w:r>
      <w:r w:rsidR="00DE6969">
        <w:rPr>
          <w:lang w:val="en-GB"/>
        </w:rPr>
        <w:t>facilities</w:t>
      </w:r>
      <w:r w:rsidR="00196FFD">
        <w:rPr>
          <w:lang w:val="en-GB"/>
        </w:rPr>
        <w:t xml:space="preserve"> available</w:t>
      </w:r>
      <w:r w:rsidR="00182A9B" w:rsidRPr="00687199">
        <w:rPr>
          <w:lang w:val="en-GB"/>
        </w:rPr>
        <w:t xml:space="preserve"> compared to five</w:t>
      </w:r>
      <w:r w:rsidRPr="00687199">
        <w:rPr>
          <w:lang w:val="en-GB"/>
        </w:rPr>
        <w:t>.</w:t>
      </w:r>
      <w:r w:rsidRPr="00E678AB">
        <w:rPr>
          <w:lang w:val="en-GB"/>
        </w:rPr>
        <w:t xml:space="preserve"> Sub-analysis demonstrated a similar finding in colorectal and gastric cancer patients (6.9 vs 4.1%; OR 1.73, 1.18-2.52; P=0.006). Both effects were robust in sensitivity analysis (Appendix</w:t>
      </w:r>
      <w:r w:rsidR="00D37CC3">
        <w:rPr>
          <w:lang w:val="en-GB"/>
        </w:rPr>
        <w:t xml:space="preserve"> </w:t>
      </w:r>
      <w:r w:rsidR="0036205B">
        <w:rPr>
          <w:lang w:val="en-GB"/>
        </w:rPr>
        <w:t>10</w:t>
      </w:r>
      <w:r w:rsidRPr="00E678AB">
        <w:rPr>
          <w:lang w:val="en-GB"/>
        </w:rPr>
        <w:t>).</w:t>
      </w:r>
    </w:p>
    <w:p w14:paraId="544C1C77" w14:textId="029595A4" w:rsidR="00CF7BC4" w:rsidRPr="00E678AB" w:rsidRDefault="009D77B2">
      <w:pPr>
        <w:pStyle w:val="BodyText"/>
        <w:rPr>
          <w:lang w:val="en-GB"/>
        </w:rPr>
      </w:pPr>
      <w:r w:rsidRPr="00E678AB">
        <w:rPr>
          <w:lang w:val="en-GB"/>
        </w:rPr>
        <w:t xml:space="preserve">Adjusted major complication rates </w:t>
      </w:r>
      <w:r w:rsidR="00182A9B" w:rsidRPr="00E678AB">
        <w:rPr>
          <w:lang w:val="en-GB"/>
        </w:rPr>
        <w:t xml:space="preserve">for all three </w:t>
      </w:r>
      <w:r w:rsidR="00931EC0">
        <w:rPr>
          <w:lang w:val="en-GB"/>
        </w:rPr>
        <w:t>cancers</w:t>
      </w:r>
      <w:r w:rsidR="00182A9B" w:rsidRPr="00E678AB">
        <w:rPr>
          <w:lang w:val="en-GB"/>
        </w:rPr>
        <w:t xml:space="preserve"> </w:t>
      </w:r>
      <w:r w:rsidRPr="00E678AB">
        <w:rPr>
          <w:lang w:val="en-GB"/>
        </w:rPr>
        <w:t xml:space="preserve">were </w:t>
      </w:r>
      <w:r w:rsidR="00182A9B" w:rsidRPr="00E678AB">
        <w:rPr>
          <w:lang w:val="en-GB"/>
        </w:rPr>
        <w:t xml:space="preserve">higher </w:t>
      </w:r>
      <w:r w:rsidRPr="00E678AB">
        <w:rPr>
          <w:lang w:val="en-GB"/>
        </w:rPr>
        <w:t xml:space="preserve">in hospitals </w:t>
      </w:r>
      <w:r w:rsidRPr="00B7261F">
        <w:rPr>
          <w:lang w:val="en-GB"/>
        </w:rPr>
        <w:t xml:space="preserve">with three or less </w:t>
      </w:r>
      <w:r w:rsidR="00B7261F">
        <w:rPr>
          <w:lang w:val="en-GB"/>
        </w:rPr>
        <w:t>facilities</w:t>
      </w:r>
      <w:r w:rsidRPr="00E678AB">
        <w:rPr>
          <w:lang w:val="en-GB"/>
        </w:rPr>
        <w:t xml:space="preserve"> (11.4 vs 9.1%, OR 1.28, 1.05-1.57; P=0.017) but not in patients </w:t>
      </w:r>
      <w:r w:rsidR="00182A9B" w:rsidRPr="00E678AB">
        <w:rPr>
          <w:lang w:val="en-GB"/>
        </w:rPr>
        <w:t xml:space="preserve">following </w:t>
      </w:r>
      <w:r w:rsidRPr="00E678AB">
        <w:rPr>
          <w:lang w:val="en-GB"/>
        </w:rPr>
        <w:t xml:space="preserve">colorectal and gastric cancer </w:t>
      </w:r>
      <w:r w:rsidR="00182A9B" w:rsidRPr="00E678AB">
        <w:rPr>
          <w:lang w:val="en-GB"/>
        </w:rPr>
        <w:t xml:space="preserve">surgery </w:t>
      </w:r>
      <w:r w:rsidRPr="00E678AB">
        <w:rPr>
          <w:lang w:val="en-GB"/>
        </w:rPr>
        <w:t xml:space="preserve">(14.0 vs. 16.4%, P=0.14; Table 4). </w:t>
      </w:r>
      <w:r w:rsidR="00182A9B" w:rsidRPr="00E678AB">
        <w:rPr>
          <w:lang w:val="en-GB"/>
        </w:rPr>
        <w:t>However, if a</w:t>
      </w:r>
      <w:r w:rsidRPr="00E678AB">
        <w:rPr>
          <w:lang w:val="en-GB"/>
        </w:rPr>
        <w:t xml:space="preserve"> major complication</w:t>
      </w:r>
      <w:r w:rsidR="00182A9B" w:rsidRPr="00E678AB">
        <w:rPr>
          <w:lang w:val="en-GB"/>
        </w:rPr>
        <w:t xml:space="preserve"> occurred</w:t>
      </w:r>
      <w:r w:rsidRPr="00E678AB">
        <w:rPr>
          <w:lang w:val="en-GB"/>
        </w:rPr>
        <w:t xml:space="preserve">, the capacity to rescue patients was significantly </w:t>
      </w:r>
      <w:r w:rsidR="00A00B68">
        <w:rPr>
          <w:lang w:val="en-GB"/>
        </w:rPr>
        <w:t>lower</w:t>
      </w:r>
      <w:r w:rsidRPr="00E678AB">
        <w:rPr>
          <w:lang w:val="en-GB"/>
        </w:rPr>
        <w:t xml:space="preserve"> in </w:t>
      </w:r>
      <w:r w:rsidRPr="00B7261F">
        <w:rPr>
          <w:lang w:val="en-GB"/>
        </w:rPr>
        <w:t>hospitals with</w:t>
      </w:r>
      <w:r w:rsidR="00727981">
        <w:rPr>
          <w:lang w:val="en-GB"/>
        </w:rPr>
        <w:t xml:space="preserve"> a</w:t>
      </w:r>
      <w:r w:rsidR="00B7261F">
        <w:rPr>
          <w:lang w:val="en-GB"/>
        </w:rPr>
        <w:t xml:space="preserve"> reduced number of facilities</w:t>
      </w:r>
      <w:r w:rsidRPr="00E678AB">
        <w:rPr>
          <w:lang w:val="en-GB"/>
        </w:rPr>
        <w:t xml:space="preserve"> (</w:t>
      </w:r>
      <w:r w:rsidR="00182A9B" w:rsidRPr="00E678AB">
        <w:rPr>
          <w:lang w:val="en-GB"/>
        </w:rPr>
        <w:t xml:space="preserve">mortality = </w:t>
      </w:r>
      <w:r w:rsidRPr="00E678AB">
        <w:rPr>
          <w:lang w:val="en-GB"/>
        </w:rPr>
        <w:t>69.4 vs. 81.2%, OR 0.53, 0.34-0.8; P=0.005: Table 5). These effects persisted in sensitivity analysis (Appendix</w:t>
      </w:r>
      <w:r w:rsidR="00D37CC3">
        <w:rPr>
          <w:lang w:val="en-GB"/>
        </w:rPr>
        <w:t xml:space="preserve"> </w:t>
      </w:r>
      <w:r w:rsidR="0036205B">
        <w:rPr>
          <w:lang w:val="en-GB"/>
        </w:rPr>
        <w:t>10-13</w:t>
      </w:r>
      <w:r w:rsidRPr="00E678AB">
        <w:rPr>
          <w:lang w:val="en-GB"/>
        </w:rPr>
        <w:t>)</w:t>
      </w:r>
      <w:r w:rsidR="00F33196">
        <w:rPr>
          <w:lang w:val="en-GB"/>
        </w:rPr>
        <w:t>.</w:t>
      </w:r>
    </w:p>
    <w:p w14:paraId="06ECEC75" w14:textId="06AE17D1" w:rsidR="00CF7BC4" w:rsidRDefault="009D77B2">
      <w:pPr>
        <w:pStyle w:val="BodyText"/>
        <w:rPr>
          <w:lang w:val="en-GB"/>
        </w:rPr>
      </w:pPr>
      <w:r w:rsidRPr="00E678AB">
        <w:rPr>
          <w:lang w:val="en-GB"/>
        </w:rPr>
        <w:lastRenderedPageBreak/>
        <w:t xml:space="preserve">The absolute risk differences for 30-day mortality across </w:t>
      </w:r>
      <w:r w:rsidR="00035C73" w:rsidRPr="00727981">
        <w:rPr>
          <w:lang w:val="en-GB"/>
        </w:rPr>
        <w:t xml:space="preserve">hospital </w:t>
      </w:r>
      <w:r w:rsidR="00727981">
        <w:rPr>
          <w:lang w:val="en-GB"/>
        </w:rPr>
        <w:t>facility level</w:t>
      </w:r>
      <w:r w:rsidR="00182A9B" w:rsidRPr="00E678AB">
        <w:rPr>
          <w:lang w:val="en-GB"/>
        </w:rPr>
        <w:t xml:space="preserve"> </w:t>
      </w:r>
      <w:r w:rsidRPr="00E678AB">
        <w:rPr>
          <w:lang w:val="en-GB"/>
        </w:rPr>
        <w:t xml:space="preserve">were examined for common patient covariates in patients with colorectal and gastric cancer (Figure </w:t>
      </w:r>
      <w:r w:rsidR="008D79B8">
        <w:rPr>
          <w:lang w:val="en-GB"/>
        </w:rPr>
        <w:t>4</w:t>
      </w:r>
      <w:r w:rsidR="00122BEA">
        <w:rPr>
          <w:lang w:val="en-GB"/>
        </w:rPr>
        <w:t>, Appendix</w:t>
      </w:r>
      <w:r w:rsidR="008A504B">
        <w:rPr>
          <w:lang w:val="en-GB"/>
        </w:rPr>
        <w:t xml:space="preserve"> 1</w:t>
      </w:r>
      <w:r w:rsidR="003436BE">
        <w:rPr>
          <w:lang w:val="en-GB"/>
        </w:rPr>
        <w:t>4</w:t>
      </w:r>
      <w:r w:rsidRPr="00E678AB">
        <w:rPr>
          <w:lang w:val="en-GB"/>
        </w:rPr>
        <w:t xml:space="preserve">). The presence of four or more </w:t>
      </w:r>
      <w:r w:rsidRPr="00A37289">
        <w:rPr>
          <w:lang w:val="en-GB"/>
        </w:rPr>
        <w:t xml:space="preserve">hospital </w:t>
      </w:r>
      <w:r w:rsidR="00A37289">
        <w:rPr>
          <w:lang w:val="en-GB"/>
        </w:rPr>
        <w:t>facilities</w:t>
      </w:r>
      <w:r w:rsidRPr="00E678AB">
        <w:rPr>
          <w:lang w:val="en-GB"/>
        </w:rPr>
        <w:t xml:space="preserve"> were associated with fewer deaths in both the low-income and lower-middle-income group (two to three fewer deaths per 100 operations, number needed to treat 33-50), upper-middle-income group (one to two fewer deaths per 100 operations, number needed to treat 50-100) and high-income groups (one fewer death per 100 operations, number needed to treat 100).</w:t>
      </w:r>
      <w:r w:rsidR="008D036A">
        <w:rPr>
          <w:lang w:val="en-GB"/>
        </w:rPr>
        <w:t xml:space="preserve"> </w:t>
      </w:r>
      <w:r w:rsidR="004E2AB3" w:rsidRPr="00EF2CFA">
        <w:rPr>
          <w:lang w:val="en-GB"/>
        </w:rPr>
        <w:t>Absolute differences across the</w:t>
      </w:r>
      <w:r w:rsidR="00F43504">
        <w:rPr>
          <w:lang w:val="en-GB"/>
        </w:rPr>
        <w:t xml:space="preserve"> all</w:t>
      </w:r>
      <w:r w:rsidR="004E2AB3" w:rsidRPr="00EF2CFA">
        <w:rPr>
          <w:lang w:val="en-GB"/>
        </w:rPr>
        <w:t xml:space="preserve"> </w:t>
      </w:r>
      <w:r w:rsidR="004E2AB3" w:rsidRPr="00F43504">
        <w:rPr>
          <w:lang w:val="en-GB"/>
        </w:rPr>
        <w:t xml:space="preserve">three hospital </w:t>
      </w:r>
      <w:r w:rsidR="00F43504" w:rsidRPr="00F43504">
        <w:rPr>
          <w:lang w:val="en-GB"/>
        </w:rPr>
        <w:t>facility levels</w:t>
      </w:r>
      <w:r w:rsidR="004E2AB3" w:rsidRPr="00F43504">
        <w:rPr>
          <w:lang w:val="en-GB"/>
        </w:rPr>
        <w:t xml:space="preserve"> are shown in Appendi</w:t>
      </w:r>
      <w:r w:rsidR="003436BE" w:rsidRPr="00F43504">
        <w:rPr>
          <w:lang w:val="en-GB"/>
        </w:rPr>
        <w:t>ces 15 and 16</w:t>
      </w:r>
      <w:r w:rsidR="004E2AB3" w:rsidRPr="00F43504">
        <w:rPr>
          <w:lang w:val="en-GB"/>
        </w:rPr>
        <w:t>.</w:t>
      </w:r>
    </w:p>
    <w:p w14:paraId="4A37F535" w14:textId="67EB51BB" w:rsidR="00CF7BC4" w:rsidRPr="00E678AB" w:rsidRDefault="00182A9B">
      <w:pPr>
        <w:pStyle w:val="BodyText"/>
        <w:rPr>
          <w:lang w:val="en-GB"/>
        </w:rPr>
      </w:pPr>
      <w:r w:rsidRPr="00E678AB">
        <w:rPr>
          <w:lang w:val="en-GB"/>
        </w:rPr>
        <w:t>In</w:t>
      </w:r>
      <w:r w:rsidR="009D77B2" w:rsidRPr="00E678AB">
        <w:rPr>
          <w:lang w:val="en-GB"/>
        </w:rPr>
        <w:t xml:space="preserve"> </w:t>
      </w:r>
      <w:proofErr w:type="spellStart"/>
      <w:r w:rsidR="009D77B2" w:rsidRPr="00E678AB">
        <w:rPr>
          <w:lang w:val="en-GB"/>
        </w:rPr>
        <w:t>posthoc</w:t>
      </w:r>
      <w:proofErr w:type="spellEnd"/>
      <w:r w:rsidR="009D77B2" w:rsidRPr="00E678AB">
        <w:rPr>
          <w:lang w:val="en-GB"/>
        </w:rPr>
        <w:t xml:space="preserve"> analysis, we determined the absolute risk for 30-day mortality for higher risk surgical patients, using common patient covariates for patients with an ASA grade </w:t>
      </w:r>
      <w:r w:rsidR="004044DA">
        <w:rPr>
          <w:lang w:val="en-GB"/>
        </w:rPr>
        <w:sym w:font="Symbol" w:char="F0B3"/>
      </w:r>
      <w:r w:rsidR="009D77B2" w:rsidRPr="00E678AB">
        <w:rPr>
          <w:lang w:val="en-GB"/>
        </w:rPr>
        <w:t>3 (Appendix</w:t>
      </w:r>
      <w:r w:rsidR="00B54356">
        <w:rPr>
          <w:lang w:val="en-GB"/>
        </w:rPr>
        <w:t xml:space="preserve"> 17 and 18</w:t>
      </w:r>
      <w:r w:rsidR="009D77B2" w:rsidRPr="00E678AB">
        <w:rPr>
          <w:lang w:val="en-GB"/>
        </w:rPr>
        <w:t xml:space="preserve">). An increase in absolute risk difference was found across different levels of </w:t>
      </w:r>
      <w:r w:rsidR="009D77B2" w:rsidRPr="00F43504">
        <w:rPr>
          <w:lang w:val="en-GB"/>
        </w:rPr>
        <w:t>hospital</w:t>
      </w:r>
      <w:r w:rsidR="004209D5" w:rsidRPr="00F43504">
        <w:rPr>
          <w:lang w:val="en-GB"/>
        </w:rPr>
        <w:t xml:space="preserve"> </w:t>
      </w:r>
      <w:r w:rsidR="00F43504">
        <w:rPr>
          <w:lang w:val="en-GB"/>
        </w:rPr>
        <w:t>facilit</w:t>
      </w:r>
      <w:r w:rsidR="001B4D96">
        <w:rPr>
          <w:lang w:val="en-GB"/>
        </w:rPr>
        <w:t>y</w:t>
      </w:r>
      <w:r w:rsidR="00F43504">
        <w:rPr>
          <w:lang w:val="en-GB"/>
        </w:rPr>
        <w:t xml:space="preserve"> </w:t>
      </w:r>
      <w:r w:rsidR="009D77B2" w:rsidRPr="00E678AB">
        <w:rPr>
          <w:lang w:val="en-GB"/>
        </w:rPr>
        <w:t>for all income groups; low-income and lower-middle-income group (four to five fewer deaths per 100 operations, number needed to treat 20-25), upper-middle-income group (two to three fewer deaths per 100 operations, number needed to treat 33-50) and high-income groups (one fewer death per 100 operations, number needed to treat 100).</w:t>
      </w:r>
    </w:p>
    <w:p w14:paraId="5FC6CEA4" w14:textId="77777777" w:rsidR="00CF7BC4" w:rsidRPr="00E678AB" w:rsidRDefault="009D77B2">
      <w:r w:rsidRPr="00E678AB">
        <w:br w:type="page"/>
      </w:r>
    </w:p>
    <w:p w14:paraId="68F241FE" w14:textId="77777777" w:rsidR="00CF7BC4" w:rsidRPr="00E678AB" w:rsidRDefault="009D77B2">
      <w:pPr>
        <w:pStyle w:val="Heading4"/>
        <w:rPr>
          <w:lang w:val="en-GB"/>
        </w:rPr>
      </w:pPr>
      <w:bookmarkStart w:id="4" w:name="figure-1.-study-flowchart"/>
      <w:r w:rsidRPr="00E678AB">
        <w:rPr>
          <w:lang w:val="en-GB"/>
        </w:rPr>
        <w:lastRenderedPageBreak/>
        <w:t>Figure 1. Study flowchart</w:t>
      </w:r>
      <w:bookmarkEnd w:id="4"/>
    </w:p>
    <w:p w14:paraId="30DA9400" w14:textId="6B5E0437" w:rsidR="00CF7BC4" w:rsidRPr="00E678AB" w:rsidRDefault="007B7ECF">
      <w:r>
        <w:rPr>
          <w:noProof/>
        </w:rPr>
        <w:drawing>
          <wp:inline distT="0" distB="0" distL="0" distR="0" wp14:anchorId="10D4A406" wp14:editId="067BB930">
            <wp:extent cx="6007100" cy="736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6007100" cy="7366000"/>
                    </a:xfrm>
                    <a:prstGeom prst="rect">
                      <a:avLst/>
                    </a:prstGeom>
                  </pic:spPr>
                </pic:pic>
              </a:graphicData>
            </a:graphic>
          </wp:inline>
        </w:drawing>
      </w:r>
      <w:r w:rsidR="009D77B2" w:rsidRPr="00E678AB">
        <w:br w:type="page"/>
      </w:r>
    </w:p>
    <w:p w14:paraId="4C6C9EF6" w14:textId="35D6D490" w:rsidR="00CF7BC4" w:rsidRPr="00E678AB" w:rsidRDefault="009D77B2">
      <w:pPr>
        <w:pStyle w:val="Heading4"/>
        <w:rPr>
          <w:lang w:val="en-GB"/>
        </w:rPr>
      </w:pPr>
      <w:bookmarkStart w:id="5" w:name="X090067a06c0a2b5965d330f809773d94238a672"/>
      <w:r w:rsidRPr="00E678AB">
        <w:rPr>
          <w:lang w:val="en-GB"/>
        </w:rPr>
        <w:lastRenderedPageBreak/>
        <w:t xml:space="preserve">Table 1. Distribution of </w:t>
      </w:r>
      <w:r w:rsidRPr="00475E7C">
        <w:rPr>
          <w:lang w:val="en-GB"/>
        </w:rPr>
        <w:t xml:space="preserve">hospital </w:t>
      </w:r>
      <w:r w:rsidR="00475E7C">
        <w:rPr>
          <w:lang w:val="en-GB"/>
        </w:rPr>
        <w:t>facilities</w:t>
      </w:r>
      <w:r w:rsidR="00D359C9" w:rsidRPr="00E678AB">
        <w:rPr>
          <w:lang w:val="en-GB"/>
        </w:rPr>
        <w:t xml:space="preserve"> </w:t>
      </w:r>
      <w:r w:rsidRPr="00E678AB">
        <w:rPr>
          <w:lang w:val="en-GB"/>
        </w:rPr>
        <w:t>by country income group</w:t>
      </w:r>
      <w:bookmarkEnd w:id="5"/>
    </w:p>
    <w:tbl>
      <w:tblPr>
        <w:tblStyle w:val="Table"/>
        <w:tblW w:w="4999" w:type="pct"/>
        <w:tblLook w:val="07E0" w:firstRow="1" w:lastRow="1" w:firstColumn="1" w:lastColumn="1" w:noHBand="1" w:noVBand="1"/>
      </w:tblPr>
      <w:tblGrid>
        <w:gridCol w:w="2897"/>
        <w:gridCol w:w="2168"/>
        <w:gridCol w:w="950"/>
        <w:gridCol w:w="1289"/>
        <w:gridCol w:w="1673"/>
        <w:gridCol w:w="1048"/>
        <w:gridCol w:w="773"/>
      </w:tblGrid>
      <w:tr w:rsidR="00CF7BC4" w:rsidRPr="00E678AB" w14:paraId="005B9EDA" w14:textId="77777777">
        <w:tc>
          <w:tcPr>
            <w:tcW w:w="0" w:type="auto"/>
            <w:tcBorders>
              <w:bottom w:val="single" w:sz="0" w:space="0" w:color="auto"/>
            </w:tcBorders>
            <w:vAlign w:val="bottom"/>
          </w:tcPr>
          <w:p w14:paraId="7E1B30D5" w14:textId="77777777" w:rsidR="00CF7BC4" w:rsidRPr="00E678AB" w:rsidRDefault="009D77B2">
            <w:pPr>
              <w:pStyle w:val="Compact"/>
              <w:rPr>
                <w:lang w:val="en-GB"/>
              </w:rPr>
            </w:pPr>
            <w:r w:rsidRPr="00E678AB">
              <w:rPr>
                <w:lang w:val="en-GB"/>
              </w:rPr>
              <w:t>WB income (</w:t>
            </w:r>
            <w:proofErr w:type="spellStart"/>
            <w:r w:rsidRPr="00E678AB">
              <w:rPr>
                <w:lang w:val="en-GB"/>
              </w:rPr>
              <w:t>tertile</w:t>
            </w:r>
            <w:proofErr w:type="spellEnd"/>
            <w:r w:rsidRPr="00E678AB">
              <w:rPr>
                <w:lang w:val="en-GB"/>
              </w:rPr>
              <w:t>)</w:t>
            </w:r>
          </w:p>
        </w:tc>
        <w:tc>
          <w:tcPr>
            <w:tcW w:w="0" w:type="auto"/>
            <w:tcBorders>
              <w:bottom w:val="single" w:sz="0" w:space="0" w:color="auto"/>
            </w:tcBorders>
            <w:vAlign w:val="bottom"/>
          </w:tcPr>
          <w:p w14:paraId="742D6A0A" w14:textId="77777777" w:rsidR="00CF7BC4" w:rsidRPr="00E678AB" w:rsidRDefault="00CF7BC4"/>
        </w:tc>
        <w:tc>
          <w:tcPr>
            <w:tcW w:w="0" w:type="auto"/>
            <w:tcBorders>
              <w:bottom w:val="single" w:sz="0" w:space="0" w:color="auto"/>
            </w:tcBorders>
            <w:vAlign w:val="bottom"/>
          </w:tcPr>
          <w:p w14:paraId="53D01EDF" w14:textId="77777777" w:rsidR="00CF7BC4" w:rsidRDefault="009D77B2">
            <w:pPr>
              <w:pStyle w:val="Compact"/>
              <w:jc w:val="right"/>
              <w:rPr>
                <w:lang w:val="en-GB"/>
              </w:rPr>
            </w:pPr>
            <w:r w:rsidRPr="00E678AB">
              <w:rPr>
                <w:lang w:val="en-GB"/>
              </w:rPr>
              <w:t>High</w:t>
            </w:r>
          </w:p>
          <w:p w14:paraId="0D49FBD8" w14:textId="205E9573" w:rsidR="00AE5B40" w:rsidRPr="00E678AB" w:rsidRDefault="00AE5B40">
            <w:pPr>
              <w:pStyle w:val="Compact"/>
              <w:jc w:val="right"/>
              <w:rPr>
                <w:lang w:val="en-GB"/>
              </w:rPr>
            </w:pPr>
            <w:r>
              <w:rPr>
                <w:lang w:val="en-GB"/>
              </w:rPr>
              <w:t>(</w:t>
            </w:r>
            <w:r w:rsidR="006D6868">
              <w:rPr>
                <w:lang w:val="en-GB"/>
              </w:rPr>
              <w:t>n</w:t>
            </w:r>
            <w:r>
              <w:rPr>
                <w:lang w:val="en-GB"/>
              </w:rPr>
              <w:t xml:space="preserve"> = 91)</w:t>
            </w:r>
          </w:p>
        </w:tc>
        <w:tc>
          <w:tcPr>
            <w:tcW w:w="0" w:type="auto"/>
            <w:tcBorders>
              <w:bottom w:val="single" w:sz="0" w:space="0" w:color="auto"/>
            </w:tcBorders>
            <w:vAlign w:val="bottom"/>
          </w:tcPr>
          <w:p w14:paraId="12CD722C" w14:textId="77777777" w:rsidR="00CF7BC4" w:rsidRDefault="009D77B2">
            <w:pPr>
              <w:pStyle w:val="Compact"/>
              <w:jc w:val="right"/>
              <w:rPr>
                <w:lang w:val="en-GB"/>
              </w:rPr>
            </w:pPr>
            <w:r w:rsidRPr="00E678AB">
              <w:rPr>
                <w:lang w:val="en-GB"/>
              </w:rPr>
              <w:t>Upper middle</w:t>
            </w:r>
          </w:p>
          <w:p w14:paraId="6A4F4AD5" w14:textId="53FB8E03" w:rsidR="00AE5B40" w:rsidRPr="00E678AB" w:rsidRDefault="00AE5B40">
            <w:pPr>
              <w:pStyle w:val="Compact"/>
              <w:jc w:val="right"/>
              <w:rPr>
                <w:lang w:val="en-GB"/>
              </w:rPr>
            </w:pPr>
            <w:r>
              <w:rPr>
                <w:lang w:val="en-GB"/>
              </w:rPr>
              <w:t>(</w:t>
            </w:r>
            <w:r w:rsidR="006D6868">
              <w:rPr>
                <w:lang w:val="en-GB"/>
              </w:rPr>
              <w:t>n</w:t>
            </w:r>
            <w:r>
              <w:rPr>
                <w:lang w:val="en-GB"/>
              </w:rPr>
              <w:t xml:space="preserve"> = 57)</w:t>
            </w:r>
          </w:p>
        </w:tc>
        <w:tc>
          <w:tcPr>
            <w:tcW w:w="0" w:type="auto"/>
            <w:tcBorders>
              <w:bottom w:val="single" w:sz="0" w:space="0" w:color="auto"/>
            </w:tcBorders>
            <w:vAlign w:val="bottom"/>
          </w:tcPr>
          <w:p w14:paraId="5A8694B1" w14:textId="77777777" w:rsidR="00CF7BC4" w:rsidRDefault="009D77B2">
            <w:pPr>
              <w:pStyle w:val="Compact"/>
              <w:jc w:val="right"/>
              <w:rPr>
                <w:lang w:val="en-GB"/>
              </w:rPr>
            </w:pPr>
            <w:r w:rsidRPr="00E678AB">
              <w:rPr>
                <w:lang w:val="en-GB"/>
              </w:rPr>
              <w:t>Low/lower middle</w:t>
            </w:r>
          </w:p>
          <w:p w14:paraId="7EF6C483" w14:textId="02FEB221" w:rsidR="00AE5B40" w:rsidRPr="00E678AB" w:rsidRDefault="00AE5B40">
            <w:pPr>
              <w:pStyle w:val="Compact"/>
              <w:jc w:val="right"/>
              <w:rPr>
                <w:lang w:val="en-GB"/>
              </w:rPr>
            </w:pPr>
            <w:r>
              <w:rPr>
                <w:lang w:val="en-GB"/>
              </w:rPr>
              <w:t>(</w:t>
            </w:r>
            <w:r w:rsidR="006D6868">
              <w:rPr>
                <w:lang w:val="en-GB"/>
              </w:rPr>
              <w:t>n</w:t>
            </w:r>
            <w:r>
              <w:rPr>
                <w:lang w:val="en-GB"/>
              </w:rPr>
              <w:t xml:space="preserve"> = 90)</w:t>
            </w:r>
          </w:p>
        </w:tc>
        <w:tc>
          <w:tcPr>
            <w:tcW w:w="0" w:type="auto"/>
            <w:tcBorders>
              <w:bottom w:val="single" w:sz="0" w:space="0" w:color="auto"/>
            </w:tcBorders>
            <w:vAlign w:val="bottom"/>
          </w:tcPr>
          <w:p w14:paraId="5203381E" w14:textId="77777777" w:rsidR="00CF7BC4" w:rsidRDefault="009D77B2">
            <w:pPr>
              <w:pStyle w:val="Compact"/>
              <w:jc w:val="right"/>
              <w:rPr>
                <w:lang w:val="en-GB"/>
              </w:rPr>
            </w:pPr>
            <w:r w:rsidRPr="00E678AB">
              <w:rPr>
                <w:lang w:val="en-GB"/>
              </w:rPr>
              <w:t>Total</w:t>
            </w:r>
          </w:p>
          <w:p w14:paraId="5BDDCE73" w14:textId="3E753068" w:rsidR="00AE5B40" w:rsidRPr="00E678AB" w:rsidRDefault="00AE5B40">
            <w:pPr>
              <w:pStyle w:val="Compact"/>
              <w:jc w:val="right"/>
              <w:rPr>
                <w:lang w:val="en-GB"/>
              </w:rPr>
            </w:pPr>
            <w:r>
              <w:rPr>
                <w:lang w:val="en-GB"/>
              </w:rPr>
              <w:t>(</w:t>
            </w:r>
            <w:r w:rsidR="006D6868">
              <w:rPr>
                <w:lang w:val="en-GB"/>
              </w:rPr>
              <w:t>n</w:t>
            </w:r>
            <w:r>
              <w:rPr>
                <w:lang w:val="en-GB"/>
              </w:rPr>
              <w:t xml:space="preserve"> = 238)</w:t>
            </w:r>
          </w:p>
        </w:tc>
        <w:tc>
          <w:tcPr>
            <w:tcW w:w="0" w:type="auto"/>
            <w:tcBorders>
              <w:bottom w:val="single" w:sz="0" w:space="0" w:color="auto"/>
            </w:tcBorders>
            <w:vAlign w:val="bottom"/>
          </w:tcPr>
          <w:p w14:paraId="6745EB2A" w14:textId="77777777" w:rsidR="00CF7BC4" w:rsidRPr="00E678AB" w:rsidRDefault="009D77B2">
            <w:pPr>
              <w:pStyle w:val="Compact"/>
              <w:jc w:val="right"/>
              <w:rPr>
                <w:lang w:val="en-GB"/>
              </w:rPr>
            </w:pPr>
            <w:r w:rsidRPr="00E678AB">
              <w:rPr>
                <w:lang w:val="en-GB"/>
              </w:rPr>
              <w:t>p</w:t>
            </w:r>
          </w:p>
        </w:tc>
      </w:tr>
      <w:tr w:rsidR="00CF7BC4" w:rsidRPr="00E678AB" w14:paraId="5E5DA60D" w14:textId="77777777">
        <w:tc>
          <w:tcPr>
            <w:tcW w:w="0" w:type="auto"/>
          </w:tcPr>
          <w:p w14:paraId="612C8749" w14:textId="77777777" w:rsidR="00CF7BC4" w:rsidRPr="00E678AB" w:rsidRDefault="009D77B2">
            <w:pPr>
              <w:pStyle w:val="Compact"/>
              <w:rPr>
                <w:lang w:val="en-GB"/>
              </w:rPr>
            </w:pPr>
            <w:r w:rsidRPr="00E678AB">
              <w:rPr>
                <w:lang w:val="en-GB"/>
              </w:rPr>
              <w:t>MDT availability</w:t>
            </w:r>
          </w:p>
        </w:tc>
        <w:tc>
          <w:tcPr>
            <w:tcW w:w="0" w:type="auto"/>
          </w:tcPr>
          <w:p w14:paraId="044EF834" w14:textId="73ECE8EA" w:rsidR="00CF7BC4" w:rsidRPr="00E678AB" w:rsidRDefault="00CF7BC4">
            <w:pPr>
              <w:pStyle w:val="Compact"/>
              <w:rPr>
                <w:lang w:val="en-GB"/>
              </w:rPr>
            </w:pPr>
          </w:p>
        </w:tc>
        <w:tc>
          <w:tcPr>
            <w:tcW w:w="0" w:type="auto"/>
          </w:tcPr>
          <w:p w14:paraId="64949FF5" w14:textId="77777777" w:rsidR="00CF7BC4" w:rsidRPr="00E678AB" w:rsidRDefault="009D77B2">
            <w:pPr>
              <w:pStyle w:val="Compact"/>
              <w:jc w:val="right"/>
              <w:rPr>
                <w:lang w:val="en-GB"/>
              </w:rPr>
            </w:pPr>
            <w:r w:rsidRPr="00E678AB">
              <w:rPr>
                <w:lang w:val="en-GB"/>
              </w:rPr>
              <w:t>89 (97.8)</w:t>
            </w:r>
          </w:p>
        </w:tc>
        <w:tc>
          <w:tcPr>
            <w:tcW w:w="0" w:type="auto"/>
          </w:tcPr>
          <w:p w14:paraId="34C95544" w14:textId="77777777" w:rsidR="00CF7BC4" w:rsidRPr="00E678AB" w:rsidRDefault="009D77B2">
            <w:pPr>
              <w:pStyle w:val="Compact"/>
              <w:jc w:val="right"/>
              <w:rPr>
                <w:lang w:val="en-GB"/>
              </w:rPr>
            </w:pPr>
            <w:r w:rsidRPr="00E678AB">
              <w:rPr>
                <w:lang w:val="en-GB"/>
              </w:rPr>
              <w:t>53 (80.3)</w:t>
            </w:r>
          </w:p>
        </w:tc>
        <w:tc>
          <w:tcPr>
            <w:tcW w:w="0" w:type="auto"/>
          </w:tcPr>
          <w:p w14:paraId="4F4EA0EB" w14:textId="77777777" w:rsidR="00CF7BC4" w:rsidRDefault="009D77B2">
            <w:pPr>
              <w:pStyle w:val="Compact"/>
              <w:jc w:val="right"/>
              <w:rPr>
                <w:lang w:val="en-GB"/>
              </w:rPr>
            </w:pPr>
            <w:r w:rsidRPr="00E678AB">
              <w:rPr>
                <w:lang w:val="en-GB"/>
              </w:rPr>
              <w:t>71 (73.2)</w:t>
            </w:r>
          </w:p>
          <w:p w14:paraId="2AD8F4AF" w14:textId="31EC3F8C" w:rsidR="001D2AF2" w:rsidRPr="00E678AB" w:rsidRDefault="001D2AF2">
            <w:pPr>
              <w:pStyle w:val="Compact"/>
              <w:jc w:val="right"/>
              <w:rPr>
                <w:lang w:val="en-GB"/>
              </w:rPr>
            </w:pPr>
          </w:p>
        </w:tc>
        <w:tc>
          <w:tcPr>
            <w:tcW w:w="0" w:type="auto"/>
          </w:tcPr>
          <w:p w14:paraId="602FB563" w14:textId="77777777" w:rsidR="00CF7BC4" w:rsidRPr="00E678AB" w:rsidRDefault="009D77B2">
            <w:pPr>
              <w:pStyle w:val="Compact"/>
              <w:jc w:val="right"/>
              <w:rPr>
                <w:lang w:val="en-GB"/>
              </w:rPr>
            </w:pPr>
            <w:r w:rsidRPr="00E678AB">
              <w:rPr>
                <w:lang w:val="en-GB"/>
              </w:rPr>
              <w:t>213 (83.9)</w:t>
            </w:r>
          </w:p>
        </w:tc>
        <w:tc>
          <w:tcPr>
            <w:tcW w:w="0" w:type="auto"/>
          </w:tcPr>
          <w:p w14:paraId="214E92AC" w14:textId="77777777" w:rsidR="00CF7BC4" w:rsidRPr="00E678AB" w:rsidRDefault="009D77B2">
            <w:pPr>
              <w:pStyle w:val="Compact"/>
              <w:jc w:val="right"/>
              <w:rPr>
                <w:lang w:val="en-GB"/>
              </w:rPr>
            </w:pPr>
            <w:r w:rsidRPr="00E678AB">
              <w:rPr>
                <w:lang w:val="en-GB"/>
              </w:rPr>
              <w:t>&lt;0.001</w:t>
            </w:r>
          </w:p>
        </w:tc>
      </w:tr>
      <w:tr w:rsidR="00CF7BC4" w:rsidRPr="00E678AB" w14:paraId="706C46C8" w14:textId="77777777">
        <w:tc>
          <w:tcPr>
            <w:tcW w:w="0" w:type="auto"/>
          </w:tcPr>
          <w:p w14:paraId="6DDC401A" w14:textId="77777777" w:rsidR="00CF7BC4" w:rsidRPr="00E678AB" w:rsidRDefault="009D77B2">
            <w:pPr>
              <w:pStyle w:val="Compact"/>
              <w:rPr>
                <w:lang w:val="en-GB"/>
              </w:rPr>
            </w:pPr>
            <w:r w:rsidRPr="00E678AB">
              <w:rPr>
                <w:lang w:val="en-GB"/>
              </w:rPr>
              <w:t>Oncologist available in hospital</w:t>
            </w:r>
          </w:p>
        </w:tc>
        <w:tc>
          <w:tcPr>
            <w:tcW w:w="0" w:type="auto"/>
          </w:tcPr>
          <w:p w14:paraId="35941E88" w14:textId="22837C8E" w:rsidR="00CF7BC4" w:rsidRPr="00E678AB" w:rsidRDefault="00CF7BC4">
            <w:pPr>
              <w:pStyle w:val="Compact"/>
              <w:rPr>
                <w:lang w:val="en-GB"/>
              </w:rPr>
            </w:pPr>
          </w:p>
        </w:tc>
        <w:tc>
          <w:tcPr>
            <w:tcW w:w="0" w:type="auto"/>
          </w:tcPr>
          <w:p w14:paraId="0E640F44" w14:textId="77777777" w:rsidR="00CF7BC4" w:rsidRPr="00E678AB" w:rsidRDefault="009D77B2">
            <w:pPr>
              <w:pStyle w:val="Compact"/>
              <w:jc w:val="right"/>
              <w:rPr>
                <w:lang w:val="en-GB"/>
              </w:rPr>
            </w:pPr>
            <w:r w:rsidRPr="00E678AB">
              <w:rPr>
                <w:lang w:val="en-GB"/>
              </w:rPr>
              <w:t>85 (93.4)</w:t>
            </w:r>
          </w:p>
        </w:tc>
        <w:tc>
          <w:tcPr>
            <w:tcW w:w="0" w:type="auto"/>
          </w:tcPr>
          <w:p w14:paraId="2FAA5E99" w14:textId="77777777" w:rsidR="00CF7BC4" w:rsidRPr="00E678AB" w:rsidRDefault="009D77B2">
            <w:pPr>
              <w:pStyle w:val="Compact"/>
              <w:jc w:val="right"/>
              <w:rPr>
                <w:lang w:val="en-GB"/>
              </w:rPr>
            </w:pPr>
            <w:r w:rsidRPr="00E678AB">
              <w:rPr>
                <w:lang w:val="en-GB"/>
              </w:rPr>
              <w:t>46 (80.7)</w:t>
            </w:r>
          </w:p>
        </w:tc>
        <w:tc>
          <w:tcPr>
            <w:tcW w:w="0" w:type="auto"/>
          </w:tcPr>
          <w:p w14:paraId="35FBE495" w14:textId="77777777" w:rsidR="00CF7BC4" w:rsidRPr="00E678AB" w:rsidRDefault="009D77B2">
            <w:pPr>
              <w:pStyle w:val="Compact"/>
              <w:jc w:val="right"/>
              <w:rPr>
                <w:lang w:val="en-GB"/>
              </w:rPr>
            </w:pPr>
            <w:r w:rsidRPr="00E678AB">
              <w:rPr>
                <w:lang w:val="en-GB"/>
              </w:rPr>
              <w:t>63 (70.0)</w:t>
            </w:r>
          </w:p>
        </w:tc>
        <w:tc>
          <w:tcPr>
            <w:tcW w:w="0" w:type="auto"/>
          </w:tcPr>
          <w:p w14:paraId="523130A8" w14:textId="77777777" w:rsidR="00CF7BC4" w:rsidRDefault="009D77B2">
            <w:pPr>
              <w:pStyle w:val="Compact"/>
              <w:jc w:val="right"/>
              <w:rPr>
                <w:lang w:val="en-GB"/>
              </w:rPr>
            </w:pPr>
            <w:r w:rsidRPr="00E678AB">
              <w:rPr>
                <w:lang w:val="en-GB"/>
              </w:rPr>
              <w:t>194 (81.5)</w:t>
            </w:r>
          </w:p>
          <w:p w14:paraId="1B7CE92B" w14:textId="16804704" w:rsidR="001D2AF2" w:rsidRPr="00E678AB" w:rsidRDefault="001D2AF2">
            <w:pPr>
              <w:pStyle w:val="Compact"/>
              <w:jc w:val="right"/>
              <w:rPr>
                <w:lang w:val="en-GB"/>
              </w:rPr>
            </w:pPr>
          </w:p>
        </w:tc>
        <w:tc>
          <w:tcPr>
            <w:tcW w:w="0" w:type="auto"/>
          </w:tcPr>
          <w:p w14:paraId="2209E393" w14:textId="77777777" w:rsidR="00CF7BC4" w:rsidRPr="00E678AB" w:rsidRDefault="009D77B2">
            <w:pPr>
              <w:pStyle w:val="Compact"/>
              <w:jc w:val="right"/>
              <w:rPr>
                <w:lang w:val="en-GB"/>
              </w:rPr>
            </w:pPr>
            <w:r w:rsidRPr="00E678AB">
              <w:rPr>
                <w:lang w:val="en-GB"/>
              </w:rPr>
              <w:t>&lt;0.001</w:t>
            </w:r>
          </w:p>
        </w:tc>
      </w:tr>
      <w:tr w:rsidR="00CF7BC4" w:rsidRPr="00E678AB" w14:paraId="43E55A28" w14:textId="77777777">
        <w:tc>
          <w:tcPr>
            <w:tcW w:w="0" w:type="auto"/>
          </w:tcPr>
          <w:p w14:paraId="44618CA9" w14:textId="77777777" w:rsidR="00CF7BC4" w:rsidRDefault="009D77B2">
            <w:pPr>
              <w:pStyle w:val="Compact"/>
              <w:rPr>
                <w:lang w:val="en-GB"/>
              </w:rPr>
            </w:pPr>
            <w:r w:rsidRPr="00E678AB">
              <w:rPr>
                <w:lang w:val="en-GB"/>
              </w:rPr>
              <w:t>Palliative care available in hospital</w:t>
            </w:r>
          </w:p>
          <w:p w14:paraId="5696CD1A" w14:textId="44246C75" w:rsidR="001D2AF2" w:rsidRPr="00E678AB" w:rsidRDefault="001D2AF2">
            <w:pPr>
              <w:pStyle w:val="Compact"/>
              <w:rPr>
                <w:lang w:val="en-GB"/>
              </w:rPr>
            </w:pPr>
          </w:p>
        </w:tc>
        <w:tc>
          <w:tcPr>
            <w:tcW w:w="0" w:type="auto"/>
          </w:tcPr>
          <w:p w14:paraId="724739A1" w14:textId="3545F663" w:rsidR="00CF7BC4" w:rsidRPr="00E678AB" w:rsidRDefault="00CF7BC4">
            <w:pPr>
              <w:pStyle w:val="Compact"/>
              <w:rPr>
                <w:lang w:val="en-GB"/>
              </w:rPr>
            </w:pPr>
          </w:p>
        </w:tc>
        <w:tc>
          <w:tcPr>
            <w:tcW w:w="0" w:type="auto"/>
          </w:tcPr>
          <w:p w14:paraId="317AD7DD" w14:textId="77777777" w:rsidR="00CF7BC4" w:rsidRPr="00E678AB" w:rsidRDefault="009D77B2">
            <w:pPr>
              <w:pStyle w:val="Compact"/>
              <w:jc w:val="right"/>
              <w:rPr>
                <w:lang w:val="en-GB"/>
              </w:rPr>
            </w:pPr>
            <w:r w:rsidRPr="00E678AB">
              <w:rPr>
                <w:lang w:val="en-GB"/>
              </w:rPr>
              <w:t>68 (74.7)</w:t>
            </w:r>
          </w:p>
        </w:tc>
        <w:tc>
          <w:tcPr>
            <w:tcW w:w="0" w:type="auto"/>
          </w:tcPr>
          <w:p w14:paraId="50B81539" w14:textId="77777777" w:rsidR="00CF7BC4" w:rsidRPr="00E678AB" w:rsidRDefault="009D77B2">
            <w:pPr>
              <w:pStyle w:val="Compact"/>
              <w:jc w:val="right"/>
              <w:rPr>
                <w:lang w:val="en-GB"/>
              </w:rPr>
            </w:pPr>
            <w:r w:rsidRPr="00E678AB">
              <w:rPr>
                <w:lang w:val="en-GB"/>
              </w:rPr>
              <w:t>31 (47.0)</w:t>
            </w:r>
          </w:p>
        </w:tc>
        <w:tc>
          <w:tcPr>
            <w:tcW w:w="0" w:type="auto"/>
          </w:tcPr>
          <w:p w14:paraId="411300AD" w14:textId="77777777" w:rsidR="00CF7BC4" w:rsidRPr="00E678AB" w:rsidRDefault="009D77B2">
            <w:pPr>
              <w:pStyle w:val="Compact"/>
              <w:jc w:val="right"/>
              <w:rPr>
                <w:lang w:val="en-GB"/>
              </w:rPr>
            </w:pPr>
            <w:r w:rsidRPr="00E678AB">
              <w:rPr>
                <w:lang w:val="en-GB"/>
              </w:rPr>
              <w:t>38 (39.2)</w:t>
            </w:r>
          </w:p>
        </w:tc>
        <w:tc>
          <w:tcPr>
            <w:tcW w:w="0" w:type="auto"/>
          </w:tcPr>
          <w:p w14:paraId="110DC5F1" w14:textId="77777777" w:rsidR="00CF7BC4" w:rsidRPr="00E678AB" w:rsidRDefault="009D77B2">
            <w:pPr>
              <w:pStyle w:val="Compact"/>
              <w:jc w:val="right"/>
              <w:rPr>
                <w:lang w:val="en-GB"/>
              </w:rPr>
            </w:pPr>
            <w:r w:rsidRPr="00E678AB">
              <w:rPr>
                <w:lang w:val="en-GB"/>
              </w:rPr>
              <w:t>137 (53.9)</w:t>
            </w:r>
          </w:p>
        </w:tc>
        <w:tc>
          <w:tcPr>
            <w:tcW w:w="0" w:type="auto"/>
          </w:tcPr>
          <w:p w14:paraId="586F60E7" w14:textId="77777777" w:rsidR="00CF7BC4" w:rsidRPr="00E678AB" w:rsidRDefault="009D77B2">
            <w:pPr>
              <w:pStyle w:val="Compact"/>
              <w:jc w:val="right"/>
              <w:rPr>
                <w:lang w:val="en-GB"/>
              </w:rPr>
            </w:pPr>
            <w:r w:rsidRPr="00E678AB">
              <w:rPr>
                <w:lang w:val="en-GB"/>
              </w:rPr>
              <w:t>&lt;0.001</w:t>
            </w:r>
          </w:p>
        </w:tc>
      </w:tr>
      <w:tr w:rsidR="00CF7BC4" w:rsidRPr="00E678AB" w14:paraId="39B7E051" w14:textId="77777777">
        <w:tc>
          <w:tcPr>
            <w:tcW w:w="0" w:type="auto"/>
          </w:tcPr>
          <w:p w14:paraId="4B1F39C5" w14:textId="77777777" w:rsidR="00CF7BC4" w:rsidRDefault="009D77B2">
            <w:pPr>
              <w:pStyle w:val="Compact"/>
              <w:rPr>
                <w:lang w:val="en-GB"/>
              </w:rPr>
            </w:pPr>
            <w:r w:rsidRPr="00E678AB">
              <w:rPr>
                <w:lang w:val="en-GB"/>
              </w:rPr>
              <w:t>Opioid medication available</w:t>
            </w:r>
          </w:p>
          <w:p w14:paraId="386733E6" w14:textId="6D5E0629" w:rsidR="001D2AF2" w:rsidRPr="00E678AB" w:rsidRDefault="001D2AF2">
            <w:pPr>
              <w:pStyle w:val="Compact"/>
              <w:rPr>
                <w:lang w:val="en-GB"/>
              </w:rPr>
            </w:pPr>
          </w:p>
        </w:tc>
        <w:tc>
          <w:tcPr>
            <w:tcW w:w="0" w:type="auto"/>
          </w:tcPr>
          <w:p w14:paraId="6A3ECBE1" w14:textId="110EB40F" w:rsidR="00CF7BC4" w:rsidRPr="00E678AB" w:rsidRDefault="00CF7BC4">
            <w:pPr>
              <w:pStyle w:val="Compact"/>
              <w:rPr>
                <w:lang w:val="en-GB"/>
              </w:rPr>
            </w:pPr>
          </w:p>
        </w:tc>
        <w:tc>
          <w:tcPr>
            <w:tcW w:w="0" w:type="auto"/>
          </w:tcPr>
          <w:p w14:paraId="062061F7" w14:textId="77777777" w:rsidR="00CF7BC4" w:rsidRPr="00E678AB" w:rsidRDefault="009D77B2">
            <w:pPr>
              <w:pStyle w:val="Compact"/>
              <w:jc w:val="right"/>
              <w:rPr>
                <w:lang w:val="en-GB"/>
              </w:rPr>
            </w:pPr>
            <w:r w:rsidRPr="00E678AB">
              <w:rPr>
                <w:lang w:val="en-GB"/>
              </w:rPr>
              <w:t>84 (92.3)</w:t>
            </w:r>
          </w:p>
        </w:tc>
        <w:tc>
          <w:tcPr>
            <w:tcW w:w="0" w:type="auto"/>
          </w:tcPr>
          <w:p w14:paraId="235AF170" w14:textId="77777777" w:rsidR="00CF7BC4" w:rsidRPr="00E678AB" w:rsidRDefault="009D77B2">
            <w:pPr>
              <w:pStyle w:val="Compact"/>
              <w:jc w:val="right"/>
              <w:rPr>
                <w:lang w:val="en-GB"/>
              </w:rPr>
            </w:pPr>
            <w:r w:rsidRPr="00E678AB">
              <w:rPr>
                <w:lang w:val="en-GB"/>
              </w:rPr>
              <w:t>53 (80.3)</w:t>
            </w:r>
          </w:p>
        </w:tc>
        <w:tc>
          <w:tcPr>
            <w:tcW w:w="0" w:type="auto"/>
          </w:tcPr>
          <w:p w14:paraId="72ED0BB5" w14:textId="77777777" w:rsidR="00CF7BC4" w:rsidRPr="00E678AB" w:rsidRDefault="009D77B2">
            <w:pPr>
              <w:pStyle w:val="Compact"/>
              <w:jc w:val="right"/>
              <w:rPr>
                <w:lang w:val="en-GB"/>
              </w:rPr>
            </w:pPr>
            <w:r w:rsidRPr="00E678AB">
              <w:rPr>
                <w:lang w:val="en-GB"/>
              </w:rPr>
              <w:t>51 (52.6)</w:t>
            </w:r>
          </w:p>
        </w:tc>
        <w:tc>
          <w:tcPr>
            <w:tcW w:w="0" w:type="auto"/>
          </w:tcPr>
          <w:p w14:paraId="0AE71D89" w14:textId="77777777" w:rsidR="00CF7BC4" w:rsidRPr="00E678AB" w:rsidRDefault="009D77B2">
            <w:pPr>
              <w:pStyle w:val="Compact"/>
              <w:jc w:val="right"/>
              <w:rPr>
                <w:lang w:val="en-GB"/>
              </w:rPr>
            </w:pPr>
            <w:r w:rsidRPr="00E678AB">
              <w:rPr>
                <w:lang w:val="en-GB"/>
              </w:rPr>
              <w:t>188 (74.0)</w:t>
            </w:r>
          </w:p>
        </w:tc>
        <w:tc>
          <w:tcPr>
            <w:tcW w:w="0" w:type="auto"/>
          </w:tcPr>
          <w:p w14:paraId="5F64D122" w14:textId="77777777" w:rsidR="00CF7BC4" w:rsidRPr="00E678AB" w:rsidRDefault="009D77B2">
            <w:pPr>
              <w:pStyle w:val="Compact"/>
              <w:jc w:val="right"/>
              <w:rPr>
                <w:lang w:val="en-GB"/>
              </w:rPr>
            </w:pPr>
            <w:r w:rsidRPr="00E678AB">
              <w:rPr>
                <w:lang w:val="en-GB"/>
              </w:rPr>
              <w:t>&lt;0.001</w:t>
            </w:r>
          </w:p>
        </w:tc>
      </w:tr>
      <w:tr w:rsidR="00AE7D70" w:rsidRPr="00E678AB" w14:paraId="5B39D409" w14:textId="77777777">
        <w:tc>
          <w:tcPr>
            <w:tcW w:w="0" w:type="auto"/>
          </w:tcPr>
          <w:p w14:paraId="0D7BF80B" w14:textId="13028536" w:rsidR="00AE7D70" w:rsidRPr="00E678AB" w:rsidRDefault="00AE7D70" w:rsidP="00AE7D70">
            <w:pPr>
              <w:pStyle w:val="Compact"/>
              <w:rPr>
                <w:lang w:val="en-GB"/>
              </w:rPr>
            </w:pPr>
            <w:r>
              <w:rPr>
                <w:lang w:val="en-GB"/>
              </w:rPr>
              <w:t>Ultrasound available</w:t>
            </w:r>
          </w:p>
        </w:tc>
        <w:tc>
          <w:tcPr>
            <w:tcW w:w="0" w:type="auto"/>
          </w:tcPr>
          <w:p w14:paraId="67E774EB" w14:textId="77777777" w:rsidR="00AE7D70" w:rsidRPr="00E678AB" w:rsidRDefault="00AE7D70" w:rsidP="00AE7D70">
            <w:pPr>
              <w:pStyle w:val="Compact"/>
              <w:rPr>
                <w:lang w:val="en-GB"/>
              </w:rPr>
            </w:pPr>
          </w:p>
        </w:tc>
        <w:tc>
          <w:tcPr>
            <w:tcW w:w="0" w:type="auto"/>
          </w:tcPr>
          <w:p w14:paraId="357D3AAE" w14:textId="62BD1A85" w:rsidR="00AE7D70" w:rsidRPr="00E678AB" w:rsidRDefault="00AE7D70" w:rsidP="00AE7D70">
            <w:pPr>
              <w:pStyle w:val="Compact"/>
              <w:jc w:val="right"/>
              <w:rPr>
                <w:lang w:val="en-GB"/>
              </w:rPr>
            </w:pPr>
            <w:r w:rsidRPr="00E678AB">
              <w:rPr>
                <w:lang w:val="en-GB"/>
              </w:rPr>
              <w:t>77 (84.6)</w:t>
            </w:r>
          </w:p>
        </w:tc>
        <w:tc>
          <w:tcPr>
            <w:tcW w:w="0" w:type="auto"/>
          </w:tcPr>
          <w:p w14:paraId="204100DA" w14:textId="0BAF391C" w:rsidR="00AE7D70" w:rsidRPr="00E678AB" w:rsidRDefault="00AE7D70" w:rsidP="00AE7D70">
            <w:pPr>
              <w:pStyle w:val="Compact"/>
              <w:jc w:val="right"/>
              <w:rPr>
                <w:lang w:val="en-GB"/>
              </w:rPr>
            </w:pPr>
            <w:r w:rsidRPr="00E678AB">
              <w:rPr>
                <w:lang w:val="en-GB"/>
              </w:rPr>
              <w:t>58 (87.9)</w:t>
            </w:r>
          </w:p>
        </w:tc>
        <w:tc>
          <w:tcPr>
            <w:tcW w:w="0" w:type="auto"/>
          </w:tcPr>
          <w:p w14:paraId="78CA644A" w14:textId="5C2EA403" w:rsidR="00AE7D70" w:rsidRPr="00E678AB" w:rsidRDefault="00AE7D70" w:rsidP="00AE7D70">
            <w:pPr>
              <w:pStyle w:val="Compact"/>
              <w:jc w:val="right"/>
              <w:rPr>
                <w:lang w:val="en-GB"/>
              </w:rPr>
            </w:pPr>
            <w:r w:rsidRPr="00E678AB">
              <w:rPr>
                <w:lang w:val="en-GB"/>
              </w:rPr>
              <w:t>81 (83.5)</w:t>
            </w:r>
          </w:p>
        </w:tc>
        <w:tc>
          <w:tcPr>
            <w:tcW w:w="0" w:type="auto"/>
          </w:tcPr>
          <w:p w14:paraId="07765476" w14:textId="0456F3D1" w:rsidR="00AE7D70" w:rsidRPr="00E678AB" w:rsidRDefault="00AE7D70" w:rsidP="00AE7D70">
            <w:pPr>
              <w:pStyle w:val="Compact"/>
              <w:jc w:val="right"/>
              <w:rPr>
                <w:lang w:val="en-GB"/>
              </w:rPr>
            </w:pPr>
            <w:r w:rsidRPr="00E678AB">
              <w:rPr>
                <w:lang w:val="en-GB"/>
              </w:rPr>
              <w:t>216 (85.0)</w:t>
            </w:r>
          </w:p>
        </w:tc>
        <w:tc>
          <w:tcPr>
            <w:tcW w:w="0" w:type="auto"/>
          </w:tcPr>
          <w:p w14:paraId="16D43B8C" w14:textId="77777777" w:rsidR="00AE7D70" w:rsidRDefault="00AE7D70" w:rsidP="00AE7D70">
            <w:pPr>
              <w:pStyle w:val="Compact"/>
              <w:jc w:val="right"/>
              <w:rPr>
                <w:lang w:val="en-GB"/>
              </w:rPr>
            </w:pPr>
            <w:r w:rsidRPr="00E678AB">
              <w:rPr>
                <w:lang w:val="en-GB"/>
              </w:rPr>
              <w:t>0.737</w:t>
            </w:r>
          </w:p>
          <w:p w14:paraId="6192E3CB" w14:textId="77777777" w:rsidR="00AE7D70" w:rsidRPr="00E678AB" w:rsidRDefault="00AE7D70" w:rsidP="00AE7D70">
            <w:pPr>
              <w:pStyle w:val="Compact"/>
              <w:jc w:val="right"/>
              <w:rPr>
                <w:lang w:val="en-GB"/>
              </w:rPr>
            </w:pPr>
          </w:p>
        </w:tc>
      </w:tr>
      <w:tr w:rsidR="00AE7D70" w:rsidRPr="00E678AB" w14:paraId="4868A041" w14:textId="77777777">
        <w:tc>
          <w:tcPr>
            <w:tcW w:w="0" w:type="auto"/>
          </w:tcPr>
          <w:p w14:paraId="55785154" w14:textId="77777777" w:rsidR="00AE7D70" w:rsidRDefault="00AE7D70" w:rsidP="00AE7D70">
            <w:pPr>
              <w:pStyle w:val="Compact"/>
              <w:rPr>
                <w:lang w:val="en-GB"/>
              </w:rPr>
            </w:pPr>
            <w:r w:rsidRPr="00E678AB">
              <w:rPr>
                <w:lang w:val="en-GB"/>
              </w:rPr>
              <w:t>CT scan available</w:t>
            </w:r>
          </w:p>
          <w:p w14:paraId="082A429B" w14:textId="07F8238B" w:rsidR="00AE7D70" w:rsidRPr="00E678AB" w:rsidRDefault="00AE7D70" w:rsidP="00AE7D70">
            <w:pPr>
              <w:pStyle w:val="Compact"/>
              <w:rPr>
                <w:lang w:val="en-GB"/>
              </w:rPr>
            </w:pPr>
          </w:p>
        </w:tc>
        <w:tc>
          <w:tcPr>
            <w:tcW w:w="0" w:type="auto"/>
          </w:tcPr>
          <w:p w14:paraId="5849F9EA" w14:textId="34DF5DEA" w:rsidR="00AE7D70" w:rsidRPr="00E678AB" w:rsidRDefault="00AE7D70" w:rsidP="00AE7D70">
            <w:pPr>
              <w:pStyle w:val="Compact"/>
              <w:rPr>
                <w:lang w:val="en-GB"/>
              </w:rPr>
            </w:pPr>
          </w:p>
        </w:tc>
        <w:tc>
          <w:tcPr>
            <w:tcW w:w="0" w:type="auto"/>
          </w:tcPr>
          <w:p w14:paraId="29057C65" w14:textId="77777777" w:rsidR="00AE7D70" w:rsidRPr="00E678AB" w:rsidRDefault="00AE7D70" w:rsidP="00AE7D70">
            <w:pPr>
              <w:pStyle w:val="Compact"/>
              <w:jc w:val="right"/>
              <w:rPr>
                <w:lang w:val="en-GB"/>
              </w:rPr>
            </w:pPr>
            <w:r w:rsidRPr="00E678AB">
              <w:rPr>
                <w:lang w:val="en-GB"/>
              </w:rPr>
              <w:t>87 (95.6)</w:t>
            </w:r>
          </w:p>
        </w:tc>
        <w:tc>
          <w:tcPr>
            <w:tcW w:w="0" w:type="auto"/>
          </w:tcPr>
          <w:p w14:paraId="5282083B" w14:textId="77777777" w:rsidR="00AE7D70" w:rsidRPr="00E678AB" w:rsidRDefault="00AE7D70" w:rsidP="00AE7D70">
            <w:pPr>
              <w:pStyle w:val="Compact"/>
              <w:jc w:val="right"/>
              <w:rPr>
                <w:lang w:val="en-GB"/>
              </w:rPr>
            </w:pPr>
            <w:r w:rsidRPr="00E678AB">
              <w:rPr>
                <w:lang w:val="en-GB"/>
              </w:rPr>
              <w:t>54 (81.8)</w:t>
            </w:r>
          </w:p>
        </w:tc>
        <w:tc>
          <w:tcPr>
            <w:tcW w:w="0" w:type="auto"/>
          </w:tcPr>
          <w:p w14:paraId="61829B98" w14:textId="77777777" w:rsidR="00AE7D70" w:rsidRPr="00E678AB" w:rsidRDefault="00AE7D70" w:rsidP="00AE7D70">
            <w:pPr>
              <w:pStyle w:val="Compact"/>
              <w:jc w:val="right"/>
              <w:rPr>
                <w:lang w:val="en-GB"/>
              </w:rPr>
            </w:pPr>
            <w:r w:rsidRPr="00E678AB">
              <w:rPr>
                <w:lang w:val="en-GB"/>
              </w:rPr>
              <w:t>61 (62.9)</w:t>
            </w:r>
          </w:p>
        </w:tc>
        <w:tc>
          <w:tcPr>
            <w:tcW w:w="0" w:type="auto"/>
          </w:tcPr>
          <w:p w14:paraId="6A980017" w14:textId="77777777" w:rsidR="00AE7D70" w:rsidRPr="00E678AB" w:rsidRDefault="00AE7D70" w:rsidP="00AE7D70">
            <w:pPr>
              <w:pStyle w:val="Compact"/>
              <w:jc w:val="right"/>
              <w:rPr>
                <w:lang w:val="en-GB"/>
              </w:rPr>
            </w:pPr>
            <w:r w:rsidRPr="00E678AB">
              <w:rPr>
                <w:lang w:val="en-GB"/>
              </w:rPr>
              <w:t>202 (79.5)</w:t>
            </w:r>
          </w:p>
        </w:tc>
        <w:tc>
          <w:tcPr>
            <w:tcW w:w="0" w:type="auto"/>
          </w:tcPr>
          <w:p w14:paraId="64486572" w14:textId="77777777" w:rsidR="00AE7D70" w:rsidRPr="00E678AB" w:rsidRDefault="00AE7D70" w:rsidP="00AE7D70">
            <w:pPr>
              <w:pStyle w:val="Compact"/>
              <w:jc w:val="right"/>
              <w:rPr>
                <w:lang w:val="en-GB"/>
              </w:rPr>
            </w:pPr>
            <w:r w:rsidRPr="00E678AB">
              <w:rPr>
                <w:lang w:val="en-GB"/>
              </w:rPr>
              <w:t>&lt;0.001</w:t>
            </w:r>
          </w:p>
        </w:tc>
      </w:tr>
      <w:tr w:rsidR="00AE7D70" w:rsidRPr="00E678AB" w14:paraId="4579903B" w14:textId="77777777">
        <w:tc>
          <w:tcPr>
            <w:tcW w:w="0" w:type="auto"/>
          </w:tcPr>
          <w:p w14:paraId="19E62A98" w14:textId="77777777" w:rsidR="00AE7D70" w:rsidRDefault="00AE7D70" w:rsidP="00AE7D70">
            <w:pPr>
              <w:pStyle w:val="Compact"/>
              <w:rPr>
                <w:lang w:val="en-GB"/>
              </w:rPr>
            </w:pPr>
            <w:r w:rsidRPr="00E678AB">
              <w:rPr>
                <w:lang w:val="en-GB"/>
              </w:rPr>
              <w:t>Postoperative care facilities</w:t>
            </w:r>
          </w:p>
          <w:p w14:paraId="2FFAEC92" w14:textId="03D4E873" w:rsidR="00AE7D70" w:rsidRPr="00E678AB" w:rsidRDefault="00AE7D70" w:rsidP="00AE7D70">
            <w:pPr>
              <w:pStyle w:val="Compact"/>
              <w:rPr>
                <w:lang w:val="en-GB"/>
              </w:rPr>
            </w:pPr>
          </w:p>
        </w:tc>
        <w:tc>
          <w:tcPr>
            <w:tcW w:w="0" w:type="auto"/>
          </w:tcPr>
          <w:p w14:paraId="4852656B" w14:textId="6568E85E" w:rsidR="00AE7D70" w:rsidRPr="00E678AB" w:rsidRDefault="00AE7D70" w:rsidP="00AE7D70">
            <w:pPr>
              <w:pStyle w:val="Compact"/>
              <w:rPr>
                <w:lang w:val="en-GB"/>
              </w:rPr>
            </w:pPr>
          </w:p>
        </w:tc>
        <w:tc>
          <w:tcPr>
            <w:tcW w:w="0" w:type="auto"/>
          </w:tcPr>
          <w:p w14:paraId="1C09A58C" w14:textId="77777777" w:rsidR="00AE7D70" w:rsidRPr="00E678AB" w:rsidRDefault="00AE7D70" w:rsidP="00AE7D70">
            <w:pPr>
              <w:pStyle w:val="Compact"/>
              <w:jc w:val="right"/>
              <w:rPr>
                <w:lang w:val="en-GB"/>
              </w:rPr>
            </w:pPr>
            <w:r w:rsidRPr="00E678AB">
              <w:rPr>
                <w:lang w:val="en-GB"/>
              </w:rPr>
              <w:t>86 (94.5)</w:t>
            </w:r>
          </w:p>
        </w:tc>
        <w:tc>
          <w:tcPr>
            <w:tcW w:w="0" w:type="auto"/>
          </w:tcPr>
          <w:p w14:paraId="3920A003" w14:textId="77777777" w:rsidR="00AE7D70" w:rsidRPr="00E678AB" w:rsidRDefault="00AE7D70" w:rsidP="00AE7D70">
            <w:pPr>
              <w:pStyle w:val="Compact"/>
              <w:jc w:val="right"/>
              <w:rPr>
                <w:lang w:val="en-GB"/>
              </w:rPr>
            </w:pPr>
            <w:r w:rsidRPr="00E678AB">
              <w:rPr>
                <w:lang w:val="en-GB"/>
              </w:rPr>
              <w:t>52 (78.8)</w:t>
            </w:r>
          </w:p>
        </w:tc>
        <w:tc>
          <w:tcPr>
            <w:tcW w:w="0" w:type="auto"/>
          </w:tcPr>
          <w:p w14:paraId="33A756C0" w14:textId="77777777" w:rsidR="00AE7D70" w:rsidRPr="00E678AB" w:rsidRDefault="00AE7D70" w:rsidP="00AE7D70">
            <w:pPr>
              <w:pStyle w:val="Compact"/>
              <w:jc w:val="right"/>
              <w:rPr>
                <w:lang w:val="en-GB"/>
              </w:rPr>
            </w:pPr>
            <w:r w:rsidRPr="00E678AB">
              <w:rPr>
                <w:lang w:val="en-GB"/>
              </w:rPr>
              <w:t>69 (71.1)</w:t>
            </w:r>
          </w:p>
        </w:tc>
        <w:tc>
          <w:tcPr>
            <w:tcW w:w="0" w:type="auto"/>
          </w:tcPr>
          <w:p w14:paraId="35B7DE6A" w14:textId="77777777" w:rsidR="00AE7D70" w:rsidRPr="00E678AB" w:rsidRDefault="00AE7D70" w:rsidP="00AE7D70">
            <w:pPr>
              <w:pStyle w:val="Compact"/>
              <w:jc w:val="right"/>
              <w:rPr>
                <w:lang w:val="en-GB"/>
              </w:rPr>
            </w:pPr>
            <w:r w:rsidRPr="00E678AB">
              <w:rPr>
                <w:lang w:val="en-GB"/>
              </w:rPr>
              <w:t>207 (81.5)</w:t>
            </w:r>
          </w:p>
        </w:tc>
        <w:tc>
          <w:tcPr>
            <w:tcW w:w="0" w:type="auto"/>
          </w:tcPr>
          <w:p w14:paraId="69DC5A1A" w14:textId="77777777" w:rsidR="00AE7D70" w:rsidRPr="00E678AB" w:rsidRDefault="00AE7D70" w:rsidP="00AE7D70">
            <w:pPr>
              <w:pStyle w:val="Compact"/>
              <w:jc w:val="right"/>
              <w:rPr>
                <w:lang w:val="en-GB"/>
              </w:rPr>
            </w:pPr>
            <w:r w:rsidRPr="00E678AB">
              <w:rPr>
                <w:lang w:val="en-GB"/>
              </w:rPr>
              <w:t>&lt;0.001</w:t>
            </w:r>
          </w:p>
        </w:tc>
      </w:tr>
      <w:tr w:rsidR="00AE7D70" w:rsidRPr="00E678AB" w14:paraId="4DF5F318" w14:textId="77777777">
        <w:tc>
          <w:tcPr>
            <w:tcW w:w="0" w:type="auto"/>
          </w:tcPr>
          <w:p w14:paraId="54640463" w14:textId="31842F75" w:rsidR="00AE7D70" w:rsidRDefault="00AE7D70" w:rsidP="00AE7D70">
            <w:pPr>
              <w:pStyle w:val="Compact"/>
              <w:rPr>
                <w:lang w:val="en-GB"/>
              </w:rPr>
            </w:pPr>
            <w:r>
              <w:rPr>
                <w:lang w:val="en-GB"/>
              </w:rPr>
              <w:t>HDU/ITU</w:t>
            </w:r>
            <w:r w:rsidRPr="00E678AB">
              <w:rPr>
                <w:lang w:val="en-GB"/>
              </w:rPr>
              <w:t xml:space="preserve"> bed available</w:t>
            </w:r>
          </w:p>
          <w:p w14:paraId="2529DDAB" w14:textId="2DFCC025" w:rsidR="00AE7D70" w:rsidRPr="00E678AB" w:rsidRDefault="00AE7D70" w:rsidP="00AE7D70">
            <w:pPr>
              <w:pStyle w:val="Compact"/>
              <w:rPr>
                <w:lang w:val="en-GB"/>
              </w:rPr>
            </w:pPr>
          </w:p>
        </w:tc>
        <w:tc>
          <w:tcPr>
            <w:tcW w:w="0" w:type="auto"/>
          </w:tcPr>
          <w:p w14:paraId="5229A450" w14:textId="1E32B58D" w:rsidR="00AE7D70" w:rsidRPr="00E678AB" w:rsidRDefault="00AE7D70" w:rsidP="00AE7D70">
            <w:pPr>
              <w:pStyle w:val="Compact"/>
              <w:rPr>
                <w:lang w:val="en-GB"/>
              </w:rPr>
            </w:pPr>
          </w:p>
        </w:tc>
        <w:tc>
          <w:tcPr>
            <w:tcW w:w="0" w:type="auto"/>
          </w:tcPr>
          <w:p w14:paraId="22917DEF" w14:textId="77777777" w:rsidR="00AE7D70" w:rsidRPr="00E678AB" w:rsidRDefault="00AE7D70" w:rsidP="00AE7D70">
            <w:pPr>
              <w:pStyle w:val="Compact"/>
              <w:jc w:val="right"/>
              <w:rPr>
                <w:lang w:val="en-GB"/>
              </w:rPr>
            </w:pPr>
            <w:r w:rsidRPr="00E678AB">
              <w:rPr>
                <w:lang w:val="en-GB"/>
              </w:rPr>
              <w:t>84 (92.3)</w:t>
            </w:r>
          </w:p>
        </w:tc>
        <w:tc>
          <w:tcPr>
            <w:tcW w:w="0" w:type="auto"/>
          </w:tcPr>
          <w:p w14:paraId="429910BE" w14:textId="77777777" w:rsidR="00AE7D70" w:rsidRPr="00E678AB" w:rsidRDefault="00AE7D70" w:rsidP="00AE7D70">
            <w:pPr>
              <w:pStyle w:val="Compact"/>
              <w:jc w:val="right"/>
              <w:rPr>
                <w:lang w:val="en-GB"/>
              </w:rPr>
            </w:pPr>
            <w:r w:rsidRPr="00E678AB">
              <w:rPr>
                <w:lang w:val="en-GB"/>
              </w:rPr>
              <w:t>48 (72.7)</w:t>
            </w:r>
          </w:p>
        </w:tc>
        <w:tc>
          <w:tcPr>
            <w:tcW w:w="0" w:type="auto"/>
          </w:tcPr>
          <w:p w14:paraId="0524177A" w14:textId="77777777" w:rsidR="00AE7D70" w:rsidRPr="00E678AB" w:rsidRDefault="00AE7D70" w:rsidP="00AE7D70">
            <w:pPr>
              <w:pStyle w:val="Compact"/>
              <w:jc w:val="right"/>
              <w:rPr>
                <w:lang w:val="en-GB"/>
              </w:rPr>
            </w:pPr>
            <w:r w:rsidRPr="00E678AB">
              <w:rPr>
                <w:lang w:val="en-GB"/>
              </w:rPr>
              <w:t>62 (63.9)</w:t>
            </w:r>
          </w:p>
        </w:tc>
        <w:tc>
          <w:tcPr>
            <w:tcW w:w="0" w:type="auto"/>
          </w:tcPr>
          <w:p w14:paraId="54A55D9D" w14:textId="77777777" w:rsidR="00AE7D70" w:rsidRPr="00E678AB" w:rsidRDefault="00AE7D70" w:rsidP="00AE7D70">
            <w:pPr>
              <w:pStyle w:val="Compact"/>
              <w:jc w:val="right"/>
              <w:rPr>
                <w:lang w:val="en-GB"/>
              </w:rPr>
            </w:pPr>
            <w:r w:rsidRPr="00E678AB">
              <w:rPr>
                <w:lang w:val="en-GB"/>
              </w:rPr>
              <w:t>194 (76.4)</w:t>
            </w:r>
          </w:p>
        </w:tc>
        <w:tc>
          <w:tcPr>
            <w:tcW w:w="0" w:type="auto"/>
          </w:tcPr>
          <w:p w14:paraId="67053603" w14:textId="77777777" w:rsidR="00AE7D70" w:rsidRPr="00E678AB" w:rsidRDefault="00AE7D70" w:rsidP="00AE7D70">
            <w:pPr>
              <w:pStyle w:val="Compact"/>
              <w:jc w:val="right"/>
              <w:rPr>
                <w:lang w:val="en-GB"/>
              </w:rPr>
            </w:pPr>
            <w:r w:rsidRPr="00E678AB">
              <w:rPr>
                <w:lang w:val="en-GB"/>
              </w:rPr>
              <w:t>&lt;0.001</w:t>
            </w:r>
          </w:p>
        </w:tc>
      </w:tr>
      <w:tr w:rsidR="00AE7D70" w:rsidRPr="00E678AB" w14:paraId="36DC67F7" w14:textId="77777777">
        <w:tc>
          <w:tcPr>
            <w:tcW w:w="0" w:type="auto"/>
          </w:tcPr>
          <w:p w14:paraId="25F46468" w14:textId="77777777" w:rsidR="00AE7D70" w:rsidRDefault="00AE7D70" w:rsidP="00AE7D70">
            <w:pPr>
              <w:pStyle w:val="Compact"/>
              <w:rPr>
                <w:lang w:val="en-GB"/>
              </w:rPr>
            </w:pPr>
            <w:r w:rsidRPr="00E678AB">
              <w:rPr>
                <w:lang w:val="en-GB"/>
              </w:rPr>
              <w:t>Pathology available in hospital</w:t>
            </w:r>
          </w:p>
          <w:p w14:paraId="7CD597CF" w14:textId="1C09259B" w:rsidR="00AE7D70" w:rsidRPr="00E678AB" w:rsidRDefault="00AE7D70" w:rsidP="00AE7D70">
            <w:pPr>
              <w:pStyle w:val="Compact"/>
              <w:rPr>
                <w:lang w:val="en-GB"/>
              </w:rPr>
            </w:pPr>
          </w:p>
        </w:tc>
        <w:tc>
          <w:tcPr>
            <w:tcW w:w="0" w:type="auto"/>
          </w:tcPr>
          <w:p w14:paraId="292DE054" w14:textId="2D187D2A" w:rsidR="00AE7D70" w:rsidRPr="00E678AB" w:rsidRDefault="00AE7D70" w:rsidP="00AE7D70">
            <w:pPr>
              <w:pStyle w:val="Compact"/>
              <w:rPr>
                <w:lang w:val="en-GB"/>
              </w:rPr>
            </w:pPr>
          </w:p>
        </w:tc>
        <w:tc>
          <w:tcPr>
            <w:tcW w:w="0" w:type="auto"/>
          </w:tcPr>
          <w:p w14:paraId="6003C15E" w14:textId="77777777" w:rsidR="00AE7D70" w:rsidRPr="00E678AB" w:rsidRDefault="00AE7D70" w:rsidP="00AE7D70">
            <w:pPr>
              <w:pStyle w:val="Compact"/>
              <w:jc w:val="right"/>
              <w:rPr>
                <w:lang w:val="en-GB"/>
              </w:rPr>
            </w:pPr>
            <w:r w:rsidRPr="00E678AB">
              <w:rPr>
                <w:lang w:val="en-GB"/>
              </w:rPr>
              <w:t>66 (72.5)</w:t>
            </w:r>
          </w:p>
        </w:tc>
        <w:tc>
          <w:tcPr>
            <w:tcW w:w="0" w:type="auto"/>
          </w:tcPr>
          <w:p w14:paraId="0B1E1E99" w14:textId="77777777" w:rsidR="00AE7D70" w:rsidRPr="00E678AB" w:rsidRDefault="00AE7D70" w:rsidP="00AE7D70">
            <w:pPr>
              <w:pStyle w:val="Compact"/>
              <w:jc w:val="right"/>
              <w:rPr>
                <w:lang w:val="en-GB"/>
              </w:rPr>
            </w:pPr>
            <w:r w:rsidRPr="00E678AB">
              <w:rPr>
                <w:lang w:val="en-GB"/>
              </w:rPr>
              <w:t>52 (78.8)</w:t>
            </w:r>
          </w:p>
        </w:tc>
        <w:tc>
          <w:tcPr>
            <w:tcW w:w="0" w:type="auto"/>
          </w:tcPr>
          <w:p w14:paraId="1D889931" w14:textId="77777777" w:rsidR="00AE7D70" w:rsidRPr="00E678AB" w:rsidRDefault="00AE7D70" w:rsidP="00AE7D70">
            <w:pPr>
              <w:pStyle w:val="Compact"/>
              <w:jc w:val="right"/>
              <w:rPr>
                <w:lang w:val="en-GB"/>
              </w:rPr>
            </w:pPr>
            <w:r w:rsidRPr="00E678AB">
              <w:rPr>
                <w:lang w:val="en-GB"/>
              </w:rPr>
              <w:t>67 (69.1)</w:t>
            </w:r>
          </w:p>
        </w:tc>
        <w:tc>
          <w:tcPr>
            <w:tcW w:w="0" w:type="auto"/>
          </w:tcPr>
          <w:p w14:paraId="1C69BCD4" w14:textId="77777777" w:rsidR="00AE7D70" w:rsidRPr="00E678AB" w:rsidRDefault="00AE7D70" w:rsidP="00AE7D70">
            <w:pPr>
              <w:pStyle w:val="Compact"/>
              <w:jc w:val="right"/>
              <w:rPr>
                <w:lang w:val="en-GB"/>
              </w:rPr>
            </w:pPr>
            <w:r w:rsidRPr="00E678AB">
              <w:rPr>
                <w:lang w:val="en-GB"/>
              </w:rPr>
              <w:t>185 (72.8)</w:t>
            </w:r>
          </w:p>
        </w:tc>
        <w:tc>
          <w:tcPr>
            <w:tcW w:w="0" w:type="auto"/>
          </w:tcPr>
          <w:p w14:paraId="1F7DC432" w14:textId="77777777" w:rsidR="00AE7D70" w:rsidRPr="00E678AB" w:rsidRDefault="00AE7D70" w:rsidP="00AE7D70">
            <w:pPr>
              <w:pStyle w:val="Compact"/>
              <w:jc w:val="right"/>
              <w:rPr>
                <w:lang w:val="en-GB"/>
              </w:rPr>
            </w:pPr>
            <w:r w:rsidRPr="00E678AB">
              <w:rPr>
                <w:lang w:val="en-GB"/>
              </w:rPr>
              <w:t>0.391</w:t>
            </w:r>
          </w:p>
        </w:tc>
      </w:tr>
      <w:tr w:rsidR="00AE7D70" w:rsidRPr="00E678AB" w14:paraId="161318DE" w14:textId="77777777">
        <w:tc>
          <w:tcPr>
            <w:tcW w:w="0" w:type="auto"/>
          </w:tcPr>
          <w:p w14:paraId="32907AE2" w14:textId="77777777" w:rsidR="00AE7D70" w:rsidRPr="00E678AB" w:rsidRDefault="00AE7D70" w:rsidP="00AE7D70">
            <w:pPr>
              <w:pStyle w:val="Compact"/>
              <w:rPr>
                <w:lang w:val="en-GB"/>
              </w:rPr>
            </w:pPr>
            <w:r w:rsidRPr="00E678AB">
              <w:rPr>
                <w:lang w:val="en-GB"/>
              </w:rPr>
              <w:t>Hospital type</w:t>
            </w:r>
          </w:p>
        </w:tc>
        <w:tc>
          <w:tcPr>
            <w:tcW w:w="0" w:type="auto"/>
          </w:tcPr>
          <w:p w14:paraId="6BC6FE66" w14:textId="77777777" w:rsidR="00AE7D70" w:rsidRPr="00E678AB" w:rsidRDefault="00AE7D70" w:rsidP="00AE7D70">
            <w:pPr>
              <w:pStyle w:val="Compact"/>
              <w:rPr>
                <w:lang w:val="en-GB"/>
              </w:rPr>
            </w:pPr>
            <w:r w:rsidRPr="00E678AB">
              <w:rPr>
                <w:lang w:val="en-GB"/>
              </w:rPr>
              <w:t>Non-referral hospital</w:t>
            </w:r>
          </w:p>
        </w:tc>
        <w:tc>
          <w:tcPr>
            <w:tcW w:w="0" w:type="auto"/>
          </w:tcPr>
          <w:p w14:paraId="4C1A8823" w14:textId="77777777" w:rsidR="00AE7D70" w:rsidRPr="00E678AB" w:rsidRDefault="00AE7D70" w:rsidP="00AE7D70">
            <w:pPr>
              <w:pStyle w:val="Compact"/>
              <w:jc w:val="right"/>
              <w:rPr>
                <w:lang w:val="en-GB"/>
              </w:rPr>
            </w:pPr>
            <w:r w:rsidRPr="00E678AB">
              <w:rPr>
                <w:lang w:val="en-GB"/>
              </w:rPr>
              <w:t>25 (27.5)</w:t>
            </w:r>
          </w:p>
        </w:tc>
        <w:tc>
          <w:tcPr>
            <w:tcW w:w="0" w:type="auto"/>
          </w:tcPr>
          <w:p w14:paraId="30E594F0" w14:textId="77777777" w:rsidR="00AE7D70" w:rsidRPr="00E678AB" w:rsidRDefault="00AE7D70" w:rsidP="00AE7D70">
            <w:pPr>
              <w:pStyle w:val="Compact"/>
              <w:jc w:val="right"/>
              <w:rPr>
                <w:lang w:val="en-GB"/>
              </w:rPr>
            </w:pPr>
            <w:r w:rsidRPr="00E678AB">
              <w:rPr>
                <w:lang w:val="en-GB"/>
              </w:rPr>
              <w:t>5 (7.6)</w:t>
            </w:r>
          </w:p>
        </w:tc>
        <w:tc>
          <w:tcPr>
            <w:tcW w:w="0" w:type="auto"/>
          </w:tcPr>
          <w:p w14:paraId="728F7614" w14:textId="77777777" w:rsidR="00AE7D70" w:rsidRPr="00E678AB" w:rsidRDefault="00AE7D70" w:rsidP="00AE7D70">
            <w:pPr>
              <w:pStyle w:val="Compact"/>
              <w:jc w:val="right"/>
              <w:rPr>
                <w:lang w:val="en-GB"/>
              </w:rPr>
            </w:pPr>
            <w:r w:rsidRPr="00E678AB">
              <w:rPr>
                <w:lang w:val="en-GB"/>
              </w:rPr>
              <w:t>7 (7.2)</w:t>
            </w:r>
          </w:p>
        </w:tc>
        <w:tc>
          <w:tcPr>
            <w:tcW w:w="0" w:type="auto"/>
          </w:tcPr>
          <w:p w14:paraId="04B1D4A1" w14:textId="77777777" w:rsidR="00AE7D70" w:rsidRPr="00E678AB" w:rsidRDefault="00AE7D70" w:rsidP="00AE7D70">
            <w:pPr>
              <w:pStyle w:val="Compact"/>
              <w:jc w:val="right"/>
              <w:rPr>
                <w:lang w:val="en-GB"/>
              </w:rPr>
            </w:pPr>
            <w:r w:rsidRPr="00E678AB">
              <w:rPr>
                <w:lang w:val="en-GB"/>
              </w:rPr>
              <w:t>37 (14.6)</w:t>
            </w:r>
          </w:p>
        </w:tc>
        <w:tc>
          <w:tcPr>
            <w:tcW w:w="0" w:type="auto"/>
          </w:tcPr>
          <w:p w14:paraId="3536E59A" w14:textId="77777777" w:rsidR="00AE7D70" w:rsidRPr="00E678AB" w:rsidRDefault="00AE7D70" w:rsidP="00AE7D70">
            <w:pPr>
              <w:pStyle w:val="Compact"/>
              <w:jc w:val="right"/>
              <w:rPr>
                <w:lang w:val="en-GB"/>
              </w:rPr>
            </w:pPr>
            <w:r w:rsidRPr="00E678AB">
              <w:rPr>
                <w:lang w:val="en-GB"/>
              </w:rPr>
              <w:t>0.001</w:t>
            </w:r>
          </w:p>
        </w:tc>
      </w:tr>
      <w:tr w:rsidR="00AE7D70" w:rsidRPr="00E678AB" w14:paraId="0FA5F507" w14:textId="77777777">
        <w:tc>
          <w:tcPr>
            <w:tcW w:w="0" w:type="auto"/>
          </w:tcPr>
          <w:p w14:paraId="75ADC0E8" w14:textId="77777777" w:rsidR="00AE7D70" w:rsidRPr="00E678AB" w:rsidRDefault="00AE7D70" w:rsidP="00AE7D70"/>
        </w:tc>
        <w:tc>
          <w:tcPr>
            <w:tcW w:w="0" w:type="auto"/>
          </w:tcPr>
          <w:p w14:paraId="25CE7054" w14:textId="77777777" w:rsidR="00AE7D70" w:rsidRPr="00E678AB" w:rsidRDefault="00AE7D70" w:rsidP="00AE7D70">
            <w:pPr>
              <w:pStyle w:val="Compact"/>
              <w:rPr>
                <w:lang w:val="en-GB"/>
              </w:rPr>
            </w:pPr>
            <w:r w:rsidRPr="00E678AB">
              <w:rPr>
                <w:lang w:val="en-GB"/>
              </w:rPr>
              <w:t>Referral hospital</w:t>
            </w:r>
          </w:p>
        </w:tc>
        <w:tc>
          <w:tcPr>
            <w:tcW w:w="0" w:type="auto"/>
          </w:tcPr>
          <w:p w14:paraId="7BB81DA7" w14:textId="77777777" w:rsidR="00AE7D70" w:rsidRPr="00E678AB" w:rsidRDefault="00AE7D70" w:rsidP="00AE7D70">
            <w:pPr>
              <w:pStyle w:val="Compact"/>
              <w:jc w:val="right"/>
              <w:rPr>
                <w:lang w:val="en-GB"/>
              </w:rPr>
            </w:pPr>
            <w:r w:rsidRPr="00E678AB">
              <w:rPr>
                <w:lang w:val="en-GB"/>
              </w:rPr>
              <w:t>56 (61.5)</w:t>
            </w:r>
          </w:p>
        </w:tc>
        <w:tc>
          <w:tcPr>
            <w:tcW w:w="0" w:type="auto"/>
          </w:tcPr>
          <w:p w14:paraId="61569962" w14:textId="77777777" w:rsidR="00AE7D70" w:rsidRPr="00E678AB" w:rsidRDefault="00AE7D70" w:rsidP="00AE7D70">
            <w:pPr>
              <w:pStyle w:val="Compact"/>
              <w:jc w:val="right"/>
              <w:rPr>
                <w:lang w:val="en-GB"/>
              </w:rPr>
            </w:pPr>
            <w:r w:rsidRPr="00E678AB">
              <w:rPr>
                <w:lang w:val="en-GB"/>
              </w:rPr>
              <w:t>53 (80.3)</w:t>
            </w:r>
          </w:p>
        </w:tc>
        <w:tc>
          <w:tcPr>
            <w:tcW w:w="0" w:type="auto"/>
          </w:tcPr>
          <w:p w14:paraId="52473F69" w14:textId="77777777" w:rsidR="00AE7D70" w:rsidRPr="00E678AB" w:rsidRDefault="00AE7D70" w:rsidP="00AE7D70">
            <w:pPr>
              <w:pStyle w:val="Compact"/>
              <w:jc w:val="right"/>
              <w:rPr>
                <w:lang w:val="en-GB"/>
              </w:rPr>
            </w:pPr>
            <w:r w:rsidRPr="00E678AB">
              <w:rPr>
                <w:lang w:val="en-GB"/>
              </w:rPr>
              <w:t>78 (80.4)</w:t>
            </w:r>
          </w:p>
        </w:tc>
        <w:tc>
          <w:tcPr>
            <w:tcW w:w="0" w:type="auto"/>
          </w:tcPr>
          <w:p w14:paraId="12586DD3" w14:textId="77777777" w:rsidR="00AE7D70" w:rsidRPr="00E678AB" w:rsidRDefault="00AE7D70" w:rsidP="00AE7D70">
            <w:pPr>
              <w:pStyle w:val="Compact"/>
              <w:jc w:val="right"/>
              <w:rPr>
                <w:lang w:val="en-GB"/>
              </w:rPr>
            </w:pPr>
            <w:r w:rsidRPr="00E678AB">
              <w:rPr>
                <w:lang w:val="en-GB"/>
              </w:rPr>
              <w:t>187 (73.6)</w:t>
            </w:r>
          </w:p>
        </w:tc>
        <w:tc>
          <w:tcPr>
            <w:tcW w:w="0" w:type="auto"/>
          </w:tcPr>
          <w:p w14:paraId="6579E07C" w14:textId="77777777" w:rsidR="00AE7D70" w:rsidRPr="00E678AB" w:rsidRDefault="00AE7D70" w:rsidP="00AE7D70"/>
        </w:tc>
      </w:tr>
      <w:tr w:rsidR="00AE7D70" w:rsidRPr="00E678AB" w14:paraId="174DD619" w14:textId="77777777">
        <w:tc>
          <w:tcPr>
            <w:tcW w:w="0" w:type="auto"/>
          </w:tcPr>
          <w:p w14:paraId="6CB5CA4F" w14:textId="77777777" w:rsidR="00AE7D70" w:rsidRPr="00E678AB" w:rsidRDefault="00AE7D70" w:rsidP="00AE7D70"/>
        </w:tc>
        <w:tc>
          <w:tcPr>
            <w:tcW w:w="0" w:type="auto"/>
          </w:tcPr>
          <w:p w14:paraId="5B3C6F87" w14:textId="77777777" w:rsidR="00AE7D70" w:rsidRDefault="00AE7D70" w:rsidP="00AE7D70">
            <w:pPr>
              <w:pStyle w:val="Compact"/>
              <w:rPr>
                <w:lang w:val="en-GB"/>
              </w:rPr>
            </w:pPr>
            <w:r w:rsidRPr="00E678AB">
              <w:rPr>
                <w:lang w:val="en-GB"/>
              </w:rPr>
              <w:t>Specialist cancer hospital</w:t>
            </w:r>
          </w:p>
          <w:p w14:paraId="151F1E74" w14:textId="52427983" w:rsidR="00AE7D70" w:rsidRPr="00E678AB" w:rsidRDefault="00AE7D70" w:rsidP="00AE7D70">
            <w:pPr>
              <w:pStyle w:val="Compact"/>
              <w:rPr>
                <w:lang w:val="en-GB"/>
              </w:rPr>
            </w:pPr>
          </w:p>
        </w:tc>
        <w:tc>
          <w:tcPr>
            <w:tcW w:w="0" w:type="auto"/>
          </w:tcPr>
          <w:p w14:paraId="65E01564" w14:textId="77777777" w:rsidR="00AE7D70" w:rsidRPr="00E678AB" w:rsidRDefault="00AE7D70" w:rsidP="00AE7D70">
            <w:pPr>
              <w:pStyle w:val="Compact"/>
              <w:jc w:val="right"/>
              <w:rPr>
                <w:lang w:val="en-GB"/>
              </w:rPr>
            </w:pPr>
            <w:r w:rsidRPr="00E678AB">
              <w:rPr>
                <w:lang w:val="en-GB"/>
              </w:rPr>
              <w:t>10 (11.0)</w:t>
            </w:r>
          </w:p>
        </w:tc>
        <w:tc>
          <w:tcPr>
            <w:tcW w:w="0" w:type="auto"/>
          </w:tcPr>
          <w:p w14:paraId="60A18195" w14:textId="77777777" w:rsidR="00AE7D70" w:rsidRPr="00E678AB" w:rsidRDefault="00AE7D70" w:rsidP="00AE7D70">
            <w:pPr>
              <w:pStyle w:val="Compact"/>
              <w:jc w:val="right"/>
              <w:rPr>
                <w:lang w:val="en-GB"/>
              </w:rPr>
            </w:pPr>
            <w:r w:rsidRPr="00E678AB">
              <w:rPr>
                <w:lang w:val="en-GB"/>
              </w:rPr>
              <w:t>8 (12.1)</w:t>
            </w:r>
          </w:p>
        </w:tc>
        <w:tc>
          <w:tcPr>
            <w:tcW w:w="0" w:type="auto"/>
          </w:tcPr>
          <w:p w14:paraId="2EF50C51" w14:textId="77777777" w:rsidR="00AE7D70" w:rsidRPr="00E678AB" w:rsidRDefault="00AE7D70" w:rsidP="00AE7D70">
            <w:pPr>
              <w:pStyle w:val="Compact"/>
              <w:jc w:val="right"/>
              <w:rPr>
                <w:lang w:val="en-GB"/>
              </w:rPr>
            </w:pPr>
            <w:r w:rsidRPr="00E678AB">
              <w:rPr>
                <w:lang w:val="en-GB"/>
              </w:rPr>
              <w:t>12 (12.4)</w:t>
            </w:r>
          </w:p>
        </w:tc>
        <w:tc>
          <w:tcPr>
            <w:tcW w:w="0" w:type="auto"/>
          </w:tcPr>
          <w:p w14:paraId="09E65B71" w14:textId="77777777" w:rsidR="00AE7D70" w:rsidRPr="00E678AB" w:rsidRDefault="00AE7D70" w:rsidP="00AE7D70">
            <w:pPr>
              <w:pStyle w:val="Compact"/>
              <w:jc w:val="right"/>
              <w:rPr>
                <w:lang w:val="en-GB"/>
              </w:rPr>
            </w:pPr>
            <w:r w:rsidRPr="00E678AB">
              <w:rPr>
                <w:lang w:val="en-GB"/>
              </w:rPr>
              <w:t>30 (11.8)</w:t>
            </w:r>
          </w:p>
        </w:tc>
        <w:tc>
          <w:tcPr>
            <w:tcW w:w="0" w:type="auto"/>
          </w:tcPr>
          <w:p w14:paraId="654EB39F" w14:textId="77777777" w:rsidR="00AE7D70" w:rsidRPr="00E678AB" w:rsidRDefault="00AE7D70" w:rsidP="00AE7D70"/>
        </w:tc>
      </w:tr>
      <w:tr w:rsidR="00AE7D70" w:rsidRPr="00E678AB" w14:paraId="200A88E8" w14:textId="77777777">
        <w:tc>
          <w:tcPr>
            <w:tcW w:w="0" w:type="auto"/>
          </w:tcPr>
          <w:p w14:paraId="0045637F" w14:textId="56C29353" w:rsidR="00AE7D70" w:rsidRDefault="00AE7D70" w:rsidP="00AE7D70">
            <w:pPr>
              <w:pStyle w:val="Compact"/>
              <w:rPr>
                <w:lang w:val="en-GB"/>
              </w:rPr>
            </w:pPr>
            <w:r>
              <w:rPr>
                <w:lang w:val="en-GB"/>
              </w:rPr>
              <w:t>Elective</w:t>
            </w:r>
            <w:r w:rsidRPr="00E678AB">
              <w:rPr>
                <w:lang w:val="en-GB"/>
              </w:rPr>
              <w:t xml:space="preserve"> </w:t>
            </w:r>
            <w:proofErr w:type="spellStart"/>
            <w:r w:rsidRPr="00E678AB">
              <w:rPr>
                <w:lang w:val="en-GB"/>
              </w:rPr>
              <w:t>oesophage</w:t>
            </w:r>
            <w:r>
              <w:rPr>
                <w:lang w:val="en-GB"/>
              </w:rPr>
              <w:t>ctomy</w:t>
            </w:r>
            <w:proofErr w:type="spellEnd"/>
            <w:r>
              <w:rPr>
                <w:lang w:val="en-GB"/>
              </w:rPr>
              <w:t xml:space="preserve"> available</w:t>
            </w:r>
          </w:p>
          <w:p w14:paraId="201B2FD0" w14:textId="2BBCACFE" w:rsidR="00AE7D70" w:rsidRPr="00E678AB" w:rsidRDefault="00AE7D70" w:rsidP="00AE7D70">
            <w:pPr>
              <w:pStyle w:val="Compact"/>
              <w:rPr>
                <w:lang w:val="en-GB"/>
              </w:rPr>
            </w:pPr>
          </w:p>
        </w:tc>
        <w:tc>
          <w:tcPr>
            <w:tcW w:w="0" w:type="auto"/>
          </w:tcPr>
          <w:p w14:paraId="4E05F0EA" w14:textId="01069CBD" w:rsidR="00AE7D70" w:rsidRPr="00E678AB" w:rsidRDefault="00AE7D70" w:rsidP="00AE7D70">
            <w:pPr>
              <w:pStyle w:val="Compact"/>
              <w:rPr>
                <w:lang w:val="en-GB"/>
              </w:rPr>
            </w:pPr>
          </w:p>
        </w:tc>
        <w:tc>
          <w:tcPr>
            <w:tcW w:w="0" w:type="auto"/>
          </w:tcPr>
          <w:p w14:paraId="54F81D3E" w14:textId="77777777" w:rsidR="00AE7D70" w:rsidRPr="00E678AB" w:rsidRDefault="00AE7D70" w:rsidP="00AE7D70">
            <w:pPr>
              <w:pStyle w:val="Compact"/>
              <w:jc w:val="right"/>
              <w:rPr>
                <w:lang w:val="en-GB"/>
              </w:rPr>
            </w:pPr>
            <w:r w:rsidRPr="00E678AB">
              <w:rPr>
                <w:lang w:val="en-GB"/>
              </w:rPr>
              <w:t>44 (48.4)</w:t>
            </w:r>
          </w:p>
        </w:tc>
        <w:tc>
          <w:tcPr>
            <w:tcW w:w="0" w:type="auto"/>
          </w:tcPr>
          <w:p w14:paraId="4D86C45D" w14:textId="77777777" w:rsidR="00AE7D70" w:rsidRPr="00E678AB" w:rsidRDefault="00AE7D70" w:rsidP="00AE7D70">
            <w:pPr>
              <w:pStyle w:val="Compact"/>
              <w:jc w:val="right"/>
              <w:rPr>
                <w:lang w:val="en-GB"/>
              </w:rPr>
            </w:pPr>
            <w:r w:rsidRPr="00E678AB">
              <w:rPr>
                <w:lang w:val="en-GB"/>
              </w:rPr>
              <w:t>35 (53.0)</w:t>
            </w:r>
          </w:p>
        </w:tc>
        <w:tc>
          <w:tcPr>
            <w:tcW w:w="0" w:type="auto"/>
          </w:tcPr>
          <w:p w14:paraId="462812C1" w14:textId="77777777" w:rsidR="00AE7D70" w:rsidRPr="00E678AB" w:rsidRDefault="00AE7D70" w:rsidP="00AE7D70">
            <w:pPr>
              <w:pStyle w:val="Compact"/>
              <w:jc w:val="right"/>
              <w:rPr>
                <w:lang w:val="en-GB"/>
              </w:rPr>
            </w:pPr>
            <w:r w:rsidRPr="00E678AB">
              <w:rPr>
                <w:lang w:val="en-GB"/>
              </w:rPr>
              <w:t>47 (48.5)</w:t>
            </w:r>
          </w:p>
        </w:tc>
        <w:tc>
          <w:tcPr>
            <w:tcW w:w="0" w:type="auto"/>
          </w:tcPr>
          <w:p w14:paraId="0A645055" w14:textId="77777777" w:rsidR="00AE7D70" w:rsidRPr="00E678AB" w:rsidRDefault="00AE7D70" w:rsidP="00AE7D70">
            <w:pPr>
              <w:pStyle w:val="Compact"/>
              <w:jc w:val="right"/>
              <w:rPr>
                <w:lang w:val="en-GB"/>
              </w:rPr>
            </w:pPr>
            <w:r w:rsidRPr="00E678AB">
              <w:rPr>
                <w:lang w:val="en-GB"/>
              </w:rPr>
              <w:t>126 (49.6)</w:t>
            </w:r>
          </w:p>
        </w:tc>
        <w:tc>
          <w:tcPr>
            <w:tcW w:w="0" w:type="auto"/>
          </w:tcPr>
          <w:p w14:paraId="456A74AA" w14:textId="77777777" w:rsidR="00AE7D70" w:rsidRPr="00E678AB" w:rsidRDefault="00AE7D70" w:rsidP="00AE7D70">
            <w:pPr>
              <w:pStyle w:val="Compact"/>
              <w:jc w:val="right"/>
              <w:rPr>
                <w:lang w:val="en-GB"/>
              </w:rPr>
            </w:pPr>
            <w:r w:rsidRPr="00E678AB">
              <w:rPr>
                <w:lang w:val="en-GB"/>
              </w:rPr>
              <w:t>0.811</w:t>
            </w:r>
          </w:p>
        </w:tc>
      </w:tr>
    </w:tbl>
    <w:p w14:paraId="154C571D" w14:textId="0FB3849C" w:rsidR="00CF7BC4" w:rsidRPr="00E678AB" w:rsidRDefault="009D77B2">
      <w:r w:rsidRPr="00E678AB">
        <w:br w:type="page"/>
      </w:r>
    </w:p>
    <w:p w14:paraId="2CB6A42A" w14:textId="124E85BB" w:rsidR="00CF7BC4" w:rsidRPr="00E678AB" w:rsidRDefault="009D77B2" w:rsidP="008D79B8">
      <w:pPr>
        <w:pStyle w:val="Heading4"/>
        <w:rPr>
          <w:lang w:val="en-GB"/>
        </w:rPr>
      </w:pPr>
      <w:bookmarkStart w:id="6" w:name="X1c6adb072ebf1223202516e2b735d0af92c88eb"/>
      <w:r w:rsidRPr="00E678AB">
        <w:rPr>
          <w:lang w:val="en-GB"/>
        </w:rPr>
        <w:lastRenderedPageBreak/>
        <w:t xml:space="preserve">Figure 2. Distribution of outcomes </w:t>
      </w:r>
      <w:r w:rsidR="00124637">
        <w:rPr>
          <w:lang w:val="en-GB"/>
        </w:rPr>
        <w:t xml:space="preserve">across </w:t>
      </w:r>
      <w:r w:rsidR="004209D5" w:rsidRPr="00AD1D63">
        <w:rPr>
          <w:lang w:val="en-GB"/>
        </w:rPr>
        <w:t xml:space="preserve">number of </w:t>
      </w:r>
      <w:r w:rsidR="00D97439">
        <w:rPr>
          <w:lang w:val="en-GB"/>
        </w:rPr>
        <w:t xml:space="preserve">available </w:t>
      </w:r>
      <w:r w:rsidRPr="00AD1D63">
        <w:rPr>
          <w:lang w:val="en-GB"/>
        </w:rPr>
        <w:t xml:space="preserve">hospital </w:t>
      </w:r>
      <w:bookmarkEnd w:id="6"/>
      <w:r w:rsidR="00475E7C" w:rsidRPr="00AD1D63">
        <w:rPr>
          <w:lang w:val="en-GB"/>
        </w:rPr>
        <w:t>facilities</w:t>
      </w:r>
    </w:p>
    <w:p w14:paraId="75C4B4AC" w14:textId="77777777" w:rsidR="00CF7BC4" w:rsidRPr="00E678AB" w:rsidRDefault="009D77B2">
      <w:pPr>
        <w:pStyle w:val="FirstParagraph"/>
        <w:rPr>
          <w:lang w:val="en-GB"/>
        </w:rPr>
      </w:pPr>
      <w:r w:rsidRPr="00E678AB">
        <w:rPr>
          <w:noProof/>
          <w:lang w:val="en-GB"/>
        </w:rPr>
        <w:drawing>
          <wp:inline distT="0" distB="0" distL="0" distR="0" wp14:anchorId="6FFAE63C" wp14:editId="075F8FD3">
            <wp:extent cx="6858000" cy="5143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HLS_analysis_writeup_files/figure-docx/unnamed-chunk-9-1.png"/>
                    <pic:cNvPicPr>
                      <a:picLocks noChangeAspect="1" noChangeArrowheads="1"/>
                    </pic:cNvPicPr>
                  </pic:nvPicPr>
                  <pic:blipFill>
                    <a:blip r:embed="rId9"/>
                    <a:stretch>
                      <a:fillRect/>
                    </a:stretch>
                  </pic:blipFill>
                  <pic:spPr bwMode="auto">
                    <a:xfrm>
                      <a:off x="0" y="0"/>
                      <a:ext cx="6858000" cy="5143500"/>
                    </a:xfrm>
                    <a:prstGeom prst="rect">
                      <a:avLst/>
                    </a:prstGeom>
                    <a:noFill/>
                    <a:ln w="9525">
                      <a:noFill/>
                      <a:headEnd/>
                      <a:tailEnd/>
                    </a:ln>
                  </pic:spPr>
                </pic:pic>
              </a:graphicData>
            </a:graphic>
          </wp:inline>
        </w:drawing>
      </w:r>
    </w:p>
    <w:p w14:paraId="16542D63" w14:textId="77777777" w:rsidR="00CF7BC4" w:rsidRPr="00E678AB" w:rsidRDefault="009D77B2">
      <w:r w:rsidRPr="00E678AB">
        <w:br w:type="page"/>
      </w:r>
    </w:p>
    <w:p w14:paraId="4CA7C4FF" w14:textId="0B02A82B" w:rsidR="00CF7BC4" w:rsidRDefault="009D77B2" w:rsidP="00703376">
      <w:pPr>
        <w:pStyle w:val="Heading4"/>
        <w:rPr>
          <w:lang w:val="en-GB"/>
        </w:rPr>
      </w:pPr>
      <w:bookmarkStart w:id="7" w:name="X3a6d0852f587fafdc9b323d71cbadde66ff35ca"/>
      <w:r w:rsidRPr="00E678AB">
        <w:rPr>
          <w:lang w:val="en-GB"/>
        </w:rPr>
        <w:lastRenderedPageBreak/>
        <w:t xml:space="preserve">Figure 3. Distribution of </w:t>
      </w:r>
      <w:r w:rsidR="00A26F73" w:rsidRPr="00194973">
        <w:rPr>
          <w:lang w:val="en-GB"/>
        </w:rPr>
        <w:t xml:space="preserve">hospital </w:t>
      </w:r>
      <w:r w:rsidR="00B476E7" w:rsidRPr="00194973">
        <w:rPr>
          <w:lang w:val="en-GB"/>
        </w:rPr>
        <w:t>facili</w:t>
      </w:r>
      <w:r w:rsidR="00A26F73" w:rsidRPr="00194973">
        <w:rPr>
          <w:lang w:val="en-GB"/>
        </w:rPr>
        <w:t>ties</w:t>
      </w:r>
      <w:r w:rsidRPr="00E678AB">
        <w:rPr>
          <w:lang w:val="en-GB"/>
        </w:rPr>
        <w:t xml:space="preserve"> by country income group (A),</w:t>
      </w:r>
      <w:r w:rsidR="00D61341">
        <w:rPr>
          <w:lang w:val="en-GB"/>
        </w:rPr>
        <w:t xml:space="preserve"> </w:t>
      </w:r>
      <w:r w:rsidR="00D61341" w:rsidRPr="00E678AB">
        <w:rPr>
          <w:lang w:val="en-GB"/>
        </w:rPr>
        <w:t>individual hospital facility</w:t>
      </w:r>
      <w:r w:rsidR="00D61341">
        <w:rPr>
          <w:lang w:val="en-GB"/>
        </w:rPr>
        <w:t xml:space="preserve"> (</w:t>
      </w:r>
      <w:r w:rsidRPr="00E678AB">
        <w:rPr>
          <w:lang w:val="en-GB"/>
        </w:rPr>
        <w:t xml:space="preserve">B), and </w:t>
      </w:r>
      <w:r w:rsidR="00D61341" w:rsidRPr="00E678AB">
        <w:rPr>
          <w:lang w:val="en-GB"/>
        </w:rPr>
        <w:t xml:space="preserve">Human Development Index (HDI; </w:t>
      </w:r>
      <w:r w:rsidRPr="00E678AB">
        <w:rPr>
          <w:lang w:val="en-GB"/>
        </w:rPr>
        <w:t>C)</w:t>
      </w:r>
      <w:bookmarkEnd w:id="7"/>
    </w:p>
    <w:p w14:paraId="585D74C5" w14:textId="73BD2B88" w:rsidR="00703376" w:rsidRPr="00703376" w:rsidRDefault="00194973" w:rsidP="00703376">
      <w:pPr>
        <w:pStyle w:val="BodyText"/>
        <w:rPr>
          <w:lang w:val="en-GB"/>
        </w:rPr>
      </w:pPr>
      <w:r>
        <w:rPr>
          <w:noProof/>
        </w:rPr>
        <w:drawing>
          <wp:inline distT="0" distB="0" distL="0" distR="0" wp14:anchorId="3B3BEC9A" wp14:editId="3AB303BC">
            <wp:extent cx="6858000" cy="7715250"/>
            <wp:effectExtent l="0" t="0" r="0" b="6350"/>
            <wp:docPr id="2" name="Picture"/>
            <wp:cNvGraphicFramePr/>
            <a:graphic xmlns:a="http://schemas.openxmlformats.org/drawingml/2006/main">
              <a:graphicData uri="http://schemas.openxmlformats.org/drawingml/2006/picture">
                <pic:pic xmlns:pic="http://schemas.openxmlformats.org/drawingml/2006/picture">
                  <pic:nvPicPr>
                    <pic:cNvPr id="0" name="Picture" descr="HLS_analysis_writeup_files/figure-docx/unnamed-chunk-14-1.png"/>
                    <pic:cNvPicPr>
                      <a:picLocks noChangeAspect="1" noChangeArrowheads="1"/>
                    </pic:cNvPicPr>
                  </pic:nvPicPr>
                  <pic:blipFill>
                    <a:blip r:embed="rId10"/>
                    <a:stretch>
                      <a:fillRect/>
                    </a:stretch>
                  </pic:blipFill>
                  <pic:spPr bwMode="auto">
                    <a:xfrm>
                      <a:off x="0" y="0"/>
                      <a:ext cx="6858000" cy="7715250"/>
                    </a:xfrm>
                    <a:prstGeom prst="rect">
                      <a:avLst/>
                    </a:prstGeom>
                    <a:noFill/>
                    <a:ln w="9525">
                      <a:noFill/>
                      <a:headEnd/>
                      <a:tailEnd/>
                    </a:ln>
                  </pic:spPr>
                </pic:pic>
              </a:graphicData>
            </a:graphic>
          </wp:inline>
        </w:drawing>
      </w:r>
    </w:p>
    <w:p w14:paraId="5B3D423A" w14:textId="77777777" w:rsidR="00CF7BC4" w:rsidRPr="00E678AB" w:rsidRDefault="009D77B2">
      <w:r w:rsidRPr="00E678AB">
        <w:br w:type="page"/>
      </w:r>
    </w:p>
    <w:p w14:paraId="582291DF" w14:textId="4DA07AC8" w:rsidR="00CF7BC4" w:rsidRPr="00E678AB" w:rsidRDefault="009D77B2">
      <w:pPr>
        <w:pStyle w:val="Heading4"/>
        <w:rPr>
          <w:lang w:val="en-GB"/>
        </w:rPr>
      </w:pPr>
      <w:bookmarkStart w:id="8" w:name="Xfd585b900c6eb01c54354a287c2b5b677474893"/>
      <w:r w:rsidRPr="00E678AB">
        <w:rPr>
          <w:lang w:val="en-GB"/>
        </w:rPr>
        <w:lastRenderedPageBreak/>
        <w:t xml:space="preserve">Table 2. Patient </w:t>
      </w:r>
      <w:r w:rsidR="00CD4810" w:rsidRPr="00E678AB">
        <w:rPr>
          <w:lang w:val="en-GB"/>
        </w:rPr>
        <w:t>characteristics</w:t>
      </w:r>
      <w:r w:rsidRPr="00E678AB">
        <w:rPr>
          <w:lang w:val="en-GB"/>
        </w:rPr>
        <w:t xml:space="preserve"> </w:t>
      </w:r>
      <w:r w:rsidR="0083056F">
        <w:rPr>
          <w:lang w:val="en-GB"/>
        </w:rPr>
        <w:t>by</w:t>
      </w:r>
      <w:r w:rsidRPr="00E678AB">
        <w:rPr>
          <w:lang w:val="en-GB"/>
        </w:rPr>
        <w:t xml:space="preserve"> </w:t>
      </w:r>
      <w:bookmarkEnd w:id="8"/>
      <w:r w:rsidR="00BA6AC5" w:rsidRPr="00A26F73">
        <w:rPr>
          <w:lang w:val="en-GB"/>
        </w:rPr>
        <w:t xml:space="preserve">hospital </w:t>
      </w:r>
      <w:r w:rsidR="0083056F" w:rsidRPr="00A26F73">
        <w:rPr>
          <w:lang w:val="en-GB"/>
        </w:rPr>
        <w:t xml:space="preserve">facility </w:t>
      </w:r>
      <w:r w:rsidR="00A26F73">
        <w:rPr>
          <w:lang w:val="en-GB"/>
        </w:rPr>
        <w:t>level</w:t>
      </w:r>
    </w:p>
    <w:tbl>
      <w:tblPr>
        <w:tblStyle w:val="Table"/>
        <w:tblW w:w="5141" w:type="pct"/>
        <w:tblLook w:val="07E0" w:firstRow="1" w:lastRow="1" w:firstColumn="1" w:lastColumn="1" w:noHBand="1" w:noVBand="1"/>
      </w:tblPr>
      <w:tblGrid>
        <w:gridCol w:w="3750"/>
        <w:gridCol w:w="2199"/>
        <w:gridCol w:w="1104"/>
        <w:gridCol w:w="1115"/>
        <w:gridCol w:w="1115"/>
        <w:gridCol w:w="1115"/>
        <w:gridCol w:w="707"/>
      </w:tblGrid>
      <w:tr w:rsidR="002E75D7" w:rsidRPr="00E678AB" w14:paraId="5EAD3DFB" w14:textId="77777777" w:rsidTr="007D5BF1">
        <w:tc>
          <w:tcPr>
            <w:tcW w:w="0" w:type="auto"/>
            <w:tcBorders>
              <w:bottom w:val="single" w:sz="0" w:space="0" w:color="auto"/>
            </w:tcBorders>
            <w:vAlign w:val="bottom"/>
          </w:tcPr>
          <w:p w14:paraId="4142F9F1" w14:textId="6CA6A336" w:rsidR="00CF7BC4" w:rsidRPr="00E678AB" w:rsidRDefault="009D77B2">
            <w:pPr>
              <w:pStyle w:val="Compact"/>
              <w:rPr>
                <w:lang w:val="en-GB"/>
              </w:rPr>
            </w:pPr>
            <w:r w:rsidRPr="00A26F73">
              <w:rPr>
                <w:lang w:val="en-GB"/>
              </w:rPr>
              <w:t xml:space="preserve">Hospital </w:t>
            </w:r>
            <w:r w:rsidR="00A26F73">
              <w:rPr>
                <w:lang w:val="en-GB"/>
              </w:rPr>
              <w:t>facility level</w:t>
            </w:r>
          </w:p>
        </w:tc>
        <w:tc>
          <w:tcPr>
            <w:tcW w:w="0" w:type="auto"/>
            <w:tcBorders>
              <w:bottom w:val="single" w:sz="0" w:space="0" w:color="auto"/>
            </w:tcBorders>
            <w:vAlign w:val="bottom"/>
          </w:tcPr>
          <w:p w14:paraId="417B7BE6" w14:textId="77777777" w:rsidR="00CF7BC4" w:rsidRPr="00E678AB" w:rsidRDefault="00CF7BC4"/>
        </w:tc>
        <w:tc>
          <w:tcPr>
            <w:tcW w:w="497" w:type="pct"/>
            <w:tcBorders>
              <w:bottom w:val="single" w:sz="0" w:space="0" w:color="auto"/>
            </w:tcBorders>
            <w:vAlign w:val="bottom"/>
          </w:tcPr>
          <w:p w14:paraId="3FA3A0A7" w14:textId="77777777" w:rsidR="00CF7BC4" w:rsidRPr="006B0ACD" w:rsidRDefault="009D77B2">
            <w:pPr>
              <w:pStyle w:val="Compact"/>
              <w:jc w:val="right"/>
              <w:rPr>
                <w:lang w:val="en-GB"/>
              </w:rPr>
            </w:pPr>
            <w:r w:rsidRPr="006B0ACD">
              <w:rPr>
                <w:lang w:val="en-GB"/>
              </w:rPr>
              <w:t>5</w:t>
            </w:r>
          </w:p>
          <w:p w14:paraId="394D0F3B" w14:textId="19ECE714" w:rsidR="001B7E2D" w:rsidRPr="006B0ACD" w:rsidRDefault="001B7E2D">
            <w:pPr>
              <w:pStyle w:val="Compact"/>
              <w:jc w:val="right"/>
              <w:rPr>
                <w:lang w:val="en-GB"/>
              </w:rPr>
            </w:pPr>
            <w:r w:rsidRPr="006B0ACD">
              <w:rPr>
                <w:lang w:val="en-GB"/>
              </w:rPr>
              <w:t>(n =</w:t>
            </w:r>
            <w:r w:rsidR="006B0ACD" w:rsidRPr="006B0ACD">
              <w:rPr>
                <w:lang w:val="en-GB"/>
              </w:rPr>
              <w:t xml:space="preserve"> 6378</w:t>
            </w:r>
            <w:r w:rsidRPr="006B0ACD">
              <w:rPr>
                <w:lang w:val="en-GB"/>
              </w:rPr>
              <w:t>)</w:t>
            </w:r>
          </w:p>
        </w:tc>
        <w:tc>
          <w:tcPr>
            <w:tcW w:w="502" w:type="pct"/>
            <w:tcBorders>
              <w:bottom w:val="single" w:sz="0" w:space="0" w:color="auto"/>
            </w:tcBorders>
            <w:vAlign w:val="bottom"/>
          </w:tcPr>
          <w:p w14:paraId="481A89DA" w14:textId="77777777" w:rsidR="00CF7BC4" w:rsidRPr="006B0ACD" w:rsidRDefault="009D77B2">
            <w:pPr>
              <w:pStyle w:val="Compact"/>
              <w:jc w:val="right"/>
              <w:rPr>
                <w:lang w:val="en-GB"/>
              </w:rPr>
            </w:pPr>
            <w:r w:rsidRPr="006B0ACD">
              <w:rPr>
                <w:lang w:val="en-GB"/>
              </w:rPr>
              <w:t>4</w:t>
            </w:r>
          </w:p>
          <w:p w14:paraId="5C4E1AC1" w14:textId="4371082D" w:rsidR="001B7E2D" w:rsidRPr="006B0ACD" w:rsidRDefault="001B7E2D">
            <w:pPr>
              <w:pStyle w:val="Compact"/>
              <w:jc w:val="right"/>
              <w:rPr>
                <w:lang w:val="en-GB"/>
              </w:rPr>
            </w:pPr>
            <w:r w:rsidRPr="006B0ACD">
              <w:rPr>
                <w:lang w:val="en-GB"/>
              </w:rPr>
              <w:t xml:space="preserve">(n = </w:t>
            </w:r>
            <w:r w:rsidR="006B0ACD" w:rsidRPr="006B0ACD">
              <w:rPr>
                <w:lang w:val="en-GB"/>
              </w:rPr>
              <w:t>2013</w:t>
            </w:r>
            <w:r w:rsidRPr="006B0ACD">
              <w:rPr>
                <w:lang w:val="en-GB"/>
              </w:rPr>
              <w:t>)</w:t>
            </w:r>
          </w:p>
        </w:tc>
        <w:tc>
          <w:tcPr>
            <w:tcW w:w="502" w:type="pct"/>
            <w:tcBorders>
              <w:bottom w:val="single" w:sz="0" w:space="0" w:color="auto"/>
            </w:tcBorders>
            <w:vAlign w:val="bottom"/>
          </w:tcPr>
          <w:p w14:paraId="26108863" w14:textId="190BC81A" w:rsidR="00CF7BC4" w:rsidRPr="006B0ACD" w:rsidRDefault="00122BEA">
            <w:pPr>
              <w:pStyle w:val="Compact"/>
              <w:jc w:val="right"/>
              <w:rPr>
                <w:lang w:val="en-GB"/>
              </w:rPr>
            </w:pPr>
            <w:r>
              <w:rPr>
                <w:lang w:val="en-GB"/>
              </w:rPr>
              <w:t>≤</w:t>
            </w:r>
            <w:r w:rsidR="009D77B2" w:rsidRPr="006B0ACD">
              <w:rPr>
                <w:lang w:val="en-GB"/>
              </w:rPr>
              <w:t>3</w:t>
            </w:r>
          </w:p>
          <w:p w14:paraId="3B655387" w14:textId="48AB83B2" w:rsidR="001B7E2D" w:rsidRPr="006B0ACD" w:rsidRDefault="001B7E2D">
            <w:pPr>
              <w:pStyle w:val="Compact"/>
              <w:jc w:val="right"/>
              <w:rPr>
                <w:lang w:val="en-GB"/>
              </w:rPr>
            </w:pPr>
            <w:r w:rsidRPr="006B0ACD">
              <w:rPr>
                <w:lang w:val="en-GB"/>
              </w:rPr>
              <w:t xml:space="preserve">(n = </w:t>
            </w:r>
            <w:r w:rsidR="006B0ACD" w:rsidRPr="006B0ACD">
              <w:rPr>
                <w:lang w:val="en-GB"/>
              </w:rPr>
              <w:t>1294</w:t>
            </w:r>
            <w:r w:rsidRPr="006B0ACD">
              <w:rPr>
                <w:lang w:val="en-GB"/>
              </w:rPr>
              <w:t>)</w:t>
            </w:r>
          </w:p>
        </w:tc>
        <w:tc>
          <w:tcPr>
            <w:tcW w:w="502" w:type="pct"/>
            <w:tcBorders>
              <w:bottom w:val="single" w:sz="0" w:space="0" w:color="auto"/>
            </w:tcBorders>
            <w:vAlign w:val="bottom"/>
          </w:tcPr>
          <w:p w14:paraId="584D8A3B" w14:textId="77777777" w:rsidR="00CF7BC4" w:rsidRPr="006B0ACD" w:rsidRDefault="009D77B2">
            <w:pPr>
              <w:pStyle w:val="Compact"/>
              <w:jc w:val="right"/>
              <w:rPr>
                <w:lang w:val="en-GB"/>
              </w:rPr>
            </w:pPr>
            <w:r w:rsidRPr="006B0ACD">
              <w:rPr>
                <w:lang w:val="en-GB"/>
              </w:rPr>
              <w:t>Total</w:t>
            </w:r>
          </w:p>
          <w:p w14:paraId="39422DB9" w14:textId="4818583A" w:rsidR="001B7E2D" w:rsidRPr="006B0ACD" w:rsidRDefault="001B7E2D">
            <w:pPr>
              <w:pStyle w:val="Compact"/>
              <w:jc w:val="right"/>
              <w:rPr>
                <w:lang w:val="en-GB"/>
              </w:rPr>
            </w:pPr>
            <w:r w:rsidRPr="006B0ACD">
              <w:rPr>
                <w:lang w:val="en-GB"/>
              </w:rPr>
              <w:t xml:space="preserve">(n = </w:t>
            </w:r>
            <w:r w:rsidR="006B0ACD" w:rsidRPr="006B0ACD">
              <w:rPr>
                <w:lang w:val="en-GB"/>
              </w:rPr>
              <w:t>9685</w:t>
            </w:r>
            <w:r w:rsidRPr="006B0ACD">
              <w:rPr>
                <w:lang w:val="en-GB"/>
              </w:rPr>
              <w:t>)</w:t>
            </w:r>
          </w:p>
        </w:tc>
        <w:tc>
          <w:tcPr>
            <w:tcW w:w="0" w:type="auto"/>
            <w:tcBorders>
              <w:bottom w:val="single" w:sz="0" w:space="0" w:color="auto"/>
            </w:tcBorders>
            <w:vAlign w:val="bottom"/>
          </w:tcPr>
          <w:p w14:paraId="3AE0D737" w14:textId="77777777" w:rsidR="00CF7BC4" w:rsidRPr="00E678AB" w:rsidRDefault="009D77B2">
            <w:pPr>
              <w:pStyle w:val="Compact"/>
              <w:jc w:val="right"/>
              <w:rPr>
                <w:lang w:val="en-GB"/>
              </w:rPr>
            </w:pPr>
            <w:r w:rsidRPr="00E678AB">
              <w:rPr>
                <w:lang w:val="en-GB"/>
              </w:rPr>
              <w:t>p</w:t>
            </w:r>
          </w:p>
        </w:tc>
      </w:tr>
      <w:tr w:rsidR="002E75D7" w:rsidRPr="00E678AB" w14:paraId="6698ADF1" w14:textId="77777777" w:rsidTr="007D5BF1">
        <w:tc>
          <w:tcPr>
            <w:tcW w:w="0" w:type="auto"/>
          </w:tcPr>
          <w:p w14:paraId="06EEBC07" w14:textId="1FAAFC2E" w:rsidR="00CD4810" w:rsidRPr="00E678AB" w:rsidRDefault="009F3659">
            <w:pPr>
              <w:pStyle w:val="Compact"/>
              <w:rPr>
                <w:lang w:val="en-GB"/>
              </w:rPr>
            </w:pPr>
            <w:r w:rsidRPr="00E678AB">
              <w:rPr>
                <w:lang w:val="en-GB"/>
              </w:rPr>
              <w:t xml:space="preserve">Distribution </w:t>
            </w:r>
            <w:r w:rsidR="002E75D7" w:rsidRPr="00E678AB">
              <w:rPr>
                <w:lang w:val="en-GB"/>
              </w:rPr>
              <w:t>of patients</w:t>
            </w:r>
            <w:r w:rsidR="001B7E2D">
              <w:rPr>
                <w:lang w:val="en-GB"/>
              </w:rPr>
              <w:t xml:space="preserve"> </w:t>
            </w:r>
            <w:r w:rsidRPr="00E678AB">
              <w:rPr>
                <w:lang w:val="en-GB"/>
              </w:rPr>
              <w:t xml:space="preserve">across </w:t>
            </w:r>
            <w:r w:rsidR="00CD4810" w:rsidRPr="00E678AB">
              <w:rPr>
                <w:lang w:val="en-GB"/>
              </w:rPr>
              <w:t>WB income (</w:t>
            </w:r>
            <w:proofErr w:type="spellStart"/>
            <w:r w:rsidR="00CD4810" w:rsidRPr="00E678AB">
              <w:rPr>
                <w:lang w:val="en-GB"/>
              </w:rPr>
              <w:t>tertile</w:t>
            </w:r>
            <w:proofErr w:type="spellEnd"/>
            <w:r w:rsidR="00CD4810" w:rsidRPr="00E678AB">
              <w:rPr>
                <w:lang w:val="en-GB"/>
              </w:rPr>
              <w:t>)</w:t>
            </w:r>
          </w:p>
        </w:tc>
        <w:tc>
          <w:tcPr>
            <w:tcW w:w="0" w:type="auto"/>
          </w:tcPr>
          <w:p w14:paraId="0FB0104B" w14:textId="77777777" w:rsidR="00CD4810" w:rsidRPr="00E678AB" w:rsidRDefault="00CD4810">
            <w:pPr>
              <w:pStyle w:val="Compact"/>
              <w:rPr>
                <w:lang w:val="en-GB"/>
              </w:rPr>
            </w:pPr>
          </w:p>
        </w:tc>
        <w:tc>
          <w:tcPr>
            <w:tcW w:w="497" w:type="pct"/>
          </w:tcPr>
          <w:p w14:paraId="706DC61D" w14:textId="77777777" w:rsidR="00CD4810" w:rsidRPr="00E678AB" w:rsidRDefault="00CD4810">
            <w:pPr>
              <w:pStyle w:val="Compact"/>
              <w:jc w:val="right"/>
              <w:rPr>
                <w:lang w:val="en-GB"/>
              </w:rPr>
            </w:pPr>
          </w:p>
        </w:tc>
        <w:tc>
          <w:tcPr>
            <w:tcW w:w="502" w:type="pct"/>
          </w:tcPr>
          <w:p w14:paraId="3E564191" w14:textId="77777777" w:rsidR="00CD4810" w:rsidRPr="00E678AB" w:rsidRDefault="00CD4810">
            <w:pPr>
              <w:pStyle w:val="Compact"/>
              <w:jc w:val="right"/>
              <w:rPr>
                <w:lang w:val="en-GB"/>
              </w:rPr>
            </w:pPr>
          </w:p>
        </w:tc>
        <w:tc>
          <w:tcPr>
            <w:tcW w:w="502" w:type="pct"/>
          </w:tcPr>
          <w:p w14:paraId="0E1E3B69" w14:textId="77777777" w:rsidR="00CD4810" w:rsidRPr="00E678AB" w:rsidRDefault="00CD4810">
            <w:pPr>
              <w:pStyle w:val="Compact"/>
              <w:jc w:val="right"/>
              <w:rPr>
                <w:lang w:val="en-GB"/>
              </w:rPr>
            </w:pPr>
          </w:p>
        </w:tc>
        <w:tc>
          <w:tcPr>
            <w:tcW w:w="502" w:type="pct"/>
          </w:tcPr>
          <w:p w14:paraId="38D9D58E" w14:textId="77777777" w:rsidR="00CD4810" w:rsidRPr="00E678AB" w:rsidRDefault="00CD4810">
            <w:pPr>
              <w:pStyle w:val="Compact"/>
              <w:jc w:val="right"/>
              <w:rPr>
                <w:lang w:val="en-GB"/>
              </w:rPr>
            </w:pPr>
          </w:p>
        </w:tc>
        <w:tc>
          <w:tcPr>
            <w:tcW w:w="0" w:type="auto"/>
          </w:tcPr>
          <w:p w14:paraId="17E27B16" w14:textId="77777777" w:rsidR="00CD4810" w:rsidRPr="00E678AB" w:rsidRDefault="00CD4810">
            <w:pPr>
              <w:pStyle w:val="Compact"/>
              <w:jc w:val="right"/>
              <w:rPr>
                <w:lang w:val="en-GB"/>
              </w:rPr>
            </w:pPr>
          </w:p>
        </w:tc>
      </w:tr>
      <w:tr w:rsidR="002E75D7" w:rsidRPr="00E678AB" w14:paraId="62ECAA5F" w14:textId="77777777" w:rsidTr="007D5BF1">
        <w:tc>
          <w:tcPr>
            <w:tcW w:w="0" w:type="auto"/>
          </w:tcPr>
          <w:p w14:paraId="372FC0B1" w14:textId="0CAD16B0" w:rsidR="00CF7BC4" w:rsidRPr="00E678AB" w:rsidRDefault="00CF7BC4">
            <w:pPr>
              <w:pStyle w:val="Compact"/>
              <w:rPr>
                <w:lang w:val="en-GB"/>
              </w:rPr>
            </w:pPr>
          </w:p>
        </w:tc>
        <w:tc>
          <w:tcPr>
            <w:tcW w:w="0" w:type="auto"/>
          </w:tcPr>
          <w:p w14:paraId="3E001F77" w14:textId="77777777" w:rsidR="00CF7BC4" w:rsidRPr="00E678AB" w:rsidRDefault="009D77B2">
            <w:pPr>
              <w:pStyle w:val="Compact"/>
              <w:rPr>
                <w:lang w:val="en-GB"/>
              </w:rPr>
            </w:pPr>
            <w:r w:rsidRPr="00E678AB">
              <w:rPr>
                <w:lang w:val="en-GB"/>
              </w:rPr>
              <w:t>High</w:t>
            </w:r>
          </w:p>
        </w:tc>
        <w:tc>
          <w:tcPr>
            <w:tcW w:w="497" w:type="pct"/>
          </w:tcPr>
          <w:p w14:paraId="25C3F7EA" w14:textId="77777777" w:rsidR="00CF7BC4" w:rsidRPr="00E678AB" w:rsidRDefault="009D77B2">
            <w:pPr>
              <w:pStyle w:val="Compact"/>
              <w:jc w:val="right"/>
              <w:rPr>
                <w:lang w:val="en-GB"/>
              </w:rPr>
            </w:pPr>
            <w:r w:rsidRPr="00E678AB">
              <w:rPr>
                <w:lang w:val="en-GB"/>
              </w:rPr>
              <w:t>2669 (41.8)</w:t>
            </w:r>
          </w:p>
        </w:tc>
        <w:tc>
          <w:tcPr>
            <w:tcW w:w="502" w:type="pct"/>
          </w:tcPr>
          <w:p w14:paraId="6A0AA41F" w14:textId="77777777" w:rsidR="00CF7BC4" w:rsidRPr="00E678AB" w:rsidRDefault="009D77B2">
            <w:pPr>
              <w:pStyle w:val="Compact"/>
              <w:jc w:val="right"/>
              <w:rPr>
                <w:lang w:val="en-GB"/>
              </w:rPr>
            </w:pPr>
            <w:r w:rsidRPr="00E678AB">
              <w:rPr>
                <w:lang w:val="en-GB"/>
              </w:rPr>
              <w:t>867 (43.1)</w:t>
            </w:r>
          </w:p>
        </w:tc>
        <w:tc>
          <w:tcPr>
            <w:tcW w:w="502" w:type="pct"/>
          </w:tcPr>
          <w:p w14:paraId="35472A7B" w14:textId="77777777" w:rsidR="00CF7BC4" w:rsidRPr="00E678AB" w:rsidRDefault="009D77B2">
            <w:pPr>
              <w:pStyle w:val="Compact"/>
              <w:jc w:val="right"/>
              <w:rPr>
                <w:lang w:val="en-GB"/>
              </w:rPr>
            </w:pPr>
            <w:r w:rsidRPr="00E678AB">
              <w:rPr>
                <w:lang w:val="en-GB"/>
              </w:rPr>
              <w:t>100 (7.7)</w:t>
            </w:r>
          </w:p>
        </w:tc>
        <w:tc>
          <w:tcPr>
            <w:tcW w:w="502" w:type="pct"/>
          </w:tcPr>
          <w:p w14:paraId="063575C5" w14:textId="77777777" w:rsidR="00CF7BC4" w:rsidRPr="00E678AB" w:rsidRDefault="009D77B2">
            <w:pPr>
              <w:pStyle w:val="Compact"/>
              <w:jc w:val="right"/>
              <w:rPr>
                <w:lang w:val="en-GB"/>
              </w:rPr>
            </w:pPr>
            <w:r w:rsidRPr="00E678AB">
              <w:rPr>
                <w:lang w:val="en-GB"/>
              </w:rPr>
              <w:t>3636 (37.5)</w:t>
            </w:r>
          </w:p>
        </w:tc>
        <w:tc>
          <w:tcPr>
            <w:tcW w:w="0" w:type="auto"/>
          </w:tcPr>
          <w:p w14:paraId="4BF3CC2D" w14:textId="77777777" w:rsidR="00CF7BC4" w:rsidRPr="00E678AB" w:rsidRDefault="009D77B2">
            <w:pPr>
              <w:pStyle w:val="Compact"/>
              <w:jc w:val="right"/>
              <w:rPr>
                <w:lang w:val="en-GB"/>
              </w:rPr>
            </w:pPr>
            <w:r w:rsidRPr="00E678AB">
              <w:rPr>
                <w:lang w:val="en-GB"/>
              </w:rPr>
              <w:t>&lt;0.001</w:t>
            </w:r>
          </w:p>
        </w:tc>
      </w:tr>
      <w:tr w:rsidR="002E75D7" w:rsidRPr="00E678AB" w14:paraId="5A16FF18" w14:textId="77777777" w:rsidTr="007D5BF1">
        <w:tc>
          <w:tcPr>
            <w:tcW w:w="0" w:type="auto"/>
          </w:tcPr>
          <w:p w14:paraId="2C50D80D" w14:textId="77777777" w:rsidR="00CF7BC4" w:rsidRPr="00E678AB" w:rsidRDefault="00CF7BC4"/>
        </w:tc>
        <w:tc>
          <w:tcPr>
            <w:tcW w:w="0" w:type="auto"/>
          </w:tcPr>
          <w:p w14:paraId="347D46E3" w14:textId="77777777" w:rsidR="00CF7BC4" w:rsidRPr="00E678AB" w:rsidRDefault="009D77B2">
            <w:pPr>
              <w:pStyle w:val="Compact"/>
              <w:rPr>
                <w:lang w:val="en-GB"/>
              </w:rPr>
            </w:pPr>
            <w:r w:rsidRPr="00E678AB">
              <w:rPr>
                <w:lang w:val="en-GB"/>
              </w:rPr>
              <w:t>Upper middle</w:t>
            </w:r>
          </w:p>
        </w:tc>
        <w:tc>
          <w:tcPr>
            <w:tcW w:w="497" w:type="pct"/>
          </w:tcPr>
          <w:p w14:paraId="451535FA" w14:textId="77777777" w:rsidR="00CF7BC4" w:rsidRPr="00E678AB" w:rsidRDefault="009D77B2">
            <w:pPr>
              <w:pStyle w:val="Compact"/>
              <w:jc w:val="right"/>
              <w:rPr>
                <w:lang w:val="en-GB"/>
              </w:rPr>
            </w:pPr>
            <w:r w:rsidRPr="00E678AB">
              <w:rPr>
                <w:lang w:val="en-GB"/>
              </w:rPr>
              <w:t>1375 (21.6)</w:t>
            </w:r>
          </w:p>
        </w:tc>
        <w:tc>
          <w:tcPr>
            <w:tcW w:w="502" w:type="pct"/>
          </w:tcPr>
          <w:p w14:paraId="59C4848C" w14:textId="77777777" w:rsidR="00CF7BC4" w:rsidRPr="00E678AB" w:rsidRDefault="009D77B2">
            <w:pPr>
              <w:pStyle w:val="Compact"/>
              <w:jc w:val="right"/>
              <w:rPr>
                <w:lang w:val="en-GB"/>
              </w:rPr>
            </w:pPr>
            <w:r w:rsidRPr="00E678AB">
              <w:rPr>
                <w:lang w:val="en-GB"/>
              </w:rPr>
              <w:t>251 (12.5)</w:t>
            </w:r>
          </w:p>
        </w:tc>
        <w:tc>
          <w:tcPr>
            <w:tcW w:w="502" w:type="pct"/>
          </w:tcPr>
          <w:p w14:paraId="631DC8B2" w14:textId="77777777" w:rsidR="00CF7BC4" w:rsidRPr="00E678AB" w:rsidRDefault="009D77B2">
            <w:pPr>
              <w:pStyle w:val="Compact"/>
              <w:jc w:val="right"/>
              <w:rPr>
                <w:lang w:val="en-GB"/>
              </w:rPr>
            </w:pPr>
            <w:r w:rsidRPr="00E678AB">
              <w:rPr>
                <w:lang w:val="en-GB"/>
              </w:rPr>
              <w:t>493 (38.1)</w:t>
            </w:r>
          </w:p>
        </w:tc>
        <w:tc>
          <w:tcPr>
            <w:tcW w:w="502" w:type="pct"/>
          </w:tcPr>
          <w:p w14:paraId="08A94CB4" w14:textId="77777777" w:rsidR="00CF7BC4" w:rsidRPr="00E678AB" w:rsidRDefault="009D77B2">
            <w:pPr>
              <w:pStyle w:val="Compact"/>
              <w:jc w:val="right"/>
              <w:rPr>
                <w:lang w:val="en-GB"/>
              </w:rPr>
            </w:pPr>
            <w:r w:rsidRPr="00E678AB">
              <w:rPr>
                <w:lang w:val="en-GB"/>
              </w:rPr>
              <w:t>2119 (21.9)</w:t>
            </w:r>
          </w:p>
        </w:tc>
        <w:tc>
          <w:tcPr>
            <w:tcW w:w="0" w:type="auto"/>
          </w:tcPr>
          <w:p w14:paraId="61F0486A" w14:textId="77777777" w:rsidR="00CF7BC4" w:rsidRPr="00E678AB" w:rsidRDefault="00CF7BC4"/>
        </w:tc>
      </w:tr>
      <w:tr w:rsidR="002E75D7" w:rsidRPr="00E678AB" w14:paraId="0A98EE3A" w14:textId="77777777" w:rsidTr="007D5BF1">
        <w:tc>
          <w:tcPr>
            <w:tcW w:w="0" w:type="auto"/>
          </w:tcPr>
          <w:p w14:paraId="3F452DD6" w14:textId="77777777" w:rsidR="00CF7BC4" w:rsidRPr="00E678AB" w:rsidRDefault="00CF7BC4"/>
        </w:tc>
        <w:tc>
          <w:tcPr>
            <w:tcW w:w="0" w:type="auto"/>
          </w:tcPr>
          <w:p w14:paraId="5BFC36B8" w14:textId="77777777" w:rsidR="00CF7BC4" w:rsidRPr="00E678AB" w:rsidRDefault="009D77B2">
            <w:pPr>
              <w:pStyle w:val="Compact"/>
              <w:rPr>
                <w:lang w:val="en-GB"/>
              </w:rPr>
            </w:pPr>
            <w:r w:rsidRPr="00E678AB">
              <w:rPr>
                <w:lang w:val="en-GB"/>
              </w:rPr>
              <w:t>Low/lower middle</w:t>
            </w:r>
          </w:p>
        </w:tc>
        <w:tc>
          <w:tcPr>
            <w:tcW w:w="497" w:type="pct"/>
          </w:tcPr>
          <w:p w14:paraId="75CC11B9" w14:textId="77777777" w:rsidR="00CF7BC4" w:rsidRPr="00E678AB" w:rsidRDefault="009D77B2">
            <w:pPr>
              <w:pStyle w:val="Compact"/>
              <w:jc w:val="right"/>
              <w:rPr>
                <w:lang w:val="en-GB"/>
              </w:rPr>
            </w:pPr>
            <w:r w:rsidRPr="00E678AB">
              <w:rPr>
                <w:lang w:val="en-GB"/>
              </w:rPr>
              <w:t>2334 (36.6)</w:t>
            </w:r>
          </w:p>
        </w:tc>
        <w:tc>
          <w:tcPr>
            <w:tcW w:w="502" w:type="pct"/>
          </w:tcPr>
          <w:p w14:paraId="30D0E117" w14:textId="77777777" w:rsidR="00CF7BC4" w:rsidRPr="00E678AB" w:rsidRDefault="009D77B2">
            <w:pPr>
              <w:pStyle w:val="Compact"/>
              <w:jc w:val="right"/>
              <w:rPr>
                <w:lang w:val="en-GB"/>
              </w:rPr>
            </w:pPr>
            <w:r w:rsidRPr="00E678AB">
              <w:rPr>
                <w:lang w:val="en-GB"/>
              </w:rPr>
              <w:t>895 (44.5)</w:t>
            </w:r>
          </w:p>
        </w:tc>
        <w:tc>
          <w:tcPr>
            <w:tcW w:w="502" w:type="pct"/>
          </w:tcPr>
          <w:p w14:paraId="585804FF" w14:textId="77777777" w:rsidR="00CF7BC4" w:rsidRPr="00E678AB" w:rsidRDefault="009D77B2">
            <w:pPr>
              <w:pStyle w:val="Compact"/>
              <w:jc w:val="right"/>
              <w:rPr>
                <w:lang w:val="en-GB"/>
              </w:rPr>
            </w:pPr>
            <w:r w:rsidRPr="00E678AB">
              <w:rPr>
                <w:lang w:val="en-GB"/>
              </w:rPr>
              <w:t>701 (54.2)</w:t>
            </w:r>
          </w:p>
        </w:tc>
        <w:tc>
          <w:tcPr>
            <w:tcW w:w="502" w:type="pct"/>
          </w:tcPr>
          <w:p w14:paraId="43C49C14" w14:textId="77777777" w:rsidR="00CF7BC4" w:rsidRPr="00E678AB" w:rsidRDefault="009D77B2">
            <w:pPr>
              <w:pStyle w:val="Compact"/>
              <w:jc w:val="right"/>
              <w:rPr>
                <w:lang w:val="en-GB"/>
              </w:rPr>
            </w:pPr>
            <w:r w:rsidRPr="00E678AB">
              <w:rPr>
                <w:lang w:val="en-GB"/>
              </w:rPr>
              <w:t>3930 (40.6)</w:t>
            </w:r>
          </w:p>
        </w:tc>
        <w:tc>
          <w:tcPr>
            <w:tcW w:w="0" w:type="auto"/>
          </w:tcPr>
          <w:p w14:paraId="68A48541" w14:textId="77777777" w:rsidR="00CF7BC4" w:rsidRPr="00E678AB" w:rsidRDefault="00CF7BC4"/>
        </w:tc>
      </w:tr>
      <w:tr w:rsidR="002E75D7" w:rsidRPr="00E678AB" w14:paraId="7A6A0E13" w14:textId="77777777" w:rsidTr="007D5BF1">
        <w:tc>
          <w:tcPr>
            <w:tcW w:w="0" w:type="auto"/>
          </w:tcPr>
          <w:p w14:paraId="7C6DB9B7" w14:textId="24DF1A3D" w:rsidR="00CD4810" w:rsidRPr="00E678AB" w:rsidRDefault="00CD4810">
            <w:pPr>
              <w:pStyle w:val="Compact"/>
              <w:rPr>
                <w:lang w:val="en-GB"/>
              </w:rPr>
            </w:pPr>
            <w:r w:rsidRPr="00E678AB">
              <w:rPr>
                <w:lang w:val="en-GB"/>
              </w:rPr>
              <w:t>Cancer type</w:t>
            </w:r>
          </w:p>
        </w:tc>
        <w:tc>
          <w:tcPr>
            <w:tcW w:w="0" w:type="auto"/>
          </w:tcPr>
          <w:p w14:paraId="187A91A7" w14:textId="77777777" w:rsidR="00CD4810" w:rsidRPr="00E678AB" w:rsidRDefault="00CD4810">
            <w:pPr>
              <w:pStyle w:val="Compact"/>
              <w:rPr>
                <w:lang w:val="en-GB"/>
              </w:rPr>
            </w:pPr>
          </w:p>
        </w:tc>
        <w:tc>
          <w:tcPr>
            <w:tcW w:w="497" w:type="pct"/>
          </w:tcPr>
          <w:p w14:paraId="313263FF" w14:textId="77777777" w:rsidR="00CD4810" w:rsidRPr="00E678AB" w:rsidRDefault="00CD4810">
            <w:pPr>
              <w:pStyle w:val="Compact"/>
              <w:jc w:val="right"/>
              <w:rPr>
                <w:lang w:val="en-GB"/>
              </w:rPr>
            </w:pPr>
          </w:p>
        </w:tc>
        <w:tc>
          <w:tcPr>
            <w:tcW w:w="502" w:type="pct"/>
          </w:tcPr>
          <w:p w14:paraId="75330D8B" w14:textId="77777777" w:rsidR="00CD4810" w:rsidRPr="00E678AB" w:rsidRDefault="00CD4810">
            <w:pPr>
              <w:pStyle w:val="Compact"/>
              <w:jc w:val="right"/>
              <w:rPr>
                <w:lang w:val="en-GB"/>
              </w:rPr>
            </w:pPr>
          </w:p>
        </w:tc>
        <w:tc>
          <w:tcPr>
            <w:tcW w:w="502" w:type="pct"/>
          </w:tcPr>
          <w:p w14:paraId="429B7A84" w14:textId="77777777" w:rsidR="00CD4810" w:rsidRPr="00E678AB" w:rsidRDefault="00CD4810">
            <w:pPr>
              <w:pStyle w:val="Compact"/>
              <w:jc w:val="right"/>
              <w:rPr>
                <w:lang w:val="en-GB"/>
              </w:rPr>
            </w:pPr>
          </w:p>
        </w:tc>
        <w:tc>
          <w:tcPr>
            <w:tcW w:w="502" w:type="pct"/>
          </w:tcPr>
          <w:p w14:paraId="61B7FEE1" w14:textId="77777777" w:rsidR="00CD4810" w:rsidRPr="00E678AB" w:rsidRDefault="00CD4810">
            <w:pPr>
              <w:pStyle w:val="Compact"/>
              <w:jc w:val="right"/>
              <w:rPr>
                <w:lang w:val="en-GB"/>
              </w:rPr>
            </w:pPr>
          </w:p>
        </w:tc>
        <w:tc>
          <w:tcPr>
            <w:tcW w:w="0" w:type="auto"/>
          </w:tcPr>
          <w:p w14:paraId="6AB9F147" w14:textId="77777777" w:rsidR="00CD4810" w:rsidRPr="00E678AB" w:rsidRDefault="00CD4810">
            <w:pPr>
              <w:pStyle w:val="Compact"/>
              <w:jc w:val="right"/>
              <w:rPr>
                <w:lang w:val="en-GB"/>
              </w:rPr>
            </w:pPr>
          </w:p>
        </w:tc>
      </w:tr>
      <w:tr w:rsidR="002E75D7" w:rsidRPr="00E678AB" w14:paraId="3AE25DB4" w14:textId="77777777" w:rsidTr="007D5BF1">
        <w:tc>
          <w:tcPr>
            <w:tcW w:w="0" w:type="auto"/>
          </w:tcPr>
          <w:p w14:paraId="27F7D1DB" w14:textId="674C148F" w:rsidR="00CF7BC4" w:rsidRPr="00E678AB" w:rsidRDefault="00CF7BC4">
            <w:pPr>
              <w:pStyle w:val="Compact"/>
              <w:rPr>
                <w:lang w:val="en-GB"/>
              </w:rPr>
            </w:pPr>
          </w:p>
        </w:tc>
        <w:tc>
          <w:tcPr>
            <w:tcW w:w="0" w:type="auto"/>
          </w:tcPr>
          <w:p w14:paraId="693A8D88" w14:textId="77777777" w:rsidR="00CF7BC4" w:rsidRPr="00E678AB" w:rsidRDefault="009D77B2">
            <w:pPr>
              <w:pStyle w:val="Compact"/>
              <w:rPr>
                <w:lang w:val="en-GB"/>
              </w:rPr>
            </w:pPr>
            <w:r w:rsidRPr="00E678AB">
              <w:rPr>
                <w:lang w:val="en-GB"/>
              </w:rPr>
              <w:t>Breast</w:t>
            </w:r>
          </w:p>
        </w:tc>
        <w:tc>
          <w:tcPr>
            <w:tcW w:w="497" w:type="pct"/>
          </w:tcPr>
          <w:p w14:paraId="0654857C" w14:textId="77777777" w:rsidR="00CF7BC4" w:rsidRPr="00E678AB" w:rsidRDefault="009D77B2">
            <w:pPr>
              <w:pStyle w:val="Compact"/>
              <w:jc w:val="right"/>
              <w:rPr>
                <w:lang w:val="en-GB"/>
              </w:rPr>
            </w:pPr>
            <w:r w:rsidRPr="00E678AB">
              <w:rPr>
                <w:lang w:val="en-GB"/>
              </w:rPr>
              <w:t>3834 (60.1)</w:t>
            </w:r>
          </w:p>
        </w:tc>
        <w:tc>
          <w:tcPr>
            <w:tcW w:w="502" w:type="pct"/>
          </w:tcPr>
          <w:p w14:paraId="739188D0" w14:textId="77777777" w:rsidR="00CF7BC4" w:rsidRPr="00E678AB" w:rsidRDefault="009D77B2">
            <w:pPr>
              <w:pStyle w:val="Compact"/>
              <w:jc w:val="right"/>
              <w:rPr>
                <w:lang w:val="en-GB"/>
              </w:rPr>
            </w:pPr>
            <w:r w:rsidRPr="00E678AB">
              <w:rPr>
                <w:lang w:val="en-GB"/>
              </w:rPr>
              <w:t>1192 (59.2)</w:t>
            </w:r>
          </w:p>
        </w:tc>
        <w:tc>
          <w:tcPr>
            <w:tcW w:w="502" w:type="pct"/>
          </w:tcPr>
          <w:p w14:paraId="313A7831" w14:textId="77777777" w:rsidR="00CF7BC4" w:rsidRPr="00E678AB" w:rsidRDefault="009D77B2">
            <w:pPr>
              <w:pStyle w:val="Compact"/>
              <w:jc w:val="right"/>
              <w:rPr>
                <w:lang w:val="en-GB"/>
              </w:rPr>
            </w:pPr>
            <w:r w:rsidRPr="00E678AB">
              <w:rPr>
                <w:lang w:val="en-GB"/>
              </w:rPr>
              <w:t>625 (48.3)</w:t>
            </w:r>
          </w:p>
        </w:tc>
        <w:tc>
          <w:tcPr>
            <w:tcW w:w="502" w:type="pct"/>
          </w:tcPr>
          <w:p w14:paraId="2B21C78B" w14:textId="77777777" w:rsidR="00CF7BC4" w:rsidRPr="00E678AB" w:rsidRDefault="009D77B2">
            <w:pPr>
              <w:pStyle w:val="Compact"/>
              <w:jc w:val="right"/>
              <w:rPr>
                <w:lang w:val="en-GB"/>
              </w:rPr>
            </w:pPr>
            <w:r w:rsidRPr="00E678AB">
              <w:rPr>
                <w:lang w:val="en-GB"/>
              </w:rPr>
              <w:t>5651 (58.3)</w:t>
            </w:r>
          </w:p>
        </w:tc>
        <w:tc>
          <w:tcPr>
            <w:tcW w:w="0" w:type="auto"/>
          </w:tcPr>
          <w:p w14:paraId="49F0EDDF" w14:textId="77777777" w:rsidR="00CF7BC4" w:rsidRPr="00E678AB" w:rsidRDefault="009D77B2">
            <w:pPr>
              <w:pStyle w:val="Compact"/>
              <w:jc w:val="right"/>
              <w:rPr>
                <w:lang w:val="en-GB"/>
              </w:rPr>
            </w:pPr>
            <w:r w:rsidRPr="00E678AB">
              <w:rPr>
                <w:lang w:val="en-GB"/>
              </w:rPr>
              <w:t>&lt;0.001</w:t>
            </w:r>
          </w:p>
        </w:tc>
      </w:tr>
      <w:tr w:rsidR="002E75D7" w:rsidRPr="00E678AB" w14:paraId="4BA7EEEE" w14:textId="77777777" w:rsidTr="007D5BF1">
        <w:tc>
          <w:tcPr>
            <w:tcW w:w="0" w:type="auto"/>
          </w:tcPr>
          <w:p w14:paraId="19318621" w14:textId="77777777" w:rsidR="00CF7BC4" w:rsidRPr="00E678AB" w:rsidRDefault="00CF7BC4"/>
        </w:tc>
        <w:tc>
          <w:tcPr>
            <w:tcW w:w="0" w:type="auto"/>
          </w:tcPr>
          <w:p w14:paraId="1BF35B42" w14:textId="77777777" w:rsidR="00CF7BC4" w:rsidRPr="00E678AB" w:rsidRDefault="009D77B2">
            <w:pPr>
              <w:pStyle w:val="Compact"/>
              <w:rPr>
                <w:lang w:val="en-GB"/>
              </w:rPr>
            </w:pPr>
            <w:r w:rsidRPr="00E678AB">
              <w:rPr>
                <w:lang w:val="en-GB"/>
              </w:rPr>
              <w:t>Colorectal (colon or rectum)</w:t>
            </w:r>
          </w:p>
        </w:tc>
        <w:tc>
          <w:tcPr>
            <w:tcW w:w="497" w:type="pct"/>
          </w:tcPr>
          <w:p w14:paraId="6200C073" w14:textId="77777777" w:rsidR="00CF7BC4" w:rsidRPr="00E678AB" w:rsidRDefault="009D77B2">
            <w:pPr>
              <w:pStyle w:val="Compact"/>
              <w:jc w:val="right"/>
              <w:rPr>
                <w:lang w:val="en-GB"/>
              </w:rPr>
            </w:pPr>
            <w:r w:rsidRPr="00E678AB">
              <w:rPr>
                <w:lang w:val="en-GB"/>
              </w:rPr>
              <w:t>2010 (31.5)</w:t>
            </w:r>
          </w:p>
        </w:tc>
        <w:tc>
          <w:tcPr>
            <w:tcW w:w="502" w:type="pct"/>
          </w:tcPr>
          <w:p w14:paraId="51E3F4F0" w14:textId="77777777" w:rsidR="00CF7BC4" w:rsidRPr="00E678AB" w:rsidRDefault="009D77B2">
            <w:pPr>
              <w:pStyle w:val="Compact"/>
              <w:jc w:val="right"/>
              <w:rPr>
                <w:lang w:val="en-GB"/>
              </w:rPr>
            </w:pPr>
            <w:r w:rsidRPr="00E678AB">
              <w:rPr>
                <w:lang w:val="en-GB"/>
              </w:rPr>
              <w:t>654 (32.5)</w:t>
            </w:r>
          </w:p>
        </w:tc>
        <w:tc>
          <w:tcPr>
            <w:tcW w:w="502" w:type="pct"/>
          </w:tcPr>
          <w:p w14:paraId="31386A03" w14:textId="77777777" w:rsidR="00CF7BC4" w:rsidRPr="00E678AB" w:rsidRDefault="009D77B2">
            <w:pPr>
              <w:pStyle w:val="Compact"/>
              <w:jc w:val="right"/>
              <w:rPr>
                <w:lang w:val="en-GB"/>
              </w:rPr>
            </w:pPr>
            <w:r w:rsidRPr="00E678AB">
              <w:rPr>
                <w:lang w:val="en-GB"/>
              </w:rPr>
              <w:t>534 (41.3)</w:t>
            </w:r>
          </w:p>
        </w:tc>
        <w:tc>
          <w:tcPr>
            <w:tcW w:w="502" w:type="pct"/>
          </w:tcPr>
          <w:p w14:paraId="5C47D239" w14:textId="77777777" w:rsidR="00CF7BC4" w:rsidRPr="00E678AB" w:rsidRDefault="009D77B2">
            <w:pPr>
              <w:pStyle w:val="Compact"/>
              <w:jc w:val="right"/>
              <w:rPr>
                <w:lang w:val="en-GB"/>
              </w:rPr>
            </w:pPr>
            <w:r w:rsidRPr="00E678AB">
              <w:rPr>
                <w:lang w:val="en-GB"/>
              </w:rPr>
              <w:t>3198 (33.0)</w:t>
            </w:r>
          </w:p>
        </w:tc>
        <w:tc>
          <w:tcPr>
            <w:tcW w:w="0" w:type="auto"/>
          </w:tcPr>
          <w:p w14:paraId="4A58CC71" w14:textId="77777777" w:rsidR="00CF7BC4" w:rsidRPr="00E678AB" w:rsidRDefault="00CF7BC4"/>
        </w:tc>
      </w:tr>
      <w:tr w:rsidR="002E75D7" w:rsidRPr="00E678AB" w14:paraId="1BA660BA" w14:textId="77777777" w:rsidTr="007D5BF1">
        <w:tc>
          <w:tcPr>
            <w:tcW w:w="0" w:type="auto"/>
          </w:tcPr>
          <w:p w14:paraId="0485FF2D" w14:textId="77777777" w:rsidR="00CF7BC4" w:rsidRPr="00E678AB" w:rsidRDefault="00CF7BC4"/>
        </w:tc>
        <w:tc>
          <w:tcPr>
            <w:tcW w:w="0" w:type="auto"/>
          </w:tcPr>
          <w:p w14:paraId="239B053E" w14:textId="77777777" w:rsidR="00CF7BC4" w:rsidRPr="00E678AB" w:rsidRDefault="009D77B2">
            <w:pPr>
              <w:pStyle w:val="Compact"/>
              <w:rPr>
                <w:lang w:val="en-GB"/>
              </w:rPr>
            </w:pPr>
            <w:r w:rsidRPr="00E678AB">
              <w:rPr>
                <w:lang w:val="en-GB"/>
              </w:rPr>
              <w:t>Gastric (stomach)</w:t>
            </w:r>
          </w:p>
        </w:tc>
        <w:tc>
          <w:tcPr>
            <w:tcW w:w="497" w:type="pct"/>
          </w:tcPr>
          <w:p w14:paraId="0D24CF3A" w14:textId="77777777" w:rsidR="00CF7BC4" w:rsidRPr="00E678AB" w:rsidRDefault="009D77B2">
            <w:pPr>
              <w:pStyle w:val="Compact"/>
              <w:jc w:val="right"/>
              <w:rPr>
                <w:lang w:val="en-GB"/>
              </w:rPr>
            </w:pPr>
            <w:r w:rsidRPr="00E678AB">
              <w:rPr>
                <w:lang w:val="en-GB"/>
              </w:rPr>
              <w:t>534 (8.4)</w:t>
            </w:r>
          </w:p>
        </w:tc>
        <w:tc>
          <w:tcPr>
            <w:tcW w:w="502" w:type="pct"/>
          </w:tcPr>
          <w:p w14:paraId="582EA448" w14:textId="77777777" w:rsidR="00CF7BC4" w:rsidRPr="00E678AB" w:rsidRDefault="009D77B2">
            <w:pPr>
              <w:pStyle w:val="Compact"/>
              <w:jc w:val="right"/>
              <w:rPr>
                <w:lang w:val="en-GB"/>
              </w:rPr>
            </w:pPr>
            <w:r w:rsidRPr="00E678AB">
              <w:rPr>
                <w:lang w:val="en-GB"/>
              </w:rPr>
              <w:t>167 (8.3)</w:t>
            </w:r>
          </w:p>
        </w:tc>
        <w:tc>
          <w:tcPr>
            <w:tcW w:w="502" w:type="pct"/>
          </w:tcPr>
          <w:p w14:paraId="1061518D" w14:textId="77777777" w:rsidR="00CF7BC4" w:rsidRPr="00E678AB" w:rsidRDefault="009D77B2">
            <w:pPr>
              <w:pStyle w:val="Compact"/>
              <w:jc w:val="right"/>
              <w:rPr>
                <w:lang w:val="en-GB"/>
              </w:rPr>
            </w:pPr>
            <w:r w:rsidRPr="00E678AB">
              <w:rPr>
                <w:lang w:val="en-GB"/>
              </w:rPr>
              <w:t>135 (10.4)</w:t>
            </w:r>
          </w:p>
        </w:tc>
        <w:tc>
          <w:tcPr>
            <w:tcW w:w="502" w:type="pct"/>
          </w:tcPr>
          <w:p w14:paraId="00823736" w14:textId="77777777" w:rsidR="00CF7BC4" w:rsidRPr="00E678AB" w:rsidRDefault="009D77B2">
            <w:pPr>
              <w:pStyle w:val="Compact"/>
              <w:jc w:val="right"/>
              <w:rPr>
                <w:lang w:val="en-GB"/>
              </w:rPr>
            </w:pPr>
            <w:r w:rsidRPr="00E678AB">
              <w:rPr>
                <w:lang w:val="en-GB"/>
              </w:rPr>
              <w:t>836 (8.6)</w:t>
            </w:r>
          </w:p>
        </w:tc>
        <w:tc>
          <w:tcPr>
            <w:tcW w:w="0" w:type="auto"/>
          </w:tcPr>
          <w:p w14:paraId="1E8CD3CF" w14:textId="77777777" w:rsidR="00CF7BC4" w:rsidRPr="00E678AB" w:rsidRDefault="00CF7BC4"/>
        </w:tc>
      </w:tr>
      <w:tr w:rsidR="002E75D7" w:rsidRPr="00E678AB" w14:paraId="23B9CA8C" w14:textId="77777777" w:rsidTr="007D5BF1">
        <w:tc>
          <w:tcPr>
            <w:tcW w:w="0" w:type="auto"/>
          </w:tcPr>
          <w:p w14:paraId="58D98B36" w14:textId="77777777" w:rsidR="00CF7BC4" w:rsidRPr="00E678AB" w:rsidRDefault="009D77B2">
            <w:pPr>
              <w:pStyle w:val="Compact"/>
              <w:rPr>
                <w:lang w:val="en-GB"/>
              </w:rPr>
            </w:pPr>
            <w:r w:rsidRPr="00E678AB">
              <w:rPr>
                <w:lang w:val="en-GB"/>
              </w:rPr>
              <w:t>Age (years)</w:t>
            </w:r>
          </w:p>
        </w:tc>
        <w:tc>
          <w:tcPr>
            <w:tcW w:w="0" w:type="auto"/>
          </w:tcPr>
          <w:p w14:paraId="2CBE6B53" w14:textId="21581B52" w:rsidR="00CF7BC4" w:rsidRPr="00E678AB" w:rsidRDefault="00CF7BC4">
            <w:pPr>
              <w:pStyle w:val="Compact"/>
              <w:rPr>
                <w:lang w:val="en-GB"/>
              </w:rPr>
            </w:pPr>
          </w:p>
        </w:tc>
        <w:tc>
          <w:tcPr>
            <w:tcW w:w="497" w:type="pct"/>
          </w:tcPr>
          <w:p w14:paraId="20282313" w14:textId="77777777" w:rsidR="00CF7BC4" w:rsidRPr="00E678AB" w:rsidRDefault="009D77B2">
            <w:pPr>
              <w:pStyle w:val="Compact"/>
              <w:jc w:val="right"/>
              <w:rPr>
                <w:lang w:val="en-GB"/>
              </w:rPr>
            </w:pPr>
            <w:r w:rsidRPr="00E678AB">
              <w:rPr>
                <w:lang w:val="en-GB"/>
              </w:rPr>
              <w:t>57.9 (14.4)</w:t>
            </w:r>
          </w:p>
        </w:tc>
        <w:tc>
          <w:tcPr>
            <w:tcW w:w="502" w:type="pct"/>
          </w:tcPr>
          <w:p w14:paraId="3ED6542A" w14:textId="77777777" w:rsidR="00CF7BC4" w:rsidRPr="00E678AB" w:rsidRDefault="009D77B2">
            <w:pPr>
              <w:pStyle w:val="Compact"/>
              <w:jc w:val="right"/>
              <w:rPr>
                <w:lang w:val="en-GB"/>
              </w:rPr>
            </w:pPr>
            <w:r w:rsidRPr="00E678AB">
              <w:rPr>
                <w:lang w:val="en-GB"/>
              </w:rPr>
              <w:t>58.5 (14.2)</w:t>
            </w:r>
          </w:p>
        </w:tc>
        <w:tc>
          <w:tcPr>
            <w:tcW w:w="502" w:type="pct"/>
          </w:tcPr>
          <w:p w14:paraId="3F6794F1" w14:textId="77777777" w:rsidR="00CF7BC4" w:rsidRPr="00E678AB" w:rsidRDefault="009D77B2">
            <w:pPr>
              <w:pStyle w:val="Compact"/>
              <w:jc w:val="right"/>
              <w:rPr>
                <w:lang w:val="en-GB"/>
              </w:rPr>
            </w:pPr>
            <w:r w:rsidRPr="00E678AB">
              <w:rPr>
                <w:lang w:val="en-GB"/>
              </w:rPr>
              <w:t>56.2 (13.8)</w:t>
            </w:r>
          </w:p>
        </w:tc>
        <w:tc>
          <w:tcPr>
            <w:tcW w:w="502" w:type="pct"/>
          </w:tcPr>
          <w:p w14:paraId="03C9B88C" w14:textId="77777777" w:rsidR="00CF7BC4" w:rsidRPr="00E678AB" w:rsidRDefault="009D77B2">
            <w:pPr>
              <w:pStyle w:val="Compact"/>
              <w:jc w:val="right"/>
              <w:rPr>
                <w:lang w:val="en-GB"/>
              </w:rPr>
            </w:pPr>
            <w:r w:rsidRPr="00E678AB">
              <w:rPr>
                <w:lang w:val="en-GB"/>
              </w:rPr>
              <w:t>57.8 (14.3)</w:t>
            </w:r>
          </w:p>
        </w:tc>
        <w:tc>
          <w:tcPr>
            <w:tcW w:w="0" w:type="auto"/>
          </w:tcPr>
          <w:p w14:paraId="6CB981E9" w14:textId="77777777" w:rsidR="00CF7BC4" w:rsidRPr="00E678AB" w:rsidRDefault="009D77B2">
            <w:pPr>
              <w:pStyle w:val="Compact"/>
              <w:jc w:val="right"/>
              <w:rPr>
                <w:lang w:val="en-GB"/>
              </w:rPr>
            </w:pPr>
            <w:r w:rsidRPr="00E678AB">
              <w:rPr>
                <w:lang w:val="en-GB"/>
              </w:rPr>
              <w:t>&lt;0.001</w:t>
            </w:r>
          </w:p>
        </w:tc>
      </w:tr>
      <w:tr w:rsidR="009F3659" w:rsidRPr="00E678AB" w14:paraId="2CF976E8" w14:textId="77777777" w:rsidTr="007D5BF1">
        <w:tc>
          <w:tcPr>
            <w:tcW w:w="0" w:type="auto"/>
          </w:tcPr>
          <w:p w14:paraId="29549F82" w14:textId="14CC5A8C" w:rsidR="009F3659" w:rsidRPr="00E678AB" w:rsidRDefault="009F3659">
            <w:pPr>
              <w:pStyle w:val="Compact"/>
              <w:rPr>
                <w:lang w:val="en-GB"/>
              </w:rPr>
            </w:pPr>
            <w:r w:rsidRPr="00E678AB">
              <w:rPr>
                <w:lang w:val="en-GB"/>
              </w:rPr>
              <w:t>Sex</w:t>
            </w:r>
            <w:r w:rsidR="002E75D7" w:rsidRPr="00E678AB">
              <w:rPr>
                <w:lang w:val="en-GB"/>
              </w:rPr>
              <w:t xml:space="preserve"> (%)</w:t>
            </w:r>
          </w:p>
        </w:tc>
        <w:tc>
          <w:tcPr>
            <w:tcW w:w="0" w:type="auto"/>
          </w:tcPr>
          <w:p w14:paraId="2E77FB72" w14:textId="77777777" w:rsidR="009F3659" w:rsidRPr="00E678AB" w:rsidRDefault="009F3659">
            <w:pPr>
              <w:pStyle w:val="Compact"/>
              <w:rPr>
                <w:lang w:val="en-GB"/>
              </w:rPr>
            </w:pPr>
          </w:p>
        </w:tc>
        <w:tc>
          <w:tcPr>
            <w:tcW w:w="497" w:type="pct"/>
          </w:tcPr>
          <w:p w14:paraId="4BF60740" w14:textId="77777777" w:rsidR="009F3659" w:rsidRPr="00E678AB" w:rsidRDefault="009F3659">
            <w:pPr>
              <w:pStyle w:val="Compact"/>
              <w:jc w:val="right"/>
              <w:rPr>
                <w:lang w:val="en-GB"/>
              </w:rPr>
            </w:pPr>
          </w:p>
        </w:tc>
        <w:tc>
          <w:tcPr>
            <w:tcW w:w="502" w:type="pct"/>
          </w:tcPr>
          <w:p w14:paraId="3880FCFD" w14:textId="77777777" w:rsidR="009F3659" w:rsidRPr="00E678AB" w:rsidRDefault="009F3659">
            <w:pPr>
              <w:pStyle w:val="Compact"/>
              <w:jc w:val="right"/>
              <w:rPr>
                <w:lang w:val="en-GB"/>
              </w:rPr>
            </w:pPr>
          </w:p>
        </w:tc>
        <w:tc>
          <w:tcPr>
            <w:tcW w:w="502" w:type="pct"/>
          </w:tcPr>
          <w:p w14:paraId="47764E7A" w14:textId="77777777" w:rsidR="009F3659" w:rsidRPr="00E678AB" w:rsidRDefault="009F3659">
            <w:pPr>
              <w:pStyle w:val="Compact"/>
              <w:jc w:val="right"/>
              <w:rPr>
                <w:lang w:val="en-GB"/>
              </w:rPr>
            </w:pPr>
          </w:p>
        </w:tc>
        <w:tc>
          <w:tcPr>
            <w:tcW w:w="502" w:type="pct"/>
          </w:tcPr>
          <w:p w14:paraId="20AD6C9F" w14:textId="77777777" w:rsidR="009F3659" w:rsidRPr="00E678AB" w:rsidRDefault="009F3659">
            <w:pPr>
              <w:pStyle w:val="Compact"/>
              <w:jc w:val="right"/>
              <w:rPr>
                <w:lang w:val="en-GB"/>
              </w:rPr>
            </w:pPr>
          </w:p>
        </w:tc>
        <w:tc>
          <w:tcPr>
            <w:tcW w:w="0" w:type="auto"/>
          </w:tcPr>
          <w:p w14:paraId="382CE27C" w14:textId="77777777" w:rsidR="009F3659" w:rsidRPr="00E678AB" w:rsidRDefault="009F3659">
            <w:pPr>
              <w:pStyle w:val="Compact"/>
              <w:jc w:val="right"/>
              <w:rPr>
                <w:lang w:val="en-GB"/>
              </w:rPr>
            </w:pPr>
          </w:p>
        </w:tc>
      </w:tr>
      <w:tr w:rsidR="002E75D7" w:rsidRPr="00E678AB" w14:paraId="2011A08C" w14:textId="77777777" w:rsidTr="007D5BF1">
        <w:tc>
          <w:tcPr>
            <w:tcW w:w="0" w:type="auto"/>
          </w:tcPr>
          <w:p w14:paraId="299C1CED" w14:textId="6CBD9BBF" w:rsidR="00CF7BC4" w:rsidRPr="00E678AB" w:rsidRDefault="00CF7BC4">
            <w:pPr>
              <w:pStyle w:val="Compact"/>
              <w:rPr>
                <w:lang w:val="en-GB"/>
              </w:rPr>
            </w:pPr>
          </w:p>
        </w:tc>
        <w:tc>
          <w:tcPr>
            <w:tcW w:w="0" w:type="auto"/>
          </w:tcPr>
          <w:p w14:paraId="650E6F2F" w14:textId="77777777" w:rsidR="00CF7BC4" w:rsidRPr="00E678AB" w:rsidRDefault="009D77B2">
            <w:pPr>
              <w:pStyle w:val="Compact"/>
              <w:rPr>
                <w:lang w:val="en-GB"/>
              </w:rPr>
            </w:pPr>
            <w:r w:rsidRPr="00E678AB">
              <w:rPr>
                <w:lang w:val="en-GB"/>
              </w:rPr>
              <w:t>Male</w:t>
            </w:r>
          </w:p>
        </w:tc>
        <w:tc>
          <w:tcPr>
            <w:tcW w:w="497" w:type="pct"/>
          </w:tcPr>
          <w:p w14:paraId="75CC5C07" w14:textId="77777777" w:rsidR="00CF7BC4" w:rsidRPr="00E678AB" w:rsidRDefault="009D77B2">
            <w:pPr>
              <w:pStyle w:val="Compact"/>
              <w:jc w:val="right"/>
              <w:rPr>
                <w:lang w:val="en-GB"/>
              </w:rPr>
            </w:pPr>
            <w:r w:rsidRPr="00E678AB">
              <w:rPr>
                <w:lang w:val="en-GB"/>
              </w:rPr>
              <w:t>1489 (23.3)</w:t>
            </w:r>
          </w:p>
        </w:tc>
        <w:tc>
          <w:tcPr>
            <w:tcW w:w="502" w:type="pct"/>
          </w:tcPr>
          <w:p w14:paraId="3BF35F58" w14:textId="77777777" w:rsidR="00CF7BC4" w:rsidRPr="00E678AB" w:rsidRDefault="009D77B2">
            <w:pPr>
              <w:pStyle w:val="Compact"/>
              <w:jc w:val="right"/>
              <w:rPr>
                <w:lang w:val="en-GB"/>
              </w:rPr>
            </w:pPr>
            <w:r w:rsidRPr="00E678AB">
              <w:rPr>
                <w:lang w:val="en-GB"/>
              </w:rPr>
              <w:t>465 (23.1)</w:t>
            </w:r>
          </w:p>
        </w:tc>
        <w:tc>
          <w:tcPr>
            <w:tcW w:w="502" w:type="pct"/>
          </w:tcPr>
          <w:p w14:paraId="029D94E7" w14:textId="77777777" w:rsidR="00CF7BC4" w:rsidRPr="00E678AB" w:rsidRDefault="009D77B2">
            <w:pPr>
              <w:pStyle w:val="Compact"/>
              <w:jc w:val="right"/>
              <w:rPr>
                <w:lang w:val="en-GB"/>
              </w:rPr>
            </w:pPr>
            <w:r w:rsidRPr="00E678AB">
              <w:rPr>
                <w:lang w:val="en-GB"/>
              </w:rPr>
              <w:t>379 (29.3)</w:t>
            </w:r>
          </w:p>
        </w:tc>
        <w:tc>
          <w:tcPr>
            <w:tcW w:w="502" w:type="pct"/>
          </w:tcPr>
          <w:p w14:paraId="726624E7" w14:textId="77777777" w:rsidR="00CF7BC4" w:rsidRPr="00E678AB" w:rsidRDefault="009D77B2">
            <w:pPr>
              <w:pStyle w:val="Compact"/>
              <w:jc w:val="right"/>
              <w:rPr>
                <w:lang w:val="en-GB"/>
              </w:rPr>
            </w:pPr>
            <w:r w:rsidRPr="00E678AB">
              <w:rPr>
                <w:lang w:val="en-GB"/>
              </w:rPr>
              <w:t>2333 (24.1)</w:t>
            </w:r>
          </w:p>
        </w:tc>
        <w:tc>
          <w:tcPr>
            <w:tcW w:w="0" w:type="auto"/>
          </w:tcPr>
          <w:p w14:paraId="53A29A98" w14:textId="77777777" w:rsidR="00CF7BC4" w:rsidRPr="00E678AB" w:rsidRDefault="009D77B2">
            <w:pPr>
              <w:pStyle w:val="Compact"/>
              <w:jc w:val="right"/>
              <w:rPr>
                <w:lang w:val="en-GB"/>
              </w:rPr>
            </w:pPr>
            <w:r w:rsidRPr="00E678AB">
              <w:rPr>
                <w:lang w:val="en-GB"/>
              </w:rPr>
              <w:t>&lt;0.001</w:t>
            </w:r>
          </w:p>
        </w:tc>
      </w:tr>
      <w:tr w:rsidR="002E75D7" w:rsidRPr="00E678AB" w14:paraId="0301CCC0" w14:textId="77777777" w:rsidTr="007D5BF1">
        <w:tc>
          <w:tcPr>
            <w:tcW w:w="0" w:type="auto"/>
          </w:tcPr>
          <w:p w14:paraId="5F48E0D7" w14:textId="77777777" w:rsidR="00CF7BC4" w:rsidRPr="00E678AB" w:rsidRDefault="00CF7BC4"/>
        </w:tc>
        <w:tc>
          <w:tcPr>
            <w:tcW w:w="0" w:type="auto"/>
          </w:tcPr>
          <w:p w14:paraId="09E68AF9" w14:textId="77777777" w:rsidR="00CF7BC4" w:rsidRPr="00E678AB" w:rsidRDefault="009D77B2">
            <w:pPr>
              <w:pStyle w:val="Compact"/>
              <w:rPr>
                <w:lang w:val="en-GB"/>
              </w:rPr>
            </w:pPr>
            <w:r w:rsidRPr="00E678AB">
              <w:rPr>
                <w:lang w:val="en-GB"/>
              </w:rPr>
              <w:t>Female</w:t>
            </w:r>
          </w:p>
        </w:tc>
        <w:tc>
          <w:tcPr>
            <w:tcW w:w="497" w:type="pct"/>
          </w:tcPr>
          <w:p w14:paraId="6C6E3764" w14:textId="77777777" w:rsidR="00CF7BC4" w:rsidRPr="00E678AB" w:rsidRDefault="009D77B2">
            <w:pPr>
              <w:pStyle w:val="Compact"/>
              <w:jc w:val="right"/>
              <w:rPr>
                <w:lang w:val="en-GB"/>
              </w:rPr>
            </w:pPr>
            <w:r w:rsidRPr="00E678AB">
              <w:rPr>
                <w:lang w:val="en-GB"/>
              </w:rPr>
              <w:t>4886 (76.6)</w:t>
            </w:r>
          </w:p>
        </w:tc>
        <w:tc>
          <w:tcPr>
            <w:tcW w:w="502" w:type="pct"/>
          </w:tcPr>
          <w:p w14:paraId="5B4FD55D" w14:textId="77777777" w:rsidR="00CF7BC4" w:rsidRPr="00E678AB" w:rsidRDefault="009D77B2">
            <w:pPr>
              <w:pStyle w:val="Compact"/>
              <w:jc w:val="right"/>
              <w:rPr>
                <w:lang w:val="en-GB"/>
              </w:rPr>
            </w:pPr>
            <w:r w:rsidRPr="00E678AB">
              <w:rPr>
                <w:lang w:val="en-GB"/>
              </w:rPr>
              <w:t>1546 (76.8)</w:t>
            </w:r>
          </w:p>
        </w:tc>
        <w:tc>
          <w:tcPr>
            <w:tcW w:w="502" w:type="pct"/>
          </w:tcPr>
          <w:p w14:paraId="20B92921" w14:textId="77777777" w:rsidR="00CF7BC4" w:rsidRPr="00E678AB" w:rsidRDefault="009D77B2">
            <w:pPr>
              <w:pStyle w:val="Compact"/>
              <w:jc w:val="right"/>
              <w:rPr>
                <w:lang w:val="en-GB"/>
              </w:rPr>
            </w:pPr>
            <w:r w:rsidRPr="00E678AB">
              <w:rPr>
                <w:lang w:val="en-GB"/>
              </w:rPr>
              <w:t>914 (70.6)</w:t>
            </w:r>
          </w:p>
        </w:tc>
        <w:tc>
          <w:tcPr>
            <w:tcW w:w="502" w:type="pct"/>
          </w:tcPr>
          <w:p w14:paraId="7A6B9061" w14:textId="77777777" w:rsidR="00CF7BC4" w:rsidRPr="00E678AB" w:rsidRDefault="009D77B2">
            <w:pPr>
              <w:pStyle w:val="Compact"/>
              <w:jc w:val="right"/>
              <w:rPr>
                <w:lang w:val="en-GB"/>
              </w:rPr>
            </w:pPr>
            <w:r w:rsidRPr="00E678AB">
              <w:rPr>
                <w:lang w:val="en-GB"/>
              </w:rPr>
              <w:t>7346 (75.8)</w:t>
            </w:r>
          </w:p>
        </w:tc>
        <w:tc>
          <w:tcPr>
            <w:tcW w:w="0" w:type="auto"/>
          </w:tcPr>
          <w:p w14:paraId="0B8EDEB0" w14:textId="77777777" w:rsidR="00CF7BC4" w:rsidRPr="00E678AB" w:rsidRDefault="00CF7BC4"/>
        </w:tc>
      </w:tr>
      <w:tr w:rsidR="002E75D7" w:rsidRPr="00E678AB" w14:paraId="6731D274" w14:textId="77777777" w:rsidTr="007D5BF1">
        <w:tc>
          <w:tcPr>
            <w:tcW w:w="0" w:type="auto"/>
          </w:tcPr>
          <w:p w14:paraId="771887CF" w14:textId="77777777" w:rsidR="00CF7BC4" w:rsidRPr="00E678AB" w:rsidRDefault="00CF7BC4"/>
        </w:tc>
        <w:tc>
          <w:tcPr>
            <w:tcW w:w="0" w:type="auto"/>
          </w:tcPr>
          <w:p w14:paraId="031F1AE6" w14:textId="77777777" w:rsidR="00CF7BC4" w:rsidRPr="00E678AB" w:rsidRDefault="009D77B2">
            <w:pPr>
              <w:pStyle w:val="Compact"/>
              <w:rPr>
                <w:lang w:val="en-GB"/>
              </w:rPr>
            </w:pPr>
            <w:r w:rsidRPr="00E678AB">
              <w:rPr>
                <w:lang w:val="en-GB"/>
              </w:rPr>
              <w:t>(Missing)</w:t>
            </w:r>
          </w:p>
        </w:tc>
        <w:tc>
          <w:tcPr>
            <w:tcW w:w="497" w:type="pct"/>
          </w:tcPr>
          <w:p w14:paraId="5B5795FC" w14:textId="77777777" w:rsidR="00CF7BC4" w:rsidRPr="00E678AB" w:rsidRDefault="009D77B2">
            <w:pPr>
              <w:pStyle w:val="Compact"/>
              <w:jc w:val="right"/>
              <w:rPr>
                <w:lang w:val="en-GB"/>
              </w:rPr>
            </w:pPr>
            <w:r w:rsidRPr="00E678AB">
              <w:rPr>
                <w:lang w:val="en-GB"/>
              </w:rPr>
              <w:t>3 (0.0)</w:t>
            </w:r>
          </w:p>
        </w:tc>
        <w:tc>
          <w:tcPr>
            <w:tcW w:w="502" w:type="pct"/>
          </w:tcPr>
          <w:p w14:paraId="4A21D9BD" w14:textId="77777777" w:rsidR="00CF7BC4" w:rsidRPr="00E678AB" w:rsidRDefault="009D77B2">
            <w:pPr>
              <w:pStyle w:val="Compact"/>
              <w:jc w:val="right"/>
              <w:rPr>
                <w:lang w:val="en-GB"/>
              </w:rPr>
            </w:pPr>
            <w:r w:rsidRPr="00E678AB">
              <w:rPr>
                <w:lang w:val="en-GB"/>
              </w:rPr>
              <w:t>2 (0.1)</w:t>
            </w:r>
          </w:p>
        </w:tc>
        <w:tc>
          <w:tcPr>
            <w:tcW w:w="502" w:type="pct"/>
          </w:tcPr>
          <w:p w14:paraId="0FAAF570" w14:textId="77777777" w:rsidR="00CF7BC4" w:rsidRPr="00E678AB" w:rsidRDefault="009D77B2">
            <w:pPr>
              <w:pStyle w:val="Compact"/>
              <w:jc w:val="right"/>
              <w:rPr>
                <w:lang w:val="en-GB"/>
              </w:rPr>
            </w:pPr>
            <w:r w:rsidRPr="00E678AB">
              <w:rPr>
                <w:lang w:val="en-GB"/>
              </w:rPr>
              <w:t>1 (0.1)</w:t>
            </w:r>
          </w:p>
        </w:tc>
        <w:tc>
          <w:tcPr>
            <w:tcW w:w="502" w:type="pct"/>
          </w:tcPr>
          <w:p w14:paraId="2C9691FF" w14:textId="77777777" w:rsidR="00CF7BC4" w:rsidRPr="00E678AB" w:rsidRDefault="009D77B2">
            <w:pPr>
              <w:pStyle w:val="Compact"/>
              <w:jc w:val="right"/>
              <w:rPr>
                <w:lang w:val="en-GB"/>
              </w:rPr>
            </w:pPr>
            <w:r w:rsidRPr="00E678AB">
              <w:rPr>
                <w:lang w:val="en-GB"/>
              </w:rPr>
              <w:t>6 (0.1)</w:t>
            </w:r>
          </w:p>
        </w:tc>
        <w:tc>
          <w:tcPr>
            <w:tcW w:w="0" w:type="auto"/>
          </w:tcPr>
          <w:p w14:paraId="276BA1FB" w14:textId="77777777" w:rsidR="00CF7BC4" w:rsidRPr="00E678AB" w:rsidRDefault="00CF7BC4"/>
        </w:tc>
      </w:tr>
      <w:tr w:rsidR="009F3659" w:rsidRPr="00E678AB" w14:paraId="3C97564E" w14:textId="77777777" w:rsidTr="007D5BF1">
        <w:tc>
          <w:tcPr>
            <w:tcW w:w="0" w:type="auto"/>
          </w:tcPr>
          <w:p w14:paraId="36460F60" w14:textId="135BBB78" w:rsidR="009F3659" w:rsidRPr="00E678AB" w:rsidRDefault="009F3659">
            <w:pPr>
              <w:pStyle w:val="Compact"/>
              <w:rPr>
                <w:lang w:val="en-GB"/>
              </w:rPr>
            </w:pPr>
            <w:r w:rsidRPr="00E678AB">
              <w:rPr>
                <w:lang w:val="en-GB"/>
              </w:rPr>
              <w:t>ECOG performance status</w:t>
            </w:r>
          </w:p>
        </w:tc>
        <w:tc>
          <w:tcPr>
            <w:tcW w:w="0" w:type="auto"/>
          </w:tcPr>
          <w:p w14:paraId="38C8AA78" w14:textId="77777777" w:rsidR="009F3659" w:rsidRPr="00E678AB" w:rsidRDefault="009F3659">
            <w:pPr>
              <w:pStyle w:val="Compact"/>
              <w:rPr>
                <w:lang w:val="en-GB"/>
              </w:rPr>
            </w:pPr>
          </w:p>
        </w:tc>
        <w:tc>
          <w:tcPr>
            <w:tcW w:w="497" w:type="pct"/>
          </w:tcPr>
          <w:p w14:paraId="05409A36" w14:textId="77777777" w:rsidR="009F3659" w:rsidRPr="00E678AB" w:rsidRDefault="009F3659">
            <w:pPr>
              <w:pStyle w:val="Compact"/>
              <w:jc w:val="right"/>
              <w:rPr>
                <w:lang w:val="en-GB"/>
              </w:rPr>
            </w:pPr>
          </w:p>
        </w:tc>
        <w:tc>
          <w:tcPr>
            <w:tcW w:w="502" w:type="pct"/>
          </w:tcPr>
          <w:p w14:paraId="1A68AA37" w14:textId="77777777" w:rsidR="009F3659" w:rsidRPr="00E678AB" w:rsidRDefault="009F3659">
            <w:pPr>
              <w:pStyle w:val="Compact"/>
              <w:jc w:val="right"/>
              <w:rPr>
                <w:lang w:val="en-GB"/>
              </w:rPr>
            </w:pPr>
          </w:p>
        </w:tc>
        <w:tc>
          <w:tcPr>
            <w:tcW w:w="502" w:type="pct"/>
          </w:tcPr>
          <w:p w14:paraId="3C56B3FB" w14:textId="77777777" w:rsidR="009F3659" w:rsidRPr="00E678AB" w:rsidRDefault="009F3659">
            <w:pPr>
              <w:pStyle w:val="Compact"/>
              <w:jc w:val="right"/>
              <w:rPr>
                <w:lang w:val="en-GB"/>
              </w:rPr>
            </w:pPr>
          </w:p>
        </w:tc>
        <w:tc>
          <w:tcPr>
            <w:tcW w:w="502" w:type="pct"/>
          </w:tcPr>
          <w:p w14:paraId="65438045" w14:textId="77777777" w:rsidR="009F3659" w:rsidRPr="00E678AB" w:rsidRDefault="009F3659">
            <w:pPr>
              <w:pStyle w:val="Compact"/>
              <w:jc w:val="right"/>
              <w:rPr>
                <w:lang w:val="en-GB"/>
              </w:rPr>
            </w:pPr>
          </w:p>
        </w:tc>
        <w:tc>
          <w:tcPr>
            <w:tcW w:w="0" w:type="auto"/>
          </w:tcPr>
          <w:p w14:paraId="699CB9F8" w14:textId="77777777" w:rsidR="009F3659" w:rsidRPr="00E678AB" w:rsidRDefault="009F3659">
            <w:pPr>
              <w:pStyle w:val="Compact"/>
              <w:jc w:val="right"/>
              <w:rPr>
                <w:lang w:val="en-GB"/>
              </w:rPr>
            </w:pPr>
          </w:p>
        </w:tc>
      </w:tr>
      <w:tr w:rsidR="002E75D7" w:rsidRPr="00E678AB" w14:paraId="36E54132" w14:textId="77777777" w:rsidTr="007D5BF1">
        <w:tc>
          <w:tcPr>
            <w:tcW w:w="0" w:type="auto"/>
          </w:tcPr>
          <w:p w14:paraId="7D6395C9" w14:textId="410CDA82" w:rsidR="00CF7BC4" w:rsidRPr="00E678AB" w:rsidRDefault="00CF7BC4">
            <w:pPr>
              <w:pStyle w:val="Compact"/>
              <w:rPr>
                <w:lang w:val="en-GB"/>
              </w:rPr>
            </w:pPr>
          </w:p>
        </w:tc>
        <w:tc>
          <w:tcPr>
            <w:tcW w:w="0" w:type="auto"/>
          </w:tcPr>
          <w:p w14:paraId="70764491" w14:textId="77777777" w:rsidR="00CF7BC4" w:rsidRPr="00E678AB" w:rsidRDefault="009D77B2">
            <w:pPr>
              <w:pStyle w:val="Compact"/>
              <w:rPr>
                <w:lang w:val="en-GB"/>
              </w:rPr>
            </w:pPr>
            <w:r w:rsidRPr="00E678AB">
              <w:rPr>
                <w:lang w:val="en-GB"/>
              </w:rPr>
              <w:t>0</w:t>
            </w:r>
          </w:p>
        </w:tc>
        <w:tc>
          <w:tcPr>
            <w:tcW w:w="497" w:type="pct"/>
          </w:tcPr>
          <w:p w14:paraId="043154F5" w14:textId="77777777" w:rsidR="00CF7BC4" w:rsidRPr="00E678AB" w:rsidRDefault="009D77B2">
            <w:pPr>
              <w:pStyle w:val="Compact"/>
              <w:jc w:val="right"/>
              <w:rPr>
                <w:lang w:val="en-GB"/>
              </w:rPr>
            </w:pPr>
            <w:r w:rsidRPr="00E678AB">
              <w:rPr>
                <w:lang w:val="en-GB"/>
              </w:rPr>
              <w:t>3668 (57.5)</w:t>
            </w:r>
          </w:p>
        </w:tc>
        <w:tc>
          <w:tcPr>
            <w:tcW w:w="502" w:type="pct"/>
          </w:tcPr>
          <w:p w14:paraId="7394EC3B" w14:textId="77777777" w:rsidR="00CF7BC4" w:rsidRPr="00E678AB" w:rsidRDefault="009D77B2">
            <w:pPr>
              <w:pStyle w:val="Compact"/>
              <w:jc w:val="right"/>
              <w:rPr>
                <w:lang w:val="en-GB"/>
              </w:rPr>
            </w:pPr>
            <w:r w:rsidRPr="00E678AB">
              <w:rPr>
                <w:lang w:val="en-GB"/>
              </w:rPr>
              <w:t>1007 (50.0)</w:t>
            </w:r>
          </w:p>
        </w:tc>
        <w:tc>
          <w:tcPr>
            <w:tcW w:w="502" w:type="pct"/>
          </w:tcPr>
          <w:p w14:paraId="33377A3C" w14:textId="77777777" w:rsidR="00CF7BC4" w:rsidRPr="00E678AB" w:rsidRDefault="009D77B2">
            <w:pPr>
              <w:pStyle w:val="Compact"/>
              <w:jc w:val="right"/>
              <w:rPr>
                <w:lang w:val="en-GB"/>
              </w:rPr>
            </w:pPr>
            <w:r w:rsidRPr="00E678AB">
              <w:rPr>
                <w:lang w:val="en-GB"/>
              </w:rPr>
              <w:t>612 (47.3)</w:t>
            </w:r>
          </w:p>
        </w:tc>
        <w:tc>
          <w:tcPr>
            <w:tcW w:w="502" w:type="pct"/>
          </w:tcPr>
          <w:p w14:paraId="725931BA" w14:textId="77777777" w:rsidR="00CF7BC4" w:rsidRPr="00E678AB" w:rsidRDefault="009D77B2">
            <w:pPr>
              <w:pStyle w:val="Compact"/>
              <w:jc w:val="right"/>
              <w:rPr>
                <w:lang w:val="en-GB"/>
              </w:rPr>
            </w:pPr>
            <w:r w:rsidRPr="00E678AB">
              <w:rPr>
                <w:lang w:val="en-GB"/>
              </w:rPr>
              <w:t>5287 (54.6)</w:t>
            </w:r>
          </w:p>
        </w:tc>
        <w:tc>
          <w:tcPr>
            <w:tcW w:w="0" w:type="auto"/>
          </w:tcPr>
          <w:p w14:paraId="62D595EB" w14:textId="77777777" w:rsidR="00CF7BC4" w:rsidRPr="00E678AB" w:rsidRDefault="009D77B2">
            <w:pPr>
              <w:pStyle w:val="Compact"/>
              <w:jc w:val="right"/>
              <w:rPr>
                <w:lang w:val="en-GB"/>
              </w:rPr>
            </w:pPr>
            <w:r w:rsidRPr="00E678AB">
              <w:rPr>
                <w:lang w:val="en-GB"/>
              </w:rPr>
              <w:t>&lt;0.001</w:t>
            </w:r>
          </w:p>
        </w:tc>
      </w:tr>
      <w:tr w:rsidR="002E75D7" w:rsidRPr="00E678AB" w14:paraId="6132C027" w14:textId="77777777" w:rsidTr="007D5BF1">
        <w:tc>
          <w:tcPr>
            <w:tcW w:w="0" w:type="auto"/>
          </w:tcPr>
          <w:p w14:paraId="1402F96D" w14:textId="77777777" w:rsidR="00CF7BC4" w:rsidRPr="00E678AB" w:rsidRDefault="00CF7BC4"/>
        </w:tc>
        <w:tc>
          <w:tcPr>
            <w:tcW w:w="0" w:type="auto"/>
          </w:tcPr>
          <w:p w14:paraId="51279167" w14:textId="77777777" w:rsidR="00CF7BC4" w:rsidRPr="00E678AB" w:rsidRDefault="009D77B2">
            <w:pPr>
              <w:pStyle w:val="Compact"/>
              <w:rPr>
                <w:lang w:val="en-GB"/>
              </w:rPr>
            </w:pPr>
            <w:r w:rsidRPr="00E678AB">
              <w:rPr>
                <w:lang w:val="en-GB"/>
              </w:rPr>
              <w:t>1</w:t>
            </w:r>
          </w:p>
        </w:tc>
        <w:tc>
          <w:tcPr>
            <w:tcW w:w="497" w:type="pct"/>
          </w:tcPr>
          <w:p w14:paraId="76020F35" w14:textId="77777777" w:rsidR="00CF7BC4" w:rsidRPr="00E678AB" w:rsidRDefault="009D77B2">
            <w:pPr>
              <w:pStyle w:val="Compact"/>
              <w:jc w:val="right"/>
              <w:rPr>
                <w:lang w:val="en-GB"/>
              </w:rPr>
            </w:pPr>
            <w:r w:rsidRPr="00E678AB">
              <w:rPr>
                <w:lang w:val="en-GB"/>
              </w:rPr>
              <w:t>1520 (23.8)</w:t>
            </w:r>
          </w:p>
        </w:tc>
        <w:tc>
          <w:tcPr>
            <w:tcW w:w="502" w:type="pct"/>
          </w:tcPr>
          <w:p w14:paraId="480E4895" w14:textId="77777777" w:rsidR="00CF7BC4" w:rsidRPr="00E678AB" w:rsidRDefault="009D77B2">
            <w:pPr>
              <w:pStyle w:val="Compact"/>
              <w:jc w:val="right"/>
              <w:rPr>
                <w:lang w:val="en-GB"/>
              </w:rPr>
            </w:pPr>
            <w:r w:rsidRPr="00E678AB">
              <w:rPr>
                <w:lang w:val="en-GB"/>
              </w:rPr>
              <w:t>519 (25.8)</w:t>
            </w:r>
          </w:p>
        </w:tc>
        <w:tc>
          <w:tcPr>
            <w:tcW w:w="502" w:type="pct"/>
          </w:tcPr>
          <w:p w14:paraId="67035E5C" w14:textId="77777777" w:rsidR="00CF7BC4" w:rsidRPr="00E678AB" w:rsidRDefault="009D77B2">
            <w:pPr>
              <w:pStyle w:val="Compact"/>
              <w:jc w:val="right"/>
              <w:rPr>
                <w:lang w:val="en-GB"/>
              </w:rPr>
            </w:pPr>
            <w:r w:rsidRPr="00E678AB">
              <w:rPr>
                <w:lang w:val="en-GB"/>
              </w:rPr>
              <w:t>356 (27.5)</w:t>
            </w:r>
          </w:p>
        </w:tc>
        <w:tc>
          <w:tcPr>
            <w:tcW w:w="502" w:type="pct"/>
          </w:tcPr>
          <w:p w14:paraId="0747CE49" w14:textId="77777777" w:rsidR="00CF7BC4" w:rsidRPr="00E678AB" w:rsidRDefault="009D77B2">
            <w:pPr>
              <w:pStyle w:val="Compact"/>
              <w:jc w:val="right"/>
              <w:rPr>
                <w:lang w:val="en-GB"/>
              </w:rPr>
            </w:pPr>
            <w:r w:rsidRPr="00E678AB">
              <w:rPr>
                <w:lang w:val="en-GB"/>
              </w:rPr>
              <w:t>2395 (24.7)</w:t>
            </w:r>
          </w:p>
        </w:tc>
        <w:tc>
          <w:tcPr>
            <w:tcW w:w="0" w:type="auto"/>
          </w:tcPr>
          <w:p w14:paraId="68C17858" w14:textId="77777777" w:rsidR="00CF7BC4" w:rsidRPr="00E678AB" w:rsidRDefault="00CF7BC4"/>
        </w:tc>
      </w:tr>
      <w:tr w:rsidR="002E75D7" w:rsidRPr="00E678AB" w14:paraId="3524418B" w14:textId="77777777" w:rsidTr="007D5BF1">
        <w:tc>
          <w:tcPr>
            <w:tcW w:w="0" w:type="auto"/>
          </w:tcPr>
          <w:p w14:paraId="73027F7E" w14:textId="77777777" w:rsidR="00CF7BC4" w:rsidRPr="00E678AB" w:rsidRDefault="00CF7BC4"/>
        </w:tc>
        <w:tc>
          <w:tcPr>
            <w:tcW w:w="0" w:type="auto"/>
          </w:tcPr>
          <w:p w14:paraId="41E1F11F" w14:textId="77777777" w:rsidR="00CF7BC4" w:rsidRPr="00E678AB" w:rsidRDefault="009D77B2">
            <w:pPr>
              <w:pStyle w:val="Compact"/>
              <w:rPr>
                <w:lang w:val="en-GB"/>
              </w:rPr>
            </w:pPr>
            <w:r w:rsidRPr="00E678AB">
              <w:rPr>
                <w:lang w:val="en-GB"/>
              </w:rPr>
              <w:t>2</w:t>
            </w:r>
          </w:p>
        </w:tc>
        <w:tc>
          <w:tcPr>
            <w:tcW w:w="497" w:type="pct"/>
          </w:tcPr>
          <w:p w14:paraId="13EBFEEB" w14:textId="77777777" w:rsidR="00CF7BC4" w:rsidRPr="00E678AB" w:rsidRDefault="009D77B2">
            <w:pPr>
              <w:pStyle w:val="Compact"/>
              <w:jc w:val="right"/>
              <w:rPr>
                <w:lang w:val="en-GB"/>
              </w:rPr>
            </w:pPr>
            <w:r w:rsidRPr="00E678AB">
              <w:rPr>
                <w:lang w:val="en-GB"/>
              </w:rPr>
              <w:t>750 (11.8)</w:t>
            </w:r>
          </w:p>
        </w:tc>
        <w:tc>
          <w:tcPr>
            <w:tcW w:w="502" w:type="pct"/>
          </w:tcPr>
          <w:p w14:paraId="5F9F29E0" w14:textId="77777777" w:rsidR="00CF7BC4" w:rsidRPr="00E678AB" w:rsidRDefault="009D77B2">
            <w:pPr>
              <w:pStyle w:val="Compact"/>
              <w:jc w:val="right"/>
              <w:rPr>
                <w:lang w:val="en-GB"/>
              </w:rPr>
            </w:pPr>
            <w:r w:rsidRPr="00E678AB">
              <w:rPr>
                <w:lang w:val="en-GB"/>
              </w:rPr>
              <w:t>226 (11.2)</w:t>
            </w:r>
          </w:p>
        </w:tc>
        <w:tc>
          <w:tcPr>
            <w:tcW w:w="502" w:type="pct"/>
          </w:tcPr>
          <w:p w14:paraId="78167287" w14:textId="77777777" w:rsidR="00CF7BC4" w:rsidRPr="00E678AB" w:rsidRDefault="009D77B2">
            <w:pPr>
              <w:pStyle w:val="Compact"/>
              <w:jc w:val="right"/>
              <w:rPr>
                <w:lang w:val="en-GB"/>
              </w:rPr>
            </w:pPr>
            <w:r w:rsidRPr="00E678AB">
              <w:rPr>
                <w:lang w:val="en-GB"/>
              </w:rPr>
              <w:t>157 (12.1)</w:t>
            </w:r>
          </w:p>
        </w:tc>
        <w:tc>
          <w:tcPr>
            <w:tcW w:w="502" w:type="pct"/>
          </w:tcPr>
          <w:p w14:paraId="1034A46D" w14:textId="77777777" w:rsidR="00CF7BC4" w:rsidRPr="00E678AB" w:rsidRDefault="009D77B2">
            <w:pPr>
              <w:pStyle w:val="Compact"/>
              <w:jc w:val="right"/>
              <w:rPr>
                <w:lang w:val="en-GB"/>
              </w:rPr>
            </w:pPr>
            <w:r w:rsidRPr="00E678AB">
              <w:rPr>
                <w:lang w:val="en-GB"/>
              </w:rPr>
              <w:t>1133 (11.7)</w:t>
            </w:r>
          </w:p>
        </w:tc>
        <w:tc>
          <w:tcPr>
            <w:tcW w:w="0" w:type="auto"/>
          </w:tcPr>
          <w:p w14:paraId="4E9494FB" w14:textId="77777777" w:rsidR="00CF7BC4" w:rsidRPr="00E678AB" w:rsidRDefault="00CF7BC4"/>
        </w:tc>
      </w:tr>
      <w:tr w:rsidR="002E75D7" w:rsidRPr="00E678AB" w14:paraId="78E9E2FA" w14:textId="77777777" w:rsidTr="007D5BF1">
        <w:tc>
          <w:tcPr>
            <w:tcW w:w="0" w:type="auto"/>
          </w:tcPr>
          <w:p w14:paraId="4AF33B9A" w14:textId="77777777" w:rsidR="00CF7BC4" w:rsidRPr="00E678AB" w:rsidRDefault="00CF7BC4"/>
        </w:tc>
        <w:tc>
          <w:tcPr>
            <w:tcW w:w="0" w:type="auto"/>
          </w:tcPr>
          <w:p w14:paraId="70424F12" w14:textId="77777777" w:rsidR="00CF7BC4" w:rsidRPr="00E678AB" w:rsidRDefault="009D77B2">
            <w:pPr>
              <w:pStyle w:val="Compact"/>
              <w:rPr>
                <w:lang w:val="en-GB"/>
              </w:rPr>
            </w:pPr>
            <w:r w:rsidRPr="00E678AB">
              <w:rPr>
                <w:lang w:val="en-GB"/>
              </w:rPr>
              <w:t>3/4</w:t>
            </w:r>
          </w:p>
        </w:tc>
        <w:tc>
          <w:tcPr>
            <w:tcW w:w="497" w:type="pct"/>
          </w:tcPr>
          <w:p w14:paraId="3AE0545C" w14:textId="77777777" w:rsidR="00CF7BC4" w:rsidRPr="00E678AB" w:rsidRDefault="009D77B2">
            <w:pPr>
              <w:pStyle w:val="Compact"/>
              <w:jc w:val="right"/>
              <w:rPr>
                <w:lang w:val="en-GB"/>
              </w:rPr>
            </w:pPr>
            <w:r w:rsidRPr="00E678AB">
              <w:rPr>
                <w:lang w:val="en-GB"/>
              </w:rPr>
              <w:t>198 (3.1)</w:t>
            </w:r>
          </w:p>
        </w:tc>
        <w:tc>
          <w:tcPr>
            <w:tcW w:w="502" w:type="pct"/>
          </w:tcPr>
          <w:p w14:paraId="4B1119C6" w14:textId="77777777" w:rsidR="00CF7BC4" w:rsidRPr="00E678AB" w:rsidRDefault="009D77B2">
            <w:pPr>
              <w:pStyle w:val="Compact"/>
              <w:jc w:val="right"/>
              <w:rPr>
                <w:lang w:val="en-GB"/>
              </w:rPr>
            </w:pPr>
            <w:r w:rsidRPr="00E678AB">
              <w:rPr>
                <w:lang w:val="en-GB"/>
              </w:rPr>
              <w:t>94 (4.7)</w:t>
            </w:r>
          </w:p>
        </w:tc>
        <w:tc>
          <w:tcPr>
            <w:tcW w:w="502" w:type="pct"/>
          </w:tcPr>
          <w:p w14:paraId="6A169E4A" w14:textId="77777777" w:rsidR="00CF7BC4" w:rsidRPr="00E678AB" w:rsidRDefault="009D77B2">
            <w:pPr>
              <w:pStyle w:val="Compact"/>
              <w:jc w:val="right"/>
              <w:rPr>
                <w:lang w:val="en-GB"/>
              </w:rPr>
            </w:pPr>
            <w:r w:rsidRPr="00E678AB">
              <w:rPr>
                <w:lang w:val="en-GB"/>
              </w:rPr>
              <w:t>115 (8.9)</w:t>
            </w:r>
          </w:p>
        </w:tc>
        <w:tc>
          <w:tcPr>
            <w:tcW w:w="502" w:type="pct"/>
          </w:tcPr>
          <w:p w14:paraId="00C3632A" w14:textId="77777777" w:rsidR="00CF7BC4" w:rsidRPr="00E678AB" w:rsidRDefault="009D77B2">
            <w:pPr>
              <w:pStyle w:val="Compact"/>
              <w:jc w:val="right"/>
              <w:rPr>
                <w:lang w:val="en-GB"/>
              </w:rPr>
            </w:pPr>
            <w:r w:rsidRPr="00E678AB">
              <w:rPr>
                <w:lang w:val="en-GB"/>
              </w:rPr>
              <w:t>407 (4.2)</w:t>
            </w:r>
          </w:p>
        </w:tc>
        <w:tc>
          <w:tcPr>
            <w:tcW w:w="0" w:type="auto"/>
          </w:tcPr>
          <w:p w14:paraId="62BFF369" w14:textId="77777777" w:rsidR="00CF7BC4" w:rsidRPr="00E678AB" w:rsidRDefault="00CF7BC4"/>
        </w:tc>
      </w:tr>
      <w:tr w:rsidR="002E75D7" w:rsidRPr="00E678AB" w14:paraId="17AA4821" w14:textId="77777777" w:rsidTr="007D5BF1">
        <w:tc>
          <w:tcPr>
            <w:tcW w:w="0" w:type="auto"/>
          </w:tcPr>
          <w:p w14:paraId="3FB58256" w14:textId="77777777" w:rsidR="00CF7BC4" w:rsidRPr="00E678AB" w:rsidRDefault="00CF7BC4"/>
        </w:tc>
        <w:tc>
          <w:tcPr>
            <w:tcW w:w="0" w:type="auto"/>
          </w:tcPr>
          <w:p w14:paraId="3155FE47" w14:textId="77777777" w:rsidR="00CF7BC4" w:rsidRPr="00E678AB" w:rsidRDefault="009D77B2">
            <w:pPr>
              <w:pStyle w:val="Compact"/>
              <w:rPr>
                <w:lang w:val="en-GB"/>
              </w:rPr>
            </w:pPr>
            <w:r w:rsidRPr="00E678AB">
              <w:rPr>
                <w:lang w:val="en-GB"/>
              </w:rPr>
              <w:t>(Missing)</w:t>
            </w:r>
          </w:p>
        </w:tc>
        <w:tc>
          <w:tcPr>
            <w:tcW w:w="497" w:type="pct"/>
          </w:tcPr>
          <w:p w14:paraId="4B08A5E3" w14:textId="77777777" w:rsidR="00CF7BC4" w:rsidRPr="00E678AB" w:rsidRDefault="009D77B2">
            <w:pPr>
              <w:pStyle w:val="Compact"/>
              <w:jc w:val="right"/>
              <w:rPr>
                <w:lang w:val="en-GB"/>
              </w:rPr>
            </w:pPr>
            <w:r w:rsidRPr="00E678AB">
              <w:rPr>
                <w:lang w:val="en-GB"/>
              </w:rPr>
              <w:t>242 (3.8)</w:t>
            </w:r>
          </w:p>
        </w:tc>
        <w:tc>
          <w:tcPr>
            <w:tcW w:w="502" w:type="pct"/>
          </w:tcPr>
          <w:p w14:paraId="25D0C2DE" w14:textId="77777777" w:rsidR="00CF7BC4" w:rsidRPr="00E678AB" w:rsidRDefault="009D77B2">
            <w:pPr>
              <w:pStyle w:val="Compact"/>
              <w:jc w:val="right"/>
              <w:rPr>
                <w:lang w:val="en-GB"/>
              </w:rPr>
            </w:pPr>
            <w:r w:rsidRPr="00E678AB">
              <w:rPr>
                <w:lang w:val="en-GB"/>
              </w:rPr>
              <w:t>167 (8.3)</w:t>
            </w:r>
          </w:p>
        </w:tc>
        <w:tc>
          <w:tcPr>
            <w:tcW w:w="502" w:type="pct"/>
          </w:tcPr>
          <w:p w14:paraId="54D08A7A" w14:textId="77777777" w:rsidR="00CF7BC4" w:rsidRPr="00E678AB" w:rsidRDefault="009D77B2">
            <w:pPr>
              <w:pStyle w:val="Compact"/>
              <w:jc w:val="right"/>
              <w:rPr>
                <w:lang w:val="en-GB"/>
              </w:rPr>
            </w:pPr>
            <w:r w:rsidRPr="00E678AB">
              <w:rPr>
                <w:lang w:val="en-GB"/>
              </w:rPr>
              <w:t>54 (4.2)</w:t>
            </w:r>
          </w:p>
        </w:tc>
        <w:tc>
          <w:tcPr>
            <w:tcW w:w="502" w:type="pct"/>
          </w:tcPr>
          <w:p w14:paraId="5F5D3D44" w14:textId="77777777" w:rsidR="00CF7BC4" w:rsidRPr="00E678AB" w:rsidRDefault="009D77B2">
            <w:pPr>
              <w:pStyle w:val="Compact"/>
              <w:jc w:val="right"/>
              <w:rPr>
                <w:lang w:val="en-GB"/>
              </w:rPr>
            </w:pPr>
            <w:r w:rsidRPr="00E678AB">
              <w:rPr>
                <w:lang w:val="en-GB"/>
              </w:rPr>
              <w:t>463 (4.8)</w:t>
            </w:r>
          </w:p>
        </w:tc>
        <w:tc>
          <w:tcPr>
            <w:tcW w:w="0" w:type="auto"/>
          </w:tcPr>
          <w:p w14:paraId="17043678" w14:textId="77777777" w:rsidR="00CF7BC4" w:rsidRPr="00E678AB" w:rsidRDefault="00CF7BC4"/>
        </w:tc>
      </w:tr>
      <w:tr w:rsidR="009F3659" w:rsidRPr="00E678AB" w14:paraId="7949D899" w14:textId="77777777" w:rsidTr="007D5BF1">
        <w:tc>
          <w:tcPr>
            <w:tcW w:w="0" w:type="auto"/>
          </w:tcPr>
          <w:p w14:paraId="274EEDA4" w14:textId="75FEA75D" w:rsidR="009F3659" w:rsidRPr="00E678AB" w:rsidRDefault="009F3659">
            <w:pPr>
              <w:pStyle w:val="Compact"/>
              <w:rPr>
                <w:lang w:val="en-GB"/>
              </w:rPr>
            </w:pPr>
            <w:r w:rsidRPr="00E678AB">
              <w:rPr>
                <w:lang w:val="en-GB"/>
              </w:rPr>
              <w:t>ASA</w:t>
            </w:r>
          </w:p>
        </w:tc>
        <w:tc>
          <w:tcPr>
            <w:tcW w:w="0" w:type="auto"/>
          </w:tcPr>
          <w:p w14:paraId="19FF7E7A" w14:textId="77777777" w:rsidR="009F3659" w:rsidRPr="00E678AB" w:rsidRDefault="009F3659">
            <w:pPr>
              <w:pStyle w:val="Compact"/>
              <w:rPr>
                <w:lang w:val="en-GB"/>
              </w:rPr>
            </w:pPr>
          </w:p>
        </w:tc>
        <w:tc>
          <w:tcPr>
            <w:tcW w:w="497" w:type="pct"/>
          </w:tcPr>
          <w:p w14:paraId="79A3D640" w14:textId="77777777" w:rsidR="009F3659" w:rsidRPr="00E678AB" w:rsidRDefault="009F3659">
            <w:pPr>
              <w:pStyle w:val="Compact"/>
              <w:jc w:val="right"/>
              <w:rPr>
                <w:lang w:val="en-GB"/>
              </w:rPr>
            </w:pPr>
          </w:p>
        </w:tc>
        <w:tc>
          <w:tcPr>
            <w:tcW w:w="502" w:type="pct"/>
          </w:tcPr>
          <w:p w14:paraId="1D5F3D7A" w14:textId="77777777" w:rsidR="009F3659" w:rsidRPr="00E678AB" w:rsidRDefault="009F3659">
            <w:pPr>
              <w:pStyle w:val="Compact"/>
              <w:jc w:val="right"/>
              <w:rPr>
                <w:lang w:val="en-GB"/>
              </w:rPr>
            </w:pPr>
          </w:p>
        </w:tc>
        <w:tc>
          <w:tcPr>
            <w:tcW w:w="502" w:type="pct"/>
          </w:tcPr>
          <w:p w14:paraId="69C63E45" w14:textId="77777777" w:rsidR="009F3659" w:rsidRPr="00E678AB" w:rsidRDefault="009F3659">
            <w:pPr>
              <w:pStyle w:val="Compact"/>
              <w:jc w:val="right"/>
              <w:rPr>
                <w:lang w:val="en-GB"/>
              </w:rPr>
            </w:pPr>
          </w:p>
        </w:tc>
        <w:tc>
          <w:tcPr>
            <w:tcW w:w="502" w:type="pct"/>
          </w:tcPr>
          <w:p w14:paraId="754FCBCF" w14:textId="77777777" w:rsidR="009F3659" w:rsidRPr="00E678AB" w:rsidRDefault="009F3659">
            <w:pPr>
              <w:pStyle w:val="Compact"/>
              <w:jc w:val="right"/>
              <w:rPr>
                <w:lang w:val="en-GB"/>
              </w:rPr>
            </w:pPr>
          </w:p>
        </w:tc>
        <w:tc>
          <w:tcPr>
            <w:tcW w:w="0" w:type="auto"/>
          </w:tcPr>
          <w:p w14:paraId="114AAFE0" w14:textId="77777777" w:rsidR="009F3659" w:rsidRPr="00E678AB" w:rsidRDefault="009F3659">
            <w:pPr>
              <w:pStyle w:val="Compact"/>
              <w:jc w:val="right"/>
              <w:rPr>
                <w:lang w:val="en-GB"/>
              </w:rPr>
            </w:pPr>
          </w:p>
        </w:tc>
      </w:tr>
      <w:tr w:rsidR="002E75D7" w:rsidRPr="00E678AB" w14:paraId="7AE170FE" w14:textId="77777777" w:rsidTr="007D5BF1">
        <w:tc>
          <w:tcPr>
            <w:tcW w:w="0" w:type="auto"/>
          </w:tcPr>
          <w:p w14:paraId="7A9DC5BE" w14:textId="25278B43" w:rsidR="00CF7BC4" w:rsidRPr="00E678AB" w:rsidRDefault="00CF7BC4">
            <w:pPr>
              <w:pStyle w:val="Compact"/>
              <w:rPr>
                <w:lang w:val="en-GB"/>
              </w:rPr>
            </w:pPr>
          </w:p>
        </w:tc>
        <w:tc>
          <w:tcPr>
            <w:tcW w:w="0" w:type="auto"/>
          </w:tcPr>
          <w:p w14:paraId="11B80D3A" w14:textId="77777777" w:rsidR="00CF7BC4" w:rsidRPr="00E678AB" w:rsidRDefault="009D77B2">
            <w:pPr>
              <w:pStyle w:val="Compact"/>
              <w:rPr>
                <w:lang w:val="en-GB"/>
              </w:rPr>
            </w:pPr>
            <w:r w:rsidRPr="00E678AB">
              <w:rPr>
                <w:lang w:val="en-GB"/>
              </w:rPr>
              <w:t>I</w:t>
            </w:r>
          </w:p>
        </w:tc>
        <w:tc>
          <w:tcPr>
            <w:tcW w:w="497" w:type="pct"/>
          </w:tcPr>
          <w:p w14:paraId="5CE01FA5" w14:textId="77777777" w:rsidR="00CF7BC4" w:rsidRPr="00E678AB" w:rsidRDefault="009D77B2">
            <w:pPr>
              <w:pStyle w:val="Compact"/>
              <w:jc w:val="right"/>
              <w:rPr>
                <w:lang w:val="en-GB"/>
              </w:rPr>
            </w:pPr>
            <w:r w:rsidRPr="00E678AB">
              <w:rPr>
                <w:lang w:val="en-GB"/>
              </w:rPr>
              <w:t>1385 (21.7)</w:t>
            </w:r>
          </w:p>
        </w:tc>
        <w:tc>
          <w:tcPr>
            <w:tcW w:w="502" w:type="pct"/>
          </w:tcPr>
          <w:p w14:paraId="1D2AD1EA" w14:textId="77777777" w:rsidR="00CF7BC4" w:rsidRPr="00E678AB" w:rsidRDefault="009D77B2">
            <w:pPr>
              <w:pStyle w:val="Compact"/>
              <w:jc w:val="right"/>
              <w:rPr>
                <w:lang w:val="en-GB"/>
              </w:rPr>
            </w:pPr>
            <w:r w:rsidRPr="00E678AB">
              <w:rPr>
                <w:lang w:val="en-GB"/>
              </w:rPr>
              <w:t>387 (19.2)</w:t>
            </w:r>
          </w:p>
        </w:tc>
        <w:tc>
          <w:tcPr>
            <w:tcW w:w="502" w:type="pct"/>
          </w:tcPr>
          <w:p w14:paraId="0EC3B0BD" w14:textId="77777777" w:rsidR="00CF7BC4" w:rsidRPr="00E678AB" w:rsidRDefault="009D77B2">
            <w:pPr>
              <w:pStyle w:val="Compact"/>
              <w:jc w:val="right"/>
              <w:rPr>
                <w:lang w:val="en-GB"/>
              </w:rPr>
            </w:pPr>
            <w:r w:rsidRPr="00E678AB">
              <w:rPr>
                <w:lang w:val="en-GB"/>
              </w:rPr>
              <w:t>382 (29.5)</w:t>
            </w:r>
          </w:p>
        </w:tc>
        <w:tc>
          <w:tcPr>
            <w:tcW w:w="502" w:type="pct"/>
          </w:tcPr>
          <w:p w14:paraId="045FF504" w14:textId="77777777" w:rsidR="00CF7BC4" w:rsidRPr="00E678AB" w:rsidRDefault="009D77B2">
            <w:pPr>
              <w:pStyle w:val="Compact"/>
              <w:jc w:val="right"/>
              <w:rPr>
                <w:lang w:val="en-GB"/>
              </w:rPr>
            </w:pPr>
            <w:r w:rsidRPr="00E678AB">
              <w:rPr>
                <w:lang w:val="en-GB"/>
              </w:rPr>
              <w:t>2154 (22.2)</w:t>
            </w:r>
          </w:p>
        </w:tc>
        <w:tc>
          <w:tcPr>
            <w:tcW w:w="0" w:type="auto"/>
          </w:tcPr>
          <w:p w14:paraId="70475053" w14:textId="77777777" w:rsidR="00CF7BC4" w:rsidRPr="00E678AB" w:rsidRDefault="009D77B2">
            <w:pPr>
              <w:pStyle w:val="Compact"/>
              <w:jc w:val="right"/>
              <w:rPr>
                <w:lang w:val="en-GB"/>
              </w:rPr>
            </w:pPr>
            <w:r w:rsidRPr="00E678AB">
              <w:rPr>
                <w:lang w:val="en-GB"/>
              </w:rPr>
              <w:t>&lt;0.001</w:t>
            </w:r>
          </w:p>
        </w:tc>
      </w:tr>
      <w:tr w:rsidR="002E75D7" w:rsidRPr="00E678AB" w14:paraId="2D9C5B1A" w14:textId="77777777" w:rsidTr="007D5BF1">
        <w:tc>
          <w:tcPr>
            <w:tcW w:w="0" w:type="auto"/>
          </w:tcPr>
          <w:p w14:paraId="35B8AF65" w14:textId="77777777" w:rsidR="00CF7BC4" w:rsidRPr="00E678AB" w:rsidRDefault="00CF7BC4"/>
        </w:tc>
        <w:tc>
          <w:tcPr>
            <w:tcW w:w="0" w:type="auto"/>
          </w:tcPr>
          <w:p w14:paraId="092D778F" w14:textId="77777777" w:rsidR="00CF7BC4" w:rsidRPr="00E678AB" w:rsidRDefault="009D77B2">
            <w:pPr>
              <w:pStyle w:val="Compact"/>
              <w:rPr>
                <w:lang w:val="en-GB"/>
              </w:rPr>
            </w:pPr>
            <w:r w:rsidRPr="00E678AB">
              <w:rPr>
                <w:lang w:val="en-GB"/>
              </w:rPr>
              <w:t>II</w:t>
            </w:r>
          </w:p>
        </w:tc>
        <w:tc>
          <w:tcPr>
            <w:tcW w:w="497" w:type="pct"/>
          </w:tcPr>
          <w:p w14:paraId="30504F77" w14:textId="77777777" w:rsidR="00CF7BC4" w:rsidRPr="00E678AB" w:rsidRDefault="009D77B2">
            <w:pPr>
              <w:pStyle w:val="Compact"/>
              <w:jc w:val="right"/>
              <w:rPr>
                <w:lang w:val="en-GB"/>
              </w:rPr>
            </w:pPr>
            <w:r w:rsidRPr="00E678AB">
              <w:rPr>
                <w:lang w:val="en-GB"/>
              </w:rPr>
              <w:t>3469 (54.4)</w:t>
            </w:r>
          </w:p>
        </w:tc>
        <w:tc>
          <w:tcPr>
            <w:tcW w:w="502" w:type="pct"/>
          </w:tcPr>
          <w:p w14:paraId="140549A5" w14:textId="77777777" w:rsidR="00CF7BC4" w:rsidRPr="00E678AB" w:rsidRDefault="009D77B2">
            <w:pPr>
              <w:pStyle w:val="Compact"/>
              <w:jc w:val="right"/>
              <w:rPr>
                <w:lang w:val="en-GB"/>
              </w:rPr>
            </w:pPr>
            <w:r w:rsidRPr="00E678AB">
              <w:rPr>
                <w:lang w:val="en-GB"/>
              </w:rPr>
              <w:t>1099 (54.6)</w:t>
            </w:r>
          </w:p>
        </w:tc>
        <w:tc>
          <w:tcPr>
            <w:tcW w:w="502" w:type="pct"/>
          </w:tcPr>
          <w:p w14:paraId="29E7085F" w14:textId="77777777" w:rsidR="00CF7BC4" w:rsidRPr="00E678AB" w:rsidRDefault="009D77B2">
            <w:pPr>
              <w:pStyle w:val="Compact"/>
              <w:jc w:val="right"/>
              <w:rPr>
                <w:lang w:val="en-GB"/>
              </w:rPr>
            </w:pPr>
            <w:r w:rsidRPr="00E678AB">
              <w:rPr>
                <w:lang w:val="en-GB"/>
              </w:rPr>
              <w:t>668 (51.6)</w:t>
            </w:r>
          </w:p>
        </w:tc>
        <w:tc>
          <w:tcPr>
            <w:tcW w:w="502" w:type="pct"/>
          </w:tcPr>
          <w:p w14:paraId="1F38FEA7" w14:textId="77777777" w:rsidR="00CF7BC4" w:rsidRPr="00E678AB" w:rsidRDefault="009D77B2">
            <w:pPr>
              <w:pStyle w:val="Compact"/>
              <w:jc w:val="right"/>
              <w:rPr>
                <w:lang w:val="en-GB"/>
              </w:rPr>
            </w:pPr>
            <w:r w:rsidRPr="00E678AB">
              <w:rPr>
                <w:lang w:val="en-GB"/>
              </w:rPr>
              <w:t>5236 (54.1)</w:t>
            </w:r>
          </w:p>
        </w:tc>
        <w:tc>
          <w:tcPr>
            <w:tcW w:w="0" w:type="auto"/>
          </w:tcPr>
          <w:p w14:paraId="688E13D9" w14:textId="77777777" w:rsidR="00CF7BC4" w:rsidRPr="00E678AB" w:rsidRDefault="00CF7BC4"/>
        </w:tc>
      </w:tr>
      <w:tr w:rsidR="002E75D7" w:rsidRPr="00E678AB" w14:paraId="3FFCBFFA" w14:textId="77777777" w:rsidTr="007D5BF1">
        <w:tc>
          <w:tcPr>
            <w:tcW w:w="0" w:type="auto"/>
          </w:tcPr>
          <w:p w14:paraId="625FC42B" w14:textId="77777777" w:rsidR="00CF7BC4" w:rsidRPr="00E678AB" w:rsidRDefault="00CF7BC4"/>
        </w:tc>
        <w:tc>
          <w:tcPr>
            <w:tcW w:w="0" w:type="auto"/>
          </w:tcPr>
          <w:p w14:paraId="0EF589A7" w14:textId="77777777" w:rsidR="00CF7BC4" w:rsidRPr="00E678AB" w:rsidRDefault="009D77B2">
            <w:pPr>
              <w:pStyle w:val="Compact"/>
              <w:rPr>
                <w:lang w:val="en-GB"/>
              </w:rPr>
            </w:pPr>
            <w:r w:rsidRPr="00E678AB">
              <w:rPr>
                <w:lang w:val="en-GB"/>
              </w:rPr>
              <w:t>III</w:t>
            </w:r>
          </w:p>
        </w:tc>
        <w:tc>
          <w:tcPr>
            <w:tcW w:w="497" w:type="pct"/>
          </w:tcPr>
          <w:p w14:paraId="7CAE91F3" w14:textId="77777777" w:rsidR="00CF7BC4" w:rsidRPr="00E678AB" w:rsidRDefault="009D77B2">
            <w:pPr>
              <w:pStyle w:val="Compact"/>
              <w:jc w:val="right"/>
              <w:rPr>
                <w:lang w:val="en-GB"/>
              </w:rPr>
            </w:pPr>
            <w:r w:rsidRPr="00E678AB">
              <w:rPr>
                <w:lang w:val="en-GB"/>
              </w:rPr>
              <w:t>1191 (18.7)</w:t>
            </w:r>
          </w:p>
        </w:tc>
        <w:tc>
          <w:tcPr>
            <w:tcW w:w="502" w:type="pct"/>
          </w:tcPr>
          <w:p w14:paraId="5021FFA7" w14:textId="77777777" w:rsidR="00CF7BC4" w:rsidRPr="00E678AB" w:rsidRDefault="009D77B2">
            <w:pPr>
              <w:pStyle w:val="Compact"/>
              <w:jc w:val="right"/>
              <w:rPr>
                <w:lang w:val="en-GB"/>
              </w:rPr>
            </w:pPr>
            <w:r w:rsidRPr="00E678AB">
              <w:rPr>
                <w:lang w:val="en-GB"/>
              </w:rPr>
              <w:t>359 (17.8)</w:t>
            </w:r>
          </w:p>
        </w:tc>
        <w:tc>
          <w:tcPr>
            <w:tcW w:w="502" w:type="pct"/>
          </w:tcPr>
          <w:p w14:paraId="4359848E" w14:textId="77777777" w:rsidR="00CF7BC4" w:rsidRPr="00E678AB" w:rsidRDefault="009D77B2">
            <w:pPr>
              <w:pStyle w:val="Compact"/>
              <w:jc w:val="right"/>
              <w:rPr>
                <w:lang w:val="en-GB"/>
              </w:rPr>
            </w:pPr>
            <w:r w:rsidRPr="00E678AB">
              <w:rPr>
                <w:lang w:val="en-GB"/>
              </w:rPr>
              <w:t>148 (11.4)</w:t>
            </w:r>
          </w:p>
        </w:tc>
        <w:tc>
          <w:tcPr>
            <w:tcW w:w="502" w:type="pct"/>
          </w:tcPr>
          <w:p w14:paraId="5C3F2216" w14:textId="77777777" w:rsidR="00CF7BC4" w:rsidRPr="00E678AB" w:rsidRDefault="009D77B2">
            <w:pPr>
              <w:pStyle w:val="Compact"/>
              <w:jc w:val="right"/>
              <w:rPr>
                <w:lang w:val="en-GB"/>
              </w:rPr>
            </w:pPr>
            <w:r w:rsidRPr="00E678AB">
              <w:rPr>
                <w:lang w:val="en-GB"/>
              </w:rPr>
              <w:t>1698 (17.5)</w:t>
            </w:r>
          </w:p>
        </w:tc>
        <w:tc>
          <w:tcPr>
            <w:tcW w:w="0" w:type="auto"/>
          </w:tcPr>
          <w:p w14:paraId="7D0B9269" w14:textId="77777777" w:rsidR="00CF7BC4" w:rsidRPr="00E678AB" w:rsidRDefault="00CF7BC4"/>
        </w:tc>
      </w:tr>
      <w:tr w:rsidR="002E75D7" w:rsidRPr="00E678AB" w14:paraId="2E96A781" w14:textId="77777777" w:rsidTr="007D5BF1">
        <w:tc>
          <w:tcPr>
            <w:tcW w:w="0" w:type="auto"/>
          </w:tcPr>
          <w:p w14:paraId="5E5DC125" w14:textId="77777777" w:rsidR="00CF7BC4" w:rsidRPr="00E678AB" w:rsidRDefault="00CF7BC4"/>
        </w:tc>
        <w:tc>
          <w:tcPr>
            <w:tcW w:w="0" w:type="auto"/>
          </w:tcPr>
          <w:p w14:paraId="4DC794CA" w14:textId="77777777" w:rsidR="00CF7BC4" w:rsidRPr="00E678AB" w:rsidRDefault="009D77B2">
            <w:pPr>
              <w:pStyle w:val="Compact"/>
              <w:rPr>
                <w:lang w:val="en-GB"/>
              </w:rPr>
            </w:pPr>
            <w:r w:rsidRPr="00E678AB">
              <w:rPr>
                <w:lang w:val="en-GB"/>
              </w:rPr>
              <w:t>IV</w:t>
            </w:r>
          </w:p>
        </w:tc>
        <w:tc>
          <w:tcPr>
            <w:tcW w:w="497" w:type="pct"/>
          </w:tcPr>
          <w:p w14:paraId="7CA3D5E2" w14:textId="77777777" w:rsidR="00CF7BC4" w:rsidRPr="00E678AB" w:rsidRDefault="009D77B2">
            <w:pPr>
              <w:pStyle w:val="Compact"/>
              <w:jc w:val="right"/>
              <w:rPr>
                <w:lang w:val="en-GB"/>
              </w:rPr>
            </w:pPr>
            <w:r w:rsidRPr="00E678AB">
              <w:rPr>
                <w:lang w:val="en-GB"/>
              </w:rPr>
              <w:t>89 (1.4)</w:t>
            </w:r>
          </w:p>
        </w:tc>
        <w:tc>
          <w:tcPr>
            <w:tcW w:w="502" w:type="pct"/>
          </w:tcPr>
          <w:p w14:paraId="34512A66" w14:textId="77777777" w:rsidR="00CF7BC4" w:rsidRPr="00E678AB" w:rsidRDefault="009D77B2">
            <w:pPr>
              <w:pStyle w:val="Compact"/>
              <w:jc w:val="right"/>
              <w:rPr>
                <w:lang w:val="en-GB"/>
              </w:rPr>
            </w:pPr>
            <w:r w:rsidRPr="00E678AB">
              <w:rPr>
                <w:lang w:val="en-GB"/>
              </w:rPr>
              <w:t>32 (1.6)</w:t>
            </w:r>
          </w:p>
        </w:tc>
        <w:tc>
          <w:tcPr>
            <w:tcW w:w="502" w:type="pct"/>
          </w:tcPr>
          <w:p w14:paraId="28D46917" w14:textId="77777777" w:rsidR="00CF7BC4" w:rsidRPr="00E678AB" w:rsidRDefault="009D77B2">
            <w:pPr>
              <w:pStyle w:val="Compact"/>
              <w:jc w:val="right"/>
              <w:rPr>
                <w:lang w:val="en-GB"/>
              </w:rPr>
            </w:pPr>
            <w:r w:rsidRPr="00E678AB">
              <w:rPr>
                <w:lang w:val="en-GB"/>
              </w:rPr>
              <w:t>22 (1.7)</w:t>
            </w:r>
          </w:p>
        </w:tc>
        <w:tc>
          <w:tcPr>
            <w:tcW w:w="502" w:type="pct"/>
          </w:tcPr>
          <w:p w14:paraId="77D06F9E" w14:textId="77777777" w:rsidR="00CF7BC4" w:rsidRPr="00E678AB" w:rsidRDefault="009D77B2">
            <w:pPr>
              <w:pStyle w:val="Compact"/>
              <w:jc w:val="right"/>
              <w:rPr>
                <w:lang w:val="en-GB"/>
              </w:rPr>
            </w:pPr>
            <w:r w:rsidRPr="00E678AB">
              <w:rPr>
                <w:lang w:val="en-GB"/>
              </w:rPr>
              <w:t>143 (1.5)</w:t>
            </w:r>
          </w:p>
        </w:tc>
        <w:tc>
          <w:tcPr>
            <w:tcW w:w="0" w:type="auto"/>
          </w:tcPr>
          <w:p w14:paraId="1256FF8E" w14:textId="77777777" w:rsidR="00CF7BC4" w:rsidRPr="00E678AB" w:rsidRDefault="00CF7BC4"/>
        </w:tc>
      </w:tr>
      <w:tr w:rsidR="002E75D7" w:rsidRPr="00E678AB" w14:paraId="316AC704" w14:textId="77777777" w:rsidTr="007D5BF1">
        <w:tc>
          <w:tcPr>
            <w:tcW w:w="0" w:type="auto"/>
          </w:tcPr>
          <w:p w14:paraId="64A4CD30" w14:textId="77777777" w:rsidR="00CF7BC4" w:rsidRPr="00E678AB" w:rsidRDefault="00CF7BC4"/>
        </w:tc>
        <w:tc>
          <w:tcPr>
            <w:tcW w:w="0" w:type="auto"/>
          </w:tcPr>
          <w:p w14:paraId="216095A9" w14:textId="77777777" w:rsidR="00CF7BC4" w:rsidRPr="00E678AB" w:rsidRDefault="009D77B2">
            <w:pPr>
              <w:pStyle w:val="Compact"/>
              <w:rPr>
                <w:lang w:val="en-GB"/>
              </w:rPr>
            </w:pPr>
            <w:r w:rsidRPr="00E678AB">
              <w:rPr>
                <w:lang w:val="en-GB"/>
              </w:rPr>
              <w:t>V</w:t>
            </w:r>
          </w:p>
        </w:tc>
        <w:tc>
          <w:tcPr>
            <w:tcW w:w="497" w:type="pct"/>
          </w:tcPr>
          <w:p w14:paraId="115A4B77" w14:textId="77777777" w:rsidR="00CF7BC4" w:rsidRPr="00E678AB" w:rsidRDefault="009D77B2">
            <w:pPr>
              <w:pStyle w:val="Compact"/>
              <w:jc w:val="right"/>
              <w:rPr>
                <w:lang w:val="en-GB"/>
              </w:rPr>
            </w:pPr>
            <w:r w:rsidRPr="00E678AB">
              <w:rPr>
                <w:lang w:val="en-GB"/>
              </w:rPr>
              <w:t>6 (0.1)</w:t>
            </w:r>
          </w:p>
        </w:tc>
        <w:tc>
          <w:tcPr>
            <w:tcW w:w="502" w:type="pct"/>
          </w:tcPr>
          <w:p w14:paraId="500DCA41" w14:textId="77777777" w:rsidR="00CF7BC4" w:rsidRPr="00E678AB" w:rsidRDefault="009D77B2">
            <w:pPr>
              <w:pStyle w:val="Compact"/>
              <w:jc w:val="right"/>
              <w:rPr>
                <w:lang w:val="en-GB"/>
              </w:rPr>
            </w:pPr>
            <w:r w:rsidRPr="00E678AB">
              <w:rPr>
                <w:lang w:val="en-GB"/>
              </w:rPr>
              <w:t>11 (0.5)</w:t>
            </w:r>
          </w:p>
        </w:tc>
        <w:tc>
          <w:tcPr>
            <w:tcW w:w="502" w:type="pct"/>
          </w:tcPr>
          <w:p w14:paraId="3C14F807" w14:textId="77777777" w:rsidR="00CF7BC4" w:rsidRPr="00E678AB" w:rsidRDefault="009D77B2">
            <w:pPr>
              <w:pStyle w:val="Compact"/>
              <w:jc w:val="right"/>
              <w:rPr>
                <w:lang w:val="en-GB"/>
              </w:rPr>
            </w:pPr>
            <w:r w:rsidRPr="00E678AB">
              <w:rPr>
                <w:lang w:val="en-GB"/>
              </w:rPr>
              <w:t>3 (0.2)</w:t>
            </w:r>
          </w:p>
        </w:tc>
        <w:tc>
          <w:tcPr>
            <w:tcW w:w="502" w:type="pct"/>
          </w:tcPr>
          <w:p w14:paraId="0B7C0B46" w14:textId="77777777" w:rsidR="00CF7BC4" w:rsidRPr="00E678AB" w:rsidRDefault="009D77B2">
            <w:pPr>
              <w:pStyle w:val="Compact"/>
              <w:jc w:val="right"/>
              <w:rPr>
                <w:lang w:val="en-GB"/>
              </w:rPr>
            </w:pPr>
            <w:r w:rsidRPr="00E678AB">
              <w:rPr>
                <w:lang w:val="en-GB"/>
              </w:rPr>
              <w:t>20 (0.2)</w:t>
            </w:r>
          </w:p>
        </w:tc>
        <w:tc>
          <w:tcPr>
            <w:tcW w:w="0" w:type="auto"/>
          </w:tcPr>
          <w:p w14:paraId="30C93108" w14:textId="77777777" w:rsidR="00CF7BC4" w:rsidRPr="00E678AB" w:rsidRDefault="00CF7BC4"/>
        </w:tc>
      </w:tr>
      <w:tr w:rsidR="002E75D7" w:rsidRPr="00E678AB" w14:paraId="25382E2F" w14:textId="77777777" w:rsidTr="007D5BF1">
        <w:tc>
          <w:tcPr>
            <w:tcW w:w="0" w:type="auto"/>
          </w:tcPr>
          <w:p w14:paraId="6861A663" w14:textId="77777777" w:rsidR="00CF7BC4" w:rsidRPr="00E678AB" w:rsidRDefault="00CF7BC4"/>
        </w:tc>
        <w:tc>
          <w:tcPr>
            <w:tcW w:w="0" w:type="auto"/>
          </w:tcPr>
          <w:p w14:paraId="05391E2D" w14:textId="77777777" w:rsidR="00CF7BC4" w:rsidRPr="00E678AB" w:rsidRDefault="009D77B2">
            <w:pPr>
              <w:pStyle w:val="Compact"/>
              <w:rPr>
                <w:lang w:val="en-GB"/>
              </w:rPr>
            </w:pPr>
            <w:r w:rsidRPr="00E678AB">
              <w:rPr>
                <w:lang w:val="en-GB"/>
              </w:rPr>
              <w:t>(Missing)</w:t>
            </w:r>
          </w:p>
        </w:tc>
        <w:tc>
          <w:tcPr>
            <w:tcW w:w="497" w:type="pct"/>
          </w:tcPr>
          <w:p w14:paraId="7B4761A3" w14:textId="77777777" w:rsidR="00CF7BC4" w:rsidRPr="00E678AB" w:rsidRDefault="009D77B2">
            <w:pPr>
              <w:pStyle w:val="Compact"/>
              <w:jc w:val="right"/>
              <w:rPr>
                <w:lang w:val="en-GB"/>
              </w:rPr>
            </w:pPr>
            <w:r w:rsidRPr="00E678AB">
              <w:rPr>
                <w:lang w:val="en-GB"/>
              </w:rPr>
              <w:t>238 (3.7)</w:t>
            </w:r>
          </w:p>
        </w:tc>
        <w:tc>
          <w:tcPr>
            <w:tcW w:w="502" w:type="pct"/>
          </w:tcPr>
          <w:p w14:paraId="7C799A61" w14:textId="77777777" w:rsidR="00CF7BC4" w:rsidRPr="00E678AB" w:rsidRDefault="009D77B2">
            <w:pPr>
              <w:pStyle w:val="Compact"/>
              <w:jc w:val="right"/>
              <w:rPr>
                <w:lang w:val="en-GB"/>
              </w:rPr>
            </w:pPr>
            <w:r w:rsidRPr="00E678AB">
              <w:rPr>
                <w:lang w:val="en-GB"/>
              </w:rPr>
              <w:t>125 (6.2)</w:t>
            </w:r>
          </w:p>
        </w:tc>
        <w:tc>
          <w:tcPr>
            <w:tcW w:w="502" w:type="pct"/>
          </w:tcPr>
          <w:p w14:paraId="6024784B" w14:textId="77777777" w:rsidR="00CF7BC4" w:rsidRPr="00E678AB" w:rsidRDefault="009D77B2">
            <w:pPr>
              <w:pStyle w:val="Compact"/>
              <w:jc w:val="right"/>
              <w:rPr>
                <w:lang w:val="en-GB"/>
              </w:rPr>
            </w:pPr>
            <w:r w:rsidRPr="00E678AB">
              <w:rPr>
                <w:lang w:val="en-GB"/>
              </w:rPr>
              <w:t>71 (5.5)</w:t>
            </w:r>
          </w:p>
        </w:tc>
        <w:tc>
          <w:tcPr>
            <w:tcW w:w="502" w:type="pct"/>
          </w:tcPr>
          <w:p w14:paraId="7227B53A" w14:textId="77777777" w:rsidR="00CF7BC4" w:rsidRPr="00E678AB" w:rsidRDefault="009D77B2">
            <w:pPr>
              <w:pStyle w:val="Compact"/>
              <w:jc w:val="right"/>
              <w:rPr>
                <w:lang w:val="en-GB"/>
              </w:rPr>
            </w:pPr>
            <w:r w:rsidRPr="00E678AB">
              <w:rPr>
                <w:lang w:val="en-GB"/>
              </w:rPr>
              <w:t>434 (4.5)</w:t>
            </w:r>
          </w:p>
        </w:tc>
        <w:tc>
          <w:tcPr>
            <w:tcW w:w="0" w:type="auto"/>
          </w:tcPr>
          <w:p w14:paraId="7860660E" w14:textId="77777777" w:rsidR="00CF7BC4" w:rsidRPr="00E678AB" w:rsidRDefault="00CF7BC4"/>
        </w:tc>
      </w:tr>
      <w:tr w:rsidR="009F3659" w:rsidRPr="00E678AB" w14:paraId="2043CECD" w14:textId="77777777" w:rsidTr="007D5BF1">
        <w:tc>
          <w:tcPr>
            <w:tcW w:w="0" w:type="auto"/>
          </w:tcPr>
          <w:p w14:paraId="53D47244" w14:textId="5C7749F4" w:rsidR="009F3659" w:rsidRPr="00E678AB" w:rsidRDefault="009F3659">
            <w:pPr>
              <w:pStyle w:val="Compact"/>
              <w:rPr>
                <w:lang w:val="en-GB"/>
              </w:rPr>
            </w:pPr>
            <w:r w:rsidRPr="00E678AB">
              <w:rPr>
                <w:lang w:val="en-GB"/>
              </w:rPr>
              <w:t>Stage</w:t>
            </w:r>
          </w:p>
        </w:tc>
        <w:tc>
          <w:tcPr>
            <w:tcW w:w="0" w:type="auto"/>
          </w:tcPr>
          <w:p w14:paraId="18308E3F" w14:textId="77777777" w:rsidR="009F3659" w:rsidRPr="00E678AB" w:rsidRDefault="009F3659">
            <w:pPr>
              <w:pStyle w:val="Compact"/>
              <w:rPr>
                <w:lang w:val="en-GB"/>
              </w:rPr>
            </w:pPr>
          </w:p>
        </w:tc>
        <w:tc>
          <w:tcPr>
            <w:tcW w:w="497" w:type="pct"/>
          </w:tcPr>
          <w:p w14:paraId="19CDBDD0" w14:textId="77777777" w:rsidR="009F3659" w:rsidRPr="00E678AB" w:rsidRDefault="009F3659">
            <w:pPr>
              <w:pStyle w:val="Compact"/>
              <w:jc w:val="right"/>
              <w:rPr>
                <w:lang w:val="en-GB"/>
              </w:rPr>
            </w:pPr>
          </w:p>
        </w:tc>
        <w:tc>
          <w:tcPr>
            <w:tcW w:w="502" w:type="pct"/>
          </w:tcPr>
          <w:p w14:paraId="04F78D83" w14:textId="77777777" w:rsidR="009F3659" w:rsidRPr="00E678AB" w:rsidRDefault="009F3659">
            <w:pPr>
              <w:pStyle w:val="Compact"/>
              <w:jc w:val="right"/>
              <w:rPr>
                <w:lang w:val="en-GB"/>
              </w:rPr>
            </w:pPr>
          </w:p>
        </w:tc>
        <w:tc>
          <w:tcPr>
            <w:tcW w:w="502" w:type="pct"/>
          </w:tcPr>
          <w:p w14:paraId="27FC8FDE" w14:textId="77777777" w:rsidR="009F3659" w:rsidRPr="00E678AB" w:rsidRDefault="009F3659">
            <w:pPr>
              <w:pStyle w:val="Compact"/>
              <w:jc w:val="right"/>
              <w:rPr>
                <w:lang w:val="en-GB"/>
              </w:rPr>
            </w:pPr>
          </w:p>
        </w:tc>
        <w:tc>
          <w:tcPr>
            <w:tcW w:w="502" w:type="pct"/>
          </w:tcPr>
          <w:p w14:paraId="1F27F0BF" w14:textId="77777777" w:rsidR="009F3659" w:rsidRPr="00E678AB" w:rsidRDefault="009F3659">
            <w:pPr>
              <w:pStyle w:val="Compact"/>
              <w:jc w:val="right"/>
              <w:rPr>
                <w:lang w:val="en-GB"/>
              </w:rPr>
            </w:pPr>
          </w:p>
        </w:tc>
        <w:tc>
          <w:tcPr>
            <w:tcW w:w="0" w:type="auto"/>
          </w:tcPr>
          <w:p w14:paraId="5A4B9299" w14:textId="77777777" w:rsidR="009F3659" w:rsidRPr="00E678AB" w:rsidRDefault="009F3659">
            <w:pPr>
              <w:pStyle w:val="Compact"/>
              <w:jc w:val="right"/>
              <w:rPr>
                <w:lang w:val="en-GB"/>
              </w:rPr>
            </w:pPr>
          </w:p>
        </w:tc>
      </w:tr>
      <w:tr w:rsidR="002E75D7" w:rsidRPr="00E678AB" w14:paraId="61C3FBDC" w14:textId="77777777" w:rsidTr="007D5BF1">
        <w:tc>
          <w:tcPr>
            <w:tcW w:w="0" w:type="auto"/>
          </w:tcPr>
          <w:p w14:paraId="775087BB" w14:textId="7916619A" w:rsidR="00CF7BC4" w:rsidRPr="00E678AB" w:rsidRDefault="00CF7BC4">
            <w:pPr>
              <w:pStyle w:val="Compact"/>
              <w:rPr>
                <w:lang w:val="en-GB"/>
              </w:rPr>
            </w:pPr>
          </w:p>
        </w:tc>
        <w:tc>
          <w:tcPr>
            <w:tcW w:w="0" w:type="auto"/>
          </w:tcPr>
          <w:p w14:paraId="6773F5C9" w14:textId="77777777" w:rsidR="00CF7BC4" w:rsidRPr="00E678AB" w:rsidRDefault="009D77B2">
            <w:pPr>
              <w:pStyle w:val="Compact"/>
              <w:rPr>
                <w:lang w:val="en-GB"/>
              </w:rPr>
            </w:pPr>
            <w:r w:rsidRPr="00E678AB">
              <w:rPr>
                <w:lang w:val="en-GB"/>
              </w:rPr>
              <w:t>0</w:t>
            </w:r>
          </w:p>
        </w:tc>
        <w:tc>
          <w:tcPr>
            <w:tcW w:w="497" w:type="pct"/>
          </w:tcPr>
          <w:p w14:paraId="66A90CBD" w14:textId="77777777" w:rsidR="00CF7BC4" w:rsidRPr="00E678AB" w:rsidRDefault="009D77B2">
            <w:pPr>
              <w:pStyle w:val="Compact"/>
              <w:jc w:val="right"/>
              <w:rPr>
                <w:lang w:val="en-GB"/>
              </w:rPr>
            </w:pPr>
            <w:r w:rsidRPr="00E678AB">
              <w:rPr>
                <w:lang w:val="en-GB"/>
              </w:rPr>
              <w:t>192 (3.0)</w:t>
            </w:r>
          </w:p>
        </w:tc>
        <w:tc>
          <w:tcPr>
            <w:tcW w:w="502" w:type="pct"/>
          </w:tcPr>
          <w:p w14:paraId="7E5A9E00" w14:textId="77777777" w:rsidR="00CF7BC4" w:rsidRPr="00E678AB" w:rsidRDefault="009D77B2">
            <w:pPr>
              <w:pStyle w:val="Compact"/>
              <w:jc w:val="right"/>
              <w:rPr>
                <w:lang w:val="en-GB"/>
              </w:rPr>
            </w:pPr>
            <w:r w:rsidRPr="00E678AB">
              <w:rPr>
                <w:lang w:val="en-GB"/>
              </w:rPr>
              <w:t>51 (2.5)</w:t>
            </w:r>
          </w:p>
        </w:tc>
        <w:tc>
          <w:tcPr>
            <w:tcW w:w="502" w:type="pct"/>
          </w:tcPr>
          <w:p w14:paraId="756C630D" w14:textId="77777777" w:rsidR="00CF7BC4" w:rsidRPr="00E678AB" w:rsidRDefault="009D77B2">
            <w:pPr>
              <w:pStyle w:val="Compact"/>
              <w:jc w:val="right"/>
              <w:rPr>
                <w:lang w:val="en-GB"/>
              </w:rPr>
            </w:pPr>
            <w:r w:rsidRPr="00E678AB">
              <w:rPr>
                <w:lang w:val="en-GB"/>
              </w:rPr>
              <w:t>11 (0.9)</w:t>
            </w:r>
          </w:p>
        </w:tc>
        <w:tc>
          <w:tcPr>
            <w:tcW w:w="502" w:type="pct"/>
          </w:tcPr>
          <w:p w14:paraId="5A20F011" w14:textId="77777777" w:rsidR="00CF7BC4" w:rsidRPr="00E678AB" w:rsidRDefault="009D77B2">
            <w:pPr>
              <w:pStyle w:val="Compact"/>
              <w:jc w:val="right"/>
              <w:rPr>
                <w:lang w:val="en-GB"/>
              </w:rPr>
            </w:pPr>
            <w:r w:rsidRPr="00E678AB">
              <w:rPr>
                <w:lang w:val="en-GB"/>
              </w:rPr>
              <w:t>254 (2.6)</w:t>
            </w:r>
          </w:p>
        </w:tc>
        <w:tc>
          <w:tcPr>
            <w:tcW w:w="0" w:type="auto"/>
          </w:tcPr>
          <w:p w14:paraId="3CA6B03D" w14:textId="77777777" w:rsidR="00CF7BC4" w:rsidRPr="00E678AB" w:rsidRDefault="009D77B2">
            <w:pPr>
              <w:pStyle w:val="Compact"/>
              <w:jc w:val="right"/>
              <w:rPr>
                <w:lang w:val="en-GB"/>
              </w:rPr>
            </w:pPr>
            <w:r w:rsidRPr="00E678AB">
              <w:rPr>
                <w:lang w:val="en-GB"/>
              </w:rPr>
              <w:t>&lt;0.001</w:t>
            </w:r>
          </w:p>
        </w:tc>
      </w:tr>
      <w:tr w:rsidR="002E75D7" w:rsidRPr="00E678AB" w14:paraId="08B9B147" w14:textId="77777777" w:rsidTr="007D5BF1">
        <w:tc>
          <w:tcPr>
            <w:tcW w:w="0" w:type="auto"/>
          </w:tcPr>
          <w:p w14:paraId="36A20FBF" w14:textId="77777777" w:rsidR="00CF7BC4" w:rsidRPr="00E678AB" w:rsidRDefault="00CF7BC4"/>
        </w:tc>
        <w:tc>
          <w:tcPr>
            <w:tcW w:w="0" w:type="auto"/>
          </w:tcPr>
          <w:p w14:paraId="0242F0A7" w14:textId="77777777" w:rsidR="00CF7BC4" w:rsidRPr="00E678AB" w:rsidRDefault="009D77B2">
            <w:pPr>
              <w:pStyle w:val="Compact"/>
              <w:rPr>
                <w:lang w:val="en-GB"/>
              </w:rPr>
            </w:pPr>
            <w:r w:rsidRPr="00E678AB">
              <w:rPr>
                <w:lang w:val="en-GB"/>
              </w:rPr>
              <w:t>I</w:t>
            </w:r>
          </w:p>
        </w:tc>
        <w:tc>
          <w:tcPr>
            <w:tcW w:w="497" w:type="pct"/>
          </w:tcPr>
          <w:p w14:paraId="5D16D71C" w14:textId="77777777" w:rsidR="00CF7BC4" w:rsidRPr="00E678AB" w:rsidRDefault="009D77B2">
            <w:pPr>
              <w:pStyle w:val="Compact"/>
              <w:jc w:val="right"/>
              <w:rPr>
                <w:lang w:val="en-GB"/>
              </w:rPr>
            </w:pPr>
            <w:r w:rsidRPr="00E678AB">
              <w:rPr>
                <w:lang w:val="en-GB"/>
              </w:rPr>
              <w:t>2631 (41.3)</w:t>
            </w:r>
          </w:p>
        </w:tc>
        <w:tc>
          <w:tcPr>
            <w:tcW w:w="502" w:type="pct"/>
          </w:tcPr>
          <w:p w14:paraId="50473FF7" w14:textId="77777777" w:rsidR="00CF7BC4" w:rsidRPr="00E678AB" w:rsidRDefault="009D77B2">
            <w:pPr>
              <w:pStyle w:val="Compact"/>
              <w:jc w:val="right"/>
              <w:rPr>
                <w:lang w:val="en-GB"/>
              </w:rPr>
            </w:pPr>
            <w:r w:rsidRPr="00E678AB">
              <w:rPr>
                <w:lang w:val="en-GB"/>
              </w:rPr>
              <w:t>812 (40.3)</w:t>
            </w:r>
          </w:p>
        </w:tc>
        <w:tc>
          <w:tcPr>
            <w:tcW w:w="502" w:type="pct"/>
          </w:tcPr>
          <w:p w14:paraId="586DBBB3" w14:textId="77777777" w:rsidR="00CF7BC4" w:rsidRPr="00E678AB" w:rsidRDefault="009D77B2">
            <w:pPr>
              <w:pStyle w:val="Compact"/>
              <w:jc w:val="right"/>
              <w:rPr>
                <w:lang w:val="en-GB"/>
              </w:rPr>
            </w:pPr>
            <w:r w:rsidRPr="00E678AB">
              <w:rPr>
                <w:lang w:val="en-GB"/>
              </w:rPr>
              <w:t>334 (25.8)</w:t>
            </w:r>
          </w:p>
        </w:tc>
        <w:tc>
          <w:tcPr>
            <w:tcW w:w="502" w:type="pct"/>
          </w:tcPr>
          <w:p w14:paraId="04C69B1F" w14:textId="77777777" w:rsidR="00CF7BC4" w:rsidRPr="00E678AB" w:rsidRDefault="009D77B2">
            <w:pPr>
              <w:pStyle w:val="Compact"/>
              <w:jc w:val="right"/>
              <w:rPr>
                <w:lang w:val="en-GB"/>
              </w:rPr>
            </w:pPr>
            <w:r w:rsidRPr="00E678AB">
              <w:rPr>
                <w:lang w:val="en-GB"/>
              </w:rPr>
              <w:t>3777 (39.0)</w:t>
            </w:r>
          </w:p>
        </w:tc>
        <w:tc>
          <w:tcPr>
            <w:tcW w:w="0" w:type="auto"/>
          </w:tcPr>
          <w:p w14:paraId="5239A69D" w14:textId="77777777" w:rsidR="00CF7BC4" w:rsidRPr="00E678AB" w:rsidRDefault="00CF7BC4"/>
        </w:tc>
      </w:tr>
      <w:tr w:rsidR="002E75D7" w:rsidRPr="00E678AB" w14:paraId="0DDB78D5" w14:textId="77777777" w:rsidTr="007D5BF1">
        <w:tc>
          <w:tcPr>
            <w:tcW w:w="0" w:type="auto"/>
          </w:tcPr>
          <w:p w14:paraId="56D294E8" w14:textId="77777777" w:rsidR="00CF7BC4" w:rsidRPr="00E678AB" w:rsidRDefault="00CF7BC4"/>
        </w:tc>
        <w:tc>
          <w:tcPr>
            <w:tcW w:w="0" w:type="auto"/>
          </w:tcPr>
          <w:p w14:paraId="67A7773F" w14:textId="77777777" w:rsidR="00CF7BC4" w:rsidRPr="00E678AB" w:rsidRDefault="009D77B2">
            <w:pPr>
              <w:pStyle w:val="Compact"/>
              <w:rPr>
                <w:lang w:val="en-GB"/>
              </w:rPr>
            </w:pPr>
            <w:r w:rsidRPr="00E678AB">
              <w:rPr>
                <w:lang w:val="en-GB"/>
              </w:rPr>
              <w:t>II</w:t>
            </w:r>
          </w:p>
        </w:tc>
        <w:tc>
          <w:tcPr>
            <w:tcW w:w="497" w:type="pct"/>
          </w:tcPr>
          <w:p w14:paraId="1E96AC77" w14:textId="77777777" w:rsidR="00CF7BC4" w:rsidRPr="00E678AB" w:rsidRDefault="009D77B2">
            <w:pPr>
              <w:pStyle w:val="Compact"/>
              <w:jc w:val="right"/>
              <w:rPr>
                <w:lang w:val="en-GB"/>
              </w:rPr>
            </w:pPr>
            <w:r w:rsidRPr="00E678AB">
              <w:rPr>
                <w:lang w:val="en-GB"/>
              </w:rPr>
              <w:t>593 (9.3)</w:t>
            </w:r>
          </w:p>
        </w:tc>
        <w:tc>
          <w:tcPr>
            <w:tcW w:w="502" w:type="pct"/>
          </w:tcPr>
          <w:p w14:paraId="15631F62" w14:textId="77777777" w:rsidR="00CF7BC4" w:rsidRPr="00E678AB" w:rsidRDefault="009D77B2">
            <w:pPr>
              <w:pStyle w:val="Compact"/>
              <w:jc w:val="right"/>
              <w:rPr>
                <w:lang w:val="en-GB"/>
              </w:rPr>
            </w:pPr>
            <w:r w:rsidRPr="00E678AB">
              <w:rPr>
                <w:lang w:val="en-GB"/>
              </w:rPr>
              <w:t>216 (10.7)</w:t>
            </w:r>
          </w:p>
        </w:tc>
        <w:tc>
          <w:tcPr>
            <w:tcW w:w="502" w:type="pct"/>
          </w:tcPr>
          <w:p w14:paraId="16B7B763" w14:textId="77777777" w:rsidR="00CF7BC4" w:rsidRPr="00E678AB" w:rsidRDefault="009D77B2">
            <w:pPr>
              <w:pStyle w:val="Compact"/>
              <w:jc w:val="right"/>
              <w:rPr>
                <w:lang w:val="en-GB"/>
              </w:rPr>
            </w:pPr>
            <w:r w:rsidRPr="00E678AB">
              <w:rPr>
                <w:lang w:val="en-GB"/>
              </w:rPr>
              <w:t>146 (11.3)</w:t>
            </w:r>
          </w:p>
        </w:tc>
        <w:tc>
          <w:tcPr>
            <w:tcW w:w="502" w:type="pct"/>
          </w:tcPr>
          <w:p w14:paraId="21032111" w14:textId="77777777" w:rsidR="00CF7BC4" w:rsidRPr="00E678AB" w:rsidRDefault="009D77B2">
            <w:pPr>
              <w:pStyle w:val="Compact"/>
              <w:jc w:val="right"/>
              <w:rPr>
                <w:lang w:val="en-GB"/>
              </w:rPr>
            </w:pPr>
            <w:r w:rsidRPr="00E678AB">
              <w:rPr>
                <w:lang w:val="en-GB"/>
              </w:rPr>
              <w:t>955 (9.9)</w:t>
            </w:r>
          </w:p>
        </w:tc>
        <w:tc>
          <w:tcPr>
            <w:tcW w:w="0" w:type="auto"/>
          </w:tcPr>
          <w:p w14:paraId="10184353" w14:textId="77777777" w:rsidR="00CF7BC4" w:rsidRPr="00E678AB" w:rsidRDefault="00CF7BC4"/>
        </w:tc>
      </w:tr>
      <w:tr w:rsidR="002E75D7" w:rsidRPr="00E678AB" w14:paraId="2CCE3088" w14:textId="77777777" w:rsidTr="007D5BF1">
        <w:tc>
          <w:tcPr>
            <w:tcW w:w="0" w:type="auto"/>
          </w:tcPr>
          <w:p w14:paraId="37B74744" w14:textId="77777777" w:rsidR="00CF7BC4" w:rsidRPr="00E678AB" w:rsidRDefault="00CF7BC4"/>
        </w:tc>
        <w:tc>
          <w:tcPr>
            <w:tcW w:w="0" w:type="auto"/>
          </w:tcPr>
          <w:p w14:paraId="0D35C4E9" w14:textId="77777777" w:rsidR="00CF7BC4" w:rsidRPr="00E678AB" w:rsidRDefault="009D77B2">
            <w:pPr>
              <w:pStyle w:val="Compact"/>
              <w:rPr>
                <w:lang w:val="en-GB"/>
              </w:rPr>
            </w:pPr>
            <w:r w:rsidRPr="00E678AB">
              <w:rPr>
                <w:lang w:val="en-GB"/>
              </w:rPr>
              <w:t>III</w:t>
            </w:r>
          </w:p>
        </w:tc>
        <w:tc>
          <w:tcPr>
            <w:tcW w:w="497" w:type="pct"/>
          </w:tcPr>
          <w:p w14:paraId="62CFE3E0" w14:textId="77777777" w:rsidR="00CF7BC4" w:rsidRPr="00E678AB" w:rsidRDefault="009D77B2">
            <w:pPr>
              <w:pStyle w:val="Compact"/>
              <w:jc w:val="right"/>
              <w:rPr>
                <w:lang w:val="en-GB"/>
              </w:rPr>
            </w:pPr>
            <w:r w:rsidRPr="00E678AB">
              <w:rPr>
                <w:lang w:val="en-GB"/>
              </w:rPr>
              <w:t>2456 (38.5)</w:t>
            </w:r>
          </w:p>
        </w:tc>
        <w:tc>
          <w:tcPr>
            <w:tcW w:w="502" w:type="pct"/>
          </w:tcPr>
          <w:p w14:paraId="5C660248" w14:textId="77777777" w:rsidR="00CF7BC4" w:rsidRPr="00E678AB" w:rsidRDefault="009D77B2">
            <w:pPr>
              <w:pStyle w:val="Compact"/>
              <w:jc w:val="right"/>
              <w:rPr>
                <w:lang w:val="en-GB"/>
              </w:rPr>
            </w:pPr>
            <w:r w:rsidRPr="00E678AB">
              <w:rPr>
                <w:lang w:val="en-GB"/>
              </w:rPr>
              <w:t>777 (38.6)</w:t>
            </w:r>
          </w:p>
        </w:tc>
        <w:tc>
          <w:tcPr>
            <w:tcW w:w="502" w:type="pct"/>
          </w:tcPr>
          <w:p w14:paraId="5072724D" w14:textId="77777777" w:rsidR="00CF7BC4" w:rsidRPr="00E678AB" w:rsidRDefault="009D77B2">
            <w:pPr>
              <w:pStyle w:val="Compact"/>
              <w:jc w:val="right"/>
              <w:rPr>
                <w:lang w:val="en-GB"/>
              </w:rPr>
            </w:pPr>
            <w:r w:rsidRPr="00E678AB">
              <w:rPr>
                <w:lang w:val="en-GB"/>
              </w:rPr>
              <w:t>608 (47.0)</w:t>
            </w:r>
          </w:p>
        </w:tc>
        <w:tc>
          <w:tcPr>
            <w:tcW w:w="502" w:type="pct"/>
          </w:tcPr>
          <w:p w14:paraId="5197CE43" w14:textId="77777777" w:rsidR="00CF7BC4" w:rsidRPr="00E678AB" w:rsidRDefault="009D77B2">
            <w:pPr>
              <w:pStyle w:val="Compact"/>
              <w:jc w:val="right"/>
              <w:rPr>
                <w:lang w:val="en-GB"/>
              </w:rPr>
            </w:pPr>
            <w:r w:rsidRPr="00E678AB">
              <w:rPr>
                <w:lang w:val="en-GB"/>
              </w:rPr>
              <w:t>3841 (39.7)</w:t>
            </w:r>
          </w:p>
        </w:tc>
        <w:tc>
          <w:tcPr>
            <w:tcW w:w="0" w:type="auto"/>
          </w:tcPr>
          <w:p w14:paraId="47D0B575" w14:textId="77777777" w:rsidR="00CF7BC4" w:rsidRPr="00E678AB" w:rsidRDefault="00CF7BC4"/>
        </w:tc>
      </w:tr>
      <w:tr w:rsidR="002E75D7" w:rsidRPr="00E678AB" w14:paraId="035D7E19" w14:textId="77777777" w:rsidTr="007D5BF1">
        <w:tc>
          <w:tcPr>
            <w:tcW w:w="0" w:type="auto"/>
          </w:tcPr>
          <w:p w14:paraId="7D28A1E0" w14:textId="77777777" w:rsidR="00CF7BC4" w:rsidRPr="00E678AB" w:rsidRDefault="00CF7BC4"/>
        </w:tc>
        <w:tc>
          <w:tcPr>
            <w:tcW w:w="0" w:type="auto"/>
          </w:tcPr>
          <w:p w14:paraId="1AD711BA" w14:textId="77777777" w:rsidR="00CF7BC4" w:rsidRPr="00E678AB" w:rsidRDefault="009D77B2">
            <w:pPr>
              <w:pStyle w:val="Compact"/>
              <w:rPr>
                <w:lang w:val="en-GB"/>
              </w:rPr>
            </w:pPr>
            <w:r w:rsidRPr="00E678AB">
              <w:rPr>
                <w:lang w:val="en-GB"/>
              </w:rPr>
              <w:t>IV</w:t>
            </w:r>
          </w:p>
        </w:tc>
        <w:tc>
          <w:tcPr>
            <w:tcW w:w="497" w:type="pct"/>
          </w:tcPr>
          <w:p w14:paraId="47CFD015" w14:textId="77777777" w:rsidR="00CF7BC4" w:rsidRPr="00E678AB" w:rsidRDefault="009D77B2">
            <w:pPr>
              <w:pStyle w:val="Compact"/>
              <w:jc w:val="right"/>
              <w:rPr>
                <w:lang w:val="en-GB"/>
              </w:rPr>
            </w:pPr>
            <w:r w:rsidRPr="00E678AB">
              <w:rPr>
                <w:lang w:val="en-GB"/>
              </w:rPr>
              <w:t>453 (7.1)</w:t>
            </w:r>
          </w:p>
        </w:tc>
        <w:tc>
          <w:tcPr>
            <w:tcW w:w="502" w:type="pct"/>
          </w:tcPr>
          <w:p w14:paraId="0A6E825C" w14:textId="77777777" w:rsidR="00CF7BC4" w:rsidRPr="00E678AB" w:rsidRDefault="009D77B2">
            <w:pPr>
              <w:pStyle w:val="Compact"/>
              <w:jc w:val="right"/>
              <w:rPr>
                <w:lang w:val="en-GB"/>
              </w:rPr>
            </w:pPr>
            <w:r w:rsidRPr="00E678AB">
              <w:rPr>
                <w:lang w:val="en-GB"/>
              </w:rPr>
              <w:t>146 (7.3)</w:t>
            </w:r>
          </w:p>
        </w:tc>
        <w:tc>
          <w:tcPr>
            <w:tcW w:w="502" w:type="pct"/>
          </w:tcPr>
          <w:p w14:paraId="4C8BB6E6" w14:textId="77777777" w:rsidR="00CF7BC4" w:rsidRPr="00E678AB" w:rsidRDefault="009D77B2">
            <w:pPr>
              <w:pStyle w:val="Compact"/>
              <w:jc w:val="right"/>
              <w:rPr>
                <w:lang w:val="en-GB"/>
              </w:rPr>
            </w:pPr>
            <w:r w:rsidRPr="00E678AB">
              <w:rPr>
                <w:lang w:val="en-GB"/>
              </w:rPr>
              <w:t>179 (13.8)</w:t>
            </w:r>
          </w:p>
        </w:tc>
        <w:tc>
          <w:tcPr>
            <w:tcW w:w="502" w:type="pct"/>
          </w:tcPr>
          <w:p w14:paraId="26F4673A" w14:textId="77777777" w:rsidR="00CF7BC4" w:rsidRPr="00E678AB" w:rsidRDefault="009D77B2">
            <w:pPr>
              <w:pStyle w:val="Compact"/>
              <w:jc w:val="right"/>
              <w:rPr>
                <w:lang w:val="en-GB"/>
              </w:rPr>
            </w:pPr>
            <w:r w:rsidRPr="00E678AB">
              <w:rPr>
                <w:lang w:val="en-GB"/>
              </w:rPr>
              <w:t>778 (8.0)</w:t>
            </w:r>
          </w:p>
        </w:tc>
        <w:tc>
          <w:tcPr>
            <w:tcW w:w="0" w:type="auto"/>
          </w:tcPr>
          <w:p w14:paraId="0928F577" w14:textId="77777777" w:rsidR="00CF7BC4" w:rsidRPr="00E678AB" w:rsidRDefault="00CF7BC4"/>
        </w:tc>
      </w:tr>
      <w:tr w:rsidR="002E75D7" w:rsidRPr="00E678AB" w14:paraId="02BCF499" w14:textId="77777777" w:rsidTr="007D5BF1">
        <w:tc>
          <w:tcPr>
            <w:tcW w:w="0" w:type="auto"/>
          </w:tcPr>
          <w:p w14:paraId="34BB2A79" w14:textId="77777777" w:rsidR="00CF7BC4" w:rsidRPr="00E678AB" w:rsidRDefault="00CF7BC4"/>
        </w:tc>
        <w:tc>
          <w:tcPr>
            <w:tcW w:w="0" w:type="auto"/>
          </w:tcPr>
          <w:p w14:paraId="0B592FF0" w14:textId="77777777" w:rsidR="00CF7BC4" w:rsidRPr="00E678AB" w:rsidRDefault="009D77B2">
            <w:pPr>
              <w:pStyle w:val="Compact"/>
              <w:rPr>
                <w:lang w:val="en-GB"/>
              </w:rPr>
            </w:pPr>
            <w:r w:rsidRPr="00E678AB">
              <w:rPr>
                <w:lang w:val="en-GB"/>
              </w:rPr>
              <w:t>(Missing)</w:t>
            </w:r>
          </w:p>
        </w:tc>
        <w:tc>
          <w:tcPr>
            <w:tcW w:w="497" w:type="pct"/>
          </w:tcPr>
          <w:p w14:paraId="7790C4B4" w14:textId="77777777" w:rsidR="00CF7BC4" w:rsidRPr="00E678AB" w:rsidRDefault="009D77B2">
            <w:pPr>
              <w:pStyle w:val="Compact"/>
              <w:jc w:val="right"/>
              <w:rPr>
                <w:lang w:val="en-GB"/>
              </w:rPr>
            </w:pPr>
            <w:r w:rsidRPr="00E678AB">
              <w:rPr>
                <w:lang w:val="en-GB"/>
              </w:rPr>
              <w:t>53 (0.8)</w:t>
            </w:r>
          </w:p>
        </w:tc>
        <w:tc>
          <w:tcPr>
            <w:tcW w:w="502" w:type="pct"/>
          </w:tcPr>
          <w:p w14:paraId="07D72847" w14:textId="77777777" w:rsidR="00CF7BC4" w:rsidRPr="00E678AB" w:rsidRDefault="009D77B2">
            <w:pPr>
              <w:pStyle w:val="Compact"/>
              <w:jc w:val="right"/>
              <w:rPr>
                <w:lang w:val="en-GB"/>
              </w:rPr>
            </w:pPr>
            <w:r w:rsidRPr="00E678AB">
              <w:rPr>
                <w:lang w:val="en-GB"/>
              </w:rPr>
              <w:t>11 (0.5)</w:t>
            </w:r>
          </w:p>
        </w:tc>
        <w:tc>
          <w:tcPr>
            <w:tcW w:w="502" w:type="pct"/>
          </w:tcPr>
          <w:p w14:paraId="6430DB12" w14:textId="77777777" w:rsidR="00CF7BC4" w:rsidRPr="00E678AB" w:rsidRDefault="009D77B2">
            <w:pPr>
              <w:pStyle w:val="Compact"/>
              <w:jc w:val="right"/>
              <w:rPr>
                <w:lang w:val="en-GB"/>
              </w:rPr>
            </w:pPr>
            <w:r w:rsidRPr="00E678AB">
              <w:rPr>
                <w:lang w:val="en-GB"/>
              </w:rPr>
              <w:t>16 (1.2)</w:t>
            </w:r>
          </w:p>
        </w:tc>
        <w:tc>
          <w:tcPr>
            <w:tcW w:w="502" w:type="pct"/>
          </w:tcPr>
          <w:p w14:paraId="415132FB" w14:textId="77777777" w:rsidR="00CF7BC4" w:rsidRPr="00E678AB" w:rsidRDefault="009D77B2">
            <w:pPr>
              <w:pStyle w:val="Compact"/>
              <w:jc w:val="right"/>
              <w:rPr>
                <w:lang w:val="en-GB"/>
              </w:rPr>
            </w:pPr>
            <w:r w:rsidRPr="00E678AB">
              <w:rPr>
                <w:lang w:val="en-GB"/>
              </w:rPr>
              <w:t>80 (0.8)</w:t>
            </w:r>
          </w:p>
        </w:tc>
        <w:tc>
          <w:tcPr>
            <w:tcW w:w="0" w:type="auto"/>
          </w:tcPr>
          <w:p w14:paraId="631DA12C" w14:textId="77777777" w:rsidR="00CF7BC4" w:rsidRPr="00E678AB" w:rsidRDefault="00CF7BC4"/>
        </w:tc>
      </w:tr>
      <w:tr w:rsidR="009F3659" w:rsidRPr="00E678AB" w14:paraId="742909FF" w14:textId="77777777" w:rsidTr="007D5BF1">
        <w:tc>
          <w:tcPr>
            <w:tcW w:w="0" w:type="auto"/>
          </w:tcPr>
          <w:p w14:paraId="13CDA900" w14:textId="22664955" w:rsidR="009F3659" w:rsidRPr="00E678AB" w:rsidRDefault="009F3659">
            <w:pPr>
              <w:pStyle w:val="Compact"/>
              <w:rPr>
                <w:lang w:val="en-GB"/>
              </w:rPr>
            </w:pPr>
            <w:r w:rsidRPr="00E678AB">
              <w:rPr>
                <w:lang w:val="en-GB"/>
              </w:rPr>
              <w:t>Urgency</w:t>
            </w:r>
          </w:p>
        </w:tc>
        <w:tc>
          <w:tcPr>
            <w:tcW w:w="0" w:type="auto"/>
          </w:tcPr>
          <w:p w14:paraId="53D9176D" w14:textId="77777777" w:rsidR="009F3659" w:rsidRPr="00E678AB" w:rsidRDefault="009F3659">
            <w:pPr>
              <w:pStyle w:val="Compact"/>
              <w:rPr>
                <w:lang w:val="en-GB"/>
              </w:rPr>
            </w:pPr>
          </w:p>
        </w:tc>
        <w:tc>
          <w:tcPr>
            <w:tcW w:w="497" w:type="pct"/>
          </w:tcPr>
          <w:p w14:paraId="4A6493CD" w14:textId="77777777" w:rsidR="009F3659" w:rsidRPr="00E678AB" w:rsidRDefault="009F3659">
            <w:pPr>
              <w:pStyle w:val="Compact"/>
              <w:jc w:val="right"/>
              <w:rPr>
                <w:lang w:val="en-GB"/>
              </w:rPr>
            </w:pPr>
          </w:p>
        </w:tc>
        <w:tc>
          <w:tcPr>
            <w:tcW w:w="502" w:type="pct"/>
          </w:tcPr>
          <w:p w14:paraId="0F870C32" w14:textId="77777777" w:rsidR="009F3659" w:rsidRPr="00E678AB" w:rsidRDefault="009F3659">
            <w:pPr>
              <w:pStyle w:val="Compact"/>
              <w:jc w:val="right"/>
              <w:rPr>
                <w:lang w:val="en-GB"/>
              </w:rPr>
            </w:pPr>
          </w:p>
        </w:tc>
        <w:tc>
          <w:tcPr>
            <w:tcW w:w="502" w:type="pct"/>
          </w:tcPr>
          <w:p w14:paraId="4AEBA325" w14:textId="77777777" w:rsidR="009F3659" w:rsidRPr="00E678AB" w:rsidRDefault="009F3659">
            <w:pPr>
              <w:pStyle w:val="Compact"/>
              <w:jc w:val="right"/>
              <w:rPr>
                <w:lang w:val="en-GB"/>
              </w:rPr>
            </w:pPr>
          </w:p>
        </w:tc>
        <w:tc>
          <w:tcPr>
            <w:tcW w:w="502" w:type="pct"/>
          </w:tcPr>
          <w:p w14:paraId="4CDE9922" w14:textId="77777777" w:rsidR="009F3659" w:rsidRPr="00E678AB" w:rsidRDefault="009F3659">
            <w:pPr>
              <w:pStyle w:val="Compact"/>
              <w:jc w:val="right"/>
              <w:rPr>
                <w:lang w:val="en-GB"/>
              </w:rPr>
            </w:pPr>
          </w:p>
        </w:tc>
        <w:tc>
          <w:tcPr>
            <w:tcW w:w="0" w:type="auto"/>
          </w:tcPr>
          <w:p w14:paraId="12A58D43" w14:textId="77777777" w:rsidR="009F3659" w:rsidRPr="00E678AB" w:rsidRDefault="009F3659">
            <w:pPr>
              <w:pStyle w:val="Compact"/>
              <w:jc w:val="right"/>
              <w:rPr>
                <w:lang w:val="en-GB"/>
              </w:rPr>
            </w:pPr>
          </w:p>
        </w:tc>
      </w:tr>
      <w:tr w:rsidR="002E75D7" w:rsidRPr="00E678AB" w14:paraId="27DA2D9E" w14:textId="77777777" w:rsidTr="007D5BF1">
        <w:tc>
          <w:tcPr>
            <w:tcW w:w="0" w:type="auto"/>
          </w:tcPr>
          <w:p w14:paraId="26003C5E" w14:textId="6AAB5019" w:rsidR="00CF7BC4" w:rsidRPr="00E678AB" w:rsidRDefault="00CF7BC4">
            <w:pPr>
              <w:pStyle w:val="Compact"/>
              <w:rPr>
                <w:lang w:val="en-GB"/>
              </w:rPr>
            </w:pPr>
          </w:p>
        </w:tc>
        <w:tc>
          <w:tcPr>
            <w:tcW w:w="0" w:type="auto"/>
          </w:tcPr>
          <w:p w14:paraId="7218B11F" w14:textId="77777777" w:rsidR="00CF7BC4" w:rsidRPr="00E678AB" w:rsidRDefault="009D77B2">
            <w:pPr>
              <w:pStyle w:val="Compact"/>
              <w:rPr>
                <w:lang w:val="en-GB"/>
              </w:rPr>
            </w:pPr>
            <w:r w:rsidRPr="00E678AB">
              <w:rPr>
                <w:lang w:val="en-GB"/>
              </w:rPr>
              <w:t>Elective</w:t>
            </w:r>
          </w:p>
        </w:tc>
        <w:tc>
          <w:tcPr>
            <w:tcW w:w="497" w:type="pct"/>
          </w:tcPr>
          <w:p w14:paraId="384FF457" w14:textId="77777777" w:rsidR="00CF7BC4" w:rsidRPr="00E678AB" w:rsidRDefault="009D77B2">
            <w:pPr>
              <w:pStyle w:val="Compact"/>
              <w:jc w:val="right"/>
              <w:rPr>
                <w:lang w:val="en-GB"/>
              </w:rPr>
            </w:pPr>
            <w:r w:rsidRPr="00E678AB">
              <w:rPr>
                <w:lang w:val="en-GB"/>
              </w:rPr>
              <w:t>6081 (95.3)</w:t>
            </w:r>
          </w:p>
        </w:tc>
        <w:tc>
          <w:tcPr>
            <w:tcW w:w="502" w:type="pct"/>
          </w:tcPr>
          <w:p w14:paraId="6E5D6DAB" w14:textId="77777777" w:rsidR="00CF7BC4" w:rsidRPr="00E678AB" w:rsidRDefault="009D77B2">
            <w:pPr>
              <w:pStyle w:val="Compact"/>
              <w:jc w:val="right"/>
              <w:rPr>
                <w:lang w:val="en-GB"/>
              </w:rPr>
            </w:pPr>
            <w:r w:rsidRPr="00E678AB">
              <w:rPr>
                <w:lang w:val="en-GB"/>
              </w:rPr>
              <w:t>1850 (91.9)</w:t>
            </w:r>
          </w:p>
        </w:tc>
        <w:tc>
          <w:tcPr>
            <w:tcW w:w="502" w:type="pct"/>
          </w:tcPr>
          <w:p w14:paraId="11451E94" w14:textId="77777777" w:rsidR="00CF7BC4" w:rsidRPr="00E678AB" w:rsidRDefault="009D77B2">
            <w:pPr>
              <w:pStyle w:val="Compact"/>
              <w:jc w:val="right"/>
              <w:rPr>
                <w:lang w:val="en-GB"/>
              </w:rPr>
            </w:pPr>
            <w:r w:rsidRPr="00E678AB">
              <w:rPr>
                <w:lang w:val="en-GB"/>
              </w:rPr>
              <w:t>1180 (91.2)</w:t>
            </w:r>
          </w:p>
        </w:tc>
        <w:tc>
          <w:tcPr>
            <w:tcW w:w="502" w:type="pct"/>
          </w:tcPr>
          <w:p w14:paraId="23B2C525" w14:textId="77777777" w:rsidR="00CF7BC4" w:rsidRPr="00E678AB" w:rsidRDefault="009D77B2">
            <w:pPr>
              <w:pStyle w:val="Compact"/>
              <w:jc w:val="right"/>
              <w:rPr>
                <w:lang w:val="en-GB"/>
              </w:rPr>
            </w:pPr>
            <w:r w:rsidRPr="00E678AB">
              <w:rPr>
                <w:lang w:val="en-GB"/>
              </w:rPr>
              <w:t>9111 (94.1)</w:t>
            </w:r>
          </w:p>
        </w:tc>
        <w:tc>
          <w:tcPr>
            <w:tcW w:w="0" w:type="auto"/>
          </w:tcPr>
          <w:p w14:paraId="1C41EAD2" w14:textId="77777777" w:rsidR="00CF7BC4" w:rsidRPr="00E678AB" w:rsidRDefault="009D77B2">
            <w:pPr>
              <w:pStyle w:val="Compact"/>
              <w:jc w:val="right"/>
              <w:rPr>
                <w:lang w:val="en-GB"/>
              </w:rPr>
            </w:pPr>
            <w:r w:rsidRPr="00E678AB">
              <w:rPr>
                <w:lang w:val="en-GB"/>
              </w:rPr>
              <w:t>&lt;0.001</w:t>
            </w:r>
          </w:p>
        </w:tc>
      </w:tr>
      <w:tr w:rsidR="002E75D7" w:rsidRPr="00E678AB" w14:paraId="58480468" w14:textId="77777777" w:rsidTr="007D5BF1">
        <w:tc>
          <w:tcPr>
            <w:tcW w:w="0" w:type="auto"/>
          </w:tcPr>
          <w:p w14:paraId="7814CA21" w14:textId="77777777" w:rsidR="00CF7BC4" w:rsidRPr="00E678AB" w:rsidRDefault="00CF7BC4"/>
        </w:tc>
        <w:tc>
          <w:tcPr>
            <w:tcW w:w="0" w:type="auto"/>
          </w:tcPr>
          <w:p w14:paraId="509B5BFC" w14:textId="77777777" w:rsidR="00CF7BC4" w:rsidRPr="00E678AB" w:rsidRDefault="009D77B2">
            <w:pPr>
              <w:pStyle w:val="Compact"/>
              <w:rPr>
                <w:lang w:val="en-GB"/>
              </w:rPr>
            </w:pPr>
            <w:r w:rsidRPr="00E678AB">
              <w:rPr>
                <w:lang w:val="en-GB"/>
              </w:rPr>
              <w:t>Emergency</w:t>
            </w:r>
          </w:p>
        </w:tc>
        <w:tc>
          <w:tcPr>
            <w:tcW w:w="497" w:type="pct"/>
          </w:tcPr>
          <w:p w14:paraId="7324A018" w14:textId="77777777" w:rsidR="00CF7BC4" w:rsidRPr="00E678AB" w:rsidRDefault="009D77B2">
            <w:pPr>
              <w:pStyle w:val="Compact"/>
              <w:jc w:val="right"/>
              <w:rPr>
                <w:lang w:val="en-GB"/>
              </w:rPr>
            </w:pPr>
            <w:r w:rsidRPr="00E678AB">
              <w:rPr>
                <w:lang w:val="en-GB"/>
              </w:rPr>
              <w:t>295 (4.6)</w:t>
            </w:r>
          </w:p>
        </w:tc>
        <w:tc>
          <w:tcPr>
            <w:tcW w:w="502" w:type="pct"/>
          </w:tcPr>
          <w:p w14:paraId="5F1EB8D8" w14:textId="77777777" w:rsidR="00CF7BC4" w:rsidRPr="00E678AB" w:rsidRDefault="009D77B2">
            <w:pPr>
              <w:pStyle w:val="Compact"/>
              <w:jc w:val="right"/>
              <w:rPr>
                <w:lang w:val="en-GB"/>
              </w:rPr>
            </w:pPr>
            <w:r w:rsidRPr="00E678AB">
              <w:rPr>
                <w:lang w:val="en-GB"/>
              </w:rPr>
              <w:t>161 (8.0)</w:t>
            </w:r>
          </w:p>
        </w:tc>
        <w:tc>
          <w:tcPr>
            <w:tcW w:w="502" w:type="pct"/>
          </w:tcPr>
          <w:p w14:paraId="38A627B0" w14:textId="77777777" w:rsidR="00CF7BC4" w:rsidRPr="00E678AB" w:rsidRDefault="009D77B2">
            <w:pPr>
              <w:pStyle w:val="Compact"/>
              <w:jc w:val="right"/>
              <w:rPr>
                <w:lang w:val="en-GB"/>
              </w:rPr>
            </w:pPr>
            <w:r w:rsidRPr="00E678AB">
              <w:rPr>
                <w:lang w:val="en-GB"/>
              </w:rPr>
              <w:t>114 (8.8)</w:t>
            </w:r>
          </w:p>
        </w:tc>
        <w:tc>
          <w:tcPr>
            <w:tcW w:w="502" w:type="pct"/>
          </w:tcPr>
          <w:p w14:paraId="594D5005" w14:textId="77777777" w:rsidR="00CF7BC4" w:rsidRPr="00E678AB" w:rsidRDefault="009D77B2">
            <w:pPr>
              <w:pStyle w:val="Compact"/>
              <w:jc w:val="right"/>
              <w:rPr>
                <w:lang w:val="en-GB"/>
              </w:rPr>
            </w:pPr>
            <w:r w:rsidRPr="00E678AB">
              <w:rPr>
                <w:lang w:val="en-GB"/>
              </w:rPr>
              <w:t>570 (5.9)</w:t>
            </w:r>
          </w:p>
        </w:tc>
        <w:tc>
          <w:tcPr>
            <w:tcW w:w="0" w:type="auto"/>
          </w:tcPr>
          <w:p w14:paraId="0603BBCB" w14:textId="77777777" w:rsidR="00CF7BC4" w:rsidRPr="00E678AB" w:rsidRDefault="00CF7BC4"/>
        </w:tc>
      </w:tr>
      <w:tr w:rsidR="002E75D7" w:rsidRPr="00E678AB" w14:paraId="20A336C2" w14:textId="77777777" w:rsidTr="007D5BF1">
        <w:tc>
          <w:tcPr>
            <w:tcW w:w="0" w:type="auto"/>
          </w:tcPr>
          <w:p w14:paraId="5DDDE352" w14:textId="77777777" w:rsidR="00CF7BC4" w:rsidRPr="00E678AB" w:rsidRDefault="00CF7BC4"/>
        </w:tc>
        <w:tc>
          <w:tcPr>
            <w:tcW w:w="0" w:type="auto"/>
          </w:tcPr>
          <w:p w14:paraId="24669CF4" w14:textId="77777777" w:rsidR="00CF7BC4" w:rsidRPr="00E678AB" w:rsidRDefault="009D77B2">
            <w:pPr>
              <w:pStyle w:val="Compact"/>
              <w:rPr>
                <w:lang w:val="en-GB"/>
              </w:rPr>
            </w:pPr>
            <w:r w:rsidRPr="00E678AB">
              <w:rPr>
                <w:lang w:val="en-GB"/>
              </w:rPr>
              <w:t>(Missing)</w:t>
            </w:r>
          </w:p>
        </w:tc>
        <w:tc>
          <w:tcPr>
            <w:tcW w:w="497" w:type="pct"/>
          </w:tcPr>
          <w:p w14:paraId="0FA00027" w14:textId="77777777" w:rsidR="00CF7BC4" w:rsidRPr="00E678AB" w:rsidRDefault="009D77B2">
            <w:pPr>
              <w:pStyle w:val="Compact"/>
              <w:jc w:val="right"/>
              <w:rPr>
                <w:lang w:val="en-GB"/>
              </w:rPr>
            </w:pPr>
            <w:r w:rsidRPr="00E678AB">
              <w:rPr>
                <w:lang w:val="en-GB"/>
              </w:rPr>
              <w:t>2 (0.0)</w:t>
            </w:r>
          </w:p>
        </w:tc>
        <w:tc>
          <w:tcPr>
            <w:tcW w:w="502" w:type="pct"/>
          </w:tcPr>
          <w:p w14:paraId="0832A4E6" w14:textId="77777777" w:rsidR="00CF7BC4" w:rsidRPr="00E678AB" w:rsidRDefault="009D77B2">
            <w:pPr>
              <w:pStyle w:val="Compact"/>
              <w:jc w:val="right"/>
              <w:rPr>
                <w:lang w:val="en-GB"/>
              </w:rPr>
            </w:pPr>
            <w:r w:rsidRPr="00E678AB">
              <w:rPr>
                <w:lang w:val="en-GB"/>
              </w:rPr>
              <w:t>2 (0.1)</w:t>
            </w:r>
          </w:p>
        </w:tc>
        <w:tc>
          <w:tcPr>
            <w:tcW w:w="502" w:type="pct"/>
          </w:tcPr>
          <w:p w14:paraId="19ECBF08" w14:textId="77777777" w:rsidR="00CF7BC4" w:rsidRPr="00E678AB" w:rsidRDefault="009D77B2">
            <w:pPr>
              <w:pStyle w:val="Compact"/>
              <w:jc w:val="right"/>
              <w:rPr>
                <w:lang w:val="en-GB"/>
              </w:rPr>
            </w:pPr>
            <w:r w:rsidRPr="00E678AB">
              <w:rPr>
                <w:lang w:val="en-GB"/>
              </w:rPr>
              <w:t>0 (0.0)</w:t>
            </w:r>
          </w:p>
        </w:tc>
        <w:tc>
          <w:tcPr>
            <w:tcW w:w="502" w:type="pct"/>
          </w:tcPr>
          <w:p w14:paraId="2A696794" w14:textId="77777777" w:rsidR="00CF7BC4" w:rsidRPr="00E678AB" w:rsidRDefault="009D77B2">
            <w:pPr>
              <w:pStyle w:val="Compact"/>
              <w:jc w:val="right"/>
              <w:rPr>
                <w:lang w:val="en-GB"/>
              </w:rPr>
            </w:pPr>
            <w:r w:rsidRPr="00E678AB">
              <w:rPr>
                <w:lang w:val="en-GB"/>
              </w:rPr>
              <w:t>4 (0.0)</w:t>
            </w:r>
          </w:p>
        </w:tc>
        <w:tc>
          <w:tcPr>
            <w:tcW w:w="0" w:type="auto"/>
          </w:tcPr>
          <w:p w14:paraId="28B77228" w14:textId="77777777" w:rsidR="00CF7BC4" w:rsidRPr="00E678AB" w:rsidRDefault="00CF7BC4"/>
        </w:tc>
      </w:tr>
    </w:tbl>
    <w:p w14:paraId="6EBBBC87" w14:textId="77777777" w:rsidR="00952E99" w:rsidRDefault="00952E99" w:rsidP="001B7E2D">
      <w:pPr>
        <w:rPr>
          <w:color w:val="000000" w:themeColor="text1"/>
          <w:sz w:val="20"/>
          <w:szCs w:val="20"/>
          <w:shd w:val="clear" w:color="auto" w:fill="FFFFFF"/>
        </w:rPr>
      </w:pPr>
    </w:p>
    <w:p w14:paraId="2FC53716" w14:textId="77777777" w:rsidR="008C0377" w:rsidRDefault="001B7E2D">
      <w:pPr>
        <w:rPr>
          <w:rFonts w:asciiTheme="minorHAnsi" w:hAnsiTheme="minorHAnsi"/>
          <w:color w:val="000000" w:themeColor="text1"/>
          <w:sz w:val="20"/>
          <w:szCs w:val="20"/>
          <w:shd w:val="clear" w:color="auto" w:fill="FFFFFF"/>
        </w:rPr>
        <w:sectPr w:rsidR="008C0377" w:rsidSect="00787ED3">
          <w:pgSz w:w="12240" w:h="15840"/>
          <w:pgMar w:top="720" w:right="720" w:bottom="720" w:left="720" w:header="720" w:footer="720" w:gutter="0"/>
          <w:cols w:space="720"/>
          <w:docGrid w:linePitch="326"/>
        </w:sectPr>
      </w:pPr>
      <w:r w:rsidRPr="001B7E2D">
        <w:rPr>
          <w:rFonts w:asciiTheme="minorHAnsi" w:hAnsiTheme="minorHAnsi"/>
          <w:color w:val="000000" w:themeColor="text1"/>
          <w:sz w:val="20"/>
          <w:szCs w:val="20"/>
          <w:shd w:val="clear" w:color="auto" w:fill="FFFFFF"/>
        </w:rPr>
        <w:t xml:space="preserve">Numbers are n (%) or mean (SD). </w:t>
      </w:r>
      <w:r w:rsidRPr="00F57D02">
        <w:rPr>
          <w:rFonts w:asciiTheme="minorHAnsi" w:hAnsiTheme="minorHAnsi"/>
          <w:color w:val="000000" w:themeColor="text1"/>
          <w:sz w:val="20"/>
          <w:szCs w:val="20"/>
          <w:shd w:val="clear" w:color="auto" w:fill="FFFFFF"/>
        </w:rPr>
        <w:t xml:space="preserve">High income included </w:t>
      </w:r>
      <w:r w:rsidR="00F57D02" w:rsidRPr="00F57D02">
        <w:rPr>
          <w:color w:val="000000" w:themeColor="text1"/>
          <w:sz w:val="20"/>
          <w:szCs w:val="20"/>
          <w:shd w:val="clear" w:color="auto" w:fill="FFFFFF"/>
        </w:rPr>
        <w:t>20</w:t>
      </w:r>
      <w:r w:rsidRPr="00F57D02">
        <w:rPr>
          <w:rFonts w:asciiTheme="minorHAnsi" w:hAnsiTheme="minorHAnsi"/>
          <w:color w:val="000000" w:themeColor="text1"/>
          <w:sz w:val="20"/>
          <w:szCs w:val="20"/>
          <w:shd w:val="clear" w:color="auto" w:fill="FFFFFF"/>
        </w:rPr>
        <w:t xml:space="preserve"> countries and </w:t>
      </w:r>
      <w:r w:rsidR="00F57D02" w:rsidRPr="00F57D02">
        <w:rPr>
          <w:color w:val="000000" w:themeColor="text1"/>
          <w:sz w:val="20"/>
          <w:szCs w:val="20"/>
          <w:shd w:val="clear" w:color="auto" w:fill="FFFFFF"/>
        </w:rPr>
        <w:t>91</w:t>
      </w:r>
      <w:r w:rsidRPr="00F57D02">
        <w:rPr>
          <w:rFonts w:asciiTheme="minorHAnsi" w:hAnsiTheme="minorHAnsi"/>
          <w:color w:val="000000" w:themeColor="text1"/>
          <w:sz w:val="20"/>
          <w:szCs w:val="20"/>
          <w:shd w:val="clear" w:color="auto" w:fill="FFFFFF"/>
        </w:rPr>
        <w:t xml:space="preserve"> hospitals. Upper-middle income included </w:t>
      </w:r>
      <w:r w:rsidR="00F57D02" w:rsidRPr="00F57D02">
        <w:rPr>
          <w:color w:val="000000" w:themeColor="text1"/>
          <w:sz w:val="20"/>
          <w:szCs w:val="20"/>
          <w:shd w:val="clear" w:color="auto" w:fill="FFFFFF"/>
        </w:rPr>
        <w:t>19</w:t>
      </w:r>
      <w:r w:rsidRPr="00F57D02">
        <w:rPr>
          <w:rFonts w:asciiTheme="minorHAnsi" w:hAnsiTheme="minorHAnsi"/>
          <w:color w:val="000000" w:themeColor="text1"/>
          <w:sz w:val="20"/>
          <w:szCs w:val="20"/>
          <w:shd w:val="clear" w:color="auto" w:fill="FFFFFF"/>
        </w:rPr>
        <w:t xml:space="preserve"> countries and </w:t>
      </w:r>
      <w:r w:rsidR="00F57D02" w:rsidRPr="00F57D02">
        <w:rPr>
          <w:color w:val="000000" w:themeColor="text1"/>
          <w:sz w:val="20"/>
          <w:szCs w:val="20"/>
          <w:shd w:val="clear" w:color="auto" w:fill="FFFFFF"/>
        </w:rPr>
        <w:t>57</w:t>
      </w:r>
      <w:r w:rsidRPr="00F57D02">
        <w:rPr>
          <w:rFonts w:asciiTheme="minorHAnsi" w:hAnsiTheme="minorHAnsi"/>
          <w:color w:val="000000" w:themeColor="text1"/>
          <w:sz w:val="20"/>
          <w:szCs w:val="20"/>
          <w:shd w:val="clear" w:color="auto" w:fill="FFFFFF"/>
        </w:rPr>
        <w:t xml:space="preserve"> hospitals. Lower-middle income or low income included 2</w:t>
      </w:r>
      <w:r w:rsidR="00F57D02" w:rsidRPr="00F57D02">
        <w:rPr>
          <w:color w:val="000000" w:themeColor="text1"/>
          <w:sz w:val="20"/>
          <w:szCs w:val="20"/>
          <w:shd w:val="clear" w:color="auto" w:fill="FFFFFF"/>
        </w:rPr>
        <w:t>7</w:t>
      </w:r>
      <w:r w:rsidRPr="00F57D02">
        <w:rPr>
          <w:rFonts w:asciiTheme="minorHAnsi" w:hAnsiTheme="minorHAnsi"/>
          <w:color w:val="000000" w:themeColor="text1"/>
          <w:sz w:val="20"/>
          <w:szCs w:val="20"/>
          <w:shd w:val="clear" w:color="auto" w:fill="FFFFFF"/>
        </w:rPr>
        <w:t xml:space="preserve"> countries and </w:t>
      </w:r>
      <w:r w:rsidR="00F57D02" w:rsidRPr="00F57D02">
        <w:rPr>
          <w:color w:val="000000" w:themeColor="text1"/>
          <w:sz w:val="20"/>
          <w:szCs w:val="20"/>
          <w:shd w:val="clear" w:color="auto" w:fill="FFFFFF"/>
        </w:rPr>
        <w:t>90</w:t>
      </w:r>
      <w:r w:rsidRPr="00F57D02">
        <w:rPr>
          <w:rFonts w:asciiTheme="minorHAnsi" w:hAnsiTheme="minorHAnsi"/>
          <w:color w:val="000000" w:themeColor="text1"/>
          <w:sz w:val="20"/>
          <w:szCs w:val="20"/>
          <w:shd w:val="clear" w:color="auto" w:fill="FFFFFF"/>
        </w:rPr>
        <w:t xml:space="preserve"> hospitals.</w:t>
      </w:r>
      <w:r w:rsidRPr="001B7E2D">
        <w:rPr>
          <w:rFonts w:asciiTheme="minorHAnsi" w:hAnsiTheme="minorHAnsi"/>
          <w:color w:val="000000" w:themeColor="text1"/>
          <w:sz w:val="20"/>
          <w:szCs w:val="20"/>
          <w:shd w:val="clear" w:color="auto" w:fill="FFFFFF"/>
        </w:rPr>
        <w:t xml:space="preserve"> The total column therefore includes </w:t>
      </w:r>
      <w:r w:rsidR="00316E00">
        <w:rPr>
          <w:color w:val="000000" w:themeColor="text1"/>
          <w:sz w:val="20"/>
          <w:szCs w:val="20"/>
          <w:shd w:val="clear" w:color="auto" w:fill="FFFFFF"/>
        </w:rPr>
        <w:t>66</w:t>
      </w:r>
      <w:r w:rsidRPr="001B7E2D">
        <w:rPr>
          <w:rFonts w:asciiTheme="minorHAnsi" w:hAnsiTheme="minorHAnsi"/>
          <w:color w:val="000000" w:themeColor="text1"/>
          <w:sz w:val="20"/>
          <w:szCs w:val="20"/>
          <w:shd w:val="clear" w:color="auto" w:fill="FFFFFF"/>
        </w:rPr>
        <w:t xml:space="preserve"> countries and </w:t>
      </w:r>
      <w:r w:rsidR="00316E00">
        <w:rPr>
          <w:color w:val="000000" w:themeColor="text1"/>
          <w:sz w:val="20"/>
          <w:szCs w:val="20"/>
          <w:shd w:val="clear" w:color="auto" w:fill="FFFFFF"/>
        </w:rPr>
        <w:t>238</w:t>
      </w:r>
      <w:r w:rsidRPr="001B7E2D">
        <w:rPr>
          <w:rFonts w:asciiTheme="minorHAnsi" w:hAnsiTheme="minorHAnsi"/>
          <w:color w:val="000000" w:themeColor="text1"/>
          <w:sz w:val="20"/>
          <w:szCs w:val="20"/>
          <w:shd w:val="clear" w:color="auto" w:fill="FFFFFF"/>
        </w:rPr>
        <w:t xml:space="preserve"> hospitals. ASA=American Society of </w:t>
      </w:r>
      <w:proofErr w:type="spellStart"/>
      <w:r w:rsidRPr="001B7E2D">
        <w:rPr>
          <w:rFonts w:asciiTheme="minorHAnsi" w:hAnsiTheme="minorHAnsi"/>
          <w:color w:val="000000" w:themeColor="text1"/>
          <w:sz w:val="20"/>
          <w:szCs w:val="20"/>
          <w:shd w:val="clear" w:color="auto" w:fill="FFFFFF"/>
        </w:rPr>
        <w:t>Anesthesiologists</w:t>
      </w:r>
      <w:proofErr w:type="spellEnd"/>
      <w:r w:rsidRPr="001B7E2D">
        <w:rPr>
          <w:rFonts w:asciiTheme="minorHAnsi" w:hAnsiTheme="minorHAnsi"/>
          <w:color w:val="000000" w:themeColor="text1"/>
          <w:sz w:val="20"/>
          <w:szCs w:val="20"/>
          <w:shd w:val="clear" w:color="auto" w:fill="FFFFFF"/>
        </w:rPr>
        <w:t>. ECOG=Eastern Cooperative Oncology Group.</w:t>
      </w:r>
      <w:bookmarkStart w:id="9" w:name="X212dfc4238a57140cdac0b5992584fe853b72d4"/>
    </w:p>
    <w:p w14:paraId="2E503007" w14:textId="19141B5A" w:rsidR="00CF7BC4" w:rsidRPr="00E678AB" w:rsidRDefault="009D77B2">
      <w:pPr>
        <w:pStyle w:val="Heading4"/>
        <w:rPr>
          <w:lang w:val="en-GB"/>
        </w:rPr>
      </w:pPr>
      <w:r w:rsidRPr="00E678AB">
        <w:rPr>
          <w:lang w:val="en-GB"/>
        </w:rPr>
        <w:lastRenderedPageBreak/>
        <w:t>Table 3. Adjusted mortality rate across</w:t>
      </w:r>
      <w:bookmarkEnd w:id="9"/>
      <w:r w:rsidR="0083056F" w:rsidRPr="00E678AB">
        <w:rPr>
          <w:lang w:val="en-GB"/>
        </w:rPr>
        <w:t xml:space="preserve"> </w:t>
      </w:r>
      <w:r w:rsidR="0083056F" w:rsidRPr="00A26F73">
        <w:rPr>
          <w:lang w:val="en-GB"/>
        </w:rPr>
        <w:t xml:space="preserve">hospital </w:t>
      </w:r>
      <w:r w:rsidR="00A26F73">
        <w:rPr>
          <w:lang w:val="en-GB"/>
        </w:rPr>
        <w:t>facility level</w:t>
      </w:r>
    </w:p>
    <w:p w14:paraId="1CF265E9" w14:textId="529BD677" w:rsidR="006B281A" w:rsidRPr="006B281A" w:rsidRDefault="006B281A">
      <w:pPr>
        <w:pStyle w:val="TableCaption"/>
        <w:rPr>
          <w:i w:val="0"/>
          <w:iCs/>
          <w:sz w:val="20"/>
          <w:szCs w:val="20"/>
          <w:lang w:val="en-GB"/>
        </w:rPr>
      </w:pPr>
      <w:r w:rsidRPr="006B281A">
        <w:rPr>
          <w:i w:val="0"/>
          <w:iCs/>
          <w:sz w:val="20"/>
          <w:szCs w:val="20"/>
          <w:lang w:val="en-GB"/>
        </w:rPr>
        <w:t xml:space="preserve">Adjusted mortality rates were calculated </w:t>
      </w:r>
      <w:r>
        <w:rPr>
          <w:i w:val="0"/>
          <w:iCs/>
          <w:sz w:val="20"/>
          <w:szCs w:val="20"/>
          <w:lang w:val="en-GB"/>
        </w:rPr>
        <w:t xml:space="preserve">using </w:t>
      </w:r>
      <w:r w:rsidRPr="006B281A">
        <w:rPr>
          <w:i w:val="0"/>
          <w:iCs/>
          <w:sz w:val="20"/>
          <w:szCs w:val="20"/>
          <w:lang w:val="en-GB"/>
        </w:rPr>
        <w:t xml:space="preserve">generalized estimating equations (GEE) to account for clustering of patients by hospital and potential confounders (WB </w:t>
      </w:r>
      <w:proofErr w:type="spellStart"/>
      <w:r w:rsidRPr="006B281A">
        <w:rPr>
          <w:i w:val="0"/>
          <w:iCs/>
          <w:sz w:val="20"/>
          <w:szCs w:val="20"/>
          <w:lang w:val="en-GB"/>
        </w:rPr>
        <w:t>tertile</w:t>
      </w:r>
      <w:proofErr w:type="spellEnd"/>
      <w:r w:rsidRPr="006B281A">
        <w:rPr>
          <w:i w:val="0"/>
          <w:iCs/>
          <w:sz w:val="20"/>
          <w:szCs w:val="20"/>
          <w:lang w:val="en-GB"/>
        </w:rPr>
        <w:t xml:space="preserve">, age, gender, cancer type, </w:t>
      </w:r>
      <w:r>
        <w:rPr>
          <w:i w:val="0"/>
          <w:iCs/>
          <w:sz w:val="20"/>
          <w:szCs w:val="20"/>
          <w:lang w:val="en-GB"/>
        </w:rPr>
        <w:t xml:space="preserve">ECOG performance status, </w:t>
      </w:r>
      <w:r w:rsidRPr="006B281A">
        <w:rPr>
          <w:i w:val="0"/>
          <w:iCs/>
          <w:sz w:val="20"/>
          <w:szCs w:val="20"/>
          <w:lang w:val="en-GB"/>
        </w:rPr>
        <w:t xml:space="preserve">ASA grade, disease stage, and operative urgency). Confidence intervals (CIs) and a P value for trend were fitted using the multilevel logistic regression model with the number of </w:t>
      </w:r>
      <w:r w:rsidRPr="00A26F73">
        <w:rPr>
          <w:i w:val="0"/>
          <w:iCs/>
          <w:sz w:val="20"/>
          <w:szCs w:val="20"/>
          <w:lang w:val="en-GB"/>
        </w:rPr>
        <w:t xml:space="preserve">hospital </w:t>
      </w:r>
      <w:r w:rsidR="00A26F73">
        <w:rPr>
          <w:i w:val="0"/>
          <w:iCs/>
          <w:sz w:val="20"/>
          <w:szCs w:val="20"/>
          <w:lang w:val="en-GB"/>
        </w:rPr>
        <w:t>facilities</w:t>
      </w:r>
      <w:r w:rsidRPr="006B281A">
        <w:rPr>
          <w:i w:val="0"/>
          <w:iCs/>
          <w:sz w:val="20"/>
          <w:szCs w:val="20"/>
          <w:lang w:val="en-GB"/>
        </w:rPr>
        <w:t xml:space="preserve"> and all confounders as covariates</w:t>
      </w:r>
    </w:p>
    <w:p w14:paraId="554F5110" w14:textId="638EA4E2" w:rsidR="00CF7BC4" w:rsidRPr="00E678AB" w:rsidRDefault="00CF7BC4">
      <w:pPr>
        <w:pStyle w:val="TableCaption"/>
        <w:rPr>
          <w:lang w:val="en-GB"/>
        </w:rPr>
      </w:pPr>
    </w:p>
    <w:tbl>
      <w:tblPr>
        <w:tblStyle w:val="Table"/>
        <w:tblW w:w="4373" w:type="pct"/>
        <w:tblLook w:val="07E0" w:firstRow="1" w:lastRow="1" w:firstColumn="1" w:lastColumn="1" w:noHBand="1" w:noVBand="1"/>
        <w:tblCaption w:val="All cancers"/>
      </w:tblPr>
      <w:tblGrid>
        <w:gridCol w:w="2272"/>
        <w:gridCol w:w="2033"/>
        <w:gridCol w:w="1753"/>
        <w:gridCol w:w="1929"/>
        <w:gridCol w:w="2242"/>
        <w:gridCol w:w="1567"/>
        <w:gridCol w:w="798"/>
      </w:tblGrid>
      <w:tr w:rsidR="008C0377" w:rsidRPr="00E678AB" w14:paraId="4CEACCD9" w14:textId="77777777" w:rsidTr="008C0377">
        <w:tc>
          <w:tcPr>
            <w:tcW w:w="902" w:type="pct"/>
            <w:tcBorders>
              <w:bottom w:val="single" w:sz="0" w:space="0" w:color="auto"/>
            </w:tcBorders>
          </w:tcPr>
          <w:p w14:paraId="1FC4804C" w14:textId="77777777" w:rsidR="0044645C" w:rsidRDefault="0044645C">
            <w:pPr>
              <w:pStyle w:val="Compact"/>
              <w:rPr>
                <w:lang w:val="en-GB"/>
              </w:rPr>
            </w:pPr>
          </w:p>
        </w:tc>
        <w:tc>
          <w:tcPr>
            <w:tcW w:w="807" w:type="pct"/>
            <w:tcBorders>
              <w:bottom w:val="single" w:sz="0" w:space="0" w:color="auto"/>
            </w:tcBorders>
            <w:vAlign w:val="bottom"/>
          </w:tcPr>
          <w:p w14:paraId="5EE5A874" w14:textId="6C131380" w:rsidR="0044645C" w:rsidRPr="00E678AB" w:rsidRDefault="0044645C">
            <w:pPr>
              <w:pStyle w:val="Compact"/>
              <w:rPr>
                <w:lang w:val="en-GB"/>
              </w:rPr>
            </w:pPr>
            <w:r w:rsidRPr="00A26F73">
              <w:rPr>
                <w:lang w:val="en-GB"/>
              </w:rPr>
              <w:t xml:space="preserve">Hospital </w:t>
            </w:r>
            <w:r w:rsidR="00A26F73" w:rsidRPr="00A26F73">
              <w:rPr>
                <w:lang w:val="en-GB"/>
              </w:rPr>
              <w:t>facility</w:t>
            </w:r>
            <w:r w:rsidR="00A26F73">
              <w:rPr>
                <w:lang w:val="en-GB"/>
              </w:rPr>
              <w:t xml:space="preserve"> level</w:t>
            </w:r>
          </w:p>
        </w:tc>
        <w:tc>
          <w:tcPr>
            <w:tcW w:w="696" w:type="pct"/>
            <w:tcBorders>
              <w:bottom w:val="single" w:sz="0" w:space="0" w:color="auto"/>
            </w:tcBorders>
          </w:tcPr>
          <w:p w14:paraId="351C4839" w14:textId="41CD040C" w:rsidR="0044645C" w:rsidRPr="00E678AB" w:rsidRDefault="0044645C" w:rsidP="001D4ABA">
            <w:pPr>
              <w:pStyle w:val="Compact"/>
              <w:jc w:val="right"/>
              <w:rPr>
                <w:lang w:val="en-GB"/>
              </w:rPr>
            </w:pPr>
            <w:r>
              <w:rPr>
                <w:lang w:val="en-GB"/>
              </w:rPr>
              <w:t>Hospital number (%)</w:t>
            </w:r>
          </w:p>
        </w:tc>
        <w:tc>
          <w:tcPr>
            <w:tcW w:w="766" w:type="pct"/>
            <w:tcBorders>
              <w:bottom w:val="single" w:sz="0" w:space="0" w:color="auto"/>
            </w:tcBorders>
            <w:vAlign w:val="bottom"/>
          </w:tcPr>
          <w:p w14:paraId="2B7C5B95" w14:textId="6FB95C71" w:rsidR="0044645C" w:rsidRPr="00E678AB" w:rsidRDefault="0044645C" w:rsidP="00BB0219">
            <w:pPr>
              <w:pStyle w:val="Compact"/>
              <w:jc w:val="right"/>
              <w:rPr>
                <w:lang w:val="en-GB"/>
              </w:rPr>
            </w:pPr>
            <w:r w:rsidRPr="00E678AB">
              <w:rPr>
                <w:lang w:val="en-GB"/>
              </w:rPr>
              <w:t>Number of Patients (%)</w:t>
            </w:r>
          </w:p>
        </w:tc>
        <w:tc>
          <w:tcPr>
            <w:tcW w:w="890" w:type="pct"/>
            <w:tcBorders>
              <w:bottom w:val="single" w:sz="0" w:space="0" w:color="auto"/>
            </w:tcBorders>
            <w:vAlign w:val="bottom"/>
          </w:tcPr>
          <w:p w14:paraId="5CD23D1E" w14:textId="77777777" w:rsidR="0044645C" w:rsidRPr="00E678AB" w:rsidRDefault="0044645C">
            <w:pPr>
              <w:pStyle w:val="Compact"/>
              <w:jc w:val="right"/>
              <w:rPr>
                <w:lang w:val="en-GB"/>
              </w:rPr>
            </w:pPr>
            <w:r w:rsidRPr="00E678AB">
              <w:rPr>
                <w:lang w:val="en-GB"/>
              </w:rPr>
              <w:t>Adjusted mortality (95% CI)</w:t>
            </w:r>
          </w:p>
        </w:tc>
        <w:tc>
          <w:tcPr>
            <w:tcW w:w="622" w:type="pct"/>
            <w:tcBorders>
              <w:bottom w:val="single" w:sz="0" w:space="0" w:color="auto"/>
            </w:tcBorders>
            <w:vAlign w:val="bottom"/>
          </w:tcPr>
          <w:p w14:paraId="087F8783" w14:textId="77777777" w:rsidR="0044645C" w:rsidRPr="00E678AB" w:rsidRDefault="0044645C">
            <w:pPr>
              <w:pStyle w:val="Compact"/>
              <w:jc w:val="right"/>
              <w:rPr>
                <w:lang w:val="en-GB"/>
              </w:rPr>
            </w:pPr>
            <w:r w:rsidRPr="00E678AB">
              <w:rPr>
                <w:lang w:val="en-GB"/>
              </w:rPr>
              <w:t>Odds ratio</w:t>
            </w:r>
          </w:p>
        </w:tc>
        <w:tc>
          <w:tcPr>
            <w:tcW w:w="317" w:type="pct"/>
            <w:tcBorders>
              <w:bottom w:val="single" w:sz="0" w:space="0" w:color="auto"/>
            </w:tcBorders>
            <w:vAlign w:val="bottom"/>
          </w:tcPr>
          <w:p w14:paraId="1F7E5760" w14:textId="77777777" w:rsidR="0044645C" w:rsidRPr="00E678AB" w:rsidRDefault="0044645C">
            <w:pPr>
              <w:pStyle w:val="Compact"/>
              <w:jc w:val="right"/>
              <w:rPr>
                <w:lang w:val="en-GB"/>
              </w:rPr>
            </w:pPr>
            <w:r w:rsidRPr="00E678AB">
              <w:rPr>
                <w:lang w:val="en-GB"/>
              </w:rPr>
              <w:t>P value</w:t>
            </w:r>
          </w:p>
        </w:tc>
      </w:tr>
      <w:tr w:rsidR="008C0377" w:rsidRPr="00E678AB" w14:paraId="2D58F2B9" w14:textId="77777777" w:rsidTr="008C0377">
        <w:tc>
          <w:tcPr>
            <w:tcW w:w="902" w:type="pct"/>
          </w:tcPr>
          <w:p w14:paraId="0C953B0D" w14:textId="4631407C" w:rsidR="0044645C" w:rsidRPr="00E678AB" w:rsidRDefault="0044645C">
            <w:pPr>
              <w:pStyle w:val="Compact"/>
              <w:rPr>
                <w:lang w:val="en-GB"/>
              </w:rPr>
            </w:pPr>
            <w:r>
              <w:rPr>
                <w:lang w:val="en-GB"/>
              </w:rPr>
              <w:t>All cancers</w:t>
            </w:r>
          </w:p>
        </w:tc>
        <w:tc>
          <w:tcPr>
            <w:tcW w:w="807" w:type="pct"/>
          </w:tcPr>
          <w:p w14:paraId="66C18BE7" w14:textId="507AA83E" w:rsidR="0044645C" w:rsidRPr="00E678AB" w:rsidRDefault="0044645C">
            <w:pPr>
              <w:pStyle w:val="Compact"/>
              <w:rPr>
                <w:lang w:val="en-GB"/>
              </w:rPr>
            </w:pPr>
            <w:r w:rsidRPr="00E678AB">
              <w:rPr>
                <w:lang w:val="en-GB"/>
              </w:rPr>
              <w:t>5</w:t>
            </w:r>
          </w:p>
        </w:tc>
        <w:tc>
          <w:tcPr>
            <w:tcW w:w="696" w:type="pct"/>
          </w:tcPr>
          <w:p w14:paraId="691BFF8D" w14:textId="566FC45E" w:rsidR="0044645C" w:rsidRPr="00E678AB" w:rsidRDefault="0044645C" w:rsidP="00D84F79">
            <w:pPr>
              <w:pStyle w:val="Compact"/>
              <w:jc w:val="right"/>
              <w:rPr>
                <w:lang w:val="en-GB"/>
              </w:rPr>
            </w:pPr>
            <w:r>
              <w:rPr>
                <w:lang w:val="en-GB"/>
              </w:rPr>
              <w:t>113 (47.7)</w:t>
            </w:r>
          </w:p>
        </w:tc>
        <w:tc>
          <w:tcPr>
            <w:tcW w:w="766" w:type="pct"/>
          </w:tcPr>
          <w:p w14:paraId="2A210C6A" w14:textId="190B7F36" w:rsidR="0044645C" w:rsidRPr="00E678AB" w:rsidRDefault="0044645C" w:rsidP="00BB0219">
            <w:pPr>
              <w:pStyle w:val="Compact"/>
              <w:jc w:val="right"/>
              <w:rPr>
                <w:lang w:val="en-GB"/>
              </w:rPr>
            </w:pPr>
            <w:r w:rsidRPr="00E678AB">
              <w:rPr>
                <w:lang w:val="en-GB"/>
              </w:rPr>
              <w:t>5912</w:t>
            </w:r>
            <w:r>
              <w:rPr>
                <w:lang w:val="en-GB"/>
              </w:rPr>
              <w:t xml:space="preserve"> (66.6)</w:t>
            </w:r>
          </w:p>
        </w:tc>
        <w:tc>
          <w:tcPr>
            <w:tcW w:w="890" w:type="pct"/>
          </w:tcPr>
          <w:p w14:paraId="50E5FCC6" w14:textId="77777777" w:rsidR="0044645C" w:rsidRPr="00E678AB" w:rsidRDefault="0044645C">
            <w:pPr>
              <w:pStyle w:val="Compact"/>
              <w:jc w:val="right"/>
              <w:rPr>
                <w:lang w:val="en-GB"/>
              </w:rPr>
            </w:pPr>
            <w:r w:rsidRPr="00E678AB">
              <w:rPr>
                <w:lang w:val="en-GB"/>
              </w:rPr>
              <w:t>1 (0.7 to 1.2)</w:t>
            </w:r>
          </w:p>
        </w:tc>
        <w:tc>
          <w:tcPr>
            <w:tcW w:w="622" w:type="pct"/>
          </w:tcPr>
          <w:p w14:paraId="221F0F99" w14:textId="62548D67" w:rsidR="0044645C" w:rsidRPr="00E678AB" w:rsidRDefault="0044645C">
            <w:pPr>
              <w:pStyle w:val="Compact"/>
              <w:jc w:val="right"/>
              <w:rPr>
                <w:lang w:val="en-GB"/>
              </w:rPr>
            </w:pPr>
            <w:r>
              <w:rPr>
                <w:lang w:val="en-GB"/>
              </w:rPr>
              <w:t>Ref</w:t>
            </w:r>
          </w:p>
        </w:tc>
        <w:tc>
          <w:tcPr>
            <w:tcW w:w="317" w:type="pct"/>
          </w:tcPr>
          <w:p w14:paraId="1CA627FE" w14:textId="150C174D" w:rsidR="0044645C" w:rsidRPr="00E678AB" w:rsidRDefault="0044645C" w:rsidP="0044645C">
            <w:pPr>
              <w:pStyle w:val="Compact"/>
              <w:jc w:val="right"/>
              <w:rPr>
                <w:lang w:val="en-GB"/>
              </w:rPr>
            </w:pPr>
          </w:p>
        </w:tc>
      </w:tr>
      <w:tr w:rsidR="008C0377" w:rsidRPr="00E678AB" w14:paraId="608A212E" w14:textId="77777777" w:rsidTr="008C0377">
        <w:tc>
          <w:tcPr>
            <w:tcW w:w="902" w:type="pct"/>
          </w:tcPr>
          <w:p w14:paraId="31011D77" w14:textId="77777777" w:rsidR="0044645C" w:rsidRPr="00E678AB" w:rsidRDefault="0044645C">
            <w:pPr>
              <w:pStyle w:val="Compact"/>
              <w:rPr>
                <w:lang w:val="en-GB"/>
              </w:rPr>
            </w:pPr>
          </w:p>
        </w:tc>
        <w:tc>
          <w:tcPr>
            <w:tcW w:w="807" w:type="pct"/>
          </w:tcPr>
          <w:p w14:paraId="48646691" w14:textId="5407241C" w:rsidR="0044645C" w:rsidRPr="00E678AB" w:rsidRDefault="0044645C">
            <w:pPr>
              <w:pStyle w:val="Compact"/>
              <w:rPr>
                <w:lang w:val="en-GB"/>
              </w:rPr>
            </w:pPr>
            <w:r w:rsidRPr="00E678AB">
              <w:rPr>
                <w:lang w:val="en-GB"/>
              </w:rPr>
              <w:t>4</w:t>
            </w:r>
          </w:p>
        </w:tc>
        <w:tc>
          <w:tcPr>
            <w:tcW w:w="696" w:type="pct"/>
          </w:tcPr>
          <w:p w14:paraId="7588963D" w14:textId="349F3806" w:rsidR="0044645C" w:rsidRPr="00E678AB" w:rsidRDefault="0044645C" w:rsidP="00D84F79">
            <w:pPr>
              <w:pStyle w:val="Compact"/>
              <w:jc w:val="right"/>
              <w:rPr>
                <w:lang w:val="en-GB"/>
              </w:rPr>
            </w:pPr>
            <w:r>
              <w:rPr>
                <w:lang w:val="en-GB"/>
              </w:rPr>
              <w:t>63 (26.6)</w:t>
            </w:r>
          </w:p>
        </w:tc>
        <w:tc>
          <w:tcPr>
            <w:tcW w:w="766" w:type="pct"/>
          </w:tcPr>
          <w:p w14:paraId="4EBFADD4" w14:textId="7227A241" w:rsidR="0044645C" w:rsidRPr="00E678AB" w:rsidRDefault="0044645C" w:rsidP="00BB0219">
            <w:pPr>
              <w:pStyle w:val="Compact"/>
              <w:jc w:val="right"/>
              <w:rPr>
                <w:lang w:val="en-GB"/>
              </w:rPr>
            </w:pPr>
            <w:r w:rsidRPr="00E678AB">
              <w:rPr>
                <w:lang w:val="en-GB"/>
              </w:rPr>
              <w:t>1787</w:t>
            </w:r>
            <w:r>
              <w:rPr>
                <w:lang w:val="en-GB"/>
              </w:rPr>
              <w:t xml:space="preserve"> (20.2)</w:t>
            </w:r>
          </w:p>
        </w:tc>
        <w:tc>
          <w:tcPr>
            <w:tcW w:w="890" w:type="pct"/>
          </w:tcPr>
          <w:p w14:paraId="2A7C8019" w14:textId="77777777" w:rsidR="0044645C" w:rsidRPr="00E678AB" w:rsidRDefault="0044645C">
            <w:pPr>
              <w:pStyle w:val="Compact"/>
              <w:jc w:val="right"/>
              <w:rPr>
                <w:lang w:val="en-GB"/>
              </w:rPr>
            </w:pPr>
            <w:r w:rsidRPr="00E678AB">
              <w:rPr>
                <w:lang w:val="en-GB"/>
              </w:rPr>
              <w:t>1.5 (0.9 to 2)</w:t>
            </w:r>
          </w:p>
        </w:tc>
        <w:tc>
          <w:tcPr>
            <w:tcW w:w="622" w:type="pct"/>
          </w:tcPr>
          <w:p w14:paraId="054B1002" w14:textId="77777777" w:rsidR="0044645C" w:rsidRPr="00E678AB" w:rsidRDefault="0044645C">
            <w:pPr>
              <w:pStyle w:val="Compact"/>
              <w:jc w:val="right"/>
              <w:rPr>
                <w:lang w:val="en-GB"/>
              </w:rPr>
            </w:pPr>
            <w:r w:rsidRPr="00E678AB">
              <w:rPr>
                <w:lang w:val="en-GB"/>
              </w:rPr>
              <w:t>1.49 (0.94 to 2.37)</w:t>
            </w:r>
          </w:p>
        </w:tc>
        <w:tc>
          <w:tcPr>
            <w:tcW w:w="317" w:type="pct"/>
          </w:tcPr>
          <w:p w14:paraId="2BB1D6CC" w14:textId="77777777" w:rsidR="0044645C" w:rsidRPr="00E678AB" w:rsidRDefault="0044645C">
            <w:pPr>
              <w:pStyle w:val="Compact"/>
              <w:jc w:val="right"/>
              <w:rPr>
                <w:lang w:val="en-GB"/>
              </w:rPr>
            </w:pPr>
            <w:r w:rsidRPr="00E678AB">
              <w:rPr>
                <w:lang w:val="en-GB"/>
              </w:rPr>
              <w:t>0.092</w:t>
            </w:r>
          </w:p>
        </w:tc>
      </w:tr>
      <w:tr w:rsidR="008C0377" w:rsidRPr="00E678AB" w14:paraId="0A29BEE9" w14:textId="77777777" w:rsidTr="008C0377">
        <w:tc>
          <w:tcPr>
            <w:tcW w:w="902" w:type="pct"/>
          </w:tcPr>
          <w:p w14:paraId="703BD5F2" w14:textId="77777777" w:rsidR="0044645C" w:rsidRDefault="0044645C">
            <w:pPr>
              <w:pStyle w:val="Compact"/>
              <w:rPr>
                <w:lang w:val="en-GB"/>
              </w:rPr>
            </w:pPr>
          </w:p>
        </w:tc>
        <w:tc>
          <w:tcPr>
            <w:tcW w:w="807" w:type="pct"/>
          </w:tcPr>
          <w:p w14:paraId="2E27D015" w14:textId="12D42929" w:rsidR="0044645C" w:rsidRPr="00E678AB" w:rsidRDefault="0044645C">
            <w:pPr>
              <w:pStyle w:val="Compact"/>
              <w:rPr>
                <w:lang w:val="en-GB"/>
              </w:rPr>
            </w:pPr>
            <w:r>
              <w:rPr>
                <w:lang w:val="en-GB"/>
              </w:rPr>
              <w:t>≤</w:t>
            </w:r>
            <w:r w:rsidRPr="00E678AB">
              <w:rPr>
                <w:lang w:val="en-GB"/>
              </w:rPr>
              <w:t>3</w:t>
            </w:r>
          </w:p>
        </w:tc>
        <w:tc>
          <w:tcPr>
            <w:tcW w:w="696" w:type="pct"/>
          </w:tcPr>
          <w:p w14:paraId="44571D15" w14:textId="71D801B4" w:rsidR="0044645C" w:rsidRPr="00E678AB" w:rsidRDefault="0044645C" w:rsidP="00D84F79">
            <w:pPr>
              <w:pStyle w:val="Compact"/>
              <w:jc w:val="right"/>
              <w:rPr>
                <w:lang w:val="en-GB"/>
              </w:rPr>
            </w:pPr>
            <w:r>
              <w:rPr>
                <w:lang w:val="en-GB"/>
              </w:rPr>
              <w:t>61 (25.7)</w:t>
            </w:r>
          </w:p>
        </w:tc>
        <w:tc>
          <w:tcPr>
            <w:tcW w:w="766" w:type="pct"/>
          </w:tcPr>
          <w:p w14:paraId="48667E76" w14:textId="13F8A177" w:rsidR="0044645C" w:rsidRPr="00E678AB" w:rsidRDefault="0044645C" w:rsidP="00BB0219">
            <w:pPr>
              <w:pStyle w:val="Compact"/>
              <w:jc w:val="right"/>
              <w:rPr>
                <w:lang w:val="en-GB"/>
              </w:rPr>
            </w:pPr>
            <w:r w:rsidRPr="00E678AB">
              <w:rPr>
                <w:lang w:val="en-GB"/>
              </w:rPr>
              <w:t>1169</w:t>
            </w:r>
            <w:r>
              <w:rPr>
                <w:lang w:val="en-GB"/>
              </w:rPr>
              <w:t xml:space="preserve"> (13.2)</w:t>
            </w:r>
          </w:p>
        </w:tc>
        <w:tc>
          <w:tcPr>
            <w:tcW w:w="890" w:type="pct"/>
          </w:tcPr>
          <w:p w14:paraId="1F0E3DA0" w14:textId="77777777" w:rsidR="0044645C" w:rsidRPr="00E678AB" w:rsidRDefault="0044645C">
            <w:pPr>
              <w:pStyle w:val="Compact"/>
              <w:jc w:val="right"/>
              <w:rPr>
                <w:lang w:val="en-GB"/>
              </w:rPr>
            </w:pPr>
            <w:r w:rsidRPr="00E678AB">
              <w:rPr>
                <w:lang w:val="en-GB"/>
              </w:rPr>
              <w:t>3.7 (2.6 to 4.8)</w:t>
            </w:r>
          </w:p>
        </w:tc>
        <w:tc>
          <w:tcPr>
            <w:tcW w:w="622" w:type="pct"/>
          </w:tcPr>
          <w:p w14:paraId="005EE4EB" w14:textId="77777777" w:rsidR="0044645C" w:rsidRPr="00E678AB" w:rsidRDefault="0044645C">
            <w:pPr>
              <w:pStyle w:val="Compact"/>
              <w:jc w:val="right"/>
              <w:rPr>
                <w:lang w:val="en-GB"/>
              </w:rPr>
            </w:pPr>
            <w:r w:rsidRPr="00E678AB">
              <w:rPr>
                <w:lang w:val="en-GB"/>
              </w:rPr>
              <w:t>3.85 (2.58 to 5.75)</w:t>
            </w:r>
          </w:p>
        </w:tc>
        <w:tc>
          <w:tcPr>
            <w:tcW w:w="317" w:type="pct"/>
          </w:tcPr>
          <w:p w14:paraId="5380AAEA" w14:textId="77777777" w:rsidR="0044645C" w:rsidRPr="00E678AB" w:rsidRDefault="0044645C">
            <w:pPr>
              <w:pStyle w:val="Compact"/>
              <w:jc w:val="right"/>
              <w:rPr>
                <w:lang w:val="en-GB"/>
              </w:rPr>
            </w:pPr>
            <w:r w:rsidRPr="00E678AB">
              <w:rPr>
                <w:lang w:val="en-GB"/>
              </w:rPr>
              <w:t>&lt;0.001</w:t>
            </w:r>
          </w:p>
        </w:tc>
      </w:tr>
      <w:tr w:rsidR="008C0377" w:rsidRPr="00E678AB" w14:paraId="02426DE9" w14:textId="77777777" w:rsidTr="008C0377">
        <w:tc>
          <w:tcPr>
            <w:tcW w:w="902" w:type="pct"/>
          </w:tcPr>
          <w:p w14:paraId="5944DB05" w14:textId="77777777" w:rsidR="0044645C" w:rsidRDefault="0044645C">
            <w:pPr>
              <w:pStyle w:val="Compact"/>
              <w:rPr>
                <w:lang w:val="en-GB"/>
              </w:rPr>
            </w:pPr>
          </w:p>
        </w:tc>
        <w:tc>
          <w:tcPr>
            <w:tcW w:w="807" w:type="pct"/>
          </w:tcPr>
          <w:p w14:paraId="41933E9C" w14:textId="77777777" w:rsidR="0044645C" w:rsidRDefault="0044645C">
            <w:pPr>
              <w:pStyle w:val="Compact"/>
              <w:rPr>
                <w:lang w:val="en-GB"/>
              </w:rPr>
            </w:pPr>
          </w:p>
        </w:tc>
        <w:tc>
          <w:tcPr>
            <w:tcW w:w="696" w:type="pct"/>
          </w:tcPr>
          <w:p w14:paraId="48D5C0CF" w14:textId="77777777" w:rsidR="0044645C" w:rsidRDefault="0044645C" w:rsidP="00D84F79">
            <w:pPr>
              <w:pStyle w:val="Compact"/>
              <w:jc w:val="right"/>
              <w:rPr>
                <w:lang w:val="en-GB"/>
              </w:rPr>
            </w:pPr>
          </w:p>
        </w:tc>
        <w:tc>
          <w:tcPr>
            <w:tcW w:w="766" w:type="pct"/>
          </w:tcPr>
          <w:p w14:paraId="4B52B2BE" w14:textId="77777777" w:rsidR="0044645C" w:rsidRPr="00E678AB" w:rsidRDefault="0044645C" w:rsidP="00BB0219">
            <w:pPr>
              <w:pStyle w:val="Compact"/>
              <w:jc w:val="right"/>
              <w:rPr>
                <w:lang w:val="en-GB"/>
              </w:rPr>
            </w:pPr>
          </w:p>
        </w:tc>
        <w:tc>
          <w:tcPr>
            <w:tcW w:w="890" w:type="pct"/>
          </w:tcPr>
          <w:p w14:paraId="3EA0124B" w14:textId="77777777" w:rsidR="0044645C" w:rsidRPr="00E678AB" w:rsidRDefault="0044645C">
            <w:pPr>
              <w:pStyle w:val="Compact"/>
              <w:jc w:val="right"/>
              <w:rPr>
                <w:lang w:val="en-GB"/>
              </w:rPr>
            </w:pPr>
          </w:p>
        </w:tc>
        <w:tc>
          <w:tcPr>
            <w:tcW w:w="622" w:type="pct"/>
          </w:tcPr>
          <w:p w14:paraId="1DEA96F9" w14:textId="77777777" w:rsidR="0044645C" w:rsidRPr="00E678AB" w:rsidRDefault="0044645C">
            <w:pPr>
              <w:pStyle w:val="Compact"/>
              <w:jc w:val="right"/>
              <w:rPr>
                <w:lang w:val="en-GB"/>
              </w:rPr>
            </w:pPr>
          </w:p>
        </w:tc>
        <w:tc>
          <w:tcPr>
            <w:tcW w:w="317" w:type="pct"/>
          </w:tcPr>
          <w:p w14:paraId="4BAE8C1F" w14:textId="77777777" w:rsidR="0044645C" w:rsidRPr="00E678AB" w:rsidRDefault="0044645C">
            <w:pPr>
              <w:pStyle w:val="Compact"/>
              <w:jc w:val="right"/>
              <w:rPr>
                <w:lang w:val="en-GB"/>
              </w:rPr>
            </w:pPr>
          </w:p>
        </w:tc>
      </w:tr>
      <w:tr w:rsidR="008C0377" w:rsidRPr="00E678AB" w14:paraId="2A41D613" w14:textId="77777777" w:rsidTr="008C0377">
        <w:tc>
          <w:tcPr>
            <w:tcW w:w="902" w:type="pct"/>
          </w:tcPr>
          <w:p w14:paraId="5E686B41" w14:textId="6A37CE8E" w:rsidR="0044645C" w:rsidRDefault="0044645C" w:rsidP="0044645C">
            <w:pPr>
              <w:pStyle w:val="Compact"/>
              <w:rPr>
                <w:lang w:val="en-GB"/>
              </w:rPr>
            </w:pPr>
            <w:r>
              <w:rPr>
                <w:lang w:val="en-GB"/>
              </w:rPr>
              <w:t>Colorectal and gastric cancer</w:t>
            </w:r>
          </w:p>
        </w:tc>
        <w:tc>
          <w:tcPr>
            <w:tcW w:w="807" w:type="pct"/>
          </w:tcPr>
          <w:p w14:paraId="66E774E0" w14:textId="4490D5CC" w:rsidR="0044645C" w:rsidRDefault="0044645C" w:rsidP="0044645C">
            <w:pPr>
              <w:pStyle w:val="Compact"/>
              <w:rPr>
                <w:lang w:val="en-GB"/>
              </w:rPr>
            </w:pPr>
            <w:r w:rsidRPr="00E678AB">
              <w:rPr>
                <w:lang w:val="en-GB"/>
              </w:rPr>
              <w:t>5</w:t>
            </w:r>
          </w:p>
        </w:tc>
        <w:tc>
          <w:tcPr>
            <w:tcW w:w="696" w:type="pct"/>
          </w:tcPr>
          <w:p w14:paraId="587BB487" w14:textId="0366BAE5" w:rsidR="0044645C" w:rsidRDefault="0044645C" w:rsidP="0044645C">
            <w:pPr>
              <w:pStyle w:val="Compact"/>
              <w:jc w:val="right"/>
              <w:rPr>
                <w:lang w:val="en-GB"/>
              </w:rPr>
            </w:pPr>
            <w:r>
              <w:rPr>
                <w:lang w:val="en-GB"/>
              </w:rPr>
              <w:t>105 (48.0)</w:t>
            </w:r>
          </w:p>
        </w:tc>
        <w:tc>
          <w:tcPr>
            <w:tcW w:w="766" w:type="pct"/>
          </w:tcPr>
          <w:p w14:paraId="1CC98240" w14:textId="171C971F" w:rsidR="0044645C" w:rsidRPr="00E678AB" w:rsidRDefault="0044645C" w:rsidP="0044645C">
            <w:pPr>
              <w:pStyle w:val="Compact"/>
              <w:jc w:val="right"/>
              <w:rPr>
                <w:lang w:val="en-GB"/>
              </w:rPr>
            </w:pPr>
            <w:r w:rsidRPr="00E678AB">
              <w:rPr>
                <w:lang w:val="en-GB"/>
              </w:rPr>
              <w:t>2388</w:t>
            </w:r>
            <w:r>
              <w:rPr>
                <w:lang w:val="en-GB"/>
              </w:rPr>
              <w:t xml:space="preserve"> (63.8)</w:t>
            </w:r>
          </w:p>
        </w:tc>
        <w:tc>
          <w:tcPr>
            <w:tcW w:w="890" w:type="pct"/>
          </w:tcPr>
          <w:p w14:paraId="7996979B" w14:textId="3EDE2F04" w:rsidR="0044645C" w:rsidRPr="00E678AB" w:rsidRDefault="0044645C" w:rsidP="0044645C">
            <w:pPr>
              <w:pStyle w:val="Compact"/>
              <w:jc w:val="right"/>
              <w:rPr>
                <w:lang w:val="en-GB"/>
              </w:rPr>
            </w:pPr>
            <w:r w:rsidRPr="00E678AB">
              <w:rPr>
                <w:lang w:val="en-GB"/>
              </w:rPr>
              <w:t>4.1 (3.8 to 4.3)</w:t>
            </w:r>
          </w:p>
        </w:tc>
        <w:tc>
          <w:tcPr>
            <w:tcW w:w="622" w:type="pct"/>
          </w:tcPr>
          <w:p w14:paraId="214304A7" w14:textId="6260860B" w:rsidR="0044645C" w:rsidRPr="00E678AB" w:rsidRDefault="0044645C" w:rsidP="0044645C">
            <w:pPr>
              <w:pStyle w:val="Compact"/>
              <w:jc w:val="right"/>
              <w:rPr>
                <w:lang w:val="en-GB"/>
              </w:rPr>
            </w:pPr>
            <w:r>
              <w:rPr>
                <w:lang w:val="en-GB"/>
              </w:rPr>
              <w:t>Ref</w:t>
            </w:r>
          </w:p>
        </w:tc>
        <w:tc>
          <w:tcPr>
            <w:tcW w:w="317" w:type="pct"/>
          </w:tcPr>
          <w:p w14:paraId="23165183" w14:textId="0BE697ED" w:rsidR="0044645C" w:rsidRPr="00E678AB" w:rsidRDefault="0044645C" w:rsidP="0044645C">
            <w:pPr>
              <w:pStyle w:val="Compact"/>
              <w:jc w:val="right"/>
              <w:rPr>
                <w:lang w:val="en-GB"/>
              </w:rPr>
            </w:pPr>
          </w:p>
        </w:tc>
      </w:tr>
      <w:tr w:rsidR="008C0377" w:rsidRPr="00E678AB" w14:paraId="2FF8CDFE" w14:textId="77777777" w:rsidTr="008C0377">
        <w:tc>
          <w:tcPr>
            <w:tcW w:w="902" w:type="pct"/>
          </w:tcPr>
          <w:p w14:paraId="6CF0EC23" w14:textId="77777777" w:rsidR="0044645C" w:rsidRDefault="0044645C" w:rsidP="0044645C">
            <w:pPr>
              <w:pStyle w:val="Compact"/>
              <w:rPr>
                <w:lang w:val="en-GB"/>
              </w:rPr>
            </w:pPr>
          </w:p>
        </w:tc>
        <w:tc>
          <w:tcPr>
            <w:tcW w:w="807" w:type="pct"/>
          </w:tcPr>
          <w:p w14:paraId="719FEA35" w14:textId="59EF29AA" w:rsidR="0044645C" w:rsidRDefault="0044645C" w:rsidP="0044645C">
            <w:pPr>
              <w:pStyle w:val="Compact"/>
              <w:rPr>
                <w:lang w:val="en-GB"/>
              </w:rPr>
            </w:pPr>
            <w:r w:rsidRPr="00E678AB">
              <w:rPr>
                <w:lang w:val="en-GB"/>
              </w:rPr>
              <w:t>4</w:t>
            </w:r>
          </w:p>
        </w:tc>
        <w:tc>
          <w:tcPr>
            <w:tcW w:w="696" w:type="pct"/>
          </w:tcPr>
          <w:p w14:paraId="1EE8D7E3" w14:textId="471E567E" w:rsidR="0044645C" w:rsidRDefault="0044645C" w:rsidP="0044645C">
            <w:pPr>
              <w:pStyle w:val="Compact"/>
              <w:jc w:val="right"/>
              <w:rPr>
                <w:lang w:val="en-GB"/>
              </w:rPr>
            </w:pPr>
            <w:r>
              <w:rPr>
                <w:lang w:val="en-GB"/>
              </w:rPr>
              <w:t>57 (26.0)</w:t>
            </w:r>
          </w:p>
        </w:tc>
        <w:tc>
          <w:tcPr>
            <w:tcW w:w="766" w:type="pct"/>
          </w:tcPr>
          <w:p w14:paraId="65AED0D7" w14:textId="71E903A6" w:rsidR="0044645C" w:rsidRPr="00E678AB" w:rsidRDefault="0044645C" w:rsidP="0044645C">
            <w:pPr>
              <w:pStyle w:val="Compact"/>
              <w:jc w:val="right"/>
              <w:rPr>
                <w:lang w:val="en-GB"/>
              </w:rPr>
            </w:pPr>
            <w:r w:rsidRPr="00E678AB">
              <w:rPr>
                <w:lang w:val="en-GB"/>
              </w:rPr>
              <w:t>753</w:t>
            </w:r>
            <w:r>
              <w:rPr>
                <w:lang w:val="en-GB"/>
              </w:rPr>
              <w:t xml:space="preserve"> (20.1)</w:t>
            </w:r>
          </w:p>
        </w:tc>
        <w:tc>
          <w:tcPr>
            <w:tcW w:w="890" w:type="pct"/>
          </w:tcPr>
          <w:p w14:paraId="7E8EBCD7" w14:textId="133DFC61" w:rsidR="0044645C" w:rsidRPr="00E678AB" w:rsidRDefault="0044645C" w:rsidP="0044645C">
            <w:pPr>
              <w:pStyle w:val="Compact"/>
              <w:jc w:val="right"/>
              <w:rPr>
                <w:lang w:val="en-GB"/>
              </w:rPr>
            </w:pPr>
            <w:r w:rsidRPr="00E678AB">
              <w:rPr>
                <w:lang w:val="en-GB"/>
              </w:rPr>
              <w:t>5.2 (4.6 to 5.8)</w:t>
            </w:r>
          </w:p>
        </w:tc>
        <w:tc>
          <w:tcPr>
            <w:tcW w:w="622" w:type="pct"/>
          </w:tcPr>
          <w:p w14:paraId="44EF8428" w14:textId="4C07DF7E" w:rsidR="0044645C" w:rsidRPr="00E678AB" w:rsidRDefault="0044645C" w:rsidP="0044645C">
            <w:pPr>
              <w:pStyle w:val="Compact"/>
              <w:jc w:val="right"/>
              <w:rPr>
                <w:lang w:val="en-GB"/>
              </w:rPr>
            </w:pPr>
            <w:r w:rsidRPr="00E678AB">
              <w:rPr>
                <w:lang w:val="en-GB"/>
              </w:rPr>
              <w:t>1.29 (0.88 to 1.89)</w:t>
            </w:r>
          </w:p>
        </w:tc>
        <w:tc>
          <w:tcPr>
            <w:tcW w:w="317" w:type="pct"/>
          </w:tcPr>
          <w:p w14:paraId="33ADDCB5" w14:textId="6515BED6" w:rsidR="0044645C" w:rsidRPr="00E678AB" w:rsidRDefault="0044645C" w:rsidP="0044645C">
            <w:pPr>
              <w:pStyle w:val="Compact"/>
              <w:jc w:val="right"/>
              <w:rPr>
                <w:lang w:val="en-GB"/>
              </w:rPr>
            </w:pPr>
            <w:r w:rsidRPr="00E678AB">
              <w:rPr>
                <w:lang w:val="en-GB"/>
              </w:rPr>
              <w:t>0.217</w:t>
            </w:r>
          </w:p>
        </w:tc>
      </w:tr>
      <w:tr w:rsidR="008C0377" w:rsidRPr="00E678AB" w14:paraId="59599539" w14:textId="77777777" w:rsidTr="008C0377">
        <w:tc>
          <w:tcPr>
            <w:tcW w:w="902" w:type="pct"/>
          </w:tcPr>
          <w:p w14:paraId="6BA12C83" w14:textId="77777777" w:rsidR="0044645C" w:rsidRDefault="0044645C" w:rsidP="0044645C">
            <w:pPr>
              <w:pStyle w:val="Compact"/>
              <w:rPr>
                <w:lang w:val="en-GB"/>
              </w:rPr>
            </w:pPr>
          </w:p>
        </w:tc>
        <w:tc>
          <w:tcPr>
            <w:tcW w:w="807" w:type="pct"/>
          </w:tcPr>
          <w:p w14:paraId="2135969A" w14:textId="0E46FE53" w:rsidR="0044645C" w:rsidRDefault="0044645C" w:rsidP="0044645C">
            <w:pPr>
              <w:pStyle w:val="Compact"/>
              <w:rPr>
                <w:lang w:val="en-GB"/>
              </w:rPr>
            </w:pPr>
            <w:r>
              <w:rPr>
                <w:lang w:val="en-GB"/>
              </w:rPr>
              <w:t>≤</w:t>
            </w:r>
            <w:r w:rsidRPr="00E678AB">
              <w:rPr>
                <w:lang w:val="en-GB"/>
              </w:rPr>
              <w:t>3</w:t>
            </w:r>
          </w:p>
        </w:tc>
        <w:tc>
          <w:tcPr>
            <w:tcW w:w="696" w:type="pct"/>
          </w:tcPr>
          <w:p w14:paraId="1FDF52E9" w14:textId="54975CD0" w:rsidR="0044645C" w:rsidRDefault="0044645C" w:rsidP="0044645C">
            <w:pPr>
              <w:pStyle w:val="Compact"/>
              <w:jc w:val="right"/>
              <w:rPr>
                <w:lang w:val="en-GB"/>
              </w:rPr>
            </w:pPr>
            <w:r>
              <w:rPr>
                <w:lang w:val="en-GB"/>
              </w:rPr>
              <w:t>57 (26.0)</w:t>
            </w:r>
          </w:p>
        </w:tc>
        <w:tc>
          <w:tcPr>
            <w:tcW w:w="766" w:type="pct"/>
          </w:tcPr>
          <w:p w14:paraId="557C7AA0" w14:textId="4DD08D46" w:rsidR="0044645C" w:rsidRPr="00E678AB" w:rsidRDefault="0044645C" w:rsidP="0044645C">
            <w:pPr>
              <w:pStyle w:val="Compact"/>
              <w:jc w:val="right"/>
              <w:rPr>
                <w:lang w:val="en-GB"/>
              </w:rPr>
            </w:pPr>
            <w:r w:rsidRPr="00E678AB">
              <w:rPr>
                <w:lang w:val="en-GB"/>
              </w:rPr>
              <w:t>602</w:t>
            </w:r>
            <w:r>
              <w:rPr>
                <w:lang w:val="en-GB"/>
              </w:rPr>
              <w:t xml:space="preserve"> (16.1)</w:t>
            </w:r>
          </w:p>
        </w:tc>
        <w:tc>
          <w:tcPr>
            <w:tcW w:w="890" w:type="pct"/>
          </w:tcPr>
          <w:p w14:paraId="23793EFE" w14:textId="54C89DFB" w:rsidR="0044645C" w:rsidRPr="00E678AB" w:rsidRDefault="0044645C" w:rsidP="0044645C">
            <w:pPr>
              <w:pStyle w:val="Compact"/>
              <w:jc w:val="right"/>
              <w:rPr>
                <w:lang w:val="en-GB"/>
              </w:rPr>
            </w:pPr>
            <w:r w:rsidRPr="00E678AB">
              <w:rPr>
                <w:lang w:val="en-GB"/>
              </w:rPr>
              <w:t>6.9 (6 to 7.8)</w:t>
            </w:r>
          </w:p>
        </w:tc>
        <w:tc>
          <w:tcPr>
            <w:tcW w:w="622" w:type="pct"/>
          </w:tcPr>
          <w:p w14:paraId="7D725B34" w14:textId="2F618113" w:rsidR="0044645C" w:rsidRPr="00E678AB" w:rsidRDefault="0044645C" w:rsidP="0044645C">
            <w:pPr>
              <w:pStyle w:val="Compact"/>
              <w:jc w:val="right"/>
              <w:rPr>
                <w:lang w:val="en-GB"/>
              </w:rPr>
            </w:pPr>
            <w:r w:rsidRPr="00E678AB">
              <w:rPr>
                <w:lang w:val="en-GB"/>
              </w:rPr>
              <w:t>1.73 (1.18 to 2.52)</w:t>
            </w:r>
          </w:p>
        </w:tc>
        <w:tc>
          <w:tcPr>
            <w:tcW w:w="317" w:type="pct"/>
          </w:tcPr>
          <w:p w14:paraId="2721DE4A" w14:textId="64E574C1" w:rsidR="0044645C" w:rsidRPr="00E678AB" w:rsidRDefault="0044645C" w:rsidP="0044645C">
            <w:pPr>
              <w:pStyle w:val="Compact"/>
              <w:jc w:val="right"/>
              <w:rPr>
                <w:lang w:val="en-GB"/>
              </w:rPr>
            </w:pPr>
            <w:r w:rsidRPr="00E678AB">
              <w:rPr>
                <w:lang w:val="en-GB"/>
              </w:rPr>
              <w:t>0.006</w:t>
            </w:r>
          </w:p>
        </w:tc>
      </w:tr>
    </w:tbl>
    <w:p w14:paraId="74B2E34D" w14:textId="4AFB63ED" w:rsidR="00CF7BC4" w:rsidRPr="00E678AB" w:rsidRDefault="00CF7BC4">
      <w:pPr>
        <w:pStyle w:val="BodyText"/>
        <w:rPr>
          <w:lang w:val="en-GB"/>
        </w:rPr>
      </w:pPr>
    </w:p>
    <w:p w14:paraId="217D9B4F" w14:textId="40E027A4" w:rsidR="00E232EA" w:rsidRDefault="009D77B2" w:rsidP="00E232EA">
      <w:pPr>
        <w:pStyle w:val="Heading4"/>
        <w:rPr>
          <w:rFonts w:asciiTheme="minorHAnsi" w:hAnsiTheme="minorHAnsi"/>
          <w:b w:val="0"/>
          <w:bCs w:val="0"/>
          <w:color w:val="000000" w:themeColor="text1"/>
          <w:sz w:val="20"/>
          <w:szCs w:val="20"/>
          <w:lang w:val="en-GB"/>
        </w:rPr>
      </w:pPr>
      <w:bookmarkStart w:id="10" w:name="X0fe060eca1a9105f64084c02841d9c45af6cc46"/>
      <w:r w:rsidRPr="00E678AB">
        <w:rPr>
          <w:lang w:val="en-GB"/>
        </w:rPr>
        <w:t xml:space="preserve">Table 4. Adjusted major complication rates across </w:t>
      </w:r>
      <w:bookmarkEnd w:id="10"/>
      <w:r w:rsidR="0083056F" w:rsidRPr="00A26F73">
        <w:rPr>
          <w:lang w:val="en-GB"/>
        </w:rPr>
        <w:t xml:space="preserve">hospital facility </w:t>
      </w:r>
      <w:r w:rsidR="00A26F73">
        <w:rPr>
          <w:lang w:val="en-GB"/>
        </w:rPr>
        <w:t>level</w:t>
      </w:r>
      <w:r w:rsidR="00E232EA">
        <w:rPr>
          <w:lang w:val="en-GB"/>
        </w:rPr>
        <w:br/>
      </w:r>
      <w:r w:rsidR="00E232EA" w:rsidRPr="00E232EA">
        <w:rPr>
          <w:rFonts w:asciiTheme="minorHAnsi" w:hAnsiTheme="minorHAnsi"/>
          <w:b w:val="0"/>
          <w:bCs w:val="0"/>
          <w:color w:val="000000" w:themeColor="text1"/>
          <w:sz w:val="20"/>
          <w:szCs w:val="20"/>
          <w:lang w:val="en-GB"/>
        </w:rPr>
        <w:t>Adjusted m</w:t>
      </w:r>
      <w:r w:rsidR="00E232EA">
        <w:rPr>
          <w:rFonts w:asciiTheme="minorHAnsi" w:hAnsiTheme="minorHAnsi"/>
          <w:b w:val="0"/>
          <w:bCs w:val="0"/>
          <w:color w:val="000000" w:themeColor="text1"/>
          <w:sz w:val="20"/>
          <w:szCs w:val="20"/>
          <w:lang w:val="en-GB"/>
        </w:rPr>
        <w:t>ajor complication</w:t>
      </w:r>
      <w:r w:rsidR="00E232EA" w:rsidRPr="00E232EA">
        <w:rPr>
          <w:rFonts w:asciiTheme="minorHAnsi" w:hAnsiTheme="minorHAnsi"/>
          <w:b w:val="0"/>
          <w:bCs w:val="0"/>
          <w:color w:val="000000" w:themeColor="text1"/>
          <w:sz w:val="20"/>
          <w:szCs w:val="20"/>
          <w:lang w:val="en-GB"/>
        </w:rPr>
        <w:t xml:space="preserve"> rates were calculated </w:t>
      </w:r>
      <w:r w:rsidR="00E232EA" w:rsidRPr="00E232EA">
        <w:rPr>
          <w:rFonts w:asciiTheme="minorHAnsi" w:hAnsiTheme="minorHAnsi"/>
          <w:b w:val="0"/>
          <w:bCs w:val="0"/>
          <w:color w:val="000000" w:themeColor="text1"/>
          <w:sz w:val="20"/>
          <w:szCs w:val="20"/>
        </w:rPr>
        <w:t xml:space="preserve">using </w:t>
      </w:r>
      <w:r w:rsidR="00E232EA" w:rsidRPr="00E232EA">
        <w:rPr>
          <w:rFonts w:asciiTheme="minorHAnsi" w:hAnsiTheme="minorHAnsi"/>
          <w:b w:val="0"/>
          <w:bCs w:val="0"/>
          <w:color w:val="000000" w:themeColor="text1"/>
          <w:sz w:val="20"/>
          <w:szCs w:val="20"/>
          <w:lang w:val="en-GB"/>
        </w:rPr>
        <w:t xml:space="preserve">generalized estimating equations (GEE) to account for clustering of patients by hospital and potential confounders (WB </w:t>
      </w:r>
      <w:proofErr w:type="spellStart"/>
      <w:r w:rsidR="00E232EA" w:rsidRPr="00E232EA">
        <w:rPr>
          <w:rFonts w:asciiTheme="minorHAnsi" w:hAnsiTheme="minorHAnsi"/>
          <w:b w:val="0"/>
          <w:bCs w:val="0"/>
          <w:color w:val="000000" w:themeColor="text1"/>
          <w:sz w:val="20"/>
          <w:szCs w:val="20"/>
          <w:lang w:val="en-GB"/>
        </w:rPr>
        <w:t>tertile</w:t>
      </w:r>
      <w:proofErr w:type="spellEnd"/>
      <w:r w:rsidR="00E232EA" w:rsidRPr="00E232EA">
        <w:rPr>
          <w:rFonts w:asciiTheme="minorHAnsi" w:hAnsiTheme="minorHAnsi"/>
          <w:b w:val="0"/>
          <w:bCs w:val="0"/>
          <w:color w:val="000000" w:themeColor="text1"/>
          <w:sz w:val="20"/>
          <w:szCs w:val="20"/>
          <w:lang w:val="en-GB"/>
        </w:rPr>
        <w:t xml:space="preserve">, age, gender, cancer type, </w:t>
      </w:r>
      <w:r w:rsidR="00E232EA" w:rsidRPr="00E232EA">
        <w:rPr>
          <w:rFonts w:asciiTheme="minorHAnsi" w:hAnsiTheme="minorHAnsi"/>
          <w:b w:val="0"/>
          <w:bCs w:val="0"/>
          <w:color w:val="000000" w:themeColor="text1"/>
          <w:sz w:val="20"/>
          <w:szCs w:val="20"/>
        </w:rPr>
        <w:t xml:space="preserve">ECOG performance status, </w:t>
      </w:r>
      <w:r w:rsidR="00E232EA" w:rsidRPr="00E232EA">
        <w:rPr>
          <w:rFonts w:asciiTheme="minorHAnsi" w:hAnsiTheme="minorHAnsi"/>
          <w:b w:val="0"/>
          <w:bCs w:val="0"/>
          <w:color w:val="000000" w:themeColor="text1"/>
          <w:sz w:val="20"/>
          <w:szCs w:val="20"/>
          <w:lang w:val="en-GB"/>
        </w:rPr>
        <w:t xml:space="preserve">ASA grade, disease stage, and operative urgency). Confidence intervals (CIs) and a P value for trend were fitted using the multilevel logistic regression model with </w:t>
      </w:r>
      <w:r w:rsidR="00E232EA" w:rsidRPr="00A26F73">
        <w:rPr>
          <w:rFonts w:asciiTheme="minorHAnsi" w:hAnsiTheme="minorHAnsi"/>
          <w:b w:val="0"/>
          <w:bCs w:val="0"/>
          <w:color w:val="000000" w:themeColor="text1"/>
          <w:sz w:val="20"/>
          <w:szCs w:val="20"/>
          <w:lang w:val="en-GB"/>
        </w:rPr>
        <w:t xml:space="preserve">the number of hospital </w:t>
      </w:r>
      <w:r w:rsidR="00A26F73" w:rsidRPr="00A26F73">
        <w:rPr>
          <w:rFonts w:asciiTheme="minorHAnsi" w:hAnsiTheme="minorHAnsi"/>
          <w:b w:val="0"/>
          <w:bCs w:val="0"/>
          <w:color w:val="000000" w:themeColor="text1"/>
          <w:sz w:val="20"/>
          <w:szCs w:val="20"/>
          <w:lang w:val="en-GB"/>
        </w:rPr>
        <w:t>facilities</w:t>
      </w:r>
      <w:r w:rsidR="00E232EA" w:rsidRPr="00E232EA">
        <w:rPr>
          <w:rFonts w:asciiTheme="minorHAnsi" w:hAnsiTheme="minorHAnsi"/>
          <w:b w:val="0"/>
          <w:bCs w:val="0"/>
          <w:color w:val="000000" w:themeColor="text1"/>
          <w:sz w:val="20"/>
          <w:szCs w:val="20"/>
          <w:lang w:val="en-GB"/>
        </w:rPr>
        <w:t xml:space="preserve"> and all confounders as covariates</w:t>
      </w:r>
    </w:p>
    <w:p w14:paraId="26DB2937" w14:textId="4206FB78" w:rsidR="00CF7BC4" w:rsidRPr="00E678AB" w:rsidRDefault="00CF7BC4">
      <w:pPr>
        <w:pStyle w:val="TableCaption"/>
        <w:rPr>
          <w:lang w:val="en-GB"/>
        </w:rPr>
      </w:pPr>
    </w:p>
    <w:tbl>
      <w:tblPr>
        <w:tblStyle w:val="Table"/>
        <w:tblW w:w="4723" w:type="pct"/>
        <w:tblLook w:val="07E0" w:firstRow="1" w:lastRow="1" w:firstColumn="1" w:lastColumn="1" w:noHBand="1" w:noVBand="1"/>
        <w:tblCaption w:val="All cancers"/>
      </w:tblPr>
      <w:tblGrid>
        <w:gridCol w:w="2280"/>
        <w:gridCol w:w="2035"/>
        <w:gridCol w:w="1757"/>
        <w:gridCol w:w="1926"/>
        <w:gridCol w:w="3240"/>
        <w:gridCol w:w="1567"/>
        <w:gridCol w:w="797"/>
      </w:tblGrid>
      <w:tr w:rsidR="008C0377" w:rsidRPr="00E678AB" w14:paraId="539800E0" w14:textId="77777777" w:rsidTr="008C0377">
        <w:tc>
          <w:tcPr>
            <w:tcW w:w="838" w:type="pct"/>
            <w:tcBorders>
              <w:bottom w:val="single" w:sz="0" w:space="0" w:color="auto"/>
            </w:tcBorders>
          </w:tcPr>
          <w:p w14:paraId="6F23F183" w14:textId="77777777" w:rsidR="0044645C" w:rsidRDefault="0044645C" w:rsidP="001D4ABA">
            <w:pPr>
              <w:pStyle w:val="Compact"/>
              <w:rPr>
                <w:lang w:val="en-GB"/>
              </w:rPr>
            </w:pPr>
          </w:p>
        </w:tc>
        <w:tc>
          <w:tcPr>
            <w:tcW w:w="748" w:type="pct"/>
            <w:tcBorders>
              <w:bottom w:val="single" w:sz="0" w:space="0" w:color="auto"/>
            </w:tcBorders>
            <w:vAlign w:val="bottom"/>
          </w:tcPr>
          <w:p w14:paraId="40C8FACC" w14:textId="62E2D26B" w:rsidR="0044645C" w:rsidRPr="00A26F73" w:rsidRDefault="0044645C" w:rsidP="001D4ABA">
            <w:pPr>
              <w:pStyle w:val="Compact"/>
              <w:rPr>
                <w:lang w:val="en-GB"/>
              </w:rPr>
            </w:pPr>
            <w:r w:rsidRPr="00A26F73">
              <w:rPr>
                <w:lang w:val="en-GB"/>
              </w:rPr>
              <w:t xml:space="preserve">Hospital </w:t>
            </w:r>
            <w:r w:rsidR="00A26F73" w:rsidRPr="00A26F73">
              <w:rPr>
                <w:lang w:val="en-GB"/>
              </w:rPr>
              <w:t>facility level</w:t>
            </w:r>
          </w:p>
        </w:tc>
        <w:tc>
          <w:tcPr>
            <w:tcW w:w="646" w:type="pct"/>
            <w:tcBorders>
              <w:bottom w:val="single" w:sz="0" w:space="0" w:color="auto"/>
            </w:tcBorders>
            <w:vAlign w:val="bottom"/>
          </w:tcPr>
          <w:p w14:paraId="049AA742" w14:textId="6718E34B" w:rsidR="0044645C" w:rsidRPr="00E678AB" w:rsidRDefault="0044645C" w:rsidP="00C1611E">
            <w:pPr>
              <w:pStyle w:val="Compact"/>
              <w:jc w:val="right"/>
              <w:rPr>
                <w:lang w:val="en-GB"/>
              </w:rPr>
            </w:pPr>
            <w:r>
              <w:rPr>
                <w:lang w:val="en-GB"/>
              </w:rPr>
              <w:t>Hospital number (%)</w:t>
            </w:r>
          </w:p>
        </w:tc>
        <w:tc>
          <w:tcPr>
            <w:tcW w:w="708" w:type="pct"/>
            <w:tcBorders>
              <w:bottom w:val="single" w:sz="0" w:space="0" w:color="auto"/>
            </w:tcBorders>
            <w:vAlign w:val="bottom"/>
          </w:tcPr>
          <w:p w14:paraId="794A3973" w14:textId="650825AF" w:rsidR="0044645C" w:rsidRPr="00E678AB" w:rsidRDefault="0044645C" w:rsidP="00BB0219">
            <w:pPr>
              <w:pStyle w:val="Compact"/>
              <w:jc w:val="right"/>
              <w:rPr>
                <w:lang w:val="en-GB"/>
              </w:rPr>
            </w:pPr>
            <w:r w:rsidRPr="00E678AB">
              <w:rPr>
                <w:lang w:val="en-GB"/>
              </w:rPr>
              <w:t>Number of Patients (%)</w:t>
            </w:r>
          </w:p>
        </w:tc>
        <w:tc>
          <w:tcPr>
            <w:tcW w:w="1191" w:type="pct"/>
            <w:tcBorders>
              <w:bottom w:val="single" w:sz="0" w:space="0" w:color="auto"/>
            </w:tcBorders>
            <w:vAlign w:val="bottom"/>
          </w:tcPr>
          <w:p w14:paraId="2F8AECB6" w14:textId="77777777" w:rsidR="0044645C" w:rsidRPr="00E678AB" w:rsidRDefault="0044645C" w:rsidP="001D4ABA">
            <w:pPr>
              <w:pStyle w:val="Compact"/>
              <w:jc w:val="right"/>
              <w:rPr>
                <w:lang w:val="en-GB"/>
              </w:rPr>
            </w:pPr>
            <w:r w:rsidRPr="00E678AB">
              <w:rPr>
                <w:lang w:val="en-GB"/>
              </w:rPr>
              <w:t>Adjusted major complication rate (95% CI)</w:t>
            </w:r>
          </w:p>
        </w:tc>
        <w:tc>
          <w:tcPr>
            <w:tcW w:w="576" w:type="pct"/>
            <w:tcBorders>
              <w:bottom w:val="single" w:sz="0" w:space="0" w:color="auto"/>
            </w:tcBorders>
            <w:vAlign w:val="bottom"/>
          </w:tcPr>
          <w:p w14:paraId="7FA7C660" w14:textId="77777777" w:rsidR="0044645C" w:rsidRPr="00E678AB" w:rsidRDefault="0044645C" w:rsidP="001D4ABA">
            <w:pPr>
              <w:pStyle w:val="Compact"/>
              <w:jc w:val="right"/>
              <w:rPr>
                <w:lang w:val="en-GB"/>
              </w:rPr>
            </w:pPr>
            <w:r w:rsidRPr="00E678AB">
              <w:rPr>
                <w:lang w:val="en-GB"/>
              </w:rPr>
              <w:t>Odds ratio</w:t>
            </w:r>
          </w:p>
        </w:tc>
        <w:tc>
          <w:tcPr>
            <w:tcW w:w="293" w:type="pct"/>
            <w:tcBorders>
              <w:bottom w:val="single" w:sz="0" w:space="0" w:color="auto"/>
            </w:tcBorders>
            <w:vAlign w:val="bottom"/>
          </w:tcPr>
          <w:p w14:paraId="62723CEB" w14:textId="77777777" w:rsidR="0044645C" w:rsidRPr="00E678AB" w:rsidRDefault="0044645C" w:rsidP="001D4ABA">
            <w:pPr>
              <w:pStyle w:val="Compact"/>
              <w:jc w:val="right"/>
              <w:rPr>
                <w:lang w:val="en-GB"/>
              </w:rPr>
            </w:pPr>
            <w:r w:rsidRPr="00E678AB">
              <w:rPr>
                <w:lang w:val="en-GB"/>
              </w:rPr>
              <w:t>P value</w:t>
            </w:r>
          </w:p>
        </w:tc>
      </w:tr>
      <w:tr w:rsidR="008C0377" w:rsidRPr="00E678AB" w14:paraId="0906CC0B" w14:textId="77777777" w:rsidTr="008C0377">
        <w:tc>
          <w:tcPr>
            <w:tcW w:w="838" w:type="pct"/>
          </w:tcPr>
          <w:p w14:paraId="681F7E5B" w14:textId="07C681B6" w:rsidR="0044645C" w:rsidRPr="00E678AB" w:rsidRDefault="0044645C" w:rsidP="001D4ABA">
            <w:pPr>
              <w:pStyle w:val="Compact"/>
              <w:rPr>
                <w:lang w:val="en-GB"/>
              </w:rPr>
            </w:pPr>
            <w:r>
              <w:rPr>
                <w:lang w:val="en-GB"/>
              </w:rPr>
              <w:t>All cancers</w:t>
            </w:r>
          </w:p>
        </w:tc>
        <w:tc>
          <w:tcPr>
            <w:tcW w:w="748" w:type="pct"/>
            <w:vAlign w:val="center"/>
          </w:tcPr>
          <w:p w14:paraId="096674BC" w14:textId="50F5287F" w:rsidR="0044645C" w:rsidRPr="00A26F73" w:rsidRDefault="0044645C" w:rsidP="00C1611E">
            <w:pPr>
              <w:pStyle w:val="Compact"/>
              <w:rPr>
                <w:lang w:val="en-GB"/>
              </w:rPr>
            </w:pPr>
            <w:r w:rsidRPr="00A26F73">
              <w:rPr>
                <w:lang w:val="en-GB"/>
              </w:rPr>
              <w:t>5</w:t>
            </w:r>
          </w:p>
        </w:tc>
        <w:tc>
          <w:tcPr>
            <w:tcW w:w="646" w:type="pct"/>
            <w:vAlign w:val="center"/>
          </w:tcPr>
          <w:p w14:paraId="31E51D43" w14:textId="7E2085C6" w:rsidR="0044645C" w:rsidRPr="00E678AB" w:rsidRDefault="0044645C" w:rsidP="00C1611E">
            <w:pPr>
              <w:pStyle w:val="Compact"/>
              <w:jc w:val="right"/>
              <w:rPr>
                <w:lang w:val="en-GB"/>
              </w:rPr>
            </w:pPr>
            <w:r>
              <w:rPr>
                <w:lang w:val="en-GB"/>
              </w:rPr>
              <w:t>113 (47.5)</w:t>
            </w:r>
          </w:p>
        </w:tc>
        <w:tc>
          <w:tcPr>
            <w:tcW w:w="708" w:type="pct"/>
            <w:vAlign w:val="center"/>
          </w:tcPr>
          <w:p w14:paraId="3A98FE3B" w14:textId="3C0F4C0B" w:rsidR="0044645C" w:rsidRPr="00E678AB" w:rsidRDefault="0044645C" w:rsidP="00C1611E">
            <w:pPr>
              <w:pStyle w:val="Compact"/>
              <w:jc w:val="right"/>
              <w:rPr>
                <w:lang w:val="en-GB"/>
              </w:rPr>
            </w:pPr>
            <w:r w:rsidRPr="00E678AB">
              <w:rPr>
                <w:lang w:val="en-GB"/>
              </w:rPr>
              <w:t>5951</w:t>
            </w:r>
            <w:r>
              <w:rPr>
                <w:lang w:val="en-GB"/>
              </w:rPr>
              <w:t xml:space="preserve"> (66.7)</w:t>
            </w:r>
          </w:p>
        </w:tc>
        <w:tc>
          <w:tcPr>
            <w:tcW w:w="1191" w:type="pct"/>
          </w:tcPr>
          <w:p w14:paraId="1A5DDE2D" w14:textId="77777777" w:rsidR="0044645C" w:rsidRPr="00E678AB" w:rsidRDefault="0044645C" w:rsidP="001D4ABA">
            <w:pPr>
              <w:pStyle w:val="Compact"/>
              <w:jc w:val="right"/>
              <w:rPr>
                <w:lang w:val="en-GB"/>
              </w:rPr>
            </w:pPr>
            <w:r w:rsidRPr="00E678AB">
              <w:rPr>
                <w:lang w:val="en-GB"/>
              </w:rPr>
              <w:t>9.1 (9 to 9.3)</w:t>
            </w:r>
          </w:p>
        </w:tc>
        <w:tc>
          <w:tcPr>
            <w:tcW w:w="576" w:type="pct"/>
          </w:tcPr>
          <w:p w14:paraId="1E21156E" w14:textId="0EDED132" w:rsidR="0044645C" w:rsidRPr="00E678AB" w:rsidRDefault="0044645C" w:rsidP="001D4ABA">
            <w:pPr>
              <w:pStyle w:val="Compact"/>
              <w:jc w:val="right"/>
              <w:rPr>
                <w:lang w:val="en-GB"/>
              </w:rPr>
            </w:pPr>
            <w:r>
              <w:rPr>
                <w:lang w:val="en-GB"/>
              </w:rPr>
              <w:t>Ref</w:t>
            </w:r>
          </w:p>
        </w:tc>
        <w:tc>
          <w:tcPr>
            <w:tcW w:w="293" w:type="pct"/>
          </w:tcPr>
          <w:p w14:paraId="763FCF76" w14:textId="285F265B" w:rsidR="0044645C" w:rsidRPr="00E678AB" w:rsidRDefault="0044645C" w:rsidP="001D4ABA">
            <w:pPr>
              <w:pStyle w:val="Compact"/>
              <w:jc w:val="right"/>
              <w:rPr>
                <w:lang w:val="en-GB"/>
              </w:rPr>
            </w:pPr>
          </w:p>
        </w:tc>
      </w:tr>
      <w:tr w:rsidR="008C0377" w:rsidRPr="00E678AB" w14:paraId="5F19517F" w14:textId="77777777" w:rsidTr="008C0377">
        <w:tc>
          <w:tcPr>
            <w:tcW w:w="838" w:type="pct"/>
          </w:tcPr>
          <w:p w14:paraId="6612D66C" w14:textId="77777777" w:rsidR="0044645C" w:rsidRPr="00E678AB" w:rsidRDefault="0044645C" w:rsidP="001D4ABA">
            <w:pPr>
              <w:pStyle w:val="Compact"/>
              <w:rPr>
                <w:lang w:val="en-GB"/>
              </w:rPr>
            </w:pPr>
          </w:p>
        </w:tc>
        <w:tc>
          <w:tcPr>
            <w:tcW w:w="748" w:type="pct"/>
            <w:vAlign w:val="center"/>
          </w:tcPr>
          <w:p w14:paraId="64CE844E" w14:textId="1B3F4A51" w:rsidR="0044645C" w:rsidRPr="00A26F73" w:rsidRDefault="0044645C" w:rsidP="00C1611E">
            <w:pPr>
              <w:pStyle w:val="Compact"/>
              <w:rPr>
                <w:lang w:val="en-GB"/>
              </w:rPr>
            </w:pPr>
            <w:r w:rsidRPr="00A26F73">
              <w:rPr>
                <w:lang w:val="en-GB"/>
              </w:rPr>
              <w:t>4</w:t>
            </w:r>
          </w:p>
        </w:tc>
        <w:tc>
          <w:tcPr>
            <w:tcW w:w="646" w:type="pct"/>
            <w:vAlign w:val="center"/>
          </w:tcPr>
          <w:p w14:paraId="4A2841D2" w14:textId="0AD8A366" w:rsidR="0044645C" w:rsidRPr="00E678AB" w:rsidRDefault="0044645C" w:rsidP="00C1611E">
            <w:pPr>
              <w:pStyle w:val="Compact"/>
              <w:jc w:val="right"/>
              <w:rPr>
                <w:lang w:val="en-GB"/>
              </w:rPr>
            </w:pPr>
            <w:r>
              <w:rPr>
                <w:lang w:val="en-GB"/>
              </w:rPr>
              <w:t>63 (26.5)</w:t>
            </w:r>
          </w:p>
        </w:tc>
        <w:tc>
          <w:tcPr>
            <w:tcW w:w="708" w:type="pct"/>
            <w:vAlign w:val="center"/>
          </w:tcPr>
          <w:p w14:paraId="61B69B05" w14:textId="3DA04FF5" w:rsidR="0044645C" w:rsidRPr="00E678AB" w:rsidRDefault="0044645C" w:rsidP="00C1611E">
            <w:pPr>
              <w:pStyle w:val="Compact"/>
              <w:jc w:val="right"/>
              <w:rPr>
                <w:lang w:val="en-GB"/>
              </w:rPr>
            </w:pPr>
            <w:r w:rsidRPr="00E678AB">
              <w:rPr>
                <w:lang w:val="en-GB"/>
              </w:rPr>
              <w:t>1789</w:t>
            </w:r>
            <w:r>
              <w:rPr>
                <w:lang w:val="en-GB"/>
              </w:rPr>
              <w:t xml:space="preserve"> (20.1)</w:t>
            </w:r>
          </w:p>
        </w:tc>
        <w:tc>
          <w:tcPr>
            <w:tcW w:w="1191" w:type="pct"/>
          </w:tcPr>
          <w:p w14:paraId="3566043B" w14:textId="77777777" w:rsidR="0044645C" w:rsidRPr="00E678AB" w:rsidRDefault="0044645C" w:rsidP="001D4ABA">
            <w:pPr>
              <w:pStyle w:val="Compact"/>
              <w:jc w:val="right"/>
              <w:rPr>
                <w:lang w:val="en-GB"/>
              </w:rPr>
            </w:pPr>
            <w:r w:rsidRPr="00E678AB">
              <w:rPr>
                <w:lang w:val="en-GB"/>
              </w:rPr>
              <w:t>10.3 (9.9 to 10.6)</w:t>
            </w:r>
          </w:p>
        </w:tc>
        <w:tc>
          <w:tcPr>
            <w:tcW w:w="576" w:type="pct"/>
          </w:tcPr>
          <w:p w14:paraId="25BD171D" w14:textId="77777777" w:rsidR="0044645C" w:rsidRPr="00E678AB" w:rsidRDefault="0044645C" w:rsidP="001D4ABA">
            <w:pPr>
              <w:pStyle w:val="Compact"/>
              <w:jc w:val="right"/>
              <w:rPr>
                <w:lang w:val="en-GB"/>
              </w:rPr>
            </w:pPr>
            <w:r w:rsidRPr="00E678AB">
              <w:rPr>
                <w:lang w:val="en-GB"/>
              </w:rPr>
              <w:t>1.14 (0.96 to 1.36)</w:t>
            </w:r>
          </w:p>
        </w:tc>
        <w:tc>
          <w:tcPr>
            <w:tcW w:w="293" w:type="pct"/>
          </w:tcPr>
          <w:p w14:paraId="622C788B" w14:textId="77777777" w:rsidR="0044645C" w:rsidRPr="00E678AB" w:rsidRDefault="0044645C" w:rsidP="001D4ABA">
            <w:pPr>
              <w:pStyle w:val="Compact"/>
              <w:jc w:val="right"/>
              <w:rPr>
                <w:lang w:val="en-GB"/>
              </w:rPr>
            </w:pPr>
            <w:r w:rsidRPr="00E678AB">
              <w:rPr>
                <w:lang w:val="en-GB"/>
              </w:rPr>
              <w:t>0.139</w:t>
            </w:r>
          </w:p>
        </w:tc>
      </w:tr>
      <w:tr w:rsidR="008C0377" w:rsidRPr="00E678AB" w14:paraId="35EA69DF" w14:textId="77777777" w:rsidTr="008C0377">
        <w:tc>
          <w:tcPr>
            <w:tcW w:w="838" w:type="pct"/>
          </w:tcPr>
          <w:p w14:paraId="7CC23E2A" w14:textId="77777777" w:rsidR="0044645C" w:rsidRDefault="0044645C" w:rsidP="001D4ABA">
            <w:pPr>
              <w:pStyle w:val="Compact"/>
              <w:rPr>
                <w:lang w:val="en-GB"/>
              </w:rPr>
            </w:pPr>
          </w:p>
        </w:tc>
        <w:tc>
          <w:tcPr>
            <w:tcW w:w="748" w:type="pct"/>
            <w:vAlign w:val="center"/>
          </w:tcPr>
          <w:p w14:paraId="69586FA4" w14:textId="7BB8D4A2" w:rsidR="0044645C" w:rsidRPr="00A26F73" w:rsidRDefault="0044645C" w:rsidP="00C1611E">
            <w:pPr>
              <w:pStyle w:val="Compact"/>
              <w:rPr>
                <w:lang w:val="en-GB"/>
              </w:rPr>
            </w:pPr>
            <w:r w:rsidRPr="00A26F73">
              <w:rPr>
                <w:lang w:val="en-GB"/>
              </w:rPr>
              <w:t>≤3</w:t>
            </w:r>
          </w:p>
        </w:tc>
        <w:tc>
          <w:tcPr>
            <w:tcW w:w="646" w:type="pct"/>
            <w:vAlign w:val="center"/>
          </w:tcPr>
          <w:p w14:paraId="7E431E6B" w14:textId="3782D791" w:rsidR="0044645C" w:rsidRPr="00E678AB" w:rsidRDefault="0044645C" w:rsidP="00C1611E">
            <w:pPr>
              <w:pStyle w:val="Compact"/>
              <w:jc w:val="right"/>
              <w:rPr>
                <w:lang w:val="en-GB"/>
              </w:rPr>
            </w:pPr>
            <w:r>
              <w:rPr>
                <w:lang w:val="en-GB"/>
              </w:rPr>
              <w:t>62 (26.0)</w:t>
            </w:r>
          </w:p>
        </w:tc>
        <w:tc>
          <w:tcPr>
            <w:tcW w:w="708" w:type="pct"/>
            <w:vAlign w:val="center"/>
          </w:tcPr>
          <w:p w14:paraId="00BFE61C" w14:textId="0571EAA3" w:rsidR="0044645C" w:rsidRPr="00E678AB" w:rsidRDefault="0044645C" w:rsidP="00C1611E">
            <w:pPr>
              <w:pStyle w:val="Compact"/>
              <w:jc w:val="right"/>
              <w:rPr>
                <w:lang w:val="en-GB"/>
              </w:rPr>
            </w:pPr>
            <w:r w:rsidRPr="00E678AB">
              <w:rPr>
                <w:lang w:val="en-GB"/>
              </w:rPr>
              <w:t>1175</w:t>
            </w:r>
            <w:r>
              <w:rPr>
                <w:lang w:val="en-GB"/>
              </w:rPr>
              <w:t xml:space="preserve"> (13.2)</w:t>
            </w:r>
          </w:p>
        </w:tc>
        <w:tc>
          <w:tcPr>
            <w:tcW w:w="1191" w:type="pct"/>
          </w:tcPr>
          <w:p w14:paraId="5CEB797E" w14:textId="77777777" w:rsidR="0044645C" w:rsidRPr="00E678AB" w:rsidRDefault="0044645C" w:rsidP="001D4ABA">
            <w:pPr>
              <w:pStyle w:val="Compact"/>
              <w:jc w:val="right"/>
              <w:rPr>
                <w:lang w:val="en-GB"/>
              </w:rPr>
            </w:pPr>
            <w:r w:rsidRPr="00E678AB">
              <w:rPr>
                <w:lang w:val="en-GB"/>
              </w:rPr>
              <w:t>11.4 (10.9 to 11.9)</w:t>
            </w:r>
          </w:p>
        </w:tc>
        <w:tc>
          <w:tcPr>
            <w:tcW w:w="576" w:type="pct"/>
          </w:tcPr>
          <w:p w14:paraId="50A0AEE4" w14:textId="77777777" w:rsidR="0044645C" w:rsidRPr="00E678AB" w:rsidRDefault="0044645C" w:rsidP="001D4ABA">
            <w:pPr>
              <w:pStyle w:val="Compact"/>
              <w:jc w:val="right"/>
              <w:rPr>
                <w:lang w:val="en-GB"/>
              </w:rPr>
            </w:pPr>
            <w:r w:rsidRPr="00E678AB">
              <w:rPr>
                <w:lang w:val="en-GB"/>
              </w:rPr>
              <w:t>1.28 (1.05 to 1.57)</w:t>
            </w:r>
          </w:p>
        </w:tc>
        <w:tc>
          <w:tcPr>
            <w:tcW w:w="293" w:type="pct"/>
          </w:tcPr>
          <w:p w14:paraId="3F623725" w14:textId="77777777" w:rsidR="0044645C" w:rsidRPr="00E678AB" w:rsidRDefault="0044645C" w:rsidP="001D4ABA">
            <w:pPr>
              <w:pStyle w:val="Compact"/>
              <w:jc w:val="right"/>
              <w:rPr>
                <w:lang w:val="en-GB"/>
              </w:rPr>
            </w:pPr>
            <w:r w:rsidRPr="00E678AB">
              <w:rPr>
                <w:lang w:val="en-GB"/>
              </w:rPr>
              <w:t>0.017</w:t>
            </w:r>
          </w:p>
        </w:tc>
      </w:tr>
      <w:tr w:rsidR="008C0377" w:rsidRPr="00E678AB" w14:paraId="3D3E97EE" w14:textId="77777777" w:rsidTr="008C0377">
        <w:tc>
          <w:tcPr>
            <w:tcW w:w="838" w:type="pct"/>
          </w:tcPr>
          <w:p w14:paraId="0527E729" w14:textId="77777777" w:rsidR="0044645C" w:rsidRDefault="0044645C" w:rsidP="001D4ABA">
            <w:pPr>
              <w:pStyle w:val="Compact"/>
              <w:rPr>
                <w:lang w:val="en-GB"/>
              </w:rPr>
            </w:pPr>
          </w:p>
        </w:tc>
        <w:tc>
          <w:tcPr>
            <w:tcW w:w="748" w:type="pct"/>
            <w:vAlign w:val="center"/>
          </w:tcPr>
          <w:p w14:paraId="66DBD3A1" w14:textId="77777777" w:rsidR="0044645C" w:rsidRPr="00A26F73" w:rsidRDefault="0044645C" w:rsidP="00C1611E">
            <w:pPr>
              <w:pStyle w:val="Compact"/>
              <w:rPr>
                <w:lang w:val="en-GB"/>
              </w:rPr>
            </w:pPr>
          </w:p>
        </w:tc>
        <w:tc>
          <w:tcPr>
            <w:tcW w:w="646" w:type="pct"/>
            <w:vAlign w:val="center"/>
          </w:tcPr>
          <w:p w14:paraId="1A52A91F" w14:textId="77777777" w:rsidR="0044645C" w:rsidRDefault="0044645C" w:rsidP="00C1611E">
            <w:pPr>
              <w:pStyle w:val="Compact"/>
              <w:jc w:val="right"/>
              <w:rPr>
                <w:lang w:val="en-GB"/>
              </w:rPr>
            </w:pPr>
          </w:p>
        </w:tc>
        <w:tc>
          <w:tcPr>
            <w:tcW w:w="708" w:type="pct"/>
            <w:vAlign w:val="center"/>
          </w:tcPr>
          <w:p w14:paraId="702ED7BC" w14:textId="77777777" w:rsidR="0044645C" w:rsidRPr="00E678AB" w:rsidRDefault="0044645C" w:rsidP="00C1611E">
            <w:pPr>
              <w:pStyle w:val="Compact"/>
              <w:jc w:val="right"/>
              <w:rPr>
                <w:lang w:val="en-GB"/>
              </w:rPr>
            </w:pPr>
          </w:p>
        </w:tc>
        <w:tc>
          <w:tcPr>
            <w:tcW w:w="1191" w:type="pct"/>
          </w:tcPr>
          <w:p w14:paraId="50174075" w14:textId="77777777" w:rsidR="0044645C" w:rsidRPr="00E678AB" w:rsidRDefault="0044645C" w:rsidP="001D4ABA">
            <w:pPr>
              <w:pStyle w:val="Compact"/>
              <w:jc w:val="right"/>
              <w:rPr>
                <w:lang w:val="en-GB"/>
              </w:rPr>
            </w:pPr>
          </w:p>
        </w:tc>
        <w:tc>
          <w:tcPr>
            <w:tcW w:w="576" w:type="pct"/>
          </w:tcPr>
          <w:p w14:paraId="27109768" w14:textId="77777777" w:rsidR="0044645C" w:rsidRPr="00E678AB" w:rsidRDefault="0044645C" w:rsidP="001D4ABA">
            <w:pPr>
              <w:pStyle w:val="Compact"/>
              <w:jc w:val="right"/>
              <w:rPr>
                <w:lang w:val="en-GB"/>
              </w:rPr>
            </w:pPr>
          </w:p>
        </w:tc>
        <w:tc>
          <w:tcPr>
            <w:tcW w:w="293" w:type="pct"/>
          </w:tcPr>
          <w:p w14:paraId="428D2E86" w14:textId="77777777" w:rsidR="0044645C" w:rsidRPr="00E678AB" w:rsidRDefault="0044645C" w:rsidP="001D4ABA">
            <w:pPr>
              <w:pStyle w:val="Compact"/>
              <w:jc w:val="right"/>
              <w:rPr>
                <w:lang w:val="en-GB"/>
              </w:rPr>
            </w:pPr>
          </w:p>
        </w:tc>
      </w:tr>
      <w:tr w:rsidR="008C0377" w:rsidRPr="00E678AB" w14:paraId="76DF10CB" w14:textId="77777777" w:rsidTr="008C0377">
        <w:tc>
          <w:tcPr>
            <w:tcW w:w="838" w:type="pct"/>
          </w:tcPr>
          <w:p w14:paraId="1D86A609" w14:textId="4C8F6FB9" w:rsidR="0044645C" w:rsidRDefault="0044645C" w:rsidP="0044645C">
            <w:pPr>
              <w:pStyle w:val="Compact"/>
              <w:rPr>
                <w:lang w:val="en-GB"/>
              </w:rPr>
            </w:pPr>
            <w:r>
              <w:rPr>
                <w:lang w:val="en-GB"/>
              </w:rPr>
              <w:t>Colorectal and gastric cancer</w:t>
            </w:r>
          </w:p>
        </w:tc>
        <w:tc>
          <w:tcPr>
            <w:tcW w:w="748" w:type="pct"/>
            <w:vAlign w:val="center"/>
          </w:tcPr>
          <w:p w14:paraId="519C71C0" w14:textId="7F4CDE16" w:rsidR="0044645C" w:rsidRPr="00A26F73" w:rsidRDefault="0044645C" w:rsidP="00C1611E">
            <w:pPr>
              <w:pStyle w:val="Compact"/>
              <w:rPr>
                <w:lang w:val="en-GB"/>
              </w:rPr>
            </w:pPr>
            <w:r w:rsidRPr="00A26F73">
              <w:rPr>
                <w:lang w:val="en-GB"/>
              </w:rPr>
              <w:t>5</w:t>
            </w:r>
          </w:p>
        </w:tc>
        <w:tc>
          <w:tcPr>
            <w:tcW w:w="646" w:type="pct"/>
            <w:vAlign w:val="center"/>
          </w:tcPr>
          <w:p w14:paraId="79C4B25B" w14:textId="42F0E468" w:rsidR="0044645C" w:rsidRDefault="0044645C" w:rsidP="00C1611E">
            <w:pPr>
              <w:pStyle w:val="Compact"/>
              <w:jc w:val="right"/>
              <w:rPr>
                <w:lang w:val="en-GB"/>
              </w:rPr>
            </w:pPr>
            <w:r>
              <w:rPr>
                <w:lang w:val="en-GB"/>
              </w:rPr>
              <w:t>105 (47.7)</w:t>
            </w:r>
          </w:p>
        </w:tc>
        <w:tc>
          <w:tcPr>
            <w:tcW w:w="708" w:type="pct"/>
            <w:vAlign w:val="center"/>
          </w:tcPr>
          <w:p w14:paraId="09FB4493" w14:textId="2E7751B5" w:rsidR="0044645C" w:rsidRPr="00E678AB" w:rsidRDefault="0044645C" w:rsidP="00C1611E">
            <w:pPr>
              <w:pStyle w:val="Compact"/>
              <w:jc w:val="right"/>
              <w:rPr>
                <w:lang w:val="en-GB"/>
              </w:rPr>
            </w:pPr>
            <w:r w:rsidRPr="00E678AB">
              <w:rPr>
                <w:lang w:val="en-GB"/>
              </w:rPr>
              <w:t>2405</w:t>
            </w:r>
            <w:r>
              <w:rPr>
                <w:lang w:val="en-GB"/>
              </w:rPr>
              <w:t xml:space="preserve"> (63.8)</w:t>
            </w:r>
          </w:p>
        </w:tc>
        <w:tc>
          <w:tcPr>
            <w:tcW w:w="1191" w:type="pct"/>
          </w:tcPr>
          <w:p w14:paraId="07826418" w14:textId="3286641F" w:rsidR="0044645C" w:rsidRPr="00E678AB" w:rsidRDefault="0044645C" w:rsidP="0044645C">
            <w:pPr>
              <w:pStyle w:val="Compact"/>
              <w:jc w:val="right"/>
              <w:rPr>
                <w:lang w:val="en-GB"/>
              </w:rPr>
            </w:pPr>
            <w:r w:rsidRPr="00E678AB">
              <w:rPr>
                <w:lang w:val="en-GB"/>
              </w:rPr>
              <w:t>14 (13.7 to 14.3)</w:t>
            </w:r>
          </w:p>
        </w:tc>
        <w:tc>
          <w:tcPr>
            <w:tcW w:w="576" w:type="pct"/>
          </w:tcPr>
          <w:p w14:paraId="30469209" w14:textId="685CBAB5" w:rsidR="0044645C" w:rsidRPr="00E678AB" w:rsidRDefault="0044645C" w:rsidP="0044645C">
            <w:pPr>
              <w:pStyle w:val="Compact"/>
              <w:jc w:val="right"/>
              <w:rPr>
                <w:lang w:val="en-GB"/>
              </w:rPr>
            </w:pPr>
            <w:r>
              <w:rPr>
                <w:lang w:val="en-GB"/>
              </w:rPr>
              <w:t>Ref</w:t>
            </w:r>
          </w:p>
        </w:tc>
        <w:tc>
          <w:tcPr>
            <w:tcW w:w="293" w:type="pct"/>
          </w:tcPr>
          <w:p w14:paraId="1E5D2848" w14:textId="2225BA42" w:rsidR="0044645C" w:rsidRPr="00E678AB" w:rsidRDefault="0044645C" w:rsidP="0044645C">
            <w:pPr>
              <w:pStyle w:val="Compact"/>
              <w:jc w:val="right"/>
              <w:rPr>
                <w:lang w:val="en-GB"/>
              </w:rPr>
            </w:pPr>
          </w:p>
        </w:tc>
      </w:tr>
      <w:tr w:rsidR="008C0377" w:rsidRPr="00E678AB" w14:paraId="7B814E5A" w14:textId="77777777" w:rsidTr="008C0377">
        <w:tc>
          <w:tcPr>
            <w:tcW w:w="838" w:type="pct"/>
          </w:tcPr>
          <w:p w14:paraId="19867F57" w14:textId="77777777" w:rsidR="0044645C" w:rsidRDefault="0044645C" w:rsidP="0044645C">
            <w:pPr>
              <w:pStyle w:val="Compact"/>
              <w:rPr>
                <w:lang w:val="en-GB"/>
              </w:rPr>
            </w:pPr>
          </w:p>
        </w:tc>
        <w:tc>
          <w:tcPr>
            <w:tcW w:w="748" w:type="pct"/>
            <w:vAlign w:val="center"/>
          </w:tcPr>
          <w:p w14:paraId="57CFF489" w14:textId="1565A5E1" w:rsidR="0044645C" w:rsidRPr="00A26F73" w:rsidRDefault="0044645C" w:rsidP="00C1611E">
            <w:pPr>
              <w:pStyle w:val="Compact"/>
              <w:rPr>
                <w:lang w:val="en-GB"/>
              </w:rPr>
            </w:pPr>
            <w:r w:rsidRPr="00A26F73">
              <w:rPr>
                <w:lang w:val="en-GB"/>
              </w:rPr>
              <w:t>4</w:t>
            </w:r>
          </w:p>
        </w:tc>
        <w:tc>
          <w:tcPr>
            <w:tcW w:w="646" w:type="pct"/>
            <w:vAlign w:val="center"/>
          </w:tcPr>
          <w:p w14:paraId="5FE513FE" w14:textId="7799759D" w:rsidR="0044645C" w:rsidRDefault="0044645C" w:rsidP="00C1611E">
            <w:pPr>
              <w:pStyle w:val="Compact"/>
              <w:jc w:val="right"/>
              <w:rPr>
                <w:lang w:val="en-GB"/>
              </w:rPr>
            </w:pPr>
            <w:r>
              <w:rPr>
                <w:lang w:val="en-GB"/>
              </w:rPr>
              <w:t>57 (26.0)</w:t>
            </w:r>
          </w:p>
        </w:tc>
        <w:tc>
          <w:tcPr>
            <w:tcW w:w="708" w:type="pct"/>
            <w:vAlign w:val="center"/>
          </w:tcPr>
          <w:p w14:paraId="723CEA83" w14:textId="5541EFCF" w:rsidR="0044645C" w:rsidRPr="00E678AB" w:rsidRDefault="0044645C" w:rsidP="00C1611E">
            <w:pPr>
              <w:pStyle w:val="Compact"/>
              <w:jc w:val="right"/>
              <w:rPr>
                <w:lang w:val="en-GB"/>
              </w:rPr>
            </w:pPr>
            <w:r w:rsidRPr="00E678AB">
              <w:rPr>
                <w:lang w:val="en-GB"/>
              </w:rPr>
              <w:t>755</w:t>
            </w:r>
            <w:r>
              <w:rPr>
                <w:lang w:val="en-GB"/>
              </w:rPr>
              <w:t xml:space="preserve"> (20.1)</w:t>
            </w:r>
          </w:p>
        </w:tc>
        <w:tc>
          <w:tcPr>
            <w:tcW w:w="1191" w:type="pct"/>
          </w:tcPr>
          <w:p w14:paraId="25FD8B5E" w14:textId="5D99C811" w:rsidR="0044645C" w:rsidRPr="00E678AB" w:rsidRDefault="0044645C" w:rsidP="0044645C">
            <w:pPr>
              <w:pStyle w:val="Compact"/>
              <w:jc w:val="right"/>
              <w:rPr>
                <w:lang w:val="en-GB"/>
              </w:rPr>
            </w:pPr>
            <w:r w:rsidRPr="00E678AB">
              <w:rPr>
                <w:lang w:val="en-GB"/>
              </w:rPr>
              <w:t>15.8 (15.1 to 16.5)</w:t>
            </w:r>
          </w:p>
        </w:tc>
        <w:tc>
          <w:tcPr>
            <w:tcW w:w="576" w:type="pct"/>
          </w:tcPr>
          <w:p w14:paraId="0AD85EA8" w14:textId="6F9D1548" w:rsidR="0044645C" w:rsidRPr="00E678AB" w:rsidRDefault="0044645C" w:rsidP="0044645C">
            <w:pPr>
              <w:pStyle w:val="Compact"/>
              <w:jc w:val="right"/>
              <w:rPr>
                <w:lang w:val="en-GB"/>
              </w:rPr>
            </w:pPr>
            <w:r w:rsidRPr="00E678AB">
              <w:rPr>
                <w:lang w:val="en-GB"/>
              </w:rPr>
              <w:t>1.16 (0.92 to 1.45)</w:t>
            </w:r>
          </w:p>
        </w:tc>
        <w:tc>
          <w:tcPr>
            <w:tcW w:w="293" w:type="pct"/>
          </w:tcPr>
          <w:p w14:paraId="29B40DC7" w14:textId="4F1A4C94" w:rsidR="0044645C" w:rsidRPr="00E678AB" w:rsidRDefault="0044645C" w:rsidP="0044645C">
            <w:pPr>
              <w:pStyle w:val="Compact"/>
              <w:jc w:val="right"/>
              <w:rPr>
                <w:lang w:val="en-GB"/>
              </w:rPr>
            </w:pPr>
            <w:r w:rsidRPr="00E678AB">
              <w:rPr>
                <w:lang w:val="en-GB"/>
              </w:rPr>
              <w:t>0.21</w:t>
            </w:r>
            <w:r w:rsidR="00CA59C7">
              <w:rPr>
                <w:lang w:val="en-GB"/>
              </w:rPr>
              <w:t>0</w:t>
            </w:r>
          </w:p>
        </w:tc>
      </w:tr>
      <w:tr w:rsidR="008C0377" w:rsidRPr="00E678AB" w14:paraId="10D39B16" w14:textId="77777777" w:rsidTr="008C0377">
        <w:tc>
          <w:tcPr>
            <w:tcW w:w="838" w:type="pct"/>
          </w:tcPr>
          <w:p w14:paraId="0F069B9A" w14:textId="77777777" w:rsidR="0044645C" w:rsidRDefault="0044645C" w:rsidP="0044645C">
            <w:pPr>
              <w:pStyle w:val="Compact"/>
              <w:rPr>
                <w:lang w:val="en-GB"/>
              </w:rPr>
            </w:pPr>
          </w:p>
        </w:tc>
        <w:tc>
          <w:tcPr>
            <w:tcW w:w="748" w:type="pct"/>
            <w:vAlign w:val="center"/>
          </w:tcPr>
          <w:p w14:paraId="0B8C270F" w14:textId="3D27A17C" w:rsidR="0044645C" w:rsidRPr="00A26F73" w:rsidRDefault="0044645C" w:rsidP="00C1611E">
            <w:pPr>
              <w:pStyle w:val="Compact"/>
              <w:rPr>
                <w:lang w:val="en-GB"/>
              </w:rPr>
            </w:pPr>
            <w:r w:rsidRPr="00A26F73">
              <w:rPr>
                <w:lang w:val="en-GB"/>
              </w:rPr>
              <w:t>≤3</w:t>
            </w:r>
          </w:p>
        </w:tc>
        <w:tc>
          <w:tcPr>
            <w:tcW w:w="646" w:type="pct"/>
            <w:vAlign w:val="center"/>
          </w:tcPr>
          <w:p w14:paraId="1AC32233" w14:textId="346AE54B" w:rsidR="0044645C" w:rsidRDefault="0044645C" w:rsidP="00C1611E">
            <w:pPr>
              <w:pStyle w:val="Compact"/>
              <w:jc w:val="right"/>
              <w:rPr>
                <w:lang w:val="en-GB"/>
              </w:rPr>
            </w:pPr>
            <w:r>
              <w:rPr>
                <w:lang w:val="en-GB"/>
              </w:rPr>
              <w:t>58 (26.3)</w:t>
            </w:r>
          </w:p>
        </w:tc>
        <w:tc>
          <w:tcPr>
            <w:tcW w:w="708" w:type="pct"/>
            <w:vAlign w:val="center"/>
          </w:tcPr>
          <w:p w14:paraId="4B03B766" w14:textId="03EB4085" w:rsidR="0044645C" w:rsidRPr="00E678AB" w:rsidRDefault="0044645C" w:rsidP="00C1611E">
            <w:pPr>
              <w:pStyle w:val="Compact"/>
              <w:jc w:val="right"/>
              <w:rPr>
                <w:lang w:val="en-GB"/>
              </w:rPr>
            </w:pPr>
            <w:r w:rsidRPr="00E678AB">
              <w:rPr>
                <w:lang w:val="en-GB"/>
              </w:rPr>
              <w:t>608</w:t>
            </w:r>
            <w:r>
              <w:rPr>
                <w:lang w:val="en-GB"/>
              </w:rPr>
              <w:t xml:space="preserve"> (16.1)</w:t>
            </w:r>
          </w:p>
        </w:tc>
        <w:tc>
          <w:tcPr>
            <w:tcW w:w="1191" w:type="pct"/>
          </w:tcPr>
          <w:p w14:paraId="689F98B9" w14:textId="7316F2B9" w:rsidR="0044645C" w:rsidRPr="00E678AB" w:rsidRDefault="0044645C" w:rsidP="0044645C">
            <w:pPr>
              <w:pStyle w:val="Compact"/>
              <w:jc w:val="right"/>
              <w:rPr>
                <w:lang w:val="en-GB"/>
              </w:rPr>
            </w:pPr>
            <w:r w:rsidRPr="00E678AB">
              <w:rPr>
                <w:lang w:val="en-GB"/>
              </w:rPr>
              <w:t>16.4 (15.6 to 17.2)</w:t>
            </w:r>
          </w:p>
        </w:tc>
        <w:tc>
          <w:tcPr>
            <w:tcW w:w="576" w:type="pct"/>
          </w:tcPr>
          <w:p w14:paraId="4DB2D4C9" w14:textId="526A9D31" w:rsidR="0044645C" w:rsidRPr="00E678AB" w:rsidRDefault="0044645C" w:rsidP="0044645C">
            <w:pPr>
              <w:pStyle w:val="Compact"/>
              <w:jc w:val="right"/>
              <w:rPr>
                <w:lang w:val="en-GB"/>
              </w:rPr>
            </w:pPr>
            <w:r w:rsidRPr="00E678AB">
              <w:rPr>
                <w:lang w:val="en-GB"/>
              </w:rPr>
              <w:t>1.21 (0.95 to 1.54)</w:t>
            </w:r>
          </w:p>
        </w:tc>
        <w:tc>
          <w:tcPr>
            <w:tcW w:w="293" w:type="pct"/>
          </w:tcPr>
          <w:p w14:paraId="609A0C38" w14:textId="3EF8ABD9" w:rsidR="0044645C" w:rsidRPr="00E678AB" w:rsidRDefault="0044645C" w:rsidP="0044645C">
            <w:pPr>
              <w:pStyle w:val="Compact"/>
              <w:jc w:val="right"/>
              <w:rPr>
                <w:lang w:val="en-GB"/>
              </w:rPr>
            </w:pPr>
            <w:r w:rsidRPr="00E678AB">
              <w:rPr>
                <w:lang w:val="en-GB"/>
              </w:rPr>
              <w:t>0.14</w:t>
            </w:r>
            <w:r w:rsidR="00CA59C7">
              <w:rPr>
                <w:lang w:val="en-GB"/>
              </w:rPr>
              <w:t>0</w:t>
            </w:r>
          </w:p>
        </w:tc>
      </w:tr>
    </w:tbl>
    <w:p w14:paraId="204FEEBC" w14:textId="790A3719" w:rsidR="00CF7BC4" w:rsidRPr="00E678AB" w:rsidRDefault="00CF7BC4">
      <w:pPr>
        <w:pStyle w:val="BodyText"/>
        <w:rPr>
          <w:lang w:val="en-GB"/>
        </w:rPr>
      </w:pPr>
    </w:p>
    <w:p w14:paraId="7CFB111D" w14:textId="77777777" w:rsidR="003275A3" w:rsidRDefault="003275A3">
      <w:pPr>
        <w:pStyle w:val="Heading4"/>
        <w:rPr>
          <w:lang w:val="en-GB"/>
        </w:rPr>
      </w:pPr>
      <w:bookmarkStart w:id="11" w:name="X83eb3a8f08223023063f8cce6918bcf498e7506"/>
    </w:p>
    <w:p w14:paraId="2DB526AF" w14:textId="77777777" w:rsidR="003275A3" w:rsidRDefault="003275A3">
      <w:pPr>
        <w:pStyle w:val="Heading4"/>
        <w:rPr>
          <w:lang w:val="en-GB"/>
        </w:rPr>
      </w:pPr>
    </w:p>
    <w:p w14:paraId="3D55A91B" w14:textId="77777777" w:rsidR="003275A3" w:rsidRDefault="003275A3">
      <w:pPr>
        <w:pStyle w:val="Heading4"/>
        <w:rPr>
          <w:lang w:val="en-GB"/>
        </w:rPr>
      </w:pPr>
    </w:p>
    <w:p w14:paraId="60812298" w14:textId="77777777" w:rsidR="003275A3" w:rsidRDefault="003275A3">
      <w:pPr>
        <w:rPr>
          <w:rFonts w:asciiTheme="majorHAnsi" w:eastAsiaTheme="majorEastAsia" w:hAnsiTheme="majorHAnsi" w:cstheme="majorBidi"/>
          <w:b/>
          <w:bCs/>
          <w:color w:val="4F81BD" w:themeColor="accent1"/>
        </w:rPr>
      </w:pPr>
      <w:r>
        <w:br w:type="page"/>
      </w:r>
    </w:p>
    <w:p w14:paraId="6DF898B7" w14:textId="421016DA" w:rsidR="00AE5B40" w:rsidRPr="00AE5B40" w:rsidRDefault="009D77B2" w:rsidP="00122BEA">
      <w:pPr>
        <w:pStyle w:val="Heading4"/>
        <w:rPr>
          <w:lang w:val="en-GB"/>
        </w:rPr>
      </w:pPr>
      <w:r w:rsidRPr="00E678AB">
        <w:rPr>
          <w:lang w:val="en-GB"/>
        </w:rPr>
        <w:lastRenderedPageBreak/>
        <w:t>Table 5. Capacity to rescue patients following major complication following case-mix adjustment</w:t>
      </w:r>
      <w:bookmarkEnd w:id="11"/>
      <w:r w:rsidR="00AE5B40">
        <w:rPr>
          <w:lang w:val="en-GB"/>
        </w:rPr>
        <w:br/>
      </w:r>
      <w:r w:rsidR="00AE5B40" w:rsidRPr="00E232EA">
        <w:rPr>
          <w:rFonts w:asciiTheme="minorHAnsi" w:hAnsiTheme="minorHAnsi"/>
          <w:b w:val="0"/>
          <w:bCs w:val="0"/>
          <w:color w:val="000000" w:themeColor="text1"/>
          <w:sz w:val="20"/>
          <w:szCs w:val="20"/>
          <w:lang w:val="en-GB"/>
        </w:rPr>
        <w:t xml:space="preserve">Adjusted </w:t>
      </w:r>
      <w:r w:rsidR="00AE5B40">
        <w:rPr>
          <w:rFonts w:asciiTheme="minorHAnsi" w:hAnsiTheme="minorHAnsi"/>
          <w:b w:val="0"/>
          <w:bCs w:val="0"/>
          <w:color w:val="000000" w:themeColor="text1"/>
          <w:sz w:val="20"/>
          <w:szCs w:val="20"/>
          <w:lang w:val="en-GB"/>
        </w:rPr>
        <w:t xml:space="preserve">mortality rates after </w:t>
      </w:r>
      <w:r w:rsidR="00AE5B40" w:rsidRPr="00E232EA">
        <w:rPr>
          <w:rFonts w:asciiTheme="minorHAnsi" w:hAnsiTheme="minorHAnsi"/>
          <w:b w:val="0"/>
          <w:bCs w:val="0"/>
          <w:color w:val="000000" w:themeColor="text1"/>
          <w:sz w:val="20"/>
          <w:szCs w:val="20"/>
          <w:lang w:val="en-GB"/>
        </w:rPr>
        <w:t>m</w:t>
      </w:r>
      <w:r w:rsidR="00AE5B40">
        <w:rPr>
          <w:rFonts w:asciiTheme="minorHAnsi" w:hAnsiTheme="minorHAnsi"/>
          <w:b w:val="0"/>
          <w:bCs w:val="0"/>
          <w:color w:val="000000" w:themeColor="text1"/>
          <w:sz w:val="20"/>
          <w:szCs w:val="20"/>
          <w:lang w:val="en-GB"/>
        </w:rPr>
        <w:t>ajor complication</w:t>
      </w:r>
      <w:r w:rsidR="00AE5B40" w:rsidRPr="00E232EA">
        <w:rPr>
          <w:rFonts w:asciiTheme="minorHAnsi" w:hAnsiTheme="minorHAnsi"/>
          <w:b w:val="0"/>
          <w:bCs w:val="0"/>
          <w:color w:val="000000" w:themeColor="text1"/>
          <w:sz w:val="20"/>
          <w:szCs w:val="20"/>
          <w:lang w:val="en-GB"/>
        </w:rPr>
        <w:t xml:space="preserve"> were calculated </w:t>
      </w:r>
      <w:r w:rsidR="00AE5B40" w:rsidRPr="00E232EA">
        <w:rPr>
          <w:rFonts w:asciiTheme="minorHAnsi" w:hAnsiTheme="minorHAnsi"/>
          <w:b w:val="0"/>
          <w:bCs w:val="0"/>
          <w:color w:val="000000" w:themeColor="text1"/>
          <w:sz w:val="20"/>
          <w:szCs w:val="20"/>
        </w:rPr>
        <w:t xml:space="preserve">using </w:t>
      </w:r>
      <w:r w:rsidR="00AE5B40" w:rsidRPr="00E232EA">
        <w:rPr>
          <w:rFonts w:asciiTheme="minorHAnsi" w:hAnsiTheme="minorHAnsi"/>
          <w:b w:val="0"/>
          <w:bCs w:val="0"/>
          <w:color w:val="000000" w:themeColor="text1"/>
          <w:sz w:val="20"/>
          <w:szCs w:val="20"/>
          <w:lang w:val="en-GB"/>
        </w:rPr>
        <w:t xml:space="preserve">generalized estimating equations (GEE) to account for clustering of patients by hospital and potential confounders (WB </w:t>
      </w:r>
      <w:proofErr w:type="spellStart"/>
      <w:r w:rsidR="00AE5B40" w:rsidRPr="00E232EA">
        <w:rPr>
          <w:rFonts w:asciiTheme="minorHAnsi" w:hAnsiTheme="minorHAnsi"/>
          <w:b w:val="0"/>
          <w:bCs w:val="0"/>
          <w:color w:val="000000" w:themeColor="text1"/>
          <w:sz w:val="20"/>
          <w:szCs w:val="20"/>
          <w:lang w:val="en-GB"/>
        </w:rPr>
        <w:t>tertile</w:t>
      </w:r>
      <w:proofErr w:type="spellEnd"/>
      <w:r w:rsidR="00AE5B40" w:rsidRPr="00E232EA">
        <w:rPr>
          <w:rFonts w:asciiTheme="minorHAnsi" w:hAnsiTheme="minorHAnsi"/>
          <w:b w:val="0"/>
          <w:bCs w:val="0"/>
          <w:color w:val="000000" w:themeColor="text1"/>
          <w:sz w:val="20"/>
          <w:szCs w:val="20"/>
          <w:lang w:val="en-GB"/>
        </w:rPr>
        <w:t xml:space="preserve">, age, gender, cancer type, </w:t>
      </w:r>
      <w:r w:rsidR="00AE5B40" w:rsidRPr="00E232EA">
        <w:rPr>
          <w:rFonts w:asciiTheme="minorHAnsi" w:hAnsiTheme="minorHAnsi"/>
          <w:b w:val="0"/>
          <w:bCs w:val="0"/>
          <w:color w:val="000000" w:themeColor="text1"/>
          <w:sz w:val="20"/>
          <w:szCs w:val="20"/>
        </w:rPr>
        <w:t xml:space="preserve">ECOG performance status, </w:t>
      </w:r>
      <w:r w:rsidR="00AE5B40" w:rsidRPr="00E232EA">
        <w:rPr>
          <w:rFonts w:asciiTheme="minorHAnsi" w:hAnsiTheme="minorHAnsi"/>
          <w:b w:val="0"/>
          <w:bCs w:val="0"/>
          <w:color w:val="000000" w:themeColor="text1"/>
          <w:sz w:val="20"/>
          <w:szCs w:val="20"/>
          <w:lang w:val="en-GB"/>
        </w:rPr>
        <w:t xml:space="preserve">ASA grade, disease stage, and operative urgency). Confidence intervals (CIs) and a P value for trend were fitted using the multilevel logistic regression model with the </w:t>
      </w:r>
      <w:r w:rsidR="00AE5B40" w:rsidRPr="00A26F73">
        <w:rPr>
          <w:rFonts w:asciiTheme="minorHAnsi" w:hAnsiTheme="minorHAnsi"/>
          <w:b w:val="0"/>
          <w:bCs w:val="0"/>
          <w:color w:val="000000" w:themeColor="text1"/>
          <w:sz w:val="20"/>
          <w:szCs w:val="20"/>
          <w:lang w:val="en-GB"/>
        </w:rPr>
        <w:t xml:space="preserve">number of </w:t>
      </w:r>
      <w:r w:rsidR="00A26F73" w:rsidRPr="00A26F73">
        <w:rPr>
          <w:rFonts w:asciiTheme="minorHAnsi" w:hAnsiTheme="minorHAnsi"/>
          <w:b w:val="0"/>
          <w:bCs w:val="0"/>
          <w:color w:val="000000" w:themeColor="text1"/>
          <w:sz w:val="20"/>
          <w:szCs w:val="20"/>
          <w:lang w:val="en-GB"/>
        </w:rPr>
        <w:t xml:space="preserve">available </w:t>
      </w:r>
      <w:r w:rsidR="00AE5B40" w:rsidRPr="00A26F73">
        <w:rPr>
          <w:rFonts w:asciiTheme="minorHAnsi" w:hAnsiTheme="minorHAnsi"/>
          <w:b w:val="0"/>
          <w:bCs w:val="0"/>
          <w:color w:val="000000" w:themeColor="text1"/>
          <w:sz w:val="20"/>
          <w:szCs w:val="20"/>
          <w:lang w:val="en-GB"/>
        </w:rPr>
        <w:t xml:space="preserve">hospital </w:t>
      </w:r>
      <w:r w:rsidR="00A26F73">
        <w:rPr>
          <w:rFonts w:asciiTheme="minorHAnsi" w:hAnsiTheme="minorHAnsi"/>
          <w:b w:val="0"/>
          <w:bCs w:val="0"/>
          <w:color w:val="000000" w:themeColor="text1"/>
          <w:sz w:val="20"/>
          <w:szCs w:val="20"/>
          <w:lang w:val="en-GB"/>
        </w:rPr>
        <w:t>facilities</w:t>
      </w:r>
      <w:r w:rsidR="00AE5B40" w:rsidRPr="00E232EA">
        <w:rPr>
          <w:rFonts w:asciiTheme="minorHAnsi" w:hAnsiTheme="minorHAnsi"/>
          <w:b w:val="0"/>
          <w:bCs w:val="0"/>
          <w:color w:val="000000" w:themeColor="text1"/>
          <w:sz w:val="20"/>
          <w:szCs w:val="20"/>
          <w:lang w:val="en-GB"/>
        </w:rPr>
        <w:t xml:space="preserve"> and all confounders as covariates</w:t>
      </w:r>
    </w:p>
    <w:p w14:paraId="0094DC13" w14:textId="20EA1452" w:rsidR="00CF7BC4" w:rsidRPr="00E678AB" w:rsidRDefault="003275A3">
      <w:pPr>
        <w:pStyle w:val="TableCaption"/>
        <w:rPr>
          <w:lang w:val="en-GB"/>
        </w:rPr>
      </w:pPr>
      <w:r>
        <w:rPr>
          <w:lang w:val="en-GB"/>
        </w:rPr>
        <w:br/>
      </w:r>
    </w:p>
    <w:tbl>
      <w:tblPr>
        <w:tblStyle w:val="Table"/>
        <w:tblW w:w="4579" w:type="pct"/>
        <w:tblLook w:val="07E0" w:firstRow="1" w:lastRow="1" w:firstColumn="1" w:lastColumn="1" w:noHBand="1" w:noVBand="1"/>
        <w:tblCaption w:val="All cancers"/>
      </w:tblPr>
      <w:tblGrid>
        <w:gridCol w:w="2273"/>
        <w:gridCol w:w="2039"/>
        <w:gridCol w:w="1757"/>
        <w:gridCol w:w="1928"/>
        <w:gridCol w:w="2830"/>
        <w:gridCol w:w="1564"/>
        <w:gridCol w:w="797"/>
      </w:tblGrid>
      <w:tr w:rsidR="0090392E" w:rsidRPr="00E678AB" w14:paraId="0D6859E2" w14:textId="77777777" w:rsidTr="0090392E">
        <w:tc>
          <w:tcPr>
            <w:tcW w:w="862" w:type="pct"/>
            <w:tcBorders>
              <w:bottom w:val="single" w:sz="0" w:space="0" w:color="auto"/>
            </w:tcBorders>
          </w:tcPr>
          <w:p w14:paraId="7A56225E" w14:textId="77777777" w:rsidR="00C1611E" w:rsidRDefault="00C1611E" w:rsidP="001D4ABA">
            <w:pPr>
              <w:pStyle w:val="Compact"/>
              <w:rPr>
                <w:lang w:val="en-GB"/>
              </w:rPr>
            </w:pPr>
          </w:p>
        </w:tc>
        <w:tc>
          <w:tcPr>
            <w:tcW w:w="773" w:type="pct"/>
            <w:tcBorders>
              <w:bottom w:val="single" w:sz="0" w:space="0" w:color="auto"/>
            </w:tcBorders>
            <w:vAlign w:val="bottom"/>
          </w:tcPr>
          <w:p w14:paraId="69CB8424" w14:textId="69FBEA29" w:rsidR="00C1611E" w:rsidRPr="00E678AB" w:rsidRDefault="00C1611E" w:rsidP="001D4ABA">
            <w:pPr>
              <w:pStyle w:val="Compact"/>
              <w:rPr>
                <w:lang w:val="en-GB"/>
              </w:rPr>
            </w:pPr>
            <w:r w:rsidRPr="00A26F73">
              <w:rPr>
                <w:lang w:val="en-GB"/>
              </w:rPr>
              <w:t xml:space="preserve">Hospital </w:t>
            </w:r>
            <w:r w:rsidR="00A26F73" w:rsidRPr="00A26F73">
              <w:rPr>
                <w:lang w:val="en-GB"/>
              </w:rPr>
              <w:t>facility</w:t>
            </w:r>
            <w:r w:rsidR="00A26F73">
              <w:rPr>
                <w:lang w:val="en-GB"/>
              </w:rPr>
              <w:t xml:space="preserve"> level</w:t>
            </w:r>
          </w:p>
        </w:tc>
        <w:tc>
          <w:tcPr>
            <w:tcW w:w="666" w:type="pct"/>
            <w:tcBorders>
              <w:bottom w:val="single" w:sz="0" w:space="0" w:color="auto"/>
            </w:tcBorders>
            <w:vAlign w:val="bottom"/>
          </w:tcPr>
          <w:p w14:paraId="7EFB4CE4" w14:textId="659AB654" w:rsidR="00C1611E" w:rsidRPr="00E678AB" w:rsidRDefault="00C1611E" w:rsidP="00C1611E">
            <w:pPr>
              <w:pStyle w:val="Compact"/>
              <w:jc w:val="right"/>
              <w:rPr>
                <w:lang w:val="en-GB"/>
              </w:rPr>
            </w:pPr>
            <w:r>
              <w:rPr>
                <w:lang w:val="en-GB"/>
              </w:rPr>
              <w:t>Hospital number (%)</w:t>
            </w:r>
          </w:p>
        </w:tc>
        <w:tc>
          <w:tcPr>
            <w:tcW w:w="731" w:type="pct"/>
            <w:tcBorders>
              <w:bottom w:val="single" w:sz="0" w:space="0" w:color="auto"/>
            </w:tcBorders>
            <w:vAlign w:val="bottom"/>
          </w:tcPr>
          <w:p w14:paraId="3F993E9C" w14:textId="7022B80A" w:rsidR="00C1611E" w:rsidRPr="00E678AB" w:rsidRDefault="00C1611E" w:rsidP="00C1611E">
            <w:pPr>
              <w:pStyle w:val="Compact"/>
              <w:jc w:val="right"/>
              <w:rPr>
                <w:lang w:val="en-GB"/>
              </w:rPr>
            </w:pPr>
            <w:r w:rsidRPr="00E678AB">
              <w:rPr>
                <w:lang w:val="en-GB"/>
              </w:rPr>
              <w:t>Number of Patients (%)</w:t>
            </w:r>
          </w:p>
        </w:tc>
        <w:tc>
          <w:tcPr>
            <w:tcW w:w="1073" w:type="pct"/>
            <w:tcBorders>
              <w:bottom w:val="single" w:sz="0" w:space="0" w:color="auto"/>
            </w:tcBorders>
            <w:vAlign w:val="bottom"/>
          </w:tcPr>
          <w:p w14:paraId="7503AA54" w14:textId="77777777" w:rsidR="00C1611E" w:rsidRPr="00E678AB" w:rsidRDefault="00C1611E" w:rsidP="001D4ABA">
            <w:pPr>
              <w:pStyle w:val="Compact"/>
              <w:jc w:val="right"/>
              <w:rPr>
                <w:lang w:val="en-GB"/>
              </w:rPr>
            </w:pPr>
            <w:r w:rsidRPr="00E678AB">
              <w:rPr>
                <w:lang w:val="en-GB"/>
              </w:rPr>
              <w:t>Adjusted capacity to rescue (95% CI)</w:t>
            </w:r>
          </w:p>
        </w:tc>
        <w:tc>
          <w:tcPr>
            <w:tcW w:w="593" w:type="pct"/>
            <w:tcBorders>
              <w:bottom w:val="single" w:sz="0" w:space="0" w:color="auto"/>
            </w:tcBorders>
            <w:vAlign w:val="bottom"/>
          </w:tcPr>
          <w:p w14:paraId="28AA598B" w14:textId="77777777" w:rsidR="00C1611E" w:rsidRPr="00E678AB" w:rsidRDefault="00C1611E" w:rsidP="001D4ABA">
            <w:pPr>
              <w:pStyle w:val="Compact"/>
              <w:jc w:val="right"/>
              <w:rPr>
                <w:lang w:val="en-GB"/>
              </w:rPr>
            </w:pPr>
            <w:r w:rsidRPr="00E678AB">
              <w:rPr>
                <w:lang w:val="en-GB"/>
              </w:rPr>
              <w:t>Odds ratio</w:t>
            </w:r>
          </w:p>
        </w:tc>
        <w:tc>
          <w:tcPr>
            <w:tcW w:w="303" w:type="pct"/>
            <w:tcBorders>
              <w:bottom w:val="single" w:sz="0" w:space="0" w:color="auto"/>
            </w:tcBorders>
            <w:vAlign w:val="bottom"/>
          </w:tcPr>
          <w:p w14:paraId="2A39FB3F" w14:textId="77777777" w:rsidR="00C1611E" w:rsidRPr="00E678AB" w:rsidRDefault="00C1611E" w:rsidP="001D4ABA">
            <w:pPr>
              <w:pStyle w:val="Compact"/>
              <w:jc w:val="right"/>
              <w:rPr>
                <w:lang w:val="en-GB"/>
              </w:rPr>
            </w:pPr>
            <w:r w:rsidRPr="00E678AB">
              <w:rPr>
                <w:lang w:val="en-GB"/>
              </w:rPr>
              <w:t>P value</w:t>
            </w:r>
          </w:p>
        </w:tc>
      </w:tr>
      <w:tr w:rsidR="0090392E" w:rsidRPr="00E678AB" w14:paraId="7E1D09C3" w14:textId="77777777" w:rsidTr="0090392E">
        <w:tc>
          <w:tcPr>
            <w:tcW w:w="862" w:type="pct"/>
          </w:tcPr>
          <w:p w14:paraId="7AE78A56" w14:textId="39C6558D" w:rsidR="00C1611E" w:rsidRPr="00E678AB" w:rsidRDefault="00C1611E" w:rsidP="001D4ABA">
            <w:pPr>
              <w:pStyle w:val="Compact"/>
              <w:rPr>
                <w:lang w:val="en-GB"/>
              </w:rPr>
            </w:pPr>
            <w:r>
              <w:rPr>
                <w:lang w:val="en-GB"/>
              </w:rPr>
              <w:t>All cancers</w:t>
            </w:r>
          </w:p>
        </w:tc>
        <w:tc>
          <w:tcPr>
            <w:tcW w:w="773" w:type="pct"/>
          </w:tcPr>
          <w:p w14:paraId="774CFD34" w14:textId="55716975" w:rsidR="00C1611E" w:rsidRPr="00E678AB" w:rsidRDefault="00C1611E" w:rsidP="001D4ABA">
            <w:pPr>
              <w:pStyle w:val="Compact"/>
              <w:rPr>
                <w:lang w:val="en-GB"/>
              </w:rPr>
            </w:pPr>
            <w:r w:rsidRPr="00E678AB">
              <w:rPr>
                <w:lang w:val="en-GB"/>
              </w:rPr>
              <w:t>5</w:t>
            </w:r>
          </w:p>
        </w:tc>
        <w:tc>
          <w:tcPr>
            <w:tcW w:w="666" w:type="pct"/>
          </w:tcPr>
          <w:p w14:paraId="6B89FDCE" w14:textId="7EC41F83" w:rsidR="00C1611E" w:rsidRPr="00E678AB" w:rsidRDefault="00C1611E" w:rsidP="00BB0219">
            <w:pPr>
              <w:pStyle w:val="Compact"/>
              <w:jc w:val="right"/>
              <w:rPr>
                <w:lang w:val="en-GB"/>
              </w:rPr>
            </w:pPr>
            <w:r>
              <w:rPr>
                <w:lang w:val="en-GB"/>
              </w:rPr>
              <w:t>86 (50.6)</w:t>
            </w:r>
          </w:p>
        </w:tc>
        <w:tc>
          <w:tcPr>
            <w:tcW w:w="731" w:type="pct"/>
          </w:tcPr>
          <w:p w14:paraId="5F9AA661" w14:textId="09C1D160" w:rsidR="00C1611E" w:rsidRPr="00E678AB" w:rsidRDefault="00C1611E" w:rsidP="00C1611E">
            <w:pPr>
              <w:pStyle w:val="Compact"/>
              <w:jc w:val="right"/>
              <w:rPr>
                <w:lang w:val="en-GB"/>
              </w:rPr>
            </w:pPr>
            <w:r w:rsidRPr="00E678AB">
              <w:rPr>
                <w:lang w:val="en-GB"/>
              </w:rPr>
              <w:t>569</w:t>
            </w:r>
            <w:r>
              <w:rPr>
                <w:lang w:val="en-GB"/>
              </w:rPr>
              <w:t xml:space="preserve"> (65.0)</w:t>
            </w:r>
          </w:p>
        </w:tc>
        <w:tc>
          <w:tcPr>
            <w:tcW w:w="1073" w:type="pct"/>
          </w:tcPr>
          <w:p w14:paraId="4AEDC60F" w14:textId="77777777" w:rsidR="00C1611E" w:rsidRPr="00E678AB" w:rsidRDefault="00C1611E" w:rsidP="001D4ABA">
            <w:pPr>
              <w:pStyle w:val="Compact"/>
              <w:jc w:val="right"/>
              <w:rPr>
                <w:lang w:val="en-GB"/>
              </w:rPr>
            </w:pPr>
            <w:r w:rsidRPr="00E678AB">
              <w:rPr>
                <w:lang w:val="en-GB"/>
              </w:rPr>
              <w:t>81.2 (78 to 84.4)</w:t>
            </w:r>
          </w:p>
        </w:tc>
        <w:tc>
          <w:tcPr>
            <w:tcW w:w="593" w:type="pct"/>
          </w:tcPr>
          <w:p w14:paraId="1ED3F9BB" w14:textId="10620A6A" w:rsidR="00C1611E" w:rsidRPr="00E678AB" w:rsidRDefault="00C1611E" w:rsidP="001D4ABA">
            <w:pPr>
              <w:pStyle w:val="Compact"/>
              <w:jc w:val="right"/>
              <w:rPr>
                <w:lang w:val="en-GB"/>
              </w:rPr>
            </w:pPr>
            <w:r>
              <w:rPr>
                <w:lang w:val="en-GB"/>
              </w:rPr>
              <w:t>Ref</w:t>
            </w:r>
          </w:p>
        </w:tc>
        <w:tc>
          <w:tcPr>
            <w:tcW w:w="303" w:type="pct"/>
          </w:tcPr>
          <w:p w14:paraId="45202AF6" w14:textId="43C9F2B4" w:rsidR="00C1611E" w:rsidRPr="00E678AB" w:rsidRDefault="00C1611E" w:rsidP="001D4ABA">
            <w:pPr>
              <w:pStyle w:val="Compact"/>
              <w:jc w:val="right"/>
              <w:rPr>
                <w:lang w:val="en-GB"/>
              </w:rPr>
            </w:pPr>
          </w:p>
        </w:tc>
      </w:tr>
      <w:tr w:rsidR="0090392E" w:rsidRPr="00E678AB" w14:paraId="033627EE" w14:textId="77777777" w:rsidTr="0090392E">
        <w:tc>
          <w:tcPr>
            <w:tcW w:w="862" w:type="pct"/>
          </w:tcPr>
          <w:p w14:paraId="323254BF" w14:textId="77777777" w:rsidR="00C1611E" w:rsidRPr="00E678AB" w:rsidRDefault="00C1611E" w:rsidP="001D4ABA">
            <w:pPr>
              <w:pStyle w:val="Compact"/>
              <w:rPr>
                <w:lang w:val="en-GB"/>
              </w:rPr>
            </w:pPr>
          </w:p>
        </w:tc>
        <w:tc>
          <w:tcPr>
            <w:tcW w:w="773" w:type="pct"/>
          </w:tcPr>
          <w:p w14:paraId="3B0C7B58" w14:textId="1FB30778" w:rsidR="00C1611E" w:rsidRPr="00E678AB" w:rsidRDefault="00C1611E" w:rsidP="001D4ABA">
            <w:pPr>
              <w:pStyle w:val="Compact"/>
              <w:rPr>
                <w:lang w:val="en-GB"/>
              </w:rPr>
            </w:pPr>
            <w:r w:rsidRPr="00E678AB">
              <w:rPr>
                <w:lang w:val="en-GB"/>
              </w:rPr>
              <w:t>4</w:t>
            </w:r>
          </w:p>
        </w:tc>
        <w:tc>
          <w:tcPr>
            <w:tcW w:w="666" w:type="pct"/>
          </w:tcPr>
          <w:p w14:paraId="0B7604A2" w14:textId="1AE50001" w:rsidR="00C1611E" w:rsidRPr="00E678AB" w:rsidRDefault="00C1611E" w:rsidP="00BB0219">
            <w:pPr>
              <w:pStyle w:val="Compact"/>
              <w:jc w:val="right"/>
              <w:rPr>
                <w:lang w:val="en-GB"/>
              </w:rPr>
            </w:pPr>
            <w:r>
              <w:rPr>
                <w:lang w:val="en-GB"/>
              </w:rPr>
              <w:t>43 (25.3)</w:t>
            </w:r>
          </w:p>
        </w:tc>
        <w:tc>
          <w:tcPr>
            <w:tcW w:w="731" w:type="pct"/>
          </w:tcPr>
          <w:p w14:paraId="68E4C265" w14:textId="27DAAEF0" w:rsidR="00C1611E" w:rsidRPr="00E678AB" w:rsidRDefault="00C1611E" w:rsidP="00C1611E">
            <w:pPr>
              <w:pStyle w:val="Compact"/>
              <w:jc w:val="right"/>
              <w:rPr>
                <w:lang w:val="en-GB"/>
              </w:rPr>
            </w:pPr>
            <w:r w:rsidRPr="00E678AB">
              <w:rPr>
                <w:lang w:val="en-GB"/>
              </w:rPr>
              <w:t>173</w:t>
            </w:r>
            <w:r>
              <w:rPr>
                <w:lang w:val="en-GB"/>
              </w:rPr>
              <w:t xml:space="preserve"> (19.7)</w:t>
            </w:r>
          </w:p>
        </w:tc>
        <w:tc>
          <w:tcPr>
            <w:tcW w:w="1073" w:type="pct"/>
          </w:tcPr>
          <w:p w14:paraId="2B029E52" w14:textId="77777777" w:rsidR="00C1611E" w:rsidRPr="00E678AB" w:rsidRDefault="00C1611E" w:rsidP="001D4ABA">
            <w:pPr>
              <w:pStyle w:val="Compact"/>
              <w:jc w:val="right"/>
              <w:rPr>
                <w:lang w:val="en-GB"/>
              </w:rPr>
            </w:pPr>
            <w:r w:rsidRPr="00E678AB">
              <w:rPr>
                <w:lang w:val="en-GB"/>
              </w:rPr>
              <w:t>76.3 (69.9 to 82.7)</w:t>
            </w:r>
          </w:p>
        </w:tc>
        <w:tc>
          <w:tcPr>
            <w:tcW w:w="593" w:type="pct"/>
          </w:tcPr>
          <w:p w14:paraId="1E806C69" w14:textId="77777777" w:rsidR="00C1611E" w:rsidRPr="00E678AB" w:rsidRDefault="00C1611E" w:rsidP="001D4ABA">
            <w:pPr>
              <w:pStyle w:val="Compact"/>
              <w:jc w:val="right"/>
              <w:rPr>
                <w:lang w:val="en-GB"/>
              </w:rPr>
            </w:pPr>
            <w:r w:rsidRPr="00E678AB">
              <w:rPr>
                <w:lang w:val="en-GB"/>
              </w:rPr>
              <w:t>0.75 (0.5 to 1.12)</w:t>
            </w:r>
          </w:p>
        </w:tc>
        <w:tc>
          <w:tcPr>
            <w:tcW w:w="303" w:type="pct"/>
          </w:tcPr>
          <w:p w14:paraId="3FCBA999" w14:textId="77777777" w:rsidR="00C1611E" w:rsidRPr="00E678AB" w:rsidRDefault="00C1611E" w:rsidP="001D4ABA">
            <w:pPr>
              <w:pStyle w:val="Compact"/>
              <w:jc w:val="right"/>
              <w:rPr>
                <w:lang w:val="en-GB"/>
              </w:rPr>
            </w:pPr>
            <w:r w:rsidRPr="00E678AB">
              <w:rPr>
                <w:lang w:val="en-GB"/>
              </w:rPr>
              <w:t>0.159</w:t>
            </w:r>
          </w:p>
        </w:tc>
      </w:tr>
      <w:tr w:rsidR="0090392E" w:rsidRPr="00E678AB" w14:paraId="3FF843C6" w14:textId="77777777" w:rsidTr="0090392E">
        <w:tc>
          <w:tcPr>
            <w:tcW w:w="862" w:type="pct"/>
          </w:tcPr>
          <w:p w14:paraId="5B7CB015" w14:textId="77777777" w:rsidR="00C1611E" w:rsidRDefault="00C1611E" w:rsidP="001D4ABA">
            <w:pPr>
              <w:pStyle w:val="Compact"/>
              <w:rPr>
                <w:lang w:val="en-GB"/>
              </w:rPr>
            </w:pPr>
          </w:p>
        </w:tc>
        <w:tc>
          <w:tcPr>
            <w:tcW w:w="773" w:type="pct"/>
          </w:tcPr>
          <w:p w14:paraId="4FA684AA" w14:textId="4FE9E82C" w:rsidR="00C1611E" w:rsidRPr="00E678AB" w:rsidRDefault="00C1611E" w:rsidP="001D4ABA">
            <w:pPr>
              <w:pStyle w:val="Compact"/>
              <w:rPr>
                <w:lang w:val="en-GB"/>
              </w:rPr>
            </w:pPr>
            <w:r>
              <w:rPr>
                <w:lang w:val="en-GB"/>
              </w:rPr>
              <w:t>≤</w:t>
            </w:r>
            <w:r w:rsidRPr="00E678AB">
              <w:rPr>
                <w:lang w:val="en-GB"/>
              </w:rPr>
              <w:t>3</w:t>
            </w:r>
          </w:p>
        </w:tc>
        <w:tc>
          <w:tcPr>
            <w:tcW w:w="666" w:type="pct"/>
          </w:tcPr>
          <w:p w14:paraId="111BFFDF" w14:textId="42CE7737" w:rsidR="00C1611E" w:rsidRPr="00E678AB" w:rsidRDefault="00C1611E" w:rsidP="00BB0219">
            <w:pPr>
              <w:pStyle w:val="Compact"/>
              <w:jc w:val="right"/>
              <w:rPr>
                <w:lang w:val="en-GB"/>
              </w:rPr>
            </w:pPr>
            <w:r>
              <w:rPr>
                <w:lang w:val="en-GB"/>
              </w:rPr>
              <w:t>41 (24.1)</w:t>
            </w:r>
          </w:p>
        </w:tc>
        <w:tc>
          <w:tcPr>
            <w:tcW w:w="731" w:type="pct"/>
          </w:tcPr>
          <w:p w14:paraId="423C583C" w14:textId="499C6D5A" w:rsidR="00C1611E" w:rsidRPr="00E678AB" w:rsidRDefault="00C1611E" w:rsidP="00C1611E">
            <w:pPr>
              <w:pStyle w:val="Compact"/>
              <w:jc w:val="right"/>
              <w:rPr>
                <w:lang w:val="en-GB"/>
              </w:rPr>
            </w:pPr>
            <w:r w:rsidRPr="00E678AB">
              <w:rPr>
                <w:lang w:val="en-GB"/>
              </w:rPr>
              <w:t>134</w:t>
            </w:r>
            <w:r>
              <w:rPr>
                <w:lang w:val="en-GB"/>
              </w:rPr>
              <w:t xml:space="preserve"> (15.3)</w:t>
            </w:r>
          </w:p>
        </w:tc>
        <w:tc>
          <w:tcPr>
            <w:tcW w:w="1073" w:type="pct"/>
          </w:tcPr>
          <w:p w14:paraId="2011C48C" w14:textId="77777777" w:rsidR="00C1611E" w:rsidRPr="00E678AB" w:rsidRDefault="00C1611E" w:rsidP="001D4ABA">
            <w:pPr>
              <w:pStyle w:val="Compact"/>
              <w:jc w:val="right"/>
              <w:rPr>
                <w:lang w:val="en-GB"/>
              </w:rPr>
            </w:pPr>
            <w:r w:rsidRPr="00E678AB">
              <w:rPr>
                <w:lang w:val="en-GB"/>
              </w:rPr>
              <w:t>69.4 (61.6 to 77.2)</w:t>
            </w:r>
          </w:p>
        </w:tc>
        <w:tc>
          <w:tcPr>
            <w:tcW w:w="593" w:type="pct"/>
          </w:tcPr>
          <w:p w14:paraId="64AE0506" w14:textId="77777777" w:rsidR="00C1611E" w:rsidRPr="00E678AB" w:rsidRDefault="00C1611E" w:rsidP="001D4ABA">
            <w:pPr>
              <w:pStyle w:val="Compact"/>
              <w:jc w:val="right"/>
              <w:rPr>
                <w:lang w:val="en-GB"/>
              </w:rPr>
            </w:pPr>
            <w:r w:rsidRPr="00E678AB">
              <w:rPr>
                <w:lang w:val="en-GB"/>
              </w:rPr>
              <w:t>0.53 (0.34 to 0.8)</w:t>
            </w:r>
          </w:p>
        </w:tc>
        <w:tc>
          <w:tcPr>
            <w:tcW w:w="303" w:type="pct"/>
          </w:tcPr>
          <w:p w14:paraId="0303B30A" w14:textId="3521C7D5" w:rsidR="00C1611E" w:rsidRPr="00E678AB" w:rsidRDefault="00C1611E" w:rsidP="001D4ABA">
            <w:pPr>
              <w:pStyle w:val="Compact"/>
              <w:jc w:val="right"/>
              <w:rPr>
                <w:lang w:val="en-GB"/>
              </w:rPr>
            </w:pPr>
            <w:r w:rsidRPr="00E678AB">
              <w:rPr>
                <w:lang w:val="en-GB"/>
              </w:rPr>
              <w:t>0.00</w:t>
            </w:r>
            <w:r w:rsidR="00CA59C7">
              <w:rPr>
                <w:lang w:val="en-GB"/>
              </w:rPr>
              <w:t>5</w:t>
            </w:r>
          </w:p>
        </w:tc>
      </w:tr>
      <w:tr w:rsidR="0090392E" w:rsidRPr="00E678AB" w14:paraId="426FC8F4" w14:textId="77777777" w:rsidTr="0090392E">
        <w:tc>
          <w:tcPr>
            <w:tcW w:w="862" w:type="pct"/>
          </w:tcPr>
          <w:p w14:paraId="7FC0489B" w14:textId="77777777" w:rsidR="00C1611E" w:rsidRDefault="00C1611E" w:rsidP="001D4ABA">
            <w:pPr>
              <w:pStyle w:val="Compact"/>
              <w:rPr>
                <w:lang w:val="en-GB"/>
              </w:rPr>
            </w:pPr>
          </w:p>
        </w:tc>
        <w:tc>
          <w:tcPr>
            <w:tcW w:w="773" w:type="pct"/>
          </w:tcPr>
          <w:p w14:paraId="0EAE5A46" w14:textId="77777777" w:rsidR="00C1611E" w:rsidRDefault="00C1611E" w:rsidP="001D4ABA">
            <w:pPr>
              <w:pStyle w:val="Compact"/>
              <w:rPr>
                <w:lang w:val="en-GB"/>
              </w:rPr>
            </w:pPr>
          </w:p>
        </w:tc>
        <w:tc>
          <w:tcPr>
            <w:tcW w:w="666" w:type="pct"/>
          </w:tcPr>
          <w:p w14:paraId="51C9DB90" w14:textId="77777777" w:rsidR="00C1611E" w:rsidRDefault="00C1611E" w:rsidP="00BB0219">
            <w:pPr>
              <w:pStyle w:val="Compact"/>
              <w:jc w:val="right"/>
              <w:rPr>
                <w:lang w:val="en-GB"/>
              </w:rPr>
            </w:pPr>
          </w:p>
        </w:tc>
        <w:tc>
          <w:tcPr>
            <w:tcW w:w="731" w:type="pct"/>
          </w:tcPr>
          <w:p w14:paraId="47F8FCA0" w14:textId="77777777" w:rsidR="00C1611E" w:rsidRPr="00E678AB" w:rsidRDefault="00C1611E" w:rsidP="00C1611E">
            <w:pPr>
              <w:pStyle w:val="Compact"/>
              <w:jc w:val="right"/>
              <w:rPr>
                <w:lang w:val="en-GB"/>
              </w:rPr>
            </w:pPr>
          </w:p>
        </w:tc>
        <w:tc>
          <w:tcPr>
            <w:tcW w:w="1073" w:type="pct"/>
          </w:tcPr>
          <w:p w14:paraId="360073BF" w14:textId="77777777" w:rsidR="00C1611E" w:rsidRPr="00E678AB" w:rsidRDefault="00C1611E" w:rsidP="001D4ABA">
            <w:pPr>
              <w:pStyle w:val="Compact"/>
              <w:jc w:val="right"/>
              <w:rPr>
                <w:lang w:val="en-GB"/>
              </w:rPr>
            </w:pPr>
          </w:p>
        </w:tc>
        <w:tc>
          <w:tcPr>
            <w:tcW w:w="593" w:type="pct"/>
          </w:tcPr>
          <w:p w14:paraId="4A653643" w14:textId="77777777" w:rsidR="00C1611E" w:rsidRPr="00E678AB" w:rsidRDefault="00C1611E" w:rsidP="001D4ABA">
            <w:pPr>
              <w:pStyle w:val="Compact"/>
              <w:jc w:val="right"/>
              <w:rPr>
                <w:lang w:val="en-GB"/>
              </w:rPr>
            </w:pPr>
          </w:p>
        </w:tc>
        <w:tc>
          <w:tcPr>
            <w:tcW w:w="303" w:type="pct"/>
          </w:tcPr>
          <w:p w14:paraId="27DF73F2" w14:textId="77777777" w:rsidR="00C1611E" w:rsidRPr="00E678AB" w:rsidRDefault="00C1611E" w:rsidP="001D4ABA">
            <w:pPr>
              <w:pStyle w:val="Compact"/>
              <w:jc w:val="right"/>
              <w:rPr>
                <w:lang w:val="en-GB"/>
              </w:rPr>
            </w:pPr>
          </w:p>
        </w:tc>
      </w:tr>
      <w:tr w:rsidR="0090392E" w:rsidRPr="00E678AB" w14:paraId="7B51FC0C" w14:textId="77777777" w:rsidTr="0090392E">
        <w:tc>
          <w:tcPr>
            <w:tcW w:w="862" w:type="pct"/>
          </w:tcPr>
          <w:p w14:paraId="36E472CF" w14:textId="36FAB9C9" w:rsidR="00C1611E" w:rsidRDefault="00C1611E" w:rsidP="00C1611E">
            <w:pPr>
              <w:pStyle w:val="Compact"/>
              <w:rPr>
                <w:lang w:val="en-GB"/>
              </w:rPr>
            </w:pPr>
            <w:r>
              <w:rPr>
                <w:lang w:val="en-GB"/>
              </w:rPr>
              <w:t>Colorectal and gastric cancer</w:t>
            </w:r>
          </w:p>
        </w:tc>
        <w:tc>
          <w:tcPr>
            <w:tcW w:w="773" w:type="pct"/>
          </w:tcPr>
          <w:p w14:paraId="75154A89" w14:textId="4C42C508" w:rsidR="00C1611E" w:rsidRDefault="00C1611E" w:rsidP="00C1611E">
            <w:pPr>
              <w:pStyle w:val="Compact"/>
              <w:rPr>
                <w:lang w:val="en-GB"/>
              </w:rPr>
            </w:pPr>
            <w:r w:rsidRPr="00E678AB">
              <w:rPr>
                <w:lang w:val="en-GB"/>
              </w:rPr>
              <w:t>5</w:t>
            </w:r>
          </w:p>
        </w:tc>
        <w:tc>
          <w:tcPr>
            <w:tcW w:w="666" w:type="pct"/>
          </w:tcPr>
          <w:p w14:paraId="4CD953B8" w14:textId="388DA3D1" w:rsidR="00C1611E" w:rsidRDefault="00C1611E" w:rsidP="00C1611E">
            <w:pPr>
              <w:pStyle w:val="Compact"/>
              <w:jc w:val="right"/>
              <w:rPr>
                <w:lang w:val="en-GB"/>
              </w:rPr>
            </w:pPr>
            <w:r>
              <w:rPr>
                <w:lang w:val="en-GB"/>
              </w:rPr>
              <w:t>73 (49.3)</w:t>
            </w:r>
          </w:p>
        </w:tc>
        <w:tc>
          <w:tcPr>
            <w:tcW w:w="731" w:type="pct"/>
          </w:tcPr>
          <w:p w14:paraId="486D8DB0" w14:textId="2CD24F96" w:rsidR="00C1611E" w:rsidRPr="00E678AB" w:rsidRDefault="00C1611E" w:rsidP="00C1611E">
            <w:pPr>
              <w:pStyle w:val="Compact"/>
              <w:jc w:val="right"/>
              <w:rPr>
                <w:lang w:val="en-GB"/>
              </w:rPr>
            </w:pPr>
            <w:r w:rsidRPr="00E678AB">
              <w:rPr>
                <w:lang w:val="en-GB"/>
              </w:rPr>
              <w:t>320</w:t>
            </w:r>
            <w:r>
              <w:rPr>
                <w:lang w:val="en-GB"/>
              </w:rPr>
              <w:t xml:space="preserve"> (58.3)</w:t>
            </w:r>
          </w:p>
        </w:tc>
        <w:tc>
          <w:tcPr>
            <w:tcW w:w="1073" w:type="pct"/>
          </w:tcPr>
          <w:p w14:paraId="2DE17C98" w14:textId="1B43EBFC" w:rsidR="00C1611E" w:rsidRPr="00E678AB" w:rsidRDefault="00C1611E" w:rsidP="00C1611E">
            <w:pPr>
              <w:pStyle w:val="Compact"/>
              <w:jc w:val="right"/>
              <w:rPr>
                <w:lang w:val="en-GB"/>
              </w:rPr>
            </w:pPr>
            <w:r w:rsidRPr="00E678AB">
              <w:rPr>
                <w:lang w:val="en-GB"/>
              </w:rPr>
              <w:t>71.5 (69.3 to 73.7)</w:t>
            </w:r>
          </w:p>
        </w:tc>
        <w:tc>
          <w:tcPr>
            <w:tcW w:w="593" w:type="pct"/>
          </w:tcPr>
          <w:p w14:paraId="3E759D06" w14:textId="009D9F58" w:rsidR="00C1611E" w:rsidRPr="00E678AB" w:rsidRDefault="00C1611E" w:rsidP="00C1611E">
            <w:pPr>
              <w:pStyle w:val="Compact"/>
              <w:jc w:val="right"/>
              <w:rPr>
                <w:lang w:val="en-GB"/>
              </w:rPr>
            </w:pPr>
            <w:r>
              <w:rPr>
                <w:lang w:val="en-GB"/>
              </w:rPr>
              <w:t>Ref</w:t>
            </w:r>
          </w:p>
        </w:tc>
        <w:tc>
          <w:tcPr>
            <w:tcW w:w="303" w:type="pct"/>
          </w:tcPr>
          <w:p w14:paraId="4115C5CC" w14:textId="4071999B" w:rsidR="00C1611E" w:rsidRPr="00E678AB" w:rsidRDefault="00C1611E" w:rsidP="00C1611E">
            <w:pPr>
              <w:pStyle w:val="Compact"/>
              <w:jc w:val="right"/>
              <w:rPr>
                <w:lang w:val="en-GB"/>
              </w:rPr>
            </w:pPr>
          </w:p>
        </w:tc>
      </w:tr>
      <w:tr w:rsidR="0090392E" w:rsidRPr="00E678AB" w14:paraId="0C91255A" w14:textId="77777777" w:rsidTr="0090392E">
        <w:tc>
          <w:tcPr>
            <w:tcW w:w="862" w:type="pct"/>
          </w:tcPr>
          <w:p w14:paraId="6693588E" w14:textId="77777777" w:rsidR="00C1611E" w:rsidRDefault="00C1611E" w:rsidP="00C1611E">
            <w:pPr>
              <w:pStyle w:val="Compact"/>
              <w:rPr>
                <w:lang w:val="en-GB"/>
              </w:rPr>
            </w:pPr>
          </w:p>
        </w:tc>
        <w:tc>
          <w:tcPr>
            <w:tcW w:w="773" w:type="pct"/>
          </w:tcPr>
          <w:p w14:paraId="3DB91D66" w14:textId="577C6E40" w:rsidR="00C1611E" w:rsidRDefault="00C1611E" w:rsidP="00C1611E">
            <w:pPr>
              <w:pStyle w:val="Compact"/>
              <w:rPr>
                <w:lang w:val="en-GB"/>
              </w:rPr>
            </w:pPr>
            <w:r w:rsidRPr="00E678AB">
              <w:rPr>
                <w:lang w:val="en-GB"/>
              </w:rPr>
              <w:t>4</w:t>
            </w:r>
          </w:p>
        </w:tc>
        <w:tc>
          <w:tcPr>
            <w:tcW w:w="666" w:type="pct"/>
          </w:tcPr>
          <w:p w14:paraId="01A9956B" w14:textId="5B9E6C68" w:rsidR="00C1611E" w:rsidRDefault="00C1611E" w:rsidP="00C1611E">
            <w:pPr>
              <w:pStyle w:val="Compact"/>
              <w:jc w:val="right"/>
              <w:rPr>
                <w:lang w:val="en-GB"/>
              </w:rPr>
            </w:pPr>
            <w:r>
              <w:rPr>
                <w:lang w:val="en-GB"/>
              </w:rPr>
              <w:t>41 (27.7)</w:t>
            </w:r>
          </w:p>
        </w:tc>
        <w:tc>
          <w:tcPr>
            <w:tcW w:w="731" w:type="pct"/>
          </w:tcPr>
          <w:p w14:paraId="61D5E8A9" w14:textId="67B1C5D8" w:rsidR="00C1611E" w:rsidRPr="00E678AB" w:rsidRDefault="00C1611E" w:rsidP="00C1611E">
            <w:pPr>
              <w:pStyle w:val="Compact"/>
              <w:jc w:val="right"/>
              <w:rPr>
                <w:lang w:val="en-GB"/>
              </w:rPr>
            </w:pPr>
            <w:r w:rsidRPr="00E678AB">
              <w:rPr>
                <w:lang w:val="en-GB"/>
              </w:rPr>
              <w:t>119</w:t>
            </w:r>
            <w:r>
              <w:rPr>
                <w:lang w:val="en-GB"/>
              </w:rPr>
              <w:t xml:space="preserve"> (21.7)</w:t>
            </w:r>
          </w:p>
        </w:tc>
        <w:tc>
          <w:tcPr>
            <w:tcW w:w="1073" w:type="pct"/>
          </w:tcPr>
          <w:p w14:paraId="664B7D7A" w14:textId="29FFD72C" w:rsidR="00C1611E" w:rsidRPr="00E678AB" w:rsidRDefault="00C1611E" w:rsidP="00C1611E">
            <w:pPr>
              <w:pStyle w:val="Compact"/>
              <w:jc w:val="right"/>
              <w:rPr>
                <w:lang w:val="en-GB"/>
              </w:rPr>
            </w:pPr>
            <w:r w:rsidRPr="00E678AB">
              <w:rPr>
                <w:lang w:val="en-GB"/>
              </w:rPr>
              <w:t>69.5 (65.5 to 73.5)</w:t>
            </w:r>
          </w:p>
        </w:tc>
        <w:tc>
          <w:tcPr>
            <w:tcW w:w="593" w:type="pct"/>
          </w:tcPr>
          <w:p w14:paraId="79198DB4" w14:textId="56EE7572" w:rsidR="00C1611E" w:rsidRPr="00E678AB" w:rsidRDefault="00C1611E" w:rsidP="00C1611E">
            <w:pPr>
              <w:pStyle w:val="Compact"/>
              <w:jc w:val="right"/>
              <w:rPr>
                <w:lang w:val="en-GB"/>
              </w:rPr>
            </w:pPr>
            <w:r w:rsidRPr="00E678AB">
              <w:rPr>
                <w:lang w:val="en-GB"/>
              </w:rPr>
              <w:t>0.92 (0.58 to 1.45)</w:t>
            </w:r>
          </w:p>
        </w:tc>
        <w:tc>
          <w:tcPr>
            <w:tcW w:w="303" w:type="pct"/>
          </w:tcPr>
          <w:p w14:paraId="645E312B" w14:textId="151C74AD" w:rsidR="00C1611E" w:rsidRPr="00E678AB" w:rsidRDefault="00C1611E" w:rsidP="00C1611E">
            <w:pPr>
              <w:pStyle w:val="Compact"/>
              <w:jc w:val="right"/>
              <w:rPr>
                <w:lang w:val="en-GB"/>
              </w:rPr>
            </w:pPr>
            <w:r w:rsidRPr="00E678AB">
              <w:rPr>
                <w:lang w:val="en-GB"/>
              </w:rPr>
              <w:t>0.723</w:t>
            </w:r>
          </w:p>
        </w:tc>
      </w:tr>
      <w:tr w:rsidR="0090392E" w:rsidRPr="00E678AB" w14:paraId="200D2B70" w14:textId="77777777" w:rsidTr="0090392E">
        <w:tc>
          <w:tcPr>
            <w:tcW w:w="862" w:type="pct"/>
          </w:tcPr>
          <w:p w14:paraId="6B5F1BDC" w14:textId="77777777" w:rsidR="00C1611E" w:rsidRDefault="00C1611E" w:rsidP="00C1611E">
            <w:pPr>
              <w:pStyle w:val="Compact"/>
              <w:rPr>
                <w:lang w:val="en-GB"/>
              </w:rPr>
            </w:pPr>
          </w:p>
        </w:tc>
        <w:tc>
          <w:tcPr>
            <w:tcW w:w="773" w:type="pct"/>
          </w:tcPr>
          <w:p w14:paraId="3ABCB810" w14:textId="7FB4D7A7" w:rsidR="00C1611E" w:rsidRDefault="00C1611E" w:rsidP="00C1611E">
            <w:pPr>
              <w:pStyle w:val="Compact"/>
              <w:rPr>
                <w:lang w:val="en-GB"/>
              </w:rPr>
            </w:pPr>
            <w:r>
              <w:rPr>
                <w:lang w:val="en-GB"/>
              </w:rPr>
              <w:t>≤</w:t>
            </w:r>
            <w:r w:rsidRPr="00E678AB">
              <w:rPr>
                <w:lang w:val="en-GB"/>
              </w:rPr>
              <w:t>3</w:t>
            </w:r>
          </w:p>
        </w:tc>
        <w:tc>
          <w:tcPr>
            <w:tcW w:w="666" w:type="pct"/>
          </w:tcPr>
          <w:p w14:paraId="74EE2270" w14:textId="57C21475" w:rsidR="00C1611E" w:rsidRDefault="00C1611E" w:rsidP="00C1611E">
            <w:pPr>
              <w:pStyle w:val="Compact"/>
              <w:jc w:val="right"/>
              <w:rPr>
                <w:lang w:val="en-GB"/>
              </w:rPr>
            </w:pPr>
            <w:r>
              <w:rPr>
                <w:lang w:val="en-GB"/>
              </w:rPr>
              <w:t>34 (23.0)</w:t>
            </w:r>
          </w:p>
        </w:tc>
        <w:tc>
          <w:tcPr>
            <w:tcW w:w="731" w:type="pct"/>
          </w:tcPr>
          <w:p w14:paraId="6EAC20B7" w14:textId="4B97B0D5" w:rsidR="00C1611E" w:rsidRPr="00E678AB" w:rsidRDefault="00C1611E" w:rsidP="00C1611E">
            <w:pPr>
              <w:pStyle w:val="Compact"/>
              <w:jc w:val="right"/>
              <w:rPr>
                <w:lang w:val="en-GB"/>
              </w:rPr>
            </w:pPr>
            <w:r w:rsidRPr="00E678AB">
              <w:rPr>
                <w:lang w:val="en-GB"/>
              </w:rPr>
              <w:t>110</w:t>
            </w:r>
            <w:r>
              <w:rPr>
                <w:lang w:val="en-GB"/>
              </w:rPr>
              <w:t xml:space="preserve"> (20.0)</w:t>
            </w:r>
          </w:p>
        </w:tc>
        <w:tc>
          <w:tcPr>
            <w:tcW w:w="1073" w:type="pct"/>
          </w:tcPr>
          <w:p w14:paraId="5C6FFA66" w14:textId="1567BD8A" w:rsidR="00C1611E" w:rsidRPr="00E678AB" w:rsidRDefault="00C1611E" w:rsidP="00C1611E">
            <w:pPr>
              <w:pStyle w:val="Compact"/>
              <w:jc w:val="right"/>
              <w:rPr>
                <w:lang w:val="en-GB"/>
              </w:rPr>
            </w:pPr>
            <w:r w:rsidRPr="00E678AB">
              <w:rPr>
                <w:lang w:val="en-GB"/>
              </w:rPr>
              <w:t>56.4 (51.8 to 60.9)</w:t>
            </w:r>
          </w:p>
        </w:tc>
        <w:tc>
          <w:tcPr>
            <w:tcW w:w="593" w:type="pct"/>
          </w:tcPr>
          <w:p w14:paraId="4EE606E0" w14:textId="47DF08A9" w:rsidR="00C1611E" w:rsidRPr="00E678AB" w:rsidRDefault="00C1611E" w:rsidP="00C1611E">
            <w:pPr>
              <w:pStyle w:val="Compact"/>
              <w:jc w:val="right"/>
              <w:rPr>
                <w:lang w:val="en-GB"/>
              </w:rPr>
            </w:pPr>
            <w:r w:rsidRPr="00E678AB">
              <w:rPr>
                <w:lang w:val="en-GB"/>
              </w:rPr>
              <w:t>0.51 (0.33 to 0.8)</w:t>
            </w:r>
          </w:p>
        </w:tc>
        <w:tc>
          <w:tcPr>
            <w:tcW w:w="303" w:type="pct"/>
          </w:tcPr>
          <w:p w14:paraId="69A2A7D3" w14:textId="6BFBFF35" w:rsidR="00C1611E" w:rsidRPr="00E678AB" w:rsidRDefault="00C1611E" w:rsidP="00C1611E">
            <w:pPr>
              <w:pStyle w:val="Compact"/>
              <w:jc w:val="right"/>
              <w:rPr>
                <w:lang w:val="en-GB"/>
              </w:rPr>
            </w:pPr>
            <w:r w:rsidRPr="00E678AB">
              <w:rPr>
                <w:lang w:val="en-GB"/>
              </w:rPr>
              <w:t>0.004</w:t>
            </w:r>
          </w:p>
        </w:tc>
      </w:tr>
    </w:tbl>
    <w:p w14:paraId="6B99F1C9" w14:textId="77777777" w:rsidR="003275A3" w:rsidRPr="00E678AB" w:rsidRDefault="003275A3">
      <w:pPr>
        <w:pStyle w:val="BodyText"/>
        <w:rPr>
          <w:lang w:val="en-GB"/>
        </w:rPr>
      </w:pPr>
    </w:p>
    <w:p w14:paraId="5781A580" w14:textId="77777777" w:rsidR="008C0377" w:rsidRDefault="008C0377">
      <w:pPr>
        <w:sectPr w:rsidR="008C0377" w:rsidSect="008C0377">
          <w:pgSz w:w="15840" w:h="12240" w:orient="landscape"/>
          <w:pgMar w:top="720" w:right="720" w:bottom="720" w:left="720" w:header="720" w:footer="720" w:gutter="0"/>
          <w:cols w:space="720"/>
          <w:docGrid w:linePitch="326"/>
        </w:sectPr>
      </w:pPr>
      <w:bookmarkStart w:id="12" w:name="X325d7ca2df4ec3175b9179a257a6bf1226de6fa"/>
    </w:p>
    <w:p w14:paraId="6773D343" w14:textId="5E1617CA" w:rsidR="003275A3" w:rsidRPr="003275A3" w:rsidRDefault="009D77B2" w:rsidP="003275A3">
      <w:pPr>
        <w:pStyle w:val="Heading4"/>
        <w:rPr>
          <w:b w:val="0"/>
          <w:bCs w:val="0"/>
          <w:lang w:val="en-GB"/>
        </w:rPr>
      </w:pPr>
      <w:r w:rsidRPr="00E678AB">
        <w:rPr>
          <w:lang w:val="en-GB"/>
        </w:rPr>
        <w:lastRenderedPageBreak/>
        <w:t xml:space="preserve">Figure </w:t>
      </w:r>
      <w:r w:rsidR="00857C5B">
        <w:rPr>
          <w:lang w:val="en-GB"/>
        </w:rPr>
        <w:t>4</w:t>
      </w:r>
      <w:r w:rsidRPr="00E678AB">
        <w:rPr>
          <w:lang w:val="en-GB"/>
        </w:rPr>
        <w:t xml:space="preserve">. Absolute risk for 30-day mortality associated with </w:t>
      </w:r>
      <w:r w:rsidR="00A239C6">
        <w:rPr>
          <w:lang w:val="en-GB"/>
        </w:rPr>
        <w:t xml:space="preserve">four or </w:t>
      </w:r>
      <w:r w:rsidR="00A239C6" w:rsidRPr="00A26F73">
        <w:rPr>
          <w:lang w:val="en-GB"/>
        </w:rPr>
        <w:t>more</w:t>
      </w:r>
      <w:r w:rsidR="0054212A" w:rsidRPr="00A26F73">
        <w:rPr>
          <w:lang w:val="en-GB"/>
        </w:rPr>
        <w:t xml:space="preserve"> hospital </w:t>
      </w:r>
      <w:r w:rsidR="00A26F73">
        <w:rPr>
          <w:lang w:val="en-GB"/>
        </w:rPr>
        <w:t>facilities</w:t>
      </w:r>
      <w:r w:rsidRPr="00E678AB">
        <w:rPr>
          <w:lang w:val="en-GB"/>
        </w:rPr>
        <w:t xml:space="preserve"> within each income group stratified by cancer type and gender</w:t>
      </w:r>
      <w:bookmarkEnd w:id="12"/>
      <w:r w:rsidR="003275A3">
        <w:rPr>
          <w:lang w:val="en-GB"/>
        </w:rPr>
        <w:br/>
      </w:r>
      <w:r w:rsidR="003275A3" w:rsidRPr="003275A3">
        <w:rPr>
          <w:rFonts w:asciiTheme="minorHAnsi" w:hAnsiTheme="minorHAnsi"/>
          <w:b w:val="0"/>
          <w:bCs w:val="0"/>
          <w:color w:val="000000" w:themeColor="text1"/>
          <w:sz w:val="20"/>
          <w:szCs w:val="20"/>
        </w:rPr>
        <w:t>Estimates</w:t>
      </w:r>
      <w:r w:rsidR="003275A3">
        <w:rPr>
          <w:rFonts w:asciiTheme="minorHAnsi" w:hAnsiTheme="minorHAnsi"/>
          <w:b w:val="0"/>
          <w:bCs w:val="0"/>
          <w:color w:val="000000" w:themeColor="text1"/>
          <w:sz w:val="20"/>
          <w:szCs w:val="20"/>
        </w:rPr>
        <w:t xml:space="preserve"> for</w:t>
      </w:r>
      <w:r w:rsidR="00E21299">
        <w:rPr>
          <w:rFonts w:asciiTheme="minorHAnsi" w:hAnsiTheme="minorHAnsi"/>
          <w:b w:val="0"/>
          <w:bCs w:val="0"/>
          <w:color w:val="000000" w:themeColor="text1"/>
          <w:sz w:val="20"/>
          <w:szCs w:val="20"/>
        </w:rPr>
        <w:t xml:space="preserve"> a patient of</w:t>
      </w:r>
      <w:r w:rsidR="003275A3">
        <w:rPr>
          <w:rFonts w:asciiTheme="minorHAnsi" w:hAnsiTheme="minorHAnsi"/>
          <w:b w:val="0"/>
          <w:bCs w:val="0"/>
          <w:color w:val="000000" w:themeColor="text1"/>
          <w:sz w:val="20"/>
          <w:szCs w:val="20"/>
        </w:rPr>
        <w:t xml:space="preserve"> age 60 years, performance status 1, ASA grade 2, cancer stage III, and elective surgery.</w:t>
      </w:r>
      <w:r w:rsidR="003275A3">
        <w:rPr>
          <w:rFonts w:asciiTheme="minorHAnsi" w:hAnsiTheme="minorHAnsi"/>
          <w:b w:val="0"/>
          <w:bCs w:val="0"/>
          <w:color w:val="000000" w:themeColor="text1"/>
          <w:sz w:val="20"/>
          <w:szCs w:val="20"/>
        </w:rPr>
        <w:br/>
      </w:r>
    </w:p>
    <w:p w14:paraId="71F877D2" w14:textId="70313DEA" w:rsidR="00CF7BC4" w:rsidRPr="00E678AB" w:rsidRDefault="00194973">
      <w:pPr>
        <w:pStyle w:val="FirstParagraph"/>
        <w:rPr>
          <w:lang w:val="en-GB"/>
        </w:rPr>
      </w:pPr>
      <w:r>
        <w:rPr>
          <w:noProof/>
        </w:rPr>
        <w:drawing>
          <wp:inline distT="0" distB="0" distL="0" distR="0" wp14:anchorId="2C213258" wp14:editId="55B54D1D">
            <wp:extent cx="6858000" cy="45720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HLS_analysis_writeup_files/figure-docx/unnamed-chunk-45-1.png"/>
                    <pic:cNvPicPr>
                      <a:picLocks noChangeAspect="1" noChangeArrowheads="1"/>
                    </pic:cNvPicPr>
                  </pic:nvPicPr>
                  <pic:blipFill>
                    <a:blip r:embed="rId11"/>
                    <a:stretch>
                      <a:fillRect/>
                    </a:stretch>
                  </pic:blipFill>
                  <pic:spPr bwMode="auto">
                    <a:xfrm>
                      <a:off x="0" y="0"/>
                      <a:ext cx="6858000" cy="4572000"/>
                    </a:xfrm>
                    <a:prstGeom prst="rect">
                      <a:avLst/>
                    </a:prstGeom>
                    <a:noFill/>
                    <a:ln w="9525">
                      <a:noFill/>
                      <a:headEnd/>
                      <a:tailEnd/>
                    </a:ln>
                  </pic:spPr>
                </pic:pic>
              </a:graphicData>
            </a:graphic>
          </wp:inline>
        </w:drawing>
      </w:r>
    </w:p>
    <w:p w14:paraId="6419A388" w14:textId="77777777" w:rsidR="00CF7BC4" w:rsidRPr="00E678AB" w:rsidRDefault="009D77B2">
      <w:r w:rsidRPr="00E678AB">
        <w:br w:type="page"/>
      </w:r>
    </w:p>
    <w:p w14:paraId="320CF960" w14:textId="77777777" w:rsidR="00CF7BC4" w:rsidRPr="00E678AB" w:rsidRDefault="009D77B2">
      <w:pPr>
        <w:pStyle w:val="Heading3"/>
        <w:rPr>
          <w:lang w:val="en-GB"/>
        </w:rPr>
      </w:pPr>
      <w:bookmarkStart w:id="13" w:name="discussion"/>
      <w:r w:rsidRPr="00E678AB">
        <w:rPr>
          <w:lang w:val="en-GB"/>
        </w:rPr>
        <w:lastRenderedPageBreak/>
        <w:t>Discussion</w:t>
      </w:r>
      <w:bookmarkEnd w:id="13"/>
    </w:p>
    <w:p w14:paraId="27312C56" w14:textId="032B316A" w:rsidR="00E4501F" w:rsidRDefault="00E4501F" w:rsidP="00E4501F">
      <w:pPr>
        <w:pStyle w:val="FirstParagraph"/>
      </w:pPr>
      <w:r>
        <w:t xml:space="preserve">In this prospective study of patients undergoing cancer surgery in 238 hospitals from 66 countries, higher availability of specific </w:t>
      </w:r>
      <w:r w:rsidR="00DF115A" w:rsidRPr="00544CEF">
        <w:t>hospital infrastructure and</w:t>
      </w:r>
      <w:r w:rsidR="00DF115A">
        <w:t xml:space="preserve"> </w:t>
      </w:r>
      <w:r>
        <w:t xml:space="preserve">resources were associated with improved outcomes. In particular, these capacities indicated an improved ability to prevent mortality following </w:t>
      </w:r>
      <w:r w:rsidR="00CB645A">
        <w:t xml:space="preserve">the development of postoperative </w:t>
      </w:r>
      <w:r>
        <w:t xml:space="preserve">complications, with up to </w:t>
      </w:r>
      <w:r w:rsidR="00CB645A">
        <w:t>four</w:t>
      </w:r>
      <w:r>
        <w:t xml:space="preserve"> fewer deaths per 100 operations performed. Importantly, these findings were independent of country income group. Improving </w:t>
      </w:r>
      <w:r w:rsidRPr="00544CEF">
        <w:t xml:space="preserve">hospital </w:t>
      </w:r>
      <w:r w:rsidR="00544CEF" w:rsidRPr="00544CEF">
        <w:t>facilities</w:t>
      </w:r>
      <w:r w:rsidR="00544CEF">
        <w:t xml:space="preserve"> </w:t>
      </w:r>
      <w:r>
        <w:t xml:space="preserve">has long been thought to influence clinical outcomes in lower income settings; the magnitude of this effect is now clear. </w:t>
      </w:r>
    </w:p>
    <w:p w14:paraId="252A9477" w14:textId="5B75B795" w:rsidR="00CF7BC4" w:rsidRPr="00E678AB" w:rsidRDefault="009D77B2">
      <w:pPr>
        <w:pStyle w:val="BodyText"/>
        <w:rPr>
          <w:lang w:val="en-GB"/>
        </w:rPr>
      </w:pPr>
      <w:r w:rsidRPr="00E678AB">
        <w:rPr>
          <w:lang w:val="en-GB"/>
        </w:rPr>
        <w:t>Despite the overall mortality benefit seen in hospitals</w:t>
      </w:r>
      <w:r w:rsidR="00FF3912">
        <w:rPr>
          <w:lang w:val="en-GB"/>
        </w:rPr>
        <w:t xml:space="preserve"> </w:t>
      </w:r>
      <w:r w:rsidR="00FF3912">
        <w:t>with more resources and strong processes</w:t>
      </w:r>
      <w:r w:rsidRPr="00E678AB">
        <w:rPr>
          <w:lang w:val="en-GB"/>
        </w:rPr>
        <w:t xml:space="preserve">, many patients do not have access to </w:t>
      </w:r>
      <w:r w:rsidR="009321A1">
        <w:rPr>
          <w:lang w:val="en-GB"/>
        </w:rPr>
        <w:t>such</w:t>
      </w:r>
      <w:r w:rsidR="00C7369E">
        <w:rPr>
          <w:lang w:val="en-GB"/>
        </w:rPr>
        <w:t xml:space="preserve"> facilities</w:t>
      </w:r>
      <w:r w:rsidRPr="00E678AB">
        <w:rPr>
          <w:lang w:val="en-GB"/>
        </w:rPr>
        <w:t>, particularly in low income settings.</w:t>
      </w:r>
      <w:r w:rsidR="009329DE" w:rsidRPr="00E678AB">
        <w:rPr>
          <w:lang w:val="en-GB"/>
        </w:rPr>
        <w:fldChar w:fldCharType="begin"/>
      </w:r>
      <w:r w:rsidR="00F3627B">
        <w:rPr>
          <w:lang w:val="en-GB"/>
        </w:rPr>
        <w:instrText xml:space="preserve"> ADDIN ZOTERO_ITEM CSL_CITATION {"citationID":"k5rd3ldD","properties":{"formattedCitation":"\\super 34,35\\nosupersub{}","plainCitation":"34,35","noteIndex":0},"citationItems":[{"id":5489,"uris":["http://zotero.org/users/4732780/items/VGZ3FY9V"],"uri":["http://zotero.org/users/4732780/items/VGZ3FY9V"],"itemData":{"id":5489,"type":"article-journal","abstract":"BACKGROUND: Cancer is set to become a major cause of morbidity and mortality in the coming decades in every region of the world. We aimed to assess the changing patterns of cancer according to varying levels of human development.\nMETHODS: We used four levels (low, medium, high, and very high) of the Human Development Index (HDI), a composite indicator of life expectancy, education, and gross domestic product per head, to highlight cancer-specific patterns in 2008 (on the basis of GLOBOCAN estimates) and trends 1988-2002 (on the basis of the series in Cancer Incidence in Five Continents), and to produce future burden scenario for 2030 according to projected demographic changes alone and trends-based changes for selected cancer sites.\nFINDINGS: In the highest HDI regions in 2008, cancers of the female breast, lung, colorectum, and prostate accounted for half the overall cancer burden, whereas in medium HDI regions, cancers of the oesophagus, stomach, and liver were also common, and together these seven cancers comprised 62% of the total cancer burden in medium to very high HDI areas. In low HDI regions, cervical cancer was more common than both breast cancer and liver cancer. Nine different cancers were the most commonly diagnosed in men across 184 countries, with cancers of the prostate, lung, and liver being the most common. Breast and cervical cancers were the most common in women. In medium HDI and high HDI settings, decreases in cervical and stomach cancer incidence seem to be offset by increases in the incidence of cancers of the female breast, prostate, and colorectum. If the cancer-specific and sex-specific trends estimated in this study continue, we predict an increase in the incidence of all-cancer cases from 12·7 million new cases in 2008 to 22·2 million by 2030.\nINTERPRETATION: Our findings suggest that rapid societal and economic transition in many countries means that any reductions in infection-related cancers are offset by an increasing number of new cases that are more associated with reproductive, dietary, and hormonal factors. Targeted interventions can lead to a decrease in the projected increases in cancer burden through effective primary prevention strategies, alongside the implementation of vaccination, early detection, and effective treatment programmes.\nFUNDING: None.","container-title":"The Lancet. Oncology","DOI":"10.1016/S1470-2045(12)70211-5","ISSN":"1474-5488","issue":"8","journalAbbreviation":"Lancet Oncol","language":"eng","note":"PMID: 22658655","page":"790-801","source":"PubMed","title":"Global cancer transitions according to the Human Development Index (2008-2030): a population-based study","title-short":"Global cancer transitions according to the Human Development Index (2008-2030)","volume":"13","author":[{"family":"Bray","given":"Freddie"},{"family":"Jemal","given":"Ahmedin"},{"family":"Grey","given":"Nathan"},{"family":"Ferlay","given":"Jacques"},{"family":"Forman","given":"David"}],"issued":{"date-parts":[["2012",8]]}}},{"id":5103,"uris":["http://zotero.org/users/4732780/items/2R65D98J"],"uri":["http://zotero.org/users/4732780/items/2R65D98J"],"itemData":{"id":5103,"type":"article-journal","abstract":"&lt;h2&gt;Summary&lt;/h2&gt;&lt;h3&gt;Background&lt;/h3&gt;&lt;p&gt;In 2015, the second cycle of the CONCORD programme established global surveillance of cancer survival as a metric of the effectiveness of health systems and to inform global policy on cancer control. CONCORD-3 updates the worldwide surveillance of cancer survival to 2014.&lt;/p&gt;&lt;h3&gt;Methods&lt;/h3&gt;&lt;p&gt;CONCORD-3 includes individual records for 37·5 million patients diagnosed with cancer during the 15-year period 2000–14. Data were provided by 322 population-based cancer registries in 71 countries and territories, 47 of which provided data with 100% population coverage. The study includes 18 cancers or groups of cancers: oesophagus, stomach, colon, rectum, liver, pancreas, lung, breast (women), cervix, ovary, prostate, and melanoma of the skin in adults, and brain tumours, leukaemias, and lymphomas in both adults and children. Standardised quality control procedures were applied; errors were rectified by the registry concerned. We estimated 5-year net survival. Estimates were age-standardised with the International Cancer Survival Standard weights.&lt;/p&gt;&lt;h3&gt;Findings&lt;/h3&gt;&lt;p&gt;For most cancers, 5-year net survival remains among the highest in the world in the USA and Canada, in Australia and New Zealand, and in Finland, Iceland, Norway, and Sweden. For many cancers, Denmark is closing the survival gap with the other Nordic countries. Survival trends are generally increasing, even for some of the more lethal cancers: in some countries, survival has increased by up to 5% for cancers of the liver, pancreas, and lung. For women diagnosed during 2010–14, 5-year survival for breast cancer is now 89·5% in Australia and 90·2% in the USA, but international differences remain very wide, with levels as low as 66·1% in India. For gastrointestinal cancers, the highest levels of 5-year survival are seen in southeast Asia: in South Korea for cancers of the stomach (68·9%), colon (71·8%), and rectum (71·1%); in Japan for oesophageal cancer (36·0%); and in Taiwan for liver cancer (27·9%). By contrast, in the same world region, survival is generally lower than elsewhere for melanoma of the skin (59·9% in South Korea, 52·1% in Taiwan, and 49·6% in China), and for both lymphoid malignancies (52·5%, 50·5%, and 38·3%) and myeloid malignancies (45·9%, 33·4%, and 24·8%). For children diagnosed during 2010–14, 5-year survival for acute lymphoblastic leukaemia ranged from 49·8% in Ecuador to 95·2% in Finland. 5-year survival from brain tumours in children is higher than for adults but the global range is very wide (from 28·9% in Brazil to nearly 80% in Sweden and Denmark).&lt;/p&gt;&lt;h3&gt;Interpretation&lt;/h3&gt;&lt;p&gt;The CONCORD programme enables timely comparisons of the overall effectiveness of health systems in providing care for 18 cancers that collectively represent 75% of all cancers diagnosed worldwide every year. It contributes to the evidence base for global policy on cancer control. Since 2017, the Organisation for Economic Co-operation and Development has used findings from the CONCORD programme as the official benchmark of cancer survival, among their indicators of the quality of health care in 48 countries worldwide. Governments must recognise population-based cancer registries as key policy tools that can be used to evaluate both the impact of cancer prevention strategies and the effectiveness of health systems for all patients diagnosed with cancer.&lt;/p&gt;&lt;h3&gt;Funding&lt;/h3&gt;&lt;p&gt;American Cancer Society; Centers for Disease Control and Prevention; Swiss Re; Swiss Cancer Research foundation; Swiss Cancer League; Institut National du Cancer; La Ligue Contre le Cancer; Rossy Family Foundation; US National Cancer Institute; and the Susan G Komen Foundation.&lt;/p&gt;","container-title":"The Lancet","DOI":"10.1016/S0140-6736(17)33326-3","ISSN":"0140-6736, 1474-547X","issue":"10125","journalAbbreviation":"The Lancet","language":"English","note":"PMID: 29395269","page":"1023-1075","source":"www.thelancet.com","title":"Global surveillance of trends in cancer survival 2000–14 (CONCORD-3): analysis of individual records for 37 513 025 patients diagnosed with one of 18 cancers from 322 population-based registries in 71 countries","title-short":"Global surveillance of trends in cancer survival 2000–14 (CONCORD-3)","volume":"391","author":[{"family":"Allemani","given":"Claudia"},{"family":"Matsuda","given":"Tomohiro"},{"family":"Carlo","given":"Veronica Di"},{"family":"Harewood","given":"Rhea"},{"family":"Matz","given":"Melissa"},{"family":"Nikšić","given":"Maja"},{"family":"Bonaventure","given":"Audrey"},{"family":"Valkov","given":"Mikhail"},{"family":"Johnson","given":"Christopher J."},{"family":"Estève","given":"Jacques"},{"family":"Ogunbiyi","given":"Olufemi J."},{"family":"Silva","given":"Gulnar Azevedo","dropping-particle":"e"},{"family":"Chen","given":"Wan-Qing"},{"family":"Eser","given":"Sultan"},{"family":"Engholm","given":"Gerda"},{"family":"Stiller","given":"Charles A."},{"family":"Monnereau","given":"Alain"},{"family":"Woods","given":"Ryan R."},{"family":"Visser","given":"Otto"},{"family":"Lim","given":"Gek Hsiang"},{"family":"Aitken","given":"Joanne"},{"family":"Weir","given":"Hannah K."},{"family":"Coleman","given":"Michel P."},{"family":"Bouzbid","given":"S."},{"family":"Hamdi-Chérif","given":"M."},{"family":"Zaidi","given":"Z."},{"family":"Meguenni","given":"K."},{"family":"Regagba","given":"D."},{"family":"Bayo","given":"S."},{"family":"Bougadari","given":"T. Cheick"},{"family":"Manraj","given":"S. S."},{"family":"Bendahhou","given":"K."},{"family":"Fabowale","given":"A."},{"family":"Bradshaw","given":"D."},{"family":"Somdyala","given":"N. I. M."},{"family":"Kumcher","given":"I."},{"family":"Moreno","given":"F."},{"family":"Calabrano","given":"G. H."},{"family":"Espinola","given":"S. B."},{"family":"Quintero","given":"B. Carballo"},{"family":"Fita","given":"R."},{"family":"Diumenjo","given":"M. C."},{"family":"Laspada","given":"W. D."},{"family":"Ibañez","given":"S. G."},{"family":"Lima","given":"C. A."},{"family":"Souza","given":"P. C. F. De"},{"family":"Pino","given":"K. Del"},{"family":"Laporte","given":"C."},{"family":"Curado","given":"M. P."},{"family":"Oliveira","given":"J. C.","dropping-particle":"de"},{"family":"Veneziano","given":"C. L. A."},{"family":"Veneziano","given":"D. B."},{"family":"Latorre","given":"M. R. D. O."},{"family":"Tanaka","given":"L. F."},{"family":"Rebelo","given":"M. S."},{"family":"Santos","given":"M. O."},{"family":"Galaz","given":"J. C."},{"family":"Aravena","given":"M. Aparicio"},{"family":"Monsalve","given":"J. Sanhueza"},{"family":"Herrmann","given":"D. A."},{"family":"Vargas","given":"S."},{"family":"Herrera","given":"V. M."},{"family":"Uribe","given":"C. J."},{"family":"Bravo","given":"L. E."},{"family":"Garcia","given":"L. S."},{"family":"Arias-Ortiz","given":"N. E."},{"family":"Morantes","given":"D."},{"family":"Jurado","given":"D. M."},{"family":"Chamorro","given":"M. C. Yépez"},{"family":"Delgado","given":"S."},{"family":"Ramirez","given":"M."},{"family":"Alvarez","given":"Y. H. Galán"},{"family":"Torres","given":"P."},{"family":"Martínez-Reyes","given":"F."},{"family":"Jaramillo","given":"L."},{"family":"Quinto","given":"R."},{"family":"Castillo","given":"J."},{"family":"Mendoza","given":"M."},{"family":"Cueva","given":"P."},{"family":"Yépez","given":"J. G."},{"family":"Bhakkan","given":"B."},{"family":"Deloumeaux","given":"J."},{"family":"Joachim","given":"C."},{"family":"Macni","given":"J."},{"family":"Carrillo","given":"R."},{"family":"Klincovstein","given":"J. Shalkow"},{"family":"Gomez","given":"R. Rivera"},{"family":"Poquioma","given":"E."},{"family":"Tortolero-Luna","given":"G."},{"family":"Zavala","given":"D."},{"family":"Alonso","given":"R."},{"family":"Barrios","given":"E."},{"family":"Eckstrand","given":"A."},{"family":"Nikiforuk","given":"C."},{"family":"Noonan","given":"G."},{"family":"Turner","given":"D."},{"family":"Kumar","given":"E."},{"family":"Zhang","given":"B."},{"family":"McCrate","given":"F. R."},{"family":"Ryan","given":"S."},{"family":"MacIntyre","given":"M."},{"family":"Saint-Jacques","given":"N."},{"family":"Nishri","given":"D. E."},{"family":"McClure","given":"C. A."},{"family":"Vriends","given":"K. A."},{"family":"Kozie","given":"S."},{"family":"Stuart-Panko","given":"H."},{"family":"Freeman","given":"T."},{"family":"George","given":"J. T."},{"family":"Brockhouse","given":"J. T."},{"family":"O'Brien","given":"D. K."},{"family":"Holt","given":"A."},{"family":"Almon","given":"L."},{"family":"Kwong","given":"S."},{"family":"Morris","given":"C."},{"family":"Rycroft","given":"R."},{"family":"Mueller","given":"L."},{"family":"Phillips","given":"C. E."},{"family":"Brown","given":"H."},{"family":"Cromartie","given":"B."},{"family":"Schwartz","given":"A. G."},{"family":"Vigneau","given":"F."},{"family":"Levin","given":"G. M."},{"family":"Wohler","given":"B."},{"family":"Bayakly","given":"R."},{"family":"Ward","given":"K. C."},{"family":"Gomez","given":"S. L."},{"family":"McKinley","given":"M."},{"family":"Cress","given":"R."},{"family":"Green","given":"M. D."},{"family":"Miyagi","given":"K."},{"family":"Ruppert","given":"L. P."},{"family":"Lynch","given":"C. F."},{"family":"Huang","given":"B."},{"family":"Tucker","given":"T. C."},{"family":"Deapen","given":"D."},{"family":"Liu","given":"L."},{"family":"Hsieh","given":"M. C."},{"family":"Wu","given":"X. C."},{"family":"Schwenn","given":"M."},{"family":"Gershman","given":"S. T."},{"family":"Knowlton","given":"R. C."},{"family":"Alverson","given":"G."},{"family":"Copeland","given":"G. E."},{"family":"Bushhouse","given":"S."},{"family":"Rogers","given":"D. B."},{"family":"Jackson-Thompson","given":"J."},{"family":"Lemons","given":"D."},{"family":"Zimmerman","given":"H. J."},{"family":"Hood","given":"M."},{"family":"Roberts-Johnson","given":"J."},{"family":"Rees","given":"J. R."},{"family":"Riddle","given":"B."},{"family":"Pawlish","given":"K. S."},{"family":"Stroup","given":"A."},{"family":"Key","given":"C."},{"family":"Wiggins","given":"C."},{"family":"Kahn","given":"A. R."},{"family":"Schymura","given":"M. J."},{"family":"Radhakrishnan","given":"S."},{"family":"Rao","given":"C."},{"family":"Giljahn","given":"L. K."},{"family":"Slocumb","given":"R. M."},{"family":"Espinoza","given":"R. E."},{"family":"Khan","given":"F."},{"family":"Aird","given":"K. G."},{"family":"Beran","given":"T."},{"family":"Rubertone","given":"J. J."},{"family":"Slack","given":"S. J."},{"family":"Garcia","given":"L."},{"family":"Rousseau","given":"D. L."},{"family":"Janes","given":"T. A."},{"family":"Schwartz","given":"S. M."},{"family":"Bolick","given":"S. W."},{"family":"Hurley","given":"D. M."},{"family":"Whiteside","given":"M. A."},{"family":"Miller-Gianturco","given":"P."},{"family":"Williams","given":"M. A."},{"family":"Herget","given":"K."},{"family":"Sweeney","given":"C."},{"family":"Johnson","given":"A. T."},{"family":"Cheteri","given":"M. B. Keitheri"},{"family":"Santiago","given":"P. Migliore"},{"family":"Blankenship","given":"S. E."},{"family":"Farley","given":"S."},{"family":"Borchers","given":"R."},{"family":"Malicki","given":"R."},{"family":"Espinoza","given":"J. R."},{"family":"Grandpre","given":"J."},{"family":"Wilson","given":"R."},{"family":"Edwards","given":"B. K."},{"family":"Mariotto","given":"A."},{"family":"Lei","given":"Y."},{"family":"Wang","given":"N."},{"family":"Chen","given":"J. S."},{"family":"Zhou","given":"Y."},{"family":"He","given":"Y. T."},{"family":"Song","given":"G. H."},{"family":"Gu","given":"X. P."},{"family":"Mei","given":"D."},{"family":"Mu","given":"H. J."},{"family":"Ge","given":"H. M."},{"family":"Wu","given":"T. H."},{"family":"Li","given":"Y. Y."},{"family":"Zhao","given":"D. L."},{"family":"Jin","given":"F."},{"family":"Zhang","given":"J. H."},{"family":"Zhu","given":"F. D."},{"family":"Junhua","given":"Q."},{"family":"Yang","given":"Y. L."},{"family":"Jiang","given":"C. X."},{"family":"Biao","given":"W."},{"family":"Wang","given":"J."},{"family":"Li","given":"Q. L."},{"family":"Yi","given":"H."},{"family":"Zhou","given":"X."},{"family":"Dong","given":"J."},{"family":"Li","given":"W."},{"family":"Fu","given":"F. X."},{"family":"Liu","given":"S. Z."},{"family":"Chen","given":"J. G."},{"family":"Zhu","given":"J."},{"family":"Li","given":"Y. H."},{"family":"Lu","given":"Y. Q."},{"family":"Fan","given":"M."},{"family":"Huang","given":"S. Q."},{"family":"Guo","given":"G. P."},{"family":"Zhaolai","given":"H."},{"family":"Wei","given":"K."},{"family":"Zeng","given":"H."},{"family":"Demetriou","given":"A. V."},{"family":"Mang","given":"W. K."},{"family":"Ngan","given":"K. C."},{"family":"Kataki","given":"A. C."},{"family":"Krishnatreya","given":"M."},{"family":"Jayalekshmi","given":"P. A."},{"family":"Sebastian","given":"P."},{"family":"Nandakumar","given":"A."},{"family":"Malekzadeh","given":"R."},{"family":"Roshandel","given":"G."},{"family":"Keinan-Boker","given":"L."},{"family":"Silverman","given":"B. G."},{"family":"Ito","given":"H."},{"family":"Nakagawa","given":"H."},{"family":"Sato","given":"M."},{"family":"Tobori","given":"F."},{"family":"Nakata","given":"I."},{"family":"Teramoto","given":"N."},{"family":"Hattori","given":"M."},{"family":"Kaizaki","given":"Y."},{"family":"Moki","given":"F."},{"family":"Sugiyama","given":"H."},{"family":"Utada","given":"M."},{"family":"Nishimura","given":"M."},{"family":"Yoshida","given":"K."},{"family":"Kurosawa","given":"K."},{"family":"Nemoto","given":"Y."},{"family":"Narimatsu","given":"H."},{"family":"Sakaguchi","given":"M."},{"family":"Kanemura","given":"S."},{"family":"Naito","given":"M."},{"family":"Narisawa","given":"R."},{"family":"Miyashiro","given":"I."},{"family":"Nakata","given":"K."},{"family":"Sato","given":"S."},{"family":"Yoshii","given":"M."},{"family":"Oki","given":"I."},{"family":"Fukushima","given":"N."},{"family":"Shibata","given":"A."},{"family":"Iwasa","given":"K."},{"family":"Ono","given":"C."},{"family":"Nimri","given":"O."},{"family":"Jung","given":"K. W."},{"family":"Won","given":"Y. J."},{"family":"Alawadhi","given":"E."},{"family":"Elbasmi","given":"A."},{"family":"Manan","given":"A. Ab"},{"family":"Adam","given":"F."},{"family":"Sanjaajmats","given":"E."},{"family":"Tudev","given":"U."},{"family":"Ochir","given":"C."},{"family":"Khater","given":"A. M. Al"},{"family":"Mistiri","given":"M. M. El"},{"family":"Teo","given":"Y. Y."},{"family":"Chiang","given":"C. J."},{"family":"Lee","given":"W. C."},{"family":"Buasom","given":"R."},{"family":"Sangrajrang","given":"S."},{"family":"Kamsa-ard","given":"S."},{"family":"Wiangnon","given":"S."},{"family":"Daoprasert","given":"K."},{"family":"Pongnikorn","given":"D."},{"family":"Leklob","given":"A."},{"family":"Sangkitipaiboon","given":"S."},{"family":"Geater","given":"S. L."},{"family":"Sriplung","given":"H."},{"family":"Ceylan","given":"O."},{"family":"Kög","given":"I."},{"family":"Dirican","given":"O."},{"family":"Köse","given":"T."},{"family":"Gurbuz","given":"T."},{"family":"Karaşahin","given":"F. E."},{"family":"Turhan","given":"D."},{"family":"Aktaş","given":"U."},{"family":"Halat","given":"Y."},{"family":"Yakut","given":"C. I."},{"family":"Altinisik","given":"M."},{"family":"Cavusoglu","given":"Y."},{"family":"Türkköylü","given":"A."},{"family":"Üçüncü","given":"N."},{"family":"Hackl","given":"M."},{"family":"Zborovskaya","given":"A. A."},{"family":"Aleinikova","given":"O. V."},{"family":"Henau","given":"K."},{"family":"Eycken","given":"L. Van"},{"family":"Valerianova","given":"Z."},{"family":"Yordanova","given":"M. R."},{"family":"Šekerija","given":"M."},{"family":"Dušek","given":"L."},{"family":"Zvolský","given":"M."},{"family":"Storm","given":"H."},{"family":"Innos","given":"K."},{"family":"Mägi","given":"M."},{"family":"Malila","given":"N."},{"family":"Seppä","given":"K."},{"family":"Jégu","given":"J."},{"family":"Velten","given":"M."},{"family":"Cornet","given":"E."},{"family":"Troussard","given":"X."},{"family":"Bouvier","given":"A. M."},{"family":"Guizard","given":"A. V."},{"family":"Bouvier","given":"V."},{"family":"Launoy","given":"G."},{"family":"Arveux","given":"P."},{"family":"Maynadié","given":"M."},{"family":"Mounier","given":"M."},{"family":"Woronoff","given":"A. S."},{"family":"Daoulas","given":"M."},{"family":"Robaszkiewicz","given":"M."},{"family":"Clavel","given":"J."},{"family":"Goujon","given":"S."},{"family":"Lacour","given":"B."},{"family":"Baldi","given":"I."},{"family":"Pouchieu","given":"C."},{"family":"Amadeo","given":"B."},{"family":"Coureau","given":"G."},{"family":"Orazio","given":"S."},{"family":"Preux","given":"P. M."},{"family":"Rharbaoui","given":"F."},{"family":"Marrer","given":"E."},{"family":"Trétarre","given":"B."},{"family":"Colonna","given":"M."},{"family":"Delafosse","given":"P."},{"family":"Ligier","given":"K."},{"family":"Plouvier","given":"S."},{"family":"Cowppli-Bony","given":"A."},{"family":"Molinié","given":"F."},{"family":"Bara","given":"S."},{"family":"Ganry","given":"O."},{"family":"Lapôtre-Ledoux","given":"B."},{"family":"Grosclaude","given":"P."},{"family":"Bossard","given":"N."},{"family":"Uhry","given":"Z."},{"family":"Bray","given":"F."},{"family":"Piñeros","given":"M."},{"family":"Stabenow","given":"R."},{"family":"Wilsdorf-Köhler","given":"H."},{"family":"Eberle","given":"A."},{"family":"Luttmann","given":"S."},{"family":"Löhden","given":"I."},{"family":"Nennecke","given":"A. L."},{"family":"Kieschke","given":"J."},{"family":"Sirri","given":"E."},{"family":"Emrich","given":"K."},{"family":"Zeissig","given":"S. R."},{"family":"Holleczek","given":"B."},{"family":"Eisemann","given":"N."},{"family":"Katalinic","given":"A."},{"family":"Asquez","given":"R. A."},{"family":"Kumar","given":"V."},{"family":"Petridou","given":"E."},{"family":"Ólafsdóttir","given":"E. J."},{"family":"Tryggvadóttir","given":"L."},{"family":"Clough-Gorr","given":"K."},{"family":"Walsh","given":"P. M."},{"family":"Sundseth","given":"H."},{"family":"Mazzoleni","given":"G."},{"family":"Vittadello","given":"F."},{"family":"Coviello","given":"E."},{"family":"Cuccaro","given":"F."},{"family":"Galasso","given":"R."},{"family":"Sampietro","given":"G."},{"family":"Giacomin","given":"A."},{"family":"Magoni","given":"M."},{"family":"Ardizzone","given":"A."},{"family":"D'Argenzio","given":"A."},{"family":"Castaing","given":"M."},{"family":"Grosso","given":"G."},{"family":"Lavecchia","given":"A. M."},{"family":"Sardo","given":"A. Sutera"},{"family":"Gola","given":"G."},{"family":"Gatti","given":"L."},{"family":"Ricci","given":"P."},{"family":"Ferretti","given":"S."},{"family":"Serraino","given":"D."},{"family":"Zucchetto","given":"A."},{"family":"Celesia","given":"M. V."},{"family":"Filiberti","given":"R. A."},{"family":"Pannozzo","given":"F."},{"family":"Melcarne","given":"A."},{"family":"Quarta","given":"F."},{"family":"Russo","given":"A. G."},{"family":"Carrozzi","given":"G."},{"family":"Cirilli","given":"C."},{"family":"Oro","given":"L. Cavalieri","non-dropping-particle":"d'"},{"family":"Rognoni","given":"M."},{"family":"Fusco","given":"M."},{"family":"Vitale","given":"M. F."},{"family":"Usala","given":"M."},{"family":"Cusimano","given":"R."},{"family":"Mazzucco","given":"W."},{"family":"Michiara","given":"M."},{"family":"Sgargi","given":"P."},{"family":"Boschetti","given":"L."},{"family":"Borciani","given":"E."},{"family":"Seghini","given":"P."},{"family":"Maule","given":"M. M."},{"family":"Merletti","given":"F."},{"family":"Tumino","given":"R."},{"family":"Mancuso","given":"P."},{"family":"Vicentini","given":"M."},{"family":"Cassetti","given":"T."},{"family":"Sassatelli","given":"R."},{"family":"Falcini","given":"F."},{"family":"Giorgetti","given":"S."},{"family":"Caiazzo","given":"A. L."},{"family":"Cavallo","given":"R."},{"family":"Cesaraccio","given":"R."},{"family":"Pirino","given":"D. R."},{"family":"Contrino","given":"M. L."},{"family":"Tisano","given":"F."},{"family":"Fanetti","given":"A. C."},{"family":"Maspero","given":"S."},{"family":"Carone","given":"S."},{"family":"Mincuzzi","given":"A."},{"family":"Candela","given":"G."},{"family":"Scuderi","given":"T."},{"family":"Gentilini","given":"M. A."},{"family":"Piffer","given":"S."},{"family":"Rosso","given":"S."},{"family":"Barchielli","given":"A."},{"family":"Caldarella","given":"A."},{"family":"Bianconi","given":"F."},{"family":"Stracci","given":"F."},{"family":"Contiero","given":"P."},{"family":"Tagliabue","given":"G."},{"family":"Rugge","given":"M."},{"family":"Zorzi","given":"M."},{"family":"Beggiato","given":"S."},{"family":"Brustolin","given":"A."},{"family":"Berrino","given":"F."},{"family":"Gatta","given":"G."},{"family":"Sant","given":"M."},{"family":"Buzzoni","given":"C."},{"family":"Mangone","given":"L."},{"family":"Capocaccia","given":"R."},{"family":"Angelis","given":"R. De"},{"family":"Zanetti","given":"R."},{"family":"Maurina","given":"A."},{"family":"Pildava","given":"S."},{"family":"Lipunova","given":"N."},{"family":"Vincerževskiené","given":"I."},{"family":"Agius","given":"D."},{"family":"Calleja","given":"N."},{"family":"Siesling","given":"S."},{"family":"Larønningen","given":"S."},{"family":"Møller","given":"B."},{"family":"Dyzmann-Sroka","given":"A."},{"family":"Trojanowski","given":"M."},{"family":"Góźdź","given":"S."},{"family":"Mężyk","given":"R."},{"family":"Mierzwa","given":"T."},{"family":"Molong","given":"L."},{"family":"Rachtan","given":"J."},{"family":"Szewczyk","given":"S."},{"family":"Błaszczyk","given":"J."},{"family":"Kępska","given":"K."},{"family":"Kościańska","given":"B."},{"family":"Tarocińska","given":"K."},{"family":"Zwierko","given":"M."},{"family":"Drosik","given":"K."},{"family":"Maksimowicz","given":"K. M."},{"family":"Purwin-Porowska","given":"E."},{"family":"Reca","given":"E."},{"family":"Wójcik-Tomaszewska","given":"J."},{"family":"Tukiendorf","given":"A."},{"family":"Grądalska-Lampart","given":"M."},{"family":"Radziszewska","given":"A. U."},{"family":"Gos","given":"A."},{"family":"Talerczyk","given":"M."},{"family":"Wyborska","given":"M."},{"family":"Didkowska","given":"J. A."},{"family":"Wojciechowska","given":"U."},{"family":"Bielska-Lasota","given":"M."},{"family":"Lacerda","given":"G. Forjaz","dropping-particle":"de"},{"family":"Rego","given":"R. A."},{"family":"Bastos","given":"J."},{"family":"Silva","given":"M. A."},{"family":"Antunes","given":"L."},{"family":"Pontes","given":"J. Laranja"},{"family":"Mayer-da-Silva","given":"A."},{"family":"Miranda","given":"A."},{"family":"Blaga","given":"L. M."},{"family":"Coza","given":"D."},{"family":"Gusenkova","given":"L."},{"family":"Lazarevich","given":"O."},{"family":"Prudnikova","given":"O."},{"family":"Vjushkov","given":"D. M."},{"family":"Egorova","given":"A. G."},{"family":"Orlov","given":"A. E."},{"family":"Kudyakov","given":"L. A."},{"family":"Pikalova","given":"L. V."},{"family":"Adamcik","given":"J."},{"family":"Diba","given":"C. Safaei"},{"family":"Primic-Žakelj","given":"M."},{"family":"Zadnik","given":"V."},{"family":"Larrañaga","given":"N."},{"family":"Munain","given":"A. Lopez","dropping-particle":"de"},{"family":"Herrera","given":"A. A."},{"family":"Redondas","given":"R."},{"family":"Marcos-Gragera","given":"R."},{"family":"Gil","given":"M. L. Vilardell"},{"family":"Molina","given":"E."},{"family":"Perez","given":"M. J. Sánchez"},{"family":"Sureda","given":"P. Franch"},{"family":"Montserrat","given":"M. Ramos"},{"family":"Chirlaque","given":"M. D."},{"family":"Navarro","given":"C."},{"family":"Ardanaz","given":"E. E."},{"family":"Guevara","given":"M. M."},{"family":"Fernández-Delgado","given":"R."},{"family":"Peris-Bonet","given":"R."},{"family":"Carulla","given":"M."},{"family":"Galceran","given":"J."},{"family":"Alberich","given":"C."},{"family":"Vicente-Raneda","given":"M."},{"family":"Khan","given":"S."},{"family":"Pettersson","given":"D."},{"family":"Dickman","given":"P."},{"family":"Avelina","given":"I."},{"family":"Staehelin","given":"K."},{"family":"Camey","given":"B."},{"family":"Bouchardy","given":"C."},{"family":"Schaffar","given":"R."},{"family":"Frick","given":"H."},{"family":"Herrmann","given":"C."},{"family":"Bulliard","given":"J. L."},{"family":"Maspoli-Conconi","given":"M."},{"family":"Kuehni","given":"C. E."},{"family":"Redmond","given":"S. M."},{"family":"Bordoni","given":"A."},{"family":"Ortelli","given":"L."},{"family":"Chiolero","given":"A."},{"family":"Konzelmann","given":"I."},{"family":"Matthes","given":"K. L."},{"family":"Rohrmann","given":"S."},{"family":"Broggio","given":"J."},{"family":"Rashbass","given":"J."},{"family":"Fitzpatrick","given":"D."},{"family":"Gavin","given":"A."},{"family":"Clark","given":"D. I."},{"family":"Deas","given":"A. J."},{"family":"Huws","given":"D. W."},{"family":"White","given":"C."},{"family":"Montel","given":"L."},{"family":"Rachet","given":"B."},{"family":"Turculet","given":"A. D."},{"family":"Stephens","given":"R."},{"family":"Chalker","given":"E."},{"family":"Phung","given":"H."},{"family":"Walton","given":"R."},{"family":"You","given":"H."},{"family":"Guthridge","given":"S."},{"family":"Johnson","given":"F."},{"family":"Gordon","given":"P."},{"family":"D'Onise","given":"K."},{"family":"Priest","given":"K."},{"family":"Stokes","given":"B. C."},{"family":"Venn","given":"A."},{"family":"Farrugia","given":"H."},{"family":"Thursfield","given":"V."},{"family":"Dowling","given":"J."},{"family":"Currow","given":"D."},{"family":"Hendrix","given":"J."},{"family":"Lewis","given":"C."}],"issued":{"date-parts":[["2018",3,17]]}}}],"schema":"https://github.com/citation-style-language/schema/raw/master/csl-citation.json"} </w:instrText>
      </w:r>
      <w:r w:rsidR="009329DE" w:rsidRPr="00E678AB">
        <w:rPr>
          <w:lang w:val="en-GB"/>
        </w:rPr>
        <w:fldChar w:fldCharType="separate"/>
      </w:r>
      <w:r w:rsidR="00F3627B" w:rsidRPr="00F3627B">
        <w:rPr>
          <w:rFonts w:ascii="Cambria" w:cs="Times New Roman"/>
          <w:vertAlign w:val="superscript"/>
        </w:rPr>
        <w:t>34,35</w:t>
      </w:r>
      <w:r w:rsidR="009329DE" w:rsidRPr="00E678AB">
        <w:rPr>
          <w:lang w:val="en-GB"/>
        </w:rPr>
        <w:fldChar w:fldCharType="end"/>
      </w:r>
      <w:r w:rsidR="009329DE" w:rsidRPr="00E678AB">
        <w:rPr>
          <w:lang w:val="en-GB"/>
        </w:rPr>
        <w:t xml:space="preserve"> </w:t>
      </w:r>
      <w:r w:rsidRPr="00E678AB">
        <w:rPr>
          <w:lang w:val="en-GB"/>
        </w:rPr>
        <w:t xml:space="preserve">Improvements in </w:t>
      </w:r>
      <w:r w:rsidRPr="00544CEF">
        <w:rPr>
          <w:lang w:val="en-GB"/>
        </w:rPr>
        <w:t xml:space="preserve">hospital </w:t>
      </w:r>
      <w:r w:rsidR="006E58CB" w:rsidRPr="00544CEF">
        <w:rPr>
          <w:lang w:val="en-GB"/>
        </w:rPr>
        <w:t>facilit</w:t>
      </w:r>
      <w:r w:rsidR="00544CEF" w:rsidRPr="00544CEF">
        <w:rPr>
          <w:lang w:val="en-GB"/>
        </w:rPr>
        <w:t>ies</w:t>
      </w:r>
      <w:r w:rsidRPr="00E678AB">
        <w:rPr>
          <w:lang w:val="en-GB"/>
        </w:rPr>
        <w:t xml:space="preserve"> are known to be cost-effective</w:t>
      </w:r>
      <w:r w:rsidR="009329DE" w:rsidRPr="00E678AB">
        <w:rPr>
          <w:lang w:val="en-GB"/>
        </w:rPr>
        <w:t>,</w:t>
      </w:r>
      <w:r w:rsidR="009329DE" w:rsidRPr="00E678AB">
        <w:rPr>
          <w:lang w:val="en-GB"/>
        </w:rPr>
        <w:fldChar w:fldCharType="begin"/>
      </w:r>
      <w:r w:rsidR="009329DE" w:rsidRPr="00E678AB">
        <w:rPr>
          <w:lang w:val="en-GB"/>
        </w:rPr>
        <w:instrText xml:space="preserve"> ADDIN ZOTERO_ITEM CSL_CITATION {"citationID":"Oo9EPakw","properties":{"formattedCitation":"\\super 3\\nosupersub{}","plainCitation":"3","noteIndex":0},"citationItems":[{"id":5457,"uris":["http://zotero.org/users/4732780/items/PY2DHEYG"],"uri":["http://zotero.org/users/4732780/items/PY2DHEYG"],"itemData":{"id":5457,"type":"article-journal","abstract":"&lt;h2&gt;Summary&lt;/h2&gt;&lt;h3&gt;Background&lt;/h3&gt;&lt;p&gt;In addition to increased availability of treatment modalities, advanced imaging modalities are increasingly recommended to improve global cancer care. However, estimates of the costs and benefits of investments to improve cancer survival are scarce, especially for low-income and middle-income countries (LMICs). In this analysis, we aimed to estimate the costs and lifetime health and economic benefits of scaling up imaging and treatment modality packages on cancer survival, both globally and by country income group.&lt;/p&gt;&lt;h3&gt;Methods&lt;/h3&gt;&lt;p&gt;Using a previously developed model of global cancer survival, we estimated stage-specific cancer survival and life-years gained (accounting for competing mortality) in 200 countries and territories for patients diagnosed with one of 11 cancers (oesophagus, stomach, colon, rectum, anus, liver, pancreas, lung, breast, cervix uteri, and prostate) representing 60% of all cancer diagnoses between 2020 and 2030 (inclusive of full years). We evaluated the costs and health and economic benefits of scaling up packages of treatment (chemotherapy, surgery, radiotherapy, and targeted therapy), imaging modalities (ultrasound, x-ray, CT, MRI, PET, single-photon emission CT), and quality of care to the mean level of high-income countries, separately and in combination, compared with no scale-up. Costs and benefits are presented in 2018 US$ and discounted at 3% annually.&lt;/p&gt;&lt;h3&gt;Findings&lt;/h3&gt;&lt;p&gt;For the 11 cancers studied, we estimated that without scale-up (ie, with current availability of treatment, imaging, and quality of care) there will be 76·0 million cancer deaths (95% UI 73·9–78·6) globally for patients diagnosed between 2020 and 2030, with more than 70% of these deaths occurring in LMICs. Comprehensive scale-up of treatment, imaging, and quality of care could avert 12·5% (95% UI 9·0–16·3) of these deaths globally, ranging from 2·8% (1·8–4·3) in high-income countries to 38·2% (32·6–44·5) in low-income countries. Globally, we estimate that comprehensive scale-up would cost an additional $232·9 billion (95% UI 85·9–422·0) between 2020 and 2030 (representing a 6·9% increase in cancer treatment costs), but produce $2·9 trillion (1·8–4·0) in lifetime economic benefits, yielding a return of $12·43 (6·47–33·23) per dollar invested. Scaling up treatment and quality of care without imaging would yield a return of $6·15 (2·66–16·71) per dollar invested and avert 7·0% (3·9–10·3) of cancer deaths worldwide.&lt;/p&gt;&lt;h3&gt;Interpretation&lt;/h3&gt;&lt;p&gt;Simultaneous investment in cancer treatment, imaging, and quality of care could yield substantial health and economic benefits, especially in LMICs. These results provide a compelling rationale for the value of investing in the global scale-up of cancer care.&lt;/p&gt;&lt;h3&gt;Funding&lt;/h3&gt;&lt;p&gt;Harvard TH Chan School of Public Health and National Cancer Institute.&lt;/p&gt;","container-title":"The Lancet Oncology","DOI":"10.1016/S1470-2045(20)30750-6","ISSN":"1470-2045, 1474-5488","issue":"3","journalAbbreviation":"The Lancet Oncology","language":"English","note":"publisher: Elsevier\nPMID: 33662286","page":"341-350","source":"www.thelancet.com","title":"Global costs, health benefits, and economic benefits of scaling up treatment and imaging modalities for survival of 11 cancers: a simulation-based analysis","title-short":"Global costs, health benefits, and economic benefits of scaling up treatment and imaging modalities for survival of 11 cancers","volume":"22","author":[{"family":"Ward","given":"Zachary J."},{"family":"Scott","given":"Andrew M."},{"family":"Hricak","given":"Hedvig"},{"family":"Atun","given":"Rifat"}],"issued":{"date-parts":[["2021",3,1]]}}}],"schema":"https://github.com/citation-style-language/schema/raw/master/csl-citation.json"} </w:instrText>
      </w:r>
      <w:r w:rsidR="009329DE" w:rsidRPr="00E678AB">
        <w:rPr>
          <w:lang w:val="en-GB"/>
        </w:rPr>
        <w:fldChar w:fldCharType="separate"/>
      </w:r>
      <w:r w:rsidR="009329DE" w:rsidRPr="00E678AB">
        <w:rPr>
          <w:rFonts w:ascii="Cambria" w:cs="Times New Roman"/>
          <w:vertAlign w:val="superscript"/>
          <w:lang w:val="en-GB"/>
        </w:rPr>
        <w:t>3</w:t>
      </w:r>
      <w:r w:rsidR="009329DE" w:rsidRPr="00E678AB">
        <w:rPr>
          <w:lang w:val="en-GB"/>
        </w:rPr>
        <w:fldChar w:fldCharType="end"/>
      </w:r>
      <w:r w:rsidR="009329DE" w:rsidRPr="00E678AB">
        <w:rPr>
          <w:lang w:val="en-GB"/>
        </w:rPr>
        <w:t xml:space="preserve"> </w:t>
      </w:r>
      <w:r w:rsidRPr="00E678AB">
        <w:rPr>
          <w:lang w:val="en-GB"/>
        </w:rPr>
        <w:t xml:space="preserve">however the absence of high-quality data limits interpretability, while the impact of </w:t>
      </w:r>
      <w:r w:rsidRPr="00544CEF">
        <w:rPr>
          <w:lang w:val="en-GB"/>
        </w:rPr>
        <w:t xml:space="preserve">specific hospital </w:t>
      </w:r>
      <w:r w:rsidR="00544CEF">
        <w:rPr>
          <w:lang w:val="en-GB"/>
        </w:rPr>
        <w:t>facilities</w:t>
      </w:r>
      <w:r w:rsidRPr="00E678AB">
        <w:rPr>
          <w:lang w:val="en-GB"/>
        </w:rPr>
        <w:t xml:space="preserve"> </w:t>
      </w:r>
      <w:r w:rsidR="008C04D8">
        <w:t>on outcomes following cancer surgery worldwide were previously unclear.</w:t>
      </w:r>
      <w:r w:rsidRPr="00E678AB">
        <w:rPr>
          <w:lang w:val="en-GB"/>
        </w:rPr>
        <w:t xml:space="preserve"> Strategic planning mandates detailed and accurate information, so that appropriate resources can be allocated and quality improvement prioritised. Determining the effectiveness of </w:t>
      </w:r>
      <w:r w:rsidR="00AB0961">
        <w:rPr>
          <w:lang w:val="en-GB"/>
        </w:rPr>
        <w:t>specific</w:t>
      </w:r>
      <w:r w:rsidRPr="00E678AB">
        <w:rPr>
          <w:lang w:val="en-GB"/>
        </w:rPr>
        <w:t xml:space="preserve"> </w:t>
      </w:r>
      <w:r w:rsidR="00F65852" w:rsidRPr="00544CEF">
        <w:rPr>
          <w:lang w:val="en-GB"/>
        </w:rPr>
        <w:t>facilit</w:t>
      </w:r>
      <w:r w:rsidR="00544CEF" w:rsidRPr="00544CEF">
        <w:rPr>
          <w:lang w:val="en-GB"/>
        </w:rPr>
        <w:t>ie</w:t>
      </w:r>
      <w:r w:rsidR="00544CEF">
        <w:rPr>
          <w:lang w:val="en-GB"/>
        </w:rPr>
        <w:t>s</w:t>
      </w:r>
      <w:r w:rsidRPr="00E678AB">
        <w:rPr>
          <w:lang w:val="en-GB"/>
        </w:rPr>
        <w:t xml:space="preserve"> can guide future investment and provide a platform for continued assessment of hospital performance.</w:t>
      </w:r>
    </w:p>
    <w:p w14:paraId="37525640" w14:textId="7811B364" w:rsidR="00FB2623" w:rsidRDefault="00FB2623" w:rsidP="00FB2623">
      <w:pPr>
        <w:pStyle w:val="BodyText"/>
      </w:pPr>
      <w:r>
        <w:t xml:space="preserve">Our results offer a concrete approach by focusing on </w:t>
      </w:r>
      <w:r w:rsidRPr="00544CEF">
        <w:t xml:space="preserve">specific </w:t>
      </w:r>
      <w:r w:rsidR="00544CEF" w:rsidRPr="00544CEF">
        <w:t xml:space="preserve">infrastructure and </w:t>
      </w:r>
      <w:r w:rsidRPr="00544CEF">
        <w:t>resources</w:t>
      </w:r>
      <w:r>
        <w:t xml:space="preserve"> in hospitals worldwide. Such hospitals perform significantly better than others without them</w:t>
      </w:r>
      <w:r w:rsidR="007F3B91">
        <w:t>: i</w:t>
      </w:r>
      <w:r>
        <w:t xml:space="preserve">n </w:t>
      </w:r>
      <w:r w:rsidR="002A6148">
        <w:t xml:space="preserve">the 62 hospitals with </w:t>
      </w:r>
      <w:r w:rsidR="002A6148" w:rsidRPr="003E1BE9">
        <w:t xml:space="preserve">three or less </w:t>
      </w:r>
      <w:r w:rsidR="003E1BE9" w:rsidRPr="003E1BE9">
        <w:t>fac</w:t>
      </w:r>
      <w:r w:rsidR="003E1BE9">
        <w:t>ilities</w:t>
      </w:r>
      <w:r w:rsidR="002A6148">
        <w:t xml:space="preserve">, mortality rates were three times higher than in 113 hospitals with </w:t>
      </w:r>
      <w:r w:rsidR="002A6148" w:rsidRPr="003E1BE9">
        <w:t xml:space="preserve">all </w:t>
      </w:r>
      <w:r w:rsidR="003E1BE9">
        <w:t>facilities</w:t>
      </w:r>
      <w:r w:rsidR="002A6148">
        <w:t xml:space="preserve"> </w:t>
      </w:r>
      <w:r w:rsidR="007F3B91">
        <w:t>present</w:t>
      </w:r>
      <w:r w:rsidR="009309D7">
        <w:t>.</w:t>
      </w:r>
      <w:r>
        <w:t xml:space="preserve"> This difference was explained by a 50% increase in the capacity to rescue patients following the development of a major complication, despite similar complication rates. These relationships were robust in sensitivity analysis and a similar trend was identified when all eleven hospital </w:t>
      </w:r>
      <w:r w:rsidR="001261C4">
        <w:t>facilities</w:t>
      </w:r>
      <w:r>
        <w:t xml:space="preserve"> were included. This suggests that a strategy of </w:t>
      </w:r>
      <w:r w:rsidRPr="006138A6">
        <w:t>expanding system capabilities</w:t>
      </w:r>
      <w:r>
        <w:t xml:space="preserve"> at hospitals, particularly in low- and middle-income settings, could markedly improve outcomes and patient access to safe, effective surgical care.</w:t>
      </w:r>
    </w:p>
    <w:p w14:paraId="0B491D94" w14:textId="1D6E195C" w:rsidR="00CF7BC4" w:rsidRPr="00E678AB" w:rsidRDefault="009D77B2">
      <w:pPr>
        <w:pStyle w:val="BodyText"/>
        <w:rPr>
          <w:lang w:val="en-GB"/>
        </w:rPr>
      </w:pPr>
      <w:r w:rsidRPr="00E678AB">
        <w:rPr>
          <w:lang w:val="en-GB"/>
        </w:rPr>
        <w:t xml:space="preserve">Others have found similar relationships between </w:t>
      </w:r>
      <w:r w:rsidRPr="00A72CFC">
        <w:rPr>
          <w:lang w:val="en-GB"/>
        </w:rPr>
        <w:t xml:space="preserve">key hospital </w:t>
      </w:r>
      <w:r w:rsidR="00A72CFC">
        <w:rPr>
          <w:lang w:val="en-GB"/>
        </w:rPr>
        <w:t>facilities</w:t>
      </w:r>
      <w:r w:rsidRPr="00E678AB">
        <w:rPr>
          <w:lang w:val="en-GB"/>
        </w:rPr>
        <w:t xml:space="preserve"> and mortality. Funk et al found that the presence of complex medical oncology services and specific radiology services were important to lowering mortality in </w:t>
      </w:r>
      <w:proofErr w:type="spellStart"/>
      <w:r w:rsidRPr="00E678AB">
        <w:rPr>
          <w:lang w:val="en-GB"/>
        </w:rPr>
        <w:t>oesophagectomy</w:t>
      </w:r>
      <w:proofErr w:type="spellEnd"/>
      <w:r w:rsidRPr="00E678AB">
        <w:rPr>
          <w:lang w:val="en-GB"/>
        </w:rPr>
        <w:t xml:space="preserve"> patients.</w:t>
      </w:r>
      <w:r w:rsidR="009329DE" w:rsidRPr="00E678AB">
        <w:rPr>
          <w:lang w:val="en-GB"/>
        </w:rPr>
        <w:fldChar w:fldCharType="begin"/>
      </w:r>
      <w:r w:rsidR="004859B7">
        <w:rPr>
          <w:lang w:val="en-GB"/>
        </w:rPr>
        <w:instrText xml:space="preserve"> ADDIN ZOTERO_ITEM CSL_CITATION {"citationID":"6qvQCnym","properties":{"formattedCitation":"\\super 6\\nosupersub{}","plainCitation":"6","noteIndex":0},"citationItems":[{"id":5460,"uris":["http://zotero.org/users/4732780/items/W8P2KD4X"],"uri":["http://zotero.org/users/4732780/items/W8P2KD4X"],"itemData":{"id":5460,"type":"article-journal","abstract":"OBJECTIVE: To evaluate the association between systems characteristics and esophagectomy mortality at low-volume hospitals\nBACKGROUND: High-volume hospitals have lower esophagectomy mortality rates, but receiving care at such centers is not always feasible. We examined low-volume hospitals and sought to identify characteristics of those with better outcomes.\nMETHODS: Using national data from Medicare and the American Hospital Association, we studied 4498 elderly patients who underwent an esophagectomy from 2004 to 2007. We divided hospitals into terciles based on esophagectomy volume and examined characteristics of patients and hospitals (size, nurse ratios, and presence of advanced medical, surgical, and radiological services). Our primary outcome was mortality. We identified 5 potentially beneficial systems characteristics in our data set and used multivariable logistic regression to determine whether these characteristics were associated with lower mortality rates at low-volume hospitals.\nRESULTS: Of the 874 hospitals that performed esophagectomies, 83% (723) were low-volume hospitals whereas only 3% (25) were high-volume. Low-volume hospitals performed a median of 1 esophagectomy during the 4-year study period and cared for patients that were older, more likely to be minority, and more likely to have multiple comorbidities compared with high-volume centers. Low-volume hospitals that had at least 3 of 5 characteristics (high nurse ratios, lung transplantation services, complex medical oncology services, bariatric surgery services, and positron emission tomography scanners) had markedly lower mortality rates compared with low-volume hospitals with none of these characteristics (12.5% vs. 5.0%; P value = 0.042).\nCONCLUSIONS: Low-volume hospitals with certain systems characteristics seem to achieve better esophagectomy outcomes. A more comprehensive study of the beneficial characteristics of low-volume hospitals is warranted because high-volume hospitals are difficult to access for many patients.","container-title":"Annals of Surgery","DOI":"10.1097/SLA.0b013e318213862f","ISSN":"1528-1140","issue":"5","journalAbbreviation":"Ann Surg","language":"eng","note":"PMID: 21422913\nPMCID: PMC7065506","page":"912-917","source":"PubMed","title":"Esophagectomy outcomes at low-volume hospitals: the association between systems characteristics and mortality","title-short":"Esophagectomy outcomes at low-volume hospitals","volume":"253","author":[{"family":"Funk","given":"Luke M."},{"family":"Gawande","given":"Atul A."},{"family":"Semel","given":"Marcus E."},{"family":"Lipsitz","given":"Stuart R."},{"family":"Berry","given":"William R."},{"family":"Zinner","given":"Michael J."},{"family":"Jha","given":"Ashish K."}],"issued":{"date-parts":[["2011",5]]}}}],"schema":"https://github.com/citation-style-language/schema/raw/master/csl-citation.json"} </w:instrText>
      </w:r>
      <w:r w:rsidR="009329DE" w:rsidRPr="00E678AB">
        <w:rPr>
          <w:lang w:val="en-GB"/>
        </w:rPr>
        <w:fldChar w:fldCharType="separate"/>
      </w:r>
      <w:r w:rsidR="004859B7" w:rsidRPr="004859B7">
        <w:rPr>
          <w:rFonts w:ascii="Cambria" w:cs="Times New Roman"/>
          <w:vertAlign w:val="superscript"/>
        </w:rPr>
        <w:t>6</w:t>
      </w:r>
      <w:r w:rsidR="009329DE" w:rsidRPr="00E678AB">
        <w:rPr>
          <w:lang w:val="en-GB"/>
        </w:rPr>
        <w:fldChar w:fldCharType="end"/>
      </w:r>
      <w:r w:rsidRPr="00E678AB">
        <w:rPr>
          <w:lang w:val="en-GB"/>
        </w:rPr>
        <w:t xml:space="preserve"> Similarly, Joseph et al found that several institutional characteristics had a stronger influence on operative mortality following pancreatic resection than hospital volume.</w:t>
      </w:r>
      <w:r w:rsidR="009329DE" w:rsidRPr="00E678AB">
        <w:rPr>
          <w:lang w:val="en-GB"/>
        </w:rPr>
        <w:fldChar w:fldCharType="begin"/>
      </w:r>
      <w:r w:rsidR="00F3627B">
        <w:rPr>
          <w:lang w:val="en-GB"/>
        </w:rPr>
        <w:instrText xml:space="preserve"> ADDIN ZOTERO_ITEM CSL_CITATION {"citationID":"KHiTrlj1","properties":{"formattedCitation":"\\super 36\\nosupersub{}","plainCitation":"36","noteIndex":0},"citationItems":[{"id":5491,"uris":["http://zotero.org/users/4732780/items/WJDBN2TN"],"uri":["http://zotero.org/users/4732780/items/WJDBN2TN"],"itemData":{"id":5491,"type":"article-journal","abstract":"BACKGROUND: The relationship between hospital volume and perioperative mortality in pancreaticoduodenectomy has been well established. We studied whether associations exist between hospital volume and hospital clinical resources and between both of these factors to mortality to help explain this relationship.\nSTUDY DESIGN: This two-part study reviewed publicly available hospital information from the Leapfrog Group, HealthGrades, and hospital Web sites. Hospitals were evaluated for Leapfrog ICU staffing criteria and Safe Practice Score; HealthGrades five-star rating for complex gastrointestinal procedures and operations; and presence of a general surgery residency, gastroenterology fellowship, and interventional radiology. Evaluation used trend analysis and multiple logistic regression analysis. The second part determined the mortality rate for pancreaticoduodenectomy using inpatient mortality data from the National Inpatient Sample and Leapfrog. Hospitals were categorized by low volume (&lt; or = 10/year), high volume (&gt; or = 11/year), strong clinical support (presence of all support factors), and weak clinical support (absence of any factor). Data were correlated by number of pancreatic resections per hospital, hospital system clinical resources, and operative mortality.\nRESULTS: As hospital volume increased, statistically significant increases occurred in the frequency of hospitals meeting Leapfrog ICU staffing criteria (p &lt; 0.0001), Leapfrog Safe Practice Score (p = 0.0004), HealthGrades 5-star rating (p &lt; 0.00001), general surgery residency (p &lt; 0.00001), gastroenterology fellowship (p &lt; 0.00001), and interventional radiology services (p &lt; 0.00001). No significant relationships were found between resection volume and any one of the clinical support factors and perioperative death. Presence of strong clinical support was associated with lower mortality (odds ratio = 0.32; p = 0.001).\nCONCLUSIONS: System clinical resources were more influential in operative mortality for pancreatic resection. This might help explain why high-volume hospitals, low-volume surgeons in high-volume institutions, and some lower-volume hospitals with excellent clinical resources have lower perioperative mortality rates for pancreatic resection.","container-title":"Journal of the American College of Surgeons","DOI":"10.1016/j.jamcollsurg.2009.01.019","ISSN":"1879-1190","issue":"4","journalAbbreviation":"J Am Coll Surg","language":"eng","note":"PMID: 19476785","page":"520-527","source":"PubMed","title":"Relationship between hospital volume, system clinical resources, and mortality in pancreatic resection","volume":"208","author":[{"family":"Joseph","given":"Bellal"},{"family":"Morton","given":"John M."},{"family":"Hernandez-Boussard","given":"Tina"},{"family":"Rubinfeld","given":"Ilan"},{"family":"Faraj","given":"Chadi"},{"family":"Velanovich","given":"Vic"}],"issued":{"date-parts":[["2009",4]]}}}],"schema":"https://github.com/citation-style-language/schema/raw/master/csl-citation.json"} </w:instrText>
      </w:r>
      <w:r w:rsidR="009329DE" w:rsidRPr="00E678AB">
        <w:rPr>
          <w:lang w:val="en-GB"/>
        </w:rPr>
        <w:fldChar w:fldCharType="separate"/>
      </w:r>
      <w:r w:rsidR="00F3627B" w:rsidRPr="00F3627B">
        <w:rPr>
          <w:rFonts w:ascii="Cambria" w:cs="Times New Roman"/>
          <w:vertAlign w:val="superscript"/>
        </w:rPr>
        <w:t>36</w:t>
      </w:r>
      <w:r w:rsidR="009329DE" w:rsidRPr="00E678AB">
        <w:rPr>
          <w:lang w:val="en-GB"/>
        </w:rPr>
        <w:fldChar w:fldCharType="end"/>
      </w:r>
      <w:r w:rsidR="009329DE" w:rsidRPr="00E678AB">
        <w:rPr>
          <w:lang w:val="en-GB"/>
        </w:rPr>
        <w:t xml:space="preserve"> </w:t>
      </w:r>
      <w:r w:rsidRPr="00E678AB">
        <w:rPr>
          <w:lang w:val="en-GB"/>
        </w:rPr>
        <w:t>However, differences in major morbidity following surgery are often undescribed</w:t>
      </w:r>
      <w:r w:rsidR="009329DE" w:rsidRPr="00E678AB">
        <w:rPr>
          <w:lang w:val="en-GB"/>
        </w:rPr>
        <w:t>.</w:t>
      </w:r>
      <w:r w:rsidR="009329DE" w:rsidRPr="00E678AB">
        <w:rPr>
          <w:lang w:val="en-GB"/>
        </w:rPr>
        <w:fldChar w:fldCharType="begin"/>
      </w:r>
      <w:r w:rsidR="00F3627B">
        <w:rPr>
          <w:lang w:val="en-GB"/>
        </w:rPr>
        <w:instrText xml:space="preserve"> ADDIN ZOTERO_ITEM CSL_CITATION {"citationID":"fsThhV3Q","properties":{"formattedCitation":"\\super 6,29\\nosupersub{}","plainCitation":"6,29","noteIndex":0},"citationItems":[{"id":5460,"uris":["http://zotero.org/users/4732780/items/W8P2KD4X"],"uri":["http://zotero.org/users/4732780/items/W8P2KD4X"],"itemData":{"id":5460,"type":"article-journal","abstract":"OBJECTIVE: To evaluate the association between systems characteristics and esophagectomy mortality at low-volume hospitals\nBACKGROUND: High-volume hospitals have lower esophagectomy mortality rates, but receiving care at such centers is not always feasible. We examined low-volume hospitals and sought to identify characteristics of those with better outcomes.\nMETHODS: Using national data from Medicare and the American Hospital Association, we studied 4498 elderly patients who underwent an esophagectomy from 2004 to 2007. We divided hospitals into terciles based on esophagectomy volume and examined characteristics of patients and hospitals (size, nurse ratios, and presence of advanced medical, surgical, and radiological services). Our primary outcome was mortality. We identified 5 potentially beneficial systems characteristics in our data set and used multivariable logistic regression to determine whether these characteristics were associated with lower mortality rates at low-volume hospitals.\nRESULTS: Of the 874 hospitals that performed esophagectomies, 83% (723) were low-volume hospitals whereas only 3% (25) were high-volume. Low-volume hospitals performed a median of 1 esophagectomy during the 4-year study period and cared for patients that were older, more likely to be minority, and more likely to have multiple comorbidities compared with high-volume centers. Low-volume hospitals that had at least 3 of 5 characteristics (high nurse ratios, lung transplantation services, complex medical oncology services, bariatric surgery services, and positron emission tomography scanners) had markedly lower mortality rates compared with low-volume hospitals with none of these characteristics (12.5% vs. 5.0%; P value = 0.042).\nCONCLUSIONS: Low-volume hospitals with certain systems characteristics seem to achieve better esophagectomy outcomes. A more comprehensive study of the beneficial characteristics of low-volume hospitals is warranted because high-volume hospitals are difficult to access for many patients.","container-title":"Annals of Surgery","DOI":"10.1097/SLA.0b013e318213862f","ISSN":"1528-1140","issue":"5","journalAbbreviation":"Ann Surg","language":"eng","note":"PMID: 21422913\nPMCID: PMC7065506","page":"912-917","source":"PubMed","title":"Esophagectomy outcomes at low-volume hospitals: the association between systems characteristics and mortality","title-short":"Esophagectomy outcomes at low-volume hospitals","volume":"253","author":[{"family":"Funk","given":"Luke M."},{"family":"Gawande","given":"Atul A."},{"family":"Semel","given":"Marcus E."},{"family":"Lipsitz","given":"Stuart R."},{"family":"Berry","given":"William R."},{"family":"Zinner","given":"Michael J."},{"family":"Jha","given":"Ashish K."}],"issued":{"date-parts":[["2011",5]]}}},{"id":5493,"uris":["http://zotero.org/users/4732780/items/G3NEVBEI"],"uri":["http://zotero.org/users/4732780/items/G3NEVBEI"],"itemData":{"id":5493,"type":"article-journal","abstract":"BACKGROUND: Hospitals show wide variation in outcomes and systems of care. It is unclear whether hospital complexity-the range of services and technologies provided-affects outcomes and in what direction. We sought to determine whether complexity was associated with inpatient surgical mortality.\nMETHODS: Using national Medicare data, we identified all fee-for-service inpatients who underwent 1 of 5 common high-risk surgical procedures in 2008-2009 and measured complexity by the number of unique primary diagnoses admitted to each hospital over the 2-year period. We calculated 30-day postoperative mortality rates, adjusting for patient and hospital characteristics, and used multivariable Poisson regression models to test for an association between hospital complexity and mortality rates. We then used this model to generate predicted mortality rates for low-volume and high-volume hospitals across the spectrum of hospital complexity.\nRESULTS: A total of 2691 hospitals were analyzed, representing a total of 382,372 admissions. After adjusting for hospital characteristics, including hospital volume, increasing hospital complexity was associated with lower surgical mortality rates. Patients receiving care at the hospitals in the lowest quintile of unique diagnoses had a 27% higher risk of death than those at the highest quintile. The effect of complexity was largest for low-volume hospitals, which were capable of achieving mortality rates similar to high-volume hospitals when in the most complex quintile.\nCONCLUSIONS: Hospital complexity matters and is associated with lower surgical mortality rates, independent of hospital volume. The effect of complexity on outcomes for nonsurgical services warrants investigation.","container-title":"Medical Care","DOI":"10.1097/MLR.0000000000000077","ISSN":"1537-1948","issue":"3","journalAbbreviation":"Med Care","language":"eng","note":"PMID: 24509361","page":"235-242","source":"PubMed","title":"Beyond volume: does hospital complexity matter?: an analysis of inpatient surgical mortality in the United States","title-short":"Beyond volume","volume":"52","author":[{"family":"McCrum","given":"Marta L."},{"family":"Lipsitz","given":"Stuart R."},{"family":"Berry","given":"William R."},{"family":"Jha","given":"Ashish K."},{"family":"Gawande","given":"Atul A."}],"issued":{"date-parts":[["2014",3]]}}}],"schema":"https://github.com/citation-style-language/schema/raw/master/csl-citation.json"} </w:instrText>
      </w:r>
      <w:r w:rsidR="009329DE" w:rsidRPr="00E678AB">
        <w:rPr>
          <w:lang w:val="en-GB"/>
        </w:rPr>
        <w:fldChar w:fldCharType="separate"/>
      </w:r>
      <w:r w:rsidR="00F3627B" w:rsidRPr="00F3627B">
        <w:rPr>
          <w:rFonts w:ascii="Cambria" w:cs="Times New Roman"/>
          <w:vertAlign w:val="superscript"/>
        </w:rPr>
        <w:t>6,29</w:t>
      </w:r>
      <w:r w:rsidR="009329DE" w:rsidRPr="00E678AB">
        <w:rPr>
          <w:lang w:val="en-GB"/>
        </w:rPr>
        <w:fldChar w:fldCharType="end"/>
      </w:r>
    </w:p>
    <w:p w14:paraId="0F007389" w14:textId="4C22D187" w:rsidR="00CF7BC4" w:rsidRDefault="009D77B2">
      <w:pPr>
        <w:pStyle w:val="BodyText"/>
        <w:rPr>
          <w:lang w:val="en-GB"/>
        </w:rPr>
      </w:pPr>
      <w:r w:rsidRPr="00E678AB">
        <w:rPr>
          <w:lang w:val="en-GB"/>
        </w:rPr>
        <w:t xml:space="preserve">To our knowledge, this study is the first global analysis to assess the impact of </w:t>
      </w:r>
      <w:r w:rsidRPr="0081773C">
        <w:rPr>
          <w:lang w:val="en-GB"/>
        </w:rPr>
        <w:t xml:space="preserve">hospital </w:t>
      </w:r>
      <w:r w:rsidR="0081773C">
        <w:rPr>
          <w:lang w:val="en-GB"/>
        </w:rPr>
        <w:t>facilities</w:t>
      </w:r>
      <w:r w:rsidRPr="00E678AB">
        <w:rPr>
          <w:lang w:val="en-GB"/>
        </w:rPr>
        <w:t xml:space="preserve"> on short-term outcomes in cancer surgery. </w:t>
      </w:r>
      <w:r w:rsidR="006C267E" w:rsidRPr="00E678AB">
        <w:rPr>
          <w:lang w:val="en-GB"/>
        </w:rPr>
        <w:t>The</w:t>
      </w:r>
      <w:r w:rsidRPr="00E678AB">
        <w:rPr>
          <w:lang w:val="en-GB"/>
        </w:rPr>
        <w:t xml:space="preserve"> synergistic effect of scaling up of </w:t>
      </w:r>
      <w:r w:rsidR="006C267E" w:rsidRPr="00E678AB">
        <w:rPr>
          <w:lang w:val="en-GB"/>
        </w:rPr>
        <w:t xml:space="preserve">imaging, </w:t>
      </w:r>
      <w:r w:rsidRPr="00E678AB">
        <w:rPr>
          <w:lang w:val="en-GB"/>
        </w:rPr>
        <w:t>treatment modalities and quality in low-income settings</w:t>
      </w:r>
      <w:r w:rsidR="00FA0360">
        <w:rPr>
          <w:lang w:val="en-GB"/>
        </w:rPr>
        <w:t xml:space="preserve"> on oncological outcomes</w:t>
      </w:r>
      <w:r w:rsidR="006C267E" w:rsidRPr="00E678AB">
        <w:rPr>
          <w:lang w:val="en-GB"/>
        </w:rPr>
        <w:t xml:space="preserve"> has recently been shown</w:t>
      </w:r>
      <w:r w:rsidRPr="00E678AB">
        <w:rPr>
          <w:lang w:val="en-GB"/>
        </w:rPr>
        <w:t>.</w:t>
      </w:r>
      <w:r w:rsidR="009329DE" w:rsidRPr="00E678AB">
        <w:rPr>
          <w:lang w:val="en-GB"/>
        </w:rPr>
        <w:fldChar w:fldCharType="begin"/>
      </w:r>
      <w:r w:rsidR="00FD511C" w:rsidRPr="00E678AB">
        <w:rPr>
          <w:lang w:val="en-GB"/>
        </w:rPr>
        <w:instrText xml:space="preserve"> ADDIN ZOTERO_ITEM CSL_CITATION {"citationID":"mwnn7RZb","properties":{"formattedCitation":"\\super 3,4\\nosupersub{}","plainCitation":"3,4","noteIndex":0},"citationItems":[{"id":5457,"uris":["http://zotero.org/users/4732780/items/PY2DHEYG"],"uri":["http://zotero.org/users/4732780/items/PY2DHEYG"],"itemData":{"id":5457,"type":"article-journal","abstract":"&lt;h2&gt;Summary&lt;/h2&gt;&lt;h3&gt;Background&lt;/h3&gt;&lt;p&gt;In addition to increased availability of treatment modalities, advanced imaging modalities are increasingly recommended to improve global cancer care. However, estimates of the costs and benefits of investments to improve cancer survival are scarce, especially for low-income and middle-income countries (LMICs). In this analysis, we aimed to estimate the costs and lifetime health and economic benefits of scaling up imaging and treatment modality packages on cancer survival, both globally and by country income group.&lt;/p&gt;&lt;h3&gt;Methods&lt;/h3&gt;&lt;p&gt;Using a previously developed model of global cancer survival, we estimated stage-specific cancer survival and life-years gained (accounting for competing mortality) in 200 countries and territories for patients diagnosed with one of 11 cancers (oesophagus, stomach, colon, rectum, anus, liver, pancreas, lung, breast, cervix uteri, and prostate) representing 60% of all cancer diagnoses between 2020 and 2030 (inclusive of full years). We evaluated the costs and health and economic benefits of scaling up packages of treatment (chemotherapy, surgery, radiotherapy, and targeted therapy), imaging modalities (ultrasound, x-ray, CT, MRI, PET, single-photon emission CT), and quality of care to the mean level of high-income countries, separately and in combination, compared with no scale-up. Costs and benefits are presented in 2018 US$ and discounted at 3% annually.&lt;/p&gt;&lt;h3&gt;Findings&lt;/h3&gt;&lt;p&gt;For the 11 cancers studied, we estimated that without scale-up (ie, with current availability of treatment, imaging, and quality of care) there will be 76·0 million cancer deaths (95% UI 73·9–78·6) globally for patients diagnosed between 2020 and 2030, with more than 70% of these deaths occurring in LMICs. Comprehensive scale-up of treatment, imaging, and quality of care could avert 12·5% (95% UI 9·0–16·3) of these deaths globally, ranging from 2·8% (1·8–4·3) in high-income countries to 38·2% (32·6–44·5) in low-income countries. Globally, we estimate that comprehensive scale-up would cost an additional $232·9 billion (95% UI 85·9–422·0) between 2020 and 2030 (representing a 6·9% increase in cancer treatment costs), but produce $2·9 trillion (1·8–4·0) in lifetime economic benefits, yielding a return of $12·43 (6·47–33·23) per dollar invested. Scaling up treatment and quality of care without imaging would yield a return of $6·15 (2·66–16·71) per dollar invested and avert 7·0% (3·9–10·3) of cancer deaths worldwide.&lt;/p&gt;&lt;h3&gt;Interpretation&lt;/h3&gt;&lt;p&gt;Simultaneous investment in cancer treatment, imaging, and quality of care could yield substantial health and economic benefits, especially in LMICs. These results provide a compelling rationale for the value of investing in the global scale-up of cancer care.&lt;/p&gt;&lt;h3&gt;Funding&lt;/h3&gt;&lt;p&gt;Harvard TH Chan School of Public Health and National Cancer Institute.&lt;/p&gt;","container-title":"The Lancet Oncology","DOI":"10.1016/S1470-2045(20)30750-6","ISSN":"1470-2045, 1474-5488","issue":"3","journalAbbreviation":"The Lancet Oncology","language":"English","note":"publisher: Elsevier\nPMID: 33662286","page":"341-350","source":"www.thelancet.com","title":"Global costs, health benefits, and economic benefits of scaling up treatment and imaging modalities for survival of 11 cancers: a simulation-based analysis","title-short":"Global costs, health benefits, and economic benefits of scaling up treatment and imaging modalities for survival of 11 cancers","volume":"22","author":[{"family":"Ward","given":"Zachary J."},{"family":"Scott","given":"Andrew M."},{"family":"Hricak","given":"Hedvig"},{"family":"Atun","given":"Rifat"}],"issued":{"date-parts":[["2021",3,1]]}}},{"id":5525,"uris":["http://zotero.org/users/4732780/items/GSJII8D5"],"uri":["http://zotero.org/users/4732780/items/GSJII8D5"],"itemData":{"id":5525,"type":"article-journal","abstract":"The diagnosis and treatment of patients with cancer requires access to imaging to ensure accurate management decisions and optimal outcomes. Our global assessment of imaging and nuclear medicine resources identified substantial shortages in equipment and workforce, particularly in low-income and middle-income countries (LMICs). A microsimulation model of 11 cancers showed that the scale-up of imaging would avert 3·2% (2·46 million) of all 76·0 million deaths caused by the modelled cancers worldwide between 2020 and 2030, saving 54·92 million life-years. A comprehensive scale-up of imaging, treatment, and care quality would avert 9·55 million (12·5%) of all cancer deaths caused by the modelled cancers worldwide, saving 232·30 million life-years. Scale-up of imaging would cost US$6·84 billion in 2020-30 but yield lifetime productivity gains of $1·23 trillion worldwide, a net return of $179·19 per $1 invested. Combining the scale-up of imaging, treatment, and quality of care would provide a net benefit of $2·66 trillion and a net return of $12·43 per $1 invested. With the use of a conservative approach regarding human capital, the scale-up of imaging alone would provide a net benefit of $209·46 billion and net return of $31·61 per $1 invested. With comprehensive scale-up, the worldwide net benefit using the human capital approach is $340·42 billion and the return per dollar invested is $2·46. These improved health and economic outcomes hold true across all geographical regions. We propose actions and investments that would enhance access to imaging equipment, workforce capacity, digital technology, radiopharmaceuticals, and research and training programmes in LMICs, to produce massive health and economic benefits and reduce the burden of cancer globally.","container-title":"The Lancet. Oncology","DOI":"10.1016/S1470-2045(20)30751-8","ISSN":"1474-5488","journalAbbreviation":"Lancet Oncol","language":"eng","note":"PMID: 33676609","source":"PubMed","title":"Medical imaging and nuclear medicine: a Lancet Oncology Commission","title-short":"Medical imaging and nuclear medicine","author":[{"family":"Hricak","given":"Hedvig"},{"family":"Abdel-Wahab","given":"May"},{"family":"Atun","given":"Rifat"},{"family":"Lette","given":"Miriam Mikhail"},{"family":"Paez","given":"Diana"},{"family":"Brink","given":"James A."},{"family":"Donoso-Bach","given":"Lluís"},{"family":"Frija","given":"Guy"},{"family":"Hierath","given":"Monika"},{"family":"Holmberg","given":"Ola"},{"family":"Khong","given":"Pek-Lan"},{"family":"Lewis","given":"Jason S."},{"family":"McGinty","given":"Geraldine"},{"family":"Oyen","given":"Wim J. G."},{"family":"Shulman","given":"Lawrence N."},{"family":"Ward","given":"Zachary J."},{"family":"Scott","given":"Andrew M."}],"issued":{"date-parts":[["2021",3,3]]}}}],"schema":"https://github.com/citation-style-language/schema/raw/master/csl-citation.json"} </w:instrText>
      </w:r>
      <w:r w:rsidR="009329DE" w:rsidRPr="00E678AB">
        <w:rPr>
          <w:lang w:val="en-GB"/>
        </w:rPr>
        <w:fldChar w:fldCharType="separate"/>
      </w:r>
      <w:r w:rsidR="00FD511C" w:rsidRPr="00E678AB">
        <w:rPr>
          <w:rFonts w:ascii="Cambria" w:cs="Times New Roman"/>
          <w:vertAlign w:val="superscript"/>
          <w:lang w:val="en-GB"/>
        </w:rPr>
        <w:t>3,4</w:t>
      </w:r>
      <w:r w:rsidR="009329DE" w:rsidRPr="00E678AB">
        <w:rPr>
          <w:lang w:val="en-GB"/>
        </w:rPr>
        <w:fldChar w:fldCharType="end"/>
      </w:r>
      <w:r w:rsidRPr="00E678AB">
        <w:rPr>
          <w:lang w:val="en-GB"/>
        </w:rPr>
        <w:t xml:space="preserve"> In particular, investments in imaging modality availability are a critical component for comprehensive improvement in global cancer survival.</w:t>
      </w:r>
      <w:r w:rsidR="009329DE" w:rsidRPr="00E678AB">
        <w:rPr>
          <w:lang w:val="en-GB"/>
        </w:rPr>
        <w:fldChar w:fldCharType="begin"/>
      </w:r>
      <w:r w:rsidR="009329DE" w:rsidRPr="00E678AB">
        <w:rPr>
          <w:lang w:val="en-GB"/>
        </w:rPr>
        <w:instrText xml:space="preserve"> ADDIN ZOTERO_ITEM CSL_CITATION {"citationID":"U6pPYB83","properties":{"formattedCitation":"\\super 3\\nosupersub{}","plainCitation":"3","noteIndex":0},"citationItems":[{"id":5457,"uris":["http://zotero.org/users/4732780/items/PY2DHEYG"],"uri":["http://zotero.org/users/4732780/items/PY2DHEYG"],"itemData":{"id":5457,"type":"article-journal","abstract":"&lt;h2&gt;Summary&lt;/h2&gt;&lt;h3&gt;Background&lt;/h3&gt;&lt;p&gt;In addition to increased availability of treatment modalities, advanced imaging modalities are increasingly recommended to improve global cancer care. However, estimates of the costs and benefits of investments to improve cancer survival are scarce, especially for low-income and middle-income countries (LMICs). In this analysis, we aimed to estimate the costs and lifetime health and economic benefits of scaling up imaging and treatment modality packages on cancer survival, both globally and by country income group.&lt;/p&gt;&lt;h3&gt;Methods&lt;/h3&gt;&lt;p&gt;Using a previously developed model of global cancer survival, we estimated stage-specific cancer survival and life-years gained (accounting for competing mortality) in 200 countries and territories for patients diagnosed with one of 11 cancers (oesophagus, stomach, colon, rectum, anus, liver, pancreas, lung, breast, cervix uteri, and prostate) representing 60% of all cancer diagnoses between 2020 and 2030 (inclusive of full years). We evaluated the costs and health and economic benefits of scaling up packages of treatment (chemotherapy, surgery, radiotherapy, and targeted therapy), imaging modalities (ultrasound, x-ray, CT, MRI, PET, single-photon emission CT), and quality of care to the mean level of high-income countries, separately and in combination, compared with no scale-up. Costs and benefits are presented in 2018 US$ and discounted at 3% annually.&lt;/p&gt;&lt;h3&gt;Findings&lt;/h3&gt;&lt;p&gt;For the 11 cancers studied, we estimated that without scale-up (ie, with current availability of treatment, imaging, and quality of care) there will be 76·0 million cancer deaths (95% UI 73·9–78·6) globally for patients diagnosed between 2020 and 2030, with more than 70% of these deaths occurring in LMICs. Comprehensive scale-up of treatment, imaging, and quality of care could avert 12·5% (95% UI 9·0–16·3) of these deaths globally, ranging from 2·8% (1·8–4·3) in high-income countries to 38·2% (32·6–44·5) in low-income countries. Globally, we estimate that comprehensive scale-up would cost an additional $232·9 billion (95% UI 85·9–422·0) between 2020 and 2030 (representing a 6·9% increase in cancer treatment costs), but produce $2·9 trillion (1·8–4·0) in lifetime economic benefits, yielding a return of $12·43 (6·47–33·23) per dollar invested. Scaling up treatment and quality of care without imaging would yield a return of $6·15 (2·66–16·71) per dollar invested and avert 7·0% (3·9–10·3) of cancer deaths worldwide.&lt;/p&gt;&lt;h3&gt;Interpretation&lt;/h3&gt;&lt;p&gt;Simultaneous investment in cancer treatment, imaging, and quality of care could yield substantial health and economic benefits, especially in LMICs. These results provide a compelling rationale for the value of investing in the global scale-up of cancer care.&lt;/p&gt;&lt;h3&gt;Funding&lt;/h3&gt;&lt;p&gt;Harvard TH Chan School of Public Health and National Cancer Institute.&lt;/p&gt;","container-title":"The Lancet Oncology","DOI":"10.1016/S1470-2045(20)30750-6","ISSN":"1470-2045, 1474-5488","issue":"3","journalAbbreviation":"The Lancet Oncology","language":"English","note":"publisher: Elsevier\nPMID: 33662286","page":"341-350","source":"www.thelancet.com","title":"Global costs, health benefits, and economic benefits of scaling up treatment and imaging modalities for survival of 11 cancers: a simulation-based analysis","title-short":"Global costs, health benefits, and economic benefits of scaling up treatment and imaging modalities for survival of 11 cancers","volume":"22","author":[{"family":"Ward","given":"Zachary J."},{"family":"Scott","given":"Andrew M."},{"family":"Hricak","given":"Hedvig"},{"family":"Atun","given":"Rifat"}],"issued":{"date-parts":[["2021",3,1]]}}}],"schema":"https://github.com/citation-style-language/schema/raw/master/csl-citation.json"} </w:instrText>
      </w:r>
      <w:r w:rsidR="009329DE" w:rsidRPr="00E678AB">
        <w:rPr>
          <w:lang w:val="en-GB"/>
        </w:rPr>
        <w:fldChar w:fldCharType="separate"/>
      </w:r>
      <w:r w:rsidR="009329DE" w:rsidRPr="00E678AB">
        <w:rPr>
          <w:rFonts w:ascii="Cambria" w:cs="Times New Roman"/>
          <w:vertAlign w:val="superscript"/>
          <w:lang w:val="en-GB"/>
        </w:rPr>
        <w:t>3</w:t>
      </w:r>
      <w:r w:rsidR="009329DE" w:rsidRPr="00E678AB">
        <w:rPr>
          <w:lang w:val="en-GB"/>
        </w:rPr>
        <w:fldChar w:fldCharType="end"/>
      </w:r>
      <w:r w:rsidRPr="00E678AB">
        <w:rPr>
          <w:lang w:val="en-GB"/>
        </w:rPr>
        <w:t xml:space="preserve"> We suspect that they are markers for the expertise</w:t>
      </w:r>
      <w:r w:rsidR="00811A52">
        <w:rPr>
          <w:lang w:val="en-GB"/>
        </w:rPr>
        <w:t xml:space="preserve">, </w:t>
      </w:r>
      <w:r w:rsidRPr="00E678AB">
        <w:rPr>
          <w:lang w:val="en-GB"/>
        </w:rPr>
        <w:t>resources</w:t>
      </w:r>
      <w:r w:rsidR="002A09D3">
        <w:rPr>
          <w:lang w:val="en-GB"/>
        </w:rPr>
        <w:t>, and complex processes of care</w:t>
      </w:r>
      <w:r w:rsidRPr="00E678AB">
        <w:rPr>
          <w:lang w:val="en-GB"/>
        </w:rPr>
        <w:t xml:space="preserve"> required to facilitate surgery, including the optimisation of preoperative, intraoperative and postoperative care for patients undergoing surgery for cancer.</w:t>
      </w:r>
    </w:p>
    <w:p w14:paraId="1F5D0E29" w14:textId="267985CF" w:rsidR="00CF7BC4" w:rsidRPr="00E678AB" w:rsidRDefault="00A37A55">
      <w:pPr>
        <w:pStyle w:val="BodyText"/>
        <w:rPr>
          <w:lang w:val="en-GB"/>
        </w:rPr>
      </w:pPr>
      <w:r w:rsidRPr="00E678AB">
        <w:rPr>
          <w:lang w:val="en-GB"/>
        </w:rPr>
        <w:t xml:space="preserve">The </w:t>
      </w:r>
      <w:r w:rsidRPr="00A358C4">
        <w:rPr>
          <w:lang w:val="en-GB"/>
        </w:rPr>
        <w:t>five key facili</w:t>
      </w:r>
      <w:r w:rsidR="00A358C4" w:rsidRPr="00A358C4">
        <w:rPr>
          <w:lang w:val="en-GB"/>
        </w:rPr>
        <w:t>ties</w:t>
      </w:r>
      <w:r w:rsidRPr="00E678AB">
        <w:rPr>
          <w:lang w:val="en-GB"/>
        </w:rPr>
        <w:t xml:space="preserve"> that were included in our multivaria</w:t>
      </w:r>
      <w:r w:rsidR="004D6036">
        <w:rPr>
          <w:lang w:val="en-GB"/>
        </w:rPr>
        <w:t>ble</w:t>
      </w:r>
      <w:r w:rsidRPr="00E678AB">
        <w:rPr>
          <w:lang w:val="en-GB"/>
        </w:rPr>
        <w:t xml:space="preserve"> models are likely indirect markers for </w:t>
      </w:r>
      <w:r w:rsidRPr="00A358C4">
        <w:rPr>
          <w:lang w:val="en-GB"/>
        </w:rPr>
        <w:t>other structural and process measures</w:t>
      </w:r>
      <w:r w:rsidRPr="00E678AB">
        <w:rPr>
          <w:lang w:val="en-GB"/>
        </w:rPr>
        <w:t xml:space="preserve"> that </w:t>
      </w:r>
      <w:r>
        <w:rPr>
          <w:lang w:val="en-GB"/>
        </w:rPr>
        <w:t>are also</w:t>
      </w:r>
      <w:r w:rsidRPr="00E678AB">
        <w:rPr>
          <w:lang w:val="en-GB"/>
        </w:rPr>
        <w:t xml:space="preserve"> closely related to outcomes following cancer surgery</w:t>
      </w:r>
      <w:r>
        <w:rPr>
          <w:lang w:val="en-GB"/>
        </w:rPr>
        <w:t xml:space="preserve">. </w:t>
      </w:r>
      <w:r w:rsidR="00EB3D10">
        <w:rPr>
          <w:lang w:val="en-GB"/>
        </w:rPr>
        <w:t>For example, w</w:t>
      </w:r>
      <w:r w:rsidR="00117EDE">
        <w:rPr>
          <w:lang w:val="en-GB"/>
        </w:rPr>
        <w:t>e found h</w:t>
      </w:r>
      <w:r w:rsidR="00117EDE" w:rsidRPr="00E678AB">
        <w:rPr>
          <w:lang w:val="en-GB"/>
        </w:rPr>
        <w:t>ospitals</w:t>
      </w:r>
      <w:r w:rsidR="00117EDE">
        <w:rPr>
          <w:lang w:val="en-GB"/>
        </w:rPr>
        <w:t xml:space="preserve"> </w:t>
      </w:r>
      <w:r w:rsidR="00117EDE">
        <w:t xml:space="preserve">with more resources were more likely to use the WHO surgical </w:t>
      </w:r>
      <w:r w:rsidR="008443E9">
        <w:t xml:space="preserve">safety </w:t>
      </w:r>
      <w:r w:rsidR="00117EDE">
        <w:t>checklist</w:t>
      </w:r>
      <w:r w:rsidR="007C71E4">
        <w:t xml:space="preserve"> and </w:t>
      </w:r>
      <w:r w:rsidR="008443E9">
        <w:t>achieve negative resection margin</w:t>
      </w:r>
      <w:r w:rsidR="0095326D">
        <w:t>s</w:t>
      </w:r>
      <w:r w:rsidR="00B817F3">
        <w:t xml:space="preserve">, </w:t>
      </w:r>
      <w:r w:rsidR="008E6992">
        <w:t>potentially reflecting</w:t>
      </w:r>
      <w:r w:rsidR="002C39F7">
        <w:t xml:space="preserve"> related</w:t>
      </w:r>
      <w:r w:rsidR="008E6992">
        <w:t xml:space="preserve"> organizational </w:t>
      </w:r>
      <w:r w:rsidR="002C39F7">
        <w:t>processes</w:t>
      </w:r>
      <w:r w:rsidR="00033129">
        <w:t xml:space="preserve"> associated with these </w:t>
      </w:r>
      <w:r w:rsidR="00033129" w:rsidRPr="00A358C4">
        <w:t>facilit</w:t>
      </w:r>
      <w:r w:rsidR="00A358C4" w:rsidRPr="00A358C4">
        <w:t>ies</w:t>
      </w:r>
      <w:r w:rsidR="0073159E">
        <w:t xml:space="preserve">. A similar pattern in outcomes was demonstrated in models including all eleven </w:t>
      </w:r>
      <w:r w:rsidR="0073159E" w:rsidRPr="00A358C4">
        <w:t xml:space="preserve">hospital </w:t>
      </w:r>
      <w:r w:rsidR="00A358C4" w:rsidRPr="00A358C4">
        <w:t>facilities</w:t>
      </w:r>
      <w:r w:rsidR="007F3B91">
        <w:t xml:space="preserve"> originally assessed</w:t>
      </w:r>
      <w:r w:rsidR="0073159E">
        <w:t>, suggesting the five identified in our analysis may</w:t>
      </w:r>
      <w:r w:rsidR="008158C9">
        <w:t xml:space="preserve"> also</w:t>
      </w:r>
      <w:r w:rsidR="0073159E">
        <w:t xml:space="preserve"> reflect further development </w:t>
      </w:r>
      <w:r w:rsidR="007F3B91">
        <w:t xml:space="preserve">of </w:t>
      </w:r>
      <w:r w:rsidR="0073159E">
        <w:t>additional hospital services.</w:t>
      </w:r>
      <w:r w:rsidR="008158C9">
        <w:t xml:space="preserve"> </w:t>
      </w:r>
      <w:r w:rsidR="009515A8">
        <w:t xml:space="preserve">Higher levels </w:t>
      </w:r>
      <w:r w:rsidR="009515A8" w:rsidRPr="00A358C4">
        <w:t xml:space="preserve">of </w:t>
      </w:r>
      <w:r w:rsidR="00A358C4" w:rsidRPr="00A358C4">
        <w:rPr>
          <w:lang w:val="en-GB"/>
        </w:rPr>
        <w:t>hospital</w:t>
      </w:r>
      <w:r w:rsidR="009D77B2" w:rsidRPr="00A358C4">
        <w:rPr>
          <w:lang w:val="en-GB"/>
        </w:rPr>
        <w:t xml:space="preserve"> </w:t>
      </w:r>
      <w:r w:rsidR="00A358C4" w:rsidRPr="00A358C4">
        <w:rPr>
          <w:lang w:val="en-GB"/>
        </w:rPr>
        <w:t>facilities</w:t>
      </w:r>
      <w:r w:rsidR="009D77B2" w:rsidRPr="00E678AB">
        <w:rPr>
          <w:lang w:val="en-GB"/>
        </w:rPr>
        <w:t xml:space="preserve"> were also associated with</w:t>
      </w:r>
      <w:r w:rsidR="002F4234">
        <w:rPr>
          <w:lang w:val="en-GB"/>
        </w:rPr>
        <w:t xml:space="preserve"> increased</w:t>
      </w:r>
      <w:r w:rsidR="009D77B2" w:rsidRPr="00E678AB">
        <w:rPr>
          <w:lang w:val="en-GB"/>
        </w:rPr>
        <w:t xml:space="preserve"> access to surgical care </w:t>
      </w:r>
      <w:r w:rsidR="007F3B91">
        <w:rPr>
          <w:lang w:val="en-GB"/>
        </w:rPr>
        <w:t>for</w:t>
      </w:r>
      <w:r w:rsidR="007F3B91" w:rsidRPr="00E678AB">
        <w:rPr>
          <w:lang w:val="en-GB"/>
        </w:rPr>
        <w:t xml:space="preserve"> </w:t>
      </w:r>
      <w:r w:rsidR="009D77B2" w:rsidRPr="00E678AB">
        <w:rPr>
          <w:lang w:val="en-GB"/>
        </w:rPr>
        <w:t xml:space="preserve">a broad range of cancer types. The majority of hospitals with all </w:t>
      </w:r>
      <w:r w:rsidR="009D77B2" w:rsidRPr="00A358C4">
        <w:rPr>
          <w:lang w:val="en-GB"/>
        </w:rPr>
        <w:t xml:space="preserve">five </w:t>
      </w:r>
      <w:r w:rsidR="00A96D4C" w:rsidRPr="00A358C4">
        <w:rPr>
          <w:lang w:val="en-GB"/>
        </w:rPr>
        <w:t>facilit</w:t>
      </w:r>
      <w:r w:rsidR="00A358C4" w:rsidRPr="00A358C4">
        <w:rPr>
          <w:lang w:val="en-GB"/>
        </w:rPr>
        <w:t>ies</w:t>
      </w:r>
      <w:r w:rsidR="00A358C4">
        <w:rPr>
          <w:lang w:val="en-GB"/>
        </w:rPr>
        <w:t xml:space="preserve"> present </w:t>
      </w:r>
      <w:r w:rsidR="009D77B2" w:rsidRPr="00E678AB">
        <w:rPr>
          <w:lang w:val="en-GB"/>
        </w:rPr>
        <w:t xml:space="preserve">were able to perform elective operations for eleven different </w:t>
      </w:r>
      <w:r w:rsidR="009D77B2" w:rsidRPr="00E678AB">
        <w:rPr>
          <w:lang w:val="en-GB"/>
        </w:rPr>
        <w:lastRenderedPageBreak/>
        <w:t xml:space="preserve">cancers, which represent 60% of all incident cancers and 70% </w:t>
      </w:r>
      <w:r w:rsidR="005C7942">
        <w:rPr>
          <w:lang w:val="en-GB"/>
        </w:rPr>
        <w:t xml:space="preserve">cancer </w:t>
      </w:r>
      <w:r w:rsidR="009D77B2" w:rsidRPr="00E678AB">
        <w:rPr>
          <w:lang w:val="en-GB"/>
        </w:rPr>
        <w:t>deaths worldwide over the next ten years.</w:t>
      </w:r>
      <w:r w:rsidR="009329DE" w:rsidRPr="00E678AB">
        <w:rPr>
          <w:lang w:val="en-GB"/>
        </w:rPr>
        <w:fldChar w:fldCharType="begin"/>
      </w:r>
      <w:r w:rsidR="009329DE" w:rsidRPr="00E678AB">
        <w:rPr>
          <w:lang w:val="en-GB"/>
        </w:rPr>
        <w:instrText xml:space="preserve"> ADDIN ZOTERO_ITEM CSL_CITATION {"citationID":"stkt3DDG","properties":{"formattedCitation":"\\super 3\\nosupersub{}","plainCitation":"3","noteIndex":0},"citationItems":[{"id":5457,"uris":["http://zotero.org/users/4732780/items/PY2DHEYG"],"uri":["http://zotero.org/users/4732780/items/PY2DHEYG"],"itemData":{"id":5457,"type":"article-journal","abstract":"&lt;h2&gt;Summary&lt;/h2&gt;&lt;h3&gt;Background&lt;/h3&gt;&lt;p&gt;In addition to increased availability of treatment modalities, advanced imaging modalities are increasingly recommended to improve global cancer care. However, estimates of the costs and benefits of investments to improve cancer survival are scarce, especially for low-income and middle-income countries (LMICs). In this analysis, we aimed to estimate the costs and lifetime health and economic benefits of scaling up imaging and treatment modality packages on cancer survival, both globally and by country income group.&lt;/p&gt;&lt;h3&gt;Methods&lt;/h3&gt;&lt;p&gt;Using a previously developed model of global cancer survival, we estimated stage-specific cancer survival and life-years gained (accounting for competing mortality) in 200 countries and territories for patients diagnosed with one of 11 cancers (oesophagus, stomach, colon, rectum, anus, liver, pancreas, lung, breast, cervix uteri, and prostate) representing 60% of all cancer diagnoses between 2020 and 2030 (inclusive of full years). We evaluated the costs and health and economic benefits of scaling up packages of treatment (chemotherapy, surgery, radiotherapy, and targeted therapy), imaging modalities (ultrasound, x-ray, CT, MRI, PET, single-photon emission CT), and quality of care to the mean level of high-income countries, separately and in combination, compared with no scale-up. Costs and benefits are presented in 2018 US$ and discounted at 3% annually.&lt;/p&gt;&lt;h3&gt;Findings&lt;/h3&gt;&lt;p&gt;For the 11 cancers studied, we estimated that without scale-up (ie, with current availability of treatment, imaging, and quality of care) there will be 76·0 million cancer deaths (95% UI 73·9–78·6) globally for patients diagnosed between 2020 and 2030, with more than 70% of these deaths occurring in LMICs. Comprehensive scale-up of treatment, imaging, and quality of care could avert 12·5% (95% UI 9·0–16·3) of these deaths globally, ranging from 2·8% (1·8–4·3) in high-income countries to 38·2% (32·6–44·5) in low-income countries. Globally, we estimate that comprehensive scale-up would cost an additional $232·9 billion (95% UI 85·9–422·0) between 2020 and 2030 (representing a 6·9% increase in cancer treatment costs), but produce $2·9 trillion (1·8–4·0) in lifetime economic benefits, yielding a return of $12·43 (6·47–33·23) per dollar invested. Scaling up treatment and quality of care without imaging would yield a return of $6·15 (2·66–16·71) per dollar invested and avert 7·0% (3·9–10·3) of cancer deaths worldwide.&lt;/p&gt;&lt;h3&gt;Interpretation&lt;/h3&gt;&lt;p&gt;Simultaneous investment in cancer treatment, imaging, and quality of care could yield substantial health and economic benefits, especially in LMICs. These results provide a compelling rationale for the value of investing in the global scale-up of cancer care.&lt;/p&gt;&lt;h3&gt;Funding&lt;/h3&gt;&lt;p&gt;Harvard TH Chan School of Public Health and National Cancer Institute.&lt;/p&gt;","container-title":"The Lancet Oncology","DOI":"10.1016/S1470-2045(20)30750-6","ISSN":"1470-2045, 1474-5488","issue":"3","journalAbbreviation":"The Lancet Oncology","language":"English","note":"publisher: Elsevier\nPMID: 33662286","page":"341-350","source":"www.thelancet.com","title":"Global costs, health benefits, and economic benefits of scaling up treatment and imaging modalities for survival of 11 cancers: a simulation-based analysis","title-short":"Global costs, health benefits, and economic benefits of scaling up treatment and imaging modalities for survival of 11 cancers","volume":"22","author":[{"family":"Ward","given":"Zachary J."},{"family":"Scott","given":"Andrew M."},{"family":"Hricak","given":"Hedvig"},{"family":"Atun","given":"Rifat"}],"issued":{"date-parts":[["2021",3,1]]}}}],"schema":"https://github.com/citation-style-language/schema/raw/master/csl-citation.json"} </w:instrText>
      </w:r>
      <w:r w:rsidR="009329DE" w:rsidRPr="00E678AB">
        <w:rPr>
          <w:lang w:val="en-GB"/>
        </w:rPr>
        <w:fldChar w:fldCharType="separate"/>
      </w:r>
      <w:r w:rsidR="009329DE" w:rsidRPr="00E678AB">
        <w:rPr>
          <w:rFonts w:ascii="Cambria" w:cs="Times New Roman"/>
          <w:vertAlign w:val="superscript"/>
          <w:lang w:val="en-GB"/>
        </w:rPr>
        <w:t>3</w:t>
      </w:r>
      <w:r w:rsidR="009329DE" w:rsidRPr="00E678AB">
        <w:rPr>
          <w:lang w:val="en-GB"/>
        </w:rPr>
        <w:fldChar w:fldCharType="end"/>
      </w:r>
    </w:p>
    <w:p w14:paraId="0F5857B0" w14:textId="426D2FF6" w:rsidR="00BB6970" w:rsidRPr="00E678AB" w:rsidRDefault="009D77B2">
      <w:pPr>
        <w:pStyle w:val="BodyText"/>
        <w:rPr>
          <w:lang w:val="en-GB"/>
        </w:rPr>
      </w:pPr>
      <w:r w:rsidRPr="00E678AB">
        <w:rPr>
          <w:lang w:val="en-GB"/>
        </w:rPr>
        <w:t>Our study has important limitations</w:t>
      </w:r>
      <w:r w:rsidR="00937382">
        <w:t>.</w:t>
      </w:r>
      <w:r w:rsidRPr="00E678AB">
        <w:rPr>
          <w:lang w:val="en-GB"/>
        </w:rPr>
        <w:t xml:space="preserve"> </w:t>
      </w:r>
      <w:r w:rsidR="004D6036">
        <w:rPr>
          <w:lang w:val="en-GB"/>
        </w:rPr>
        <w:t xml:space="preserve">We have detailed hospital-level data for </w:t>
      </w:r>
      <w:r w:rsidR="006F6566" w:rsidRPr="00E678AB">
        <w:rPr>
          <w:lang w:val="en-GB"/>
        </w:rPr>
        <w:t>55</w:t>
      </w:r>
      <w:r w:rsidRPr="00E678AB">
        <w:rPr>
          <w:lang w:val="en-GB"/>
        </w:rPr>
        <w:t>%</w:t>
      </w:r>
      <w:r w:rsidR="004D6036">
        <w:rPr>
          <w:lang w:val="en-GB"/>
        </w:rPr>
        <w:t xml:space="preserve"> of hospitals within the primary study</w:t>
      </w:r>
      <w:r w:rsidRPr="00E678AB">
        <w:rPr>
          <w:lang w:val="en-GB"/>
        </w:rPr>
        <w:t xml:space="preserve">, </w:t>
      </w:r>
      <w:r w:rsidR="00D044C3" w:rsidRPr="00E678AB">
        <w:rPr>
          <w:lang w:val="en-GB"/>
        </w:rPr>
        <w:t>with responses</w:t>
      </w:r>
      <w:r w:rsidR="00C1611E">
        <w:rPr>
          <w:lang w:val="en-GB"/>
        </w:rPr>
        <w:t xml:space="preserve"> low from high-income hospitals</w:t>
      </w:r>
      <w:r w:rsidRPr="00E678AB">
        <w:rPr>
          <w:lang w:val="en-GB"/>
        </w:rPr>
        <w:t xml:space="preserve">. </w:t>
      </w:r>
      <w:r w:rsidR="005B346F">
        <w:rPr>
          <w:lang w:val="en-GB"/>
        </w:rPr>
        <w:t>However, w</w:t>
      </w:r>
      <w:r w:rsidRPr="00E678AB">
        <w:rPr>
          <w:lang w:val="en-GB"/>
        </w:rPr>
        <w:t>e covered 87% patients in LMIC settings, where the majority of all cancer deaths occur</w:t>
      </w:r>
      <w:r w:rsidR="000560FD">
        <w:rPr>
          <w:lang w:val="en-GB"/>
        </w:rPr>
        <w:t>.</w:t>
      </w:r>
      <w:r w:rsidR="009329DE" w:rsidRPr="00E678AB">
        <w:rPr>
          <w:lang w:val="en-GB"/>
        </w:rPr>
        <w:fldChar w:fldCharType="begin"/>
      </w:r>
      <w:r w:rsidR="00F3627B">
        <w:rPr>
          <w:lang w:val="en-GB"/>
        </w:rPr>
        <w:instrText xml:space="preserve"> ADDIN ZOTERO_ITEM CSL_CITATION {"citationID":"mBrSfQ18","properties":{"formattedCitation":"\\super 37\\nosupersub{}","plainCitation":"37","noteIndex":0},"citationItems":[{"id":5495,"uris":["http://zotero.org/users/4732780/items/IBHI67NY"],"uri":["http://zotero.org/users/4732780/items/IBHI67NY"],"itemData":{"id":5495,"type":"webpage","abstract":"Cancer is a generic term for a large group of diseases that can affect any part of the body.","language":"en","title":"Cancer","URL":"https://www.who.int/news-room/fact-sheets/detail/cancer","accessed":{"date-parts":[["2021",3,24]]}}}],"schema":"https://github.com/citation-style-language/schema/raw/master/csl-citation.json"} </w:instrText>
      </w:r>
      <w:r w:rsidR="009329DE" w:rsidRPr="00E678AB">
        <w:rPr>
          <w:lang w:val="en-GB"/>
        </w:rPr>
        <w:fldChar w:fldCharType="separate"/>
      </w:r>
      <w:r w:rsidR="00F3627B" w:rsidRPr="00F3627B">
        <w:rPr>
          <w:rFonts w:ascii="Cambria" w:cs="Times New Roman"/>
          <w:vertAlign w:val="superscript"/>
        </w:rPr>
        <w:t>37</w:t>
      </w:r>
      <w:r w:rsidR="009329DE" w:rsidRPr="00E678AB">
        <w:rPr>
          <w:lang w:val="en-GB"/>
        </w:rPr>
        <w:fldChar w:fldCharType="end"/>
      </w:r>
      <w:r w:rsidRPr="00E678AB">
        <w:rPr>
          <w:lang w:val="en-GB"/>
        </w:rPr>
        <w:t xml:space="preserve"> </w:t>
      </w:r>
      <w:r w:rsidR="005B346F">
        <w:rPr>
          <w:lang w:val="en-GB"/>
        </w:rPr>
        <w:t>Furthermore</w:t>
      </w:r>
      <w:r w:rsidR="00B049E9">
        <w:rPr>
          <w:lang w:val="en-GB"/>
        </w:rPr>
        <w:t>, a</w:t>
      </w:r>
      <w:r w:rsidR="00E2573A">
        <w:rPr>
          <w:lang w:val="en-GB"/>
        </w:rPr>
        <w:t>djusted m</w:t>
      </w:r>
      <w:r w:rsidR="000560FD">
        <w:rPr>
          <w:lang w:val="en-GB"/>
        </w:rPr>
        <w:t>ortality rates</w:t>
      </w:r>
      <w:r w:rsidR="003F70BD">
        <w:rPr>
          <w:lang w:val="en-GB"/>
        </w:rPr>
        <w:t xml:space="preserve"> of non-included hospitals</w:t>
      </w:r>
      <w:r w:rsidR="000560FD">
        <w:rPr>
          <w:lang w:val="en-GB"/>
        </w:rPr>
        <w:t xml:space="preserve"> were </w:t>
      </w:r>
      <w:r w:rsidR="003F70BD">
        <w:rPr>
          <w:lang w:val="en-GB"/>
        </w:rPr>
        <w:t>similar,</w:t>
      </w:r>
      <w:r w:rsidR="00E221DA">
        <w:rPr>
          <w:lang w:val="en-GB"/>
        </w:rPr>
        <w:t xml:space="preserve"> </w:t>
      </w:r>
      <w:r w:rsidR="000560FD">
        <w:rPr>
          <w:lang w:val="en-GB"/>
        </w:rPr>
        <w:t>while a</w:t>
      </w:r>
      <w:r w:rsidRPr="00E678AB">
        <w:rPr>
          <w:lang w:val="en-GB"/>
        </w:rPr>
        <w:t xml:space="preserve"> sensitivity analysis demonstrated robust findings across all measured outcomes.</w:t>
      </w:r>
      <w:r w:rsidR="00D75693">
        <w:rPr>
          <w:lang w:val="en-GB"/>
        </w:rPr>
        <w:t xml:space="preserve"> Therefore</w:t>
      </w:r>
      <w:r w:rsidR="0000749D">
        <w:rPr>
          <w:lang w:val="en-GB"/>
        </w:rPr>
        <w:t>,</w:t>
      </w:r>
      <w:r w:rsidR="00D75693">
        <w:rPr>
          <w:lang w:val="en-GB"/>
        </w:rPr>
        <w:t xml:space="preserve"> </w:t>
      </w:r>
      <w:r w:rsidR="008A591B">
        <w:rPr>
          <w:lang w:val="en-GB"/>
        </w:rPr>
        <w:t>a relationship between missing responses and measured outcomes</w:t>
      </w:r>
      <w:r w:rsidR="008B4307">
        <w:rPr>
          <w:lang w:val="en-GB"/>
        </w:rPr>
        <w:t xml:space="preserve"> is unlikely</w:t>
      </w:r>
      <w:r w:rsidR="008A591B">
        <w:rPr>
          <w:lang w:val="en-GB"/>
        </w:rPr>
        <w:t>.</w:t>
      </w:r>
      <w:r w:rsidR="00BB6970">
        <w:rPr>
          <w:lang w:val="en-GB"/>
        </w:rPr>
        <w:t xml:space="preserve"> </w:t>
      </w:r>
    </w:p>
    <w:p w14:paraId="1289F5F2" w14:textId="1339F81D" w:rsidR="00DC07C7" w:rsidRDefault="00BB6970">
      <w:pPr>
        <w:pStyle w:val="BodyText"/>
        <w:rPr>
          <w:lang w:val="en-GB"/>
        </w:rPr>
      </w:pPr>
      <w:r>
        <w:rPr>
          <w:lang w:val="en-GB"/>
        </w:rPr>
        <w:t xml:space="preserve">The </w:t>
      </w:r>
      <w:r w:rsidRPr="008F6E77">
        <w:rPr>
          <w:lang w:val="en-GB"/>
        </w:rPr>
        <w:t xml:space="preserve">five hospital </w:t>
      </w:r>
      <w:r w:rsidR="008F6E77" w:rsidRPr="008F6E77">
        <w:rPr>
          <w:lang w:val="en-GB"/>
        </w:rPr>
        <w:t>facilities</w:t>
      </w:r>
      <w:r>
        <w:rPr>
          <w:lang w:val="en-GB"/>
        </w:rPr>
        <w:t xml:space="preserve"> identified could represent additional, unmeasured structural and complex care processes</w:t>
      </w:r>
      <w:r w:rsidR="00DC07C7">
        <w:rPr>
          <w:lang w:val="en-GB"/>
        </w:rPr>
        <w:t>.</w:t>
      </w:r>
      <w:r>
        <w:rPr>
          <w:lang w:val="en-GB"/>
        </w:rPr>
        <w:t xml:space="preserve"> </w:t>
      </w:r>
      <w:r w:rsidR="00CF58E2">
        <w:rPr>
          <w:lang w:val="en-GB"/>
        </w:rPr>
        <w:t xml:space="preserve">Despite capturing a broad </w:t>
      </w:r>
      <w:r w:rsidR="00CF58E2" w:rsidRPr="008F6E77">
        <w:rPr>
          <w:lang w:val="en-GB"/>
        </w:rPr>
        <w:t xml:space="preserve">range of hospital infrastructure and </w:t>
      </w:r>
      <w:r w:rsidR="008F6E77" w:rsidRPr="008F6E77">
        <w:rPr>
          <w:lang w:val="en-GB"/>
        </w:rPr>
        <w:t>resources</w:t>
      </w:r>
      <w:r w:rsidR="00CF58E2">
        <w:rPr>
          <w:lang w:val="en-GB"/>
        </w:rPr>
        <w:t xml:space="preserve">, we are unable to extrapolate our results </w:t>
      </w:r>
      <w:r w:rsidR="009D3898">
        <w:rPr>
          <w:lang w:val="en-GB"/>
        </w:rPr>
        <w:t xml:space="preserve">to all additional resources a hospital may contain. </w:t>
      </w:r>
      <w:r w:rsidR="003F5D63">
        <w:rPr>
          <w:lang w:val="en-GB"/>
        </w:rPr>
        <w:t>However, a</w:t>
      </w:r>
      <w:r w:rsidR="009D3898">
        <w:rPr>
          <w:lang w:val="en-GB"/>
        </w:rPr>
        <w:t xml:space="preserve">s the number of </w:t>
      </w:r>
      <w:r w:rsidR="009D3898" w:rsidRPr="00E80F36">
        <w:rPr>
          <w:lang w:val="en-GB"/>
        </w:rPr>
        <w:t>hospital facilit</w:t>
      </w:r>
      <w:r w:rsidR="008F6E77" w:rsidRPr="00E80F36">
        <w:rPr>
          <w:lang w:val="en-GB"/>
        </w:rPr>
        <w:t>ies</w:t>
      </w:r>
      <w:r w:rsidR="008F6E77">
        <w:rPr>
          <w:lang w:val="en-GB"/>
        </w:rPr>
        <w:t xml:space="preserve"> </w:t>
      </w:r>
      <w:r w:rsidR="009D3898">
        <w:rPr>
          <w:lang w:val="en-GB"/>
        </w:rPr>
        <w:t>increased, a clear trend in the capacity to rescue patients was demonstrated</w:t>
      </w:r>
      <w:r w:rsidR="003F5D63">
        <w:rPr>
          <w:lang w:val="en-GB"/>
        </w:rPr>
        <w:t>.</w:t>
      </w:r>
      <w:r w:rsidR="009D3898">
        <w:rPr>
          <w:lang w:val="en-GB"/>
        </w:rPr>
        <w:t xml:space="preserve"> </w:t>
      </w:r>
      <w:r w:rsidR="003F5D63">
        <w:rPr>
          <w:lang w:val="en-GB"/>
        </w:rPr>
        <w:t>Therefore</w:t>
      </w:r>
      <w:r w:rsidR="0057098B">
        <w:rPr>
          <w:lang w:val="en-GB"/>
        </w:rPr>
        <w:t>,</w:t>
      </w:r>
      <w:r w:rsidR="00B733C6">
        <w:rPr>
          <w:lang w:val="en-GB"/>
        </w:rPr>
        <w:t xml:space="preserve"> </w:t>
      </w:r>
      <w:r w:rsidR="000D51A4">
        <w:rPr>
          <w:lang w:val="en-GB"/>
        </w:rPr>
        <w:t>investment</w:t>
      </w:r>
      <w:r w:rsidR="00335AC4">
        <w:rPr>
          <w:lang w:val="en-GB"/>
        </w:rPr>
        <w:t xml:space="preserve"> and improvement</w:t>
      </w:r>
      <w:r w:rsidR="000D51A4">
        <w:rPr>
          <w:lang w:val="en-GB"/>
        </w:rPr>
        <w:t xml:space="preserve"> in </w:t>
      </w:r>
      <w:r w:rsidR="00811287" w:rsidRPr="00E80F36">
        <w:rPr>
          <w:lang w:val="en-GB"/>
        </w:rPr>
        <w:t xml:space="preserve">overall </w:t>
      </w:r>
      <w:r w:rsidR="00B733C6" w:rsidRPr="00E80F36">
        <w:rPr>
          <w:lang w:val="en-GB"/>
        </w:rPr>
        <w:t xml:space="preserve">hospital </w:t>
      </w:r>
      <w:r w:rsidR="00811287" w:rsidRPr="00E80F36">
        <w:rPr>
          <w:lang w:val="en-GB"/>
        </w:rPr>
        <w:t>capability</w:t>
      </w:r>
      <w:r w:rsidR="00811287">
        <w:rPr>
          <w:lang w:val="en-GB"/>
        </w:rPr>
        <w:t xml:space="preserve"> </w:t>
      </w:r>
      <w:r w:rsidR="004C025F">
        <w:rPr>
          <w:lang w:val="en-GB"/>
        </w:rPr>
        <w:t>is likely to greatly improve early patient outcomes following cancer surgery. Further work validating our findings and exploring the effect of specific combinations</w:t>
      </w:r>
      <w:r w:rsidR="002113E5">
        <w:rPr>
          <w:lang w:val="en-GB"/>
        </w:rPr>
        <w:t>, particularly in LMIC settings,</w:t>
      </w:r>
      <w:r w:rsidR="004C025F">
        <w:rPr>
          <w:lang w:val="en-GB"/>
        </w:rPr>
        <w:t xml:space="preserve"> is</w:t>
      </w:r>
      <w:r w:rsidR="007002C2">
        <w:rPr>
          <w:lang w:val="en-GB"/>
        </w:rPr>
        <w:t xml:space="preserve"> </w:t>
      </w:r>
      <w:r w:rsidR="004C025F">
        <w:rPr>
          <w:lang w:val="en-GB"/>
        </w:rPr>
        <w:t>required.</w:t>
      </w:r>
      <w:r w:rsidR="00FF70AE">
        <w:rPr>
          <w:lang w:val="en-GB"/>
        </w:rPr>
        <w:t xml:space="preserve"> </w:t>
      </w:r>
    </w:p>
    <w:p w14:paraId="064097F5" w14:textId="7E63BEC7" w:rsidR="00CF7BC4" w:rsidRPr="00E678AB" w:rsidRDefault="009D77B2">
      <w:pPr>
        <w:pStyle w:val="BodyText"/>
        <w:rPr>
          <w:lang w:val="en-GB"/>
        </w:rPr>
      </w:pPr>
      <w:r w:rsidRPr="00E678AB">
        <w:rPr>
          <w:lang w:val="en-GB"/>
        </w:rPr>
        <w:t>We were also unable to follow up patients beyond 30-days after surgery. L</w:t>
      </w:r>
      <w:r w:rsidR="00AD71D3">
        <w:rPr>
          <w:lang w:val="en-GB"/>
        </w:rPr>
        <w:t>ittle is known about l</w:t>
      </w:r>
      <w:r w:rsidRPr="00E678AB">
        <w:rPr>
          <w:lang w:val="en-GB"/>
        </w:rPr>
        <w:t xml:space="preserve">onger-term outcomes </w:t>
      </w:r>
      <w:r w:rsidR="00734766">
        <w:rPr>
          <w:lang w:val="en-GB"/>
        </w:rPr>
        <w:t>such as cancer</w:t>
      </w:r>
      <w:r w:rsidR="00374301">
        <w:rPr>
          <w:lang w:val="en-GB"/>
        </w:rPr>
        <w:t>-</w:t>
      </w:r>
      <w:r w:rsidR="00734766">
        <w:rPr>
          <w:lang w:val="en-GB"/>
        </w:rPr>
        <w:t>free survival i</w:t>
      </w:r>
      <w:r w:rsidRPr="00E678AB">
        <w:rPr>
          <w:lang w:val="en-GB"/>
        </w:rPr>
        <w:t>n resource-limited settings.</w:t>
      </w:r>
      <w:r w:rsidR="009329DE" w:rsidRPr="00E678AB">
        <w:rPr>
          <w:lang w:val="en-GB"/>
        </w:rPr>
        <w:fldChar w:fldCharType="begin"/>
      </w:r>
      <w:r w:rsidR="009329DE" w:rsidRPr="00E678AB">
        <w:rPr>
          <w:lang w:val="en-GB"/>
        </w:rPr>
        <w:instrText xml:space="preserve"> ADDIN ZOTERO_ITEM CSL_CITATION {"citationID":"Bl6rX6M4","properties":{"formattedCitation":"\\super 1,3\\nosupersub{}","plainCitation":"1,3","noteIndex":0},"citationItems":[{"id":290,"uris":["http://zotero.org/users/4732780/items/N2GHI7F4"],"uri":["http://zotero.org/users/4732780/items/N2GHI7F4"],"itemData":{"id":290,"type":"article-journal","abstract":"Surgery is essential for global cancer care in all resource settings. Of the 15.2 million new cases of cancer in 2015, over 80% of cases will need surgery, some several times. By 2030, we estimate that annually 45 million surgical procedures will be needed worldwide. Yet, less than 25% of patients with cancer worldwide actually get safe, affordable, or timely surgery. This Commission on global cancer surgery, building on Global Surgery 2030, has examined the state of global cancer surgery through an analysis of the burden of surgical disease and breadth of cancer surgery, economics and financing, factors for strengthening surgical systems for cancer with multiple-country studies, the research agenda, and the political factors that frame policy making in this area. We found wide equity and economic gaps in global cancer surgery. Many patients throughout the world do not have access to cancer surgery, and the failure to train more cancer surgeons and strengthen systems could result in as much as US $6.2 trillion in lost cumulative gross domestic product by 2030. Many of the key adjunct treatment modalities for cancer surgery--e.g., pathology and imaging--are also inadequate. Our analysis identified substantial issues, but also highlights solutions and innovations. Issues of access, a paucity of investment in public surgical systems, low investment in research, and training and education gaps are remarkably widespread. Solutions include better regulated public systems, international partnerships, super-centralisation of surgical services, novel surgical clinical trials, and new approaches to improve quality and scale up cancer surgical systems through education and training. Our key messages are directed at many global stakeholders, but the central message is that to deliver safe, affordable, and timely cancer surgery to all, surgery must be at the heart of global and national cancer control planning.","container-title":"The Lancet. Oncology","DOI":"10.1016/S1470-2045(15)00223-5","ISSN":"1474-5488","issue":"11","journalAbbreviation":"Lancet Oncol.","language":"eng","note":"PMID: 26427363","page":"1193-1224","source":"PubMed","title":"Global cancer surgery: delivering safe, affordable, and timely cancer surgery","title-short":"Global cancer surgery","volume":"16","author":[{"family":"Sullivan","given":"Richard"},{"family":"Alatise","given":"Olusegun Isaac"},{"family":"Anderson","given":"Benjamin O."},{"family":"Audisio","given":"Riccardo"},{"family":"Autier","given":"Philippe"},{"family":"Aggarwal","given":"Ajay"},{"family":"Balch","given":"Charles"},{"family":"Brennan","given":"Murray F."},{"family":"Dare","given":"Anna"},{"family":"D'Cruz","given":"Anil"},{"family":"Eggermont","given":"Alexander M. M."},{"family":"Fleming","given":"Kenneth"},{"family":"Gueye","given":"Serigne Magueye"},{"family":"Hagander","given":"Lars"},{"family":"Herrera","given":"Cristian A."},{"family":"Holmer","given":"Hampus"},{"family":"Ilbawi","given":"André M."},{"family":"Jarnheimer","given":"Anton"},{"family":"Ji","given":"Jia-Fu"},{"family":"Kingham","given":"T. Peter"},{"family":"Liberman","given":"Jonathan"},{"family":"Leather","given":"Andrew J. M."},{"family":"Meara","given":"John G."},{"family":"Mukhopadhyay","given":"Swagoto"},{"family":"Murthy","given":"Shilpa S."},{"family":"Omar","given":"Sherif"},{"family":"Parham","given":"Groesbeck P."},{"family":"Pramesh","given":"C. S."},{"family":"Riviello","given":"Robert"},{"family":"Rodin","given":"Danielle"},{"family":"Santini","given":"Luiz"},{"family":"Shrikhande","given":"Shailesh V."},{"family":"Shrime","given":"Mark"},{"family":"Thomas","given":"Robert"},{"family":"Tsunoda","given":"Audrey T."},{"family":"Velde","given":"Cornelis","non-dropping-particle":"van de"},{"family":"Veronesi","given":"Umberto"},{"family":"Vijaykumar","given":"Dehannathparambil Kottarathil"},{"family":"Watters","given":"David"},{"family":"Wang","given":"Shan"},{"family":"Wu","given":"Yi-Long"},{"family":"Zeiton","given":"Moez"},{"family":"Purushotham","given":"Arnie"}],"issued":{"date-parts":[["2015",9]]}}},{"id":5457,"uris":["http://zotero.org/users/4732780/items/PY2DHEYG"],"uri":["http://zotero.org/users/4732780/items/PY2DHEYG"],"itemData":{"id":5457,"type":"article-journal","abstract":"&lt;h2&gt;Summary&lt;/h2&gt;&lt;h3&gt;Background&lt;/h3&gt;&lt;p&gt;In addition to increased availability of treatment modalities, advanced imaging modalities are increasingly recommended to improve global cancer care. However, estimates of the costs and benefits of investments to improve cancer survival are scarce, especially for low-income and middle-income countries (LMICs). In this analysis, we aimed to estimate the costs and lifetime health and economic benefits of scaling up imaging and treatment modality packages on cancer survival, both globally and by country income group.&lt;/p&gt;&lt;h3&gt;Methods&lt;/h3&gt;&lt;p&gt;Using a previously developed model of global cancer survival, we estimated stage-specific cancer survival and life-years gained (accounting for competing mortality) in 200 countries and territories for patients diagnosed with one of 11 cancers (oesophagus, stomach, colon, rectum, anus, liver, pancreas, lung, breast, cervix uteri, and prostate) representing 60% of all cancer diagnoses between 2020 and 2030 (inclusive of full years). We evaluated the costs and health and economic benefits of scaling up packages of treatment (chemotherapy, surgery, radiotherapy, and targeted therapy), imaging modalities (ultrasound, x-ray, CT, MRI, PET, single-photon emission CT), and quality of care to the mean level of high-income countries, separately and in combination, compared with no scale-up. Costs and benefits are presented in 2018 US$ and discounted at 3% annually.&lt;/p&gt;&lt;h3&gt;Findings&lt;/h3&gt;&lt;p&gt;For the 11 cancers studied, we estimated that without scale-up (ie, with current availability of treatment, imaging, and quality of care) there will be 76·0 million cancer deaths (95% UI 73·9–78·6) globally for patients diagnosed between 2020 and 2030, with more than 70% of these deaths occurring in LMICs. Comprehensive scale-up of treatment, imaging, and quality of care could avert 12·5% (95% UI 9·0–16·3) of these deaths globally, ranging from 2·8% (1·8–4·3) in high-income countries to 38·2% (32·6–44·5) in low-income countries. Globally, we estimate that comprehensive scale-up would cost an additional $232·9 billion (95% UI 85·9–422·0) between 2020 and 2030 (representing a 6·9% increase in cancer treatment costs), but produce $2·9 trillion (1·8–4·0) in lifetime economic benefits, yielding a return of $12·43 (6·47–33·23) per dollar invested. Scaling up treatment and quality of care without imaging would yield a return of $6·15 (2·66–16·71) per dollar invested and avert 7·0% (3·9–10·3) of cancer deaths worldwide.&lt;/p&gt;&lt;h3&gt;Interpretation&lt;/h3&gt;&lt;p&gt;Simultaneous investment in cancer treatment, imaging, and quality of care could yield substantial health and economic benefits, especially in LMICs. These results provide a compelling rationale for the value of investing in the global scale-up of cancer care.&lt;/p&gt;&lt;h3&gt;Funding&lt;/h3&gt;&lt;p&gt;Harvard TH Chan School of Public Health and National Cancer Institute.&lt;/p&gt;","container-title":"The Lancet Oncology","DOI":"10.1016/S1470-2045(20)30750-6","ISSN":"1470-2045, 1474-5488","issue":"3","journalAbbreviation":"The Lancet Oncology","language":"English","note":"publisher: Elsevier\nPMID: 33662286","page":"341-350","source":"www.thelancet.com","title":"Global costs, health benefits, and economic benefits of scaling up treatment and imaging modalities for survival of 11 cancers: a simulation-based analysis","title-short":"Global costs, health benefits, and economic benefits of scaling up treatment and imaging modalities for survival of 11 cancers","volume":"22","author":[{"family":"Ward","given":"Zachary J."},{"family":"Scott","given":"Andrew M."},{"family":"Hricak","given":"Hedvig"},{"family":"Atun","given":"Rifat"}],"issued":{"date-parts":[["2021",3,1]]}}}],"schema":"https://github.com/citation-style-language/schema/raw/master/csl-citation.json"} </w:instrText>
      </w:r>
      <w:r w:rsidR="009329DE" w:rsidRPr="00E678AB">
        <w:rPr>
          <w:lang w:val="en-GB"/>
        </w:rPr>
        <w:fldChar w:fldCharType="separate"/>
      </w:r>
      <w:r w:rsidR="009329DE" w:rsidRPr="00E678AB">
        <w:rPr>
          <w:rFonts w:ascii="Cambria" w:cs="Times New Roman"/>
          <w:vertAlign w:val="superscript"/>
          <w:lang w:val="en-GB"/>
        </w:rPr>
        <w:t>1,3</w:t>
      </w:r>
      <w:r w:rsidR="009329DE" w:rsidRPr="00E678AB">
        <w:rPr>
          <w:lang w:val="en-GB"/>
        </w:rPr>
        <w:fldChar w:fldCharType="end"/>
      </w:r>
      <w:r w:rsidR="009329DE" w:rsidRPr="00E678AB">
        <w:rPr>
          <w:lang w:val="en-GB"/>
        </w:rPr>
        <w:t xml:space="preserve"> </w:t>
      </w:r>
      <w:r w:rsidRPr="00E678AB">
        <w:rPr>
          <w:lang w:val="en-GB"/>
        </w:rPr>
        <w:t>Nevertheless, postoperative complications following major surgery can influence longer-term outcomes, including patient survival and disability.</w:t>
      </w:r>
      <w:r w:rsidR="009329DE" w:rsidRPr="00E678AB">
        <w:rPr>
          <w:lang w:val="en-GB"/>
        </w:rPr>
        <w:fldChar w:fldCharType="begin"/>
      </w:r>
      <w:r w:rsidR="00F3627B">
        <w:rPr>
          <w:lang w:val="en-GB"/>
        </w:rPr>
        <w:instrText xml:space="preserve"> ADDIN ZOTERO_ITEM CSL_CITATION {"citationID":"xhxp2qkY","properties":{"formattedCitation":"\\super 30\\nosupersub{}","plainCitation":"30","noteIndex":0},"citationItems":[{"id":5129,"uris":["http://zotero.org/users/4732780/items/3UHIH9TK"],"uri":["http://zotero.org/users/4732780/items/3UHIH9TK"],"itemData":{"id":5129,"type":"article-journal","abstract":"OBJECTIVE: The objective of this study was to identify the determinants of 30-day postoperative mortality and long-term survival after major surgery as exemplified by 8 common operations.\nSUMMARY BACKGROUND DATA: The National Surgical Quality Improvement Program (NSQIP) database contains pre-, intra-, and 30-day postoperative data, prospectively collected in a standardized fashion by a dedicated nurse reviewer, on major surgery in the Veterans Administration (VA). The Beneficiary Identification and Records Locator Subsystem (BIRLS) is a VA file that depicts the vital status of U.S. veterans with 87% to 95% accuracy.\nMETHODS: NSQIP data were merged with BIRLS to determine the vital status of 105,951 patients who underwent 8 types of operations performed between 1991 and 1999, providing an average follow up of 8 years. Logistic and Cox regression analyses were performed to identify the predictors of 30-day mortality and long-term survival, respectively.\nRESULTS: The most important determinant of decreased postoperative survival was the occurrence, within 30 days postoperatively, of any one of 22 types of complications collected in the NSQIP. Independent of preoperative patient risk, the occurrence of a 30-day complication in the total patient group reduced median patient survival by 69%. The adverse effect of a complication on patient survival was also influenced by the operation type and was sustained even when patients who did not survive for 30 days were excluded from the analyses.\nCONCLUSIONS: The occurrence of a 30-day postoperative complication is more important than preoperative patient risk and intraoperative factors in determining the survival after major surgery in the VA. Quality and process improvement in surgery should be directed toward the prevention of postoperative complications.","container-title":"Annals of Surgery","DOI":"10.1097/01.sla.0000179621.33268.83","ISSN":"0003-4932","issue":"3","journalAbbreviation":"Ann. Surg.","language":"eng","note":"PMID: 16135919\nPMCID: PMC1357741","page":"326-341; discussion 341-343","source":"PubMed","title":"Determinants of long-term survival after major surgery and the adverse effect of postoperative complications","volume":"242","author":[{"family":"Khuri","given":"Shukri F."},{"family":"Henderson","given":"William G."},{"family":"DePalma","given":"Ralph G."},{"family":"Mosca","given":"Cecilia"},{"family":"Healey","given":"Nancy A."},{"family":"Kumbhani","given":"Dharam J."},{"literal":"Participants in the VA National Surgical Quality Improvement Program"}],"issued":{"date-parts":[["2005",9]]}}}],"schema":"https://github.com/citation-style-language/schema/raw/master/csl-citation.json"} </w:instrText>
      </w:r>
      <w:r w:rsidR="009329DE" w:rsidRPr="00E678AB">
        <w:rPr>
          <w:lang w:val="en-GB"/>
        </w:rPr>
        <w:fldChar w:fldCharType="separate"/>
      </w:r>
      <w:r w:rsidR="00F3627B" w:rsidRPr="00F3627B">
        <w:rPr>
          <w:rFonts w:ascii="Cambria" w:cs="Times New Roman"/>
          <w:vertAlign w:val="superscript"/>
        </w:rPr>
        <w:t>30</w:t>
      </w:r>
      <w:r w:rsidR="009329DE" w:rsidRPr="00E678AB">
        <w:rPr>
          <w:lang w:val="en-GB"/>
        </w:rPr>
        <w:fldChar w:fldCharType="end"/>
      </w:r>
      <w:r w:rsidRPr="00E678AB">
        <w:rPr>
          <w:lang w:val="en-GB"/>
        </w:rPr>
        <w:t xml:space="preserve"> Longer-term disease and overall survival following surgery may be lower in LMICs, particularly as patients presented with later stage disease. The impact of delayed surgery in life-years lost for stage </w:t>
      </w:r>
      <w:r w:rsidR="00134D23">
        <w:rPr>
          <w:lang w:val="en-GB"/>
        </w:rPr>
        <w:t>I to III</w:t>
      </w:r>
      <w:r w:rsidRPr="00E678AB">
        <w:rPr>
          <w:lang w:val="en-GB"/>
        </w:rPr>
        <w:t xml:space="preserve"> disease is well described in high-income countries,</w:t>
      </w:r>
      <w:r w:rsidR="009329DE" w:rsidRPr="00E678AB">
        <w:rPr>
          <w:lang w:val="en-GB"/>
        </w:rPr>
        <w:fldChar w:fldCharType="begin"/>
      </w:r>
      <w:r w:rsidR="00F3627B">
        <w:rPr>
          <w:lang w:val="en-GB"/>
        </w:rPr>
        <w:instrText xml:space="preserve"> ADDIN ZOTERO_ITEM CSL_CITATION {"citationID":"uS2ckPZ2","properties":{"formattedCitation":"\\super 38\\nosupersub{}","plainCitation":"38","noteIndex":0},"citationItems":[{"id":5502,"uris":["http://zotero.org/users/4732780/items/U8T57I5U"],"uri":["http://zotero.org/users/4732780/items/U8T57I5U"],"itemData":{"id":5502,"type":"article-journal","abstract":"BACKGROUND: Cancer diagnostics and surgery have been disrupted by the response of health care services to the coronavirus disease 2019 (COVID-19) pandemic. Progression of cancers during delay will impact on patients' long-term survival.\nPATIENTS AND METHODS: We generated per-day hazard ratios of cancer progression from observational studies and applied these to age-specific, stage-specific cancer survival for England 2013-2017. We modelled per-patient delay of 3 and 6 months and periods of disruption of 1 and 2 years. Using health care resource costing, we contextualise attributable lives saved and life-years gained (LYGs) from cancer surgery to equivalent volumes of COVID-19 hospitalisations.\nRESULTS: Per year, 94 912 resections for major cancers result in 80 406 long-term survivors and 1 717 051 LYGs. Per-patient delay of 3/6 months would cause attributable death of 4755/10 760 of these individuals with loss of 92 214/208 275 life-years, respectively. For cancer surgery, average LYGs per patient are 18.1 under standard conditions and 17.1/15.9 with a delay of 3/6 months (an average loss of 0.97/2.19 LYGs per patient), respectively. Taking into account health care resource units (HCRUs), surgery results on average per patient in 2.25 resource-adjusted life-years gained (RALYGs) under standard conditions and 2.12/1.97 RALYGs following delay of 3/6 months. For 94 912 hospital COVID-19 admissions, there are 482 022 LYGs requiring 1 052 949 HCRUs. Hospitalisation of community-acquired COVID-19 patients yields on average per patient 5.08 LYG and 0.46 RALYGs.\nCONCLUSIONS: Modest delays in surgery for cancer incur significant impact on survival. Delay of 3/6 months in surgery for incident cancers would mitigate 19%/43% of LYGs, respectively, by hospitalisation of an equivalent volume of admissions for community-acquired COVID-19. This rises to 26%/59%, respectively, when considering RALYGs. To avoid a downstream public health crisis of avoidable cancer deaths, cancer diagnostic and surgical pathways must be maintained at normal throughput, with rapid attention to any backlog already accrued.","container-title":"Annals of Oncology: Official Journal of the European Society for Medical Oncology","DOI":"10.1016/j.annonc.2020.05.009","ISSN":"1569-8041","issue":"8","journalAbbreviation":"Ann Oncol","language":"eng","note":"PMID: 32442581\nPMCID: PMC7237184","page":"1065-1074","source":"PubMed","title":"Collateral damage: the impact on outcomes from cancer surgery of the COVID-19 pandemic","title-short":"Collateral damage","volume":"31","author":[{"family":"Sud","given":"A."},{"family":"Jones","given":"M. E."},{"family":"Broggio","given":"J."},{"family":"Loveday","given":"C."},{"family":"Torr","given":"B."},{"family":"Garrett","given":"A."},{"family":"Nicol","given":"D. L."},{"family":"Jhanji","given":"S."},{"family":"Boyce","given":"S. A."},{"family":"Gronthoud","given":"F."},{"family":"Ward","given":"P."},{"family":"Handy","given":"J. M."},{"family":"Yousaf","given":"N."},{"family":"Larkin","given":"J."},{"family":"Suh","given":"Y.-E."},{"family":"Scott","given":"S."},{"family":"Pharoah","given":"P. D. P."},{"family":"Swanton","given":"C."},{"family":"Abbosh","given":"C."},{"family":"Williams","given":"M."},{"family":"Lyratzopoulos","given":"G."},{"family":"Houlston","given":"R."},{"family":"Turnbull","given":"C."}],"issued":{"date-parts":[["2020",8]]}}}],"schema":"https://github.com/citation-style-language/schema/raw/master/csl-citation.json"} </w:instrText>
      </w:r>
      <w:r w:rsidR="009329DE" w:rsidRPr="00E678AB">
        <w:rPr>
          <w:lang w:val="en-GB"/>
        </w:rPr>
        <w:fldChar w:fldCharType="separate"/>
      </w:r>
      <w:r w:rsidR="00F3627B" w:rsidRPr="00F3627B">
        <w:rPr>
          <w:rFonts w:ascii="Cambria" w:cs="Times New Roman"/>
          <w:vertAlign w:val="superscript"/>
        </w:rPr>
        <w:t>38</w:t>
      </w:r>
      <w:r w:rsidR="009329DE" w:rsidRPr="00E678AB">
        <w:rPr>
          <w:lang w:val="en-GB"/>
        </w:rPr>
        <w:fldChar w:fldCharType="end"/>
      </w:r>
      <w:r w:rsidRPr="00E678AB">
        <w:rPr>
          <w:lang w:val="en-GB"/>
        </w:rPr>
        <w:t xml:space="preserve"> however knowledge gaps exist globally.</w:t>
      </w:r>
    </w:p>
    <w:p w14:paraId="77124F11" w14:textId="1C149F3B" w:rsidR="00CF7BC4" w:rsidRPr="00E678AB" w:rsidRDefault="009D77B2">
      <w:pPr>
        <w:pStyle w:val="BodyText"/>
        <w:rPr>
          <w:lang w:val="en-GB"/>
        </w:rPr>
      </w:pPr>
      <w:r w:rsidRPr="00E678AB">
        <w:rPr>
          <w:lang w:val="en-GB"/>
        </w:rPr>
        <w:t xml:space="preserve">Finally, we did not have information on surgeon volume or nurse to bed ratio, which are both known mediators in the relationship between </w:t>
      </w:r>
      <w:r w:rsidRPr="004F3104">
        <w:rPr>
          <w:lang w:val="en-GB"/>
        </w:rPr>
        <w:t xml:space="preserve">hospital </w:t>
      </w:r>
      <w:r w:rsidR="004002E1" w:rsidRPr="004F3104">
        <w:rPr>
          <w:lang w:val="en-GB"/>
        </w:rPr>
        <w:t>facilities</w:t>
      </w:r>
      <w:r w:rsidRPr="00E678AB">
        <w:rPr>
          <w:lang w:val="en-GB"/>
        </w:rPr>
        <w:t xml:space="preserve"> and mortalit</w:t>
      </w:r>
      <w:r w:rsidR="00C31A69" w:rsidRPr="00E678AB">
        <w:rPr>
          <w:lang w:val="en-GB"/>
        </w:rPr>
        <w:t>y.</w:t>
      </w:r>
      <w:r w:rsidR="00C31A69" w:rsidRPr="00E678AB">
        <w:rPr>
          <w:lang w:val="en-GB"/>
        </w:rPr>
        <w:fldChar w:fldCharType="begin"/>
      </w:r>
      <w:r w:rsidR="00F3627B">
        <w:rPr>
          <w:lang w:val="en-GB"/>
        </w:rPr>
        <w:instrText xml:space="preserve"> ADDIN ZOTERO_ITEM CSL_CITATION {"citationID":"CJq2joc6","properties":{"formattedCitation":"\\super 36,39,40\\nosupersub{}","plainCitation":"36,39,40","noteIndex":0},"citationItems":[{"id":5491,"uris":["http://zotero.org/users/4732780/items/WJDBN2TN"],"uri":["http://zotero.org/users/4732780/items/WJDBN2TN"],"itemData":{"id":5491,"type":"article-journal","abstract":"BACKGROUND: The relationship between hospital volume and perioperative mortality in pancreaticoduodenectomy has been well established. We studied whether associations exist between hospital volume and hospital clinical resources and between both of these factors to mortality to help explain this relationship.\nSTUDY DESIGN: This two-part study reviewed publicly available hospital information from the Leapfrog Group, HealthGrades, and hospital Web sites. Hospitals were evaluated for Leapfrog ICU staffing criteria and Safe Practice Score; HealthGrades five-star rating for complex gastrointestinal procedures and operations; and presence of a general surgery residency, gastroenterology fellowship, and interventional radiology. Evaluation used trend analysis and multiple logistic regression analysis. The second part determined the mortality rate for pancreaticoduodenectomy using inpatient mortality data from the National Inpatient Sample and Leapfrog. Hospitals were categorized by low volume (&lt; or = 10/year), high volume (&gt; or = 11/year), strong clinical support (presence of all support factors), and weak clinical support (absence of any factor). Data were correlated by number of pancreatic resections per hospital, hospital system clinical resources, and operative mortality.\nRESULTS: As hospital volume increased, statistically significant increases occurred in the frequency of hospitals meeting Leapfrog ICU staffing criteria (p &lt; 0.0001), Leapfrog Safe Practice Score (p = 0.0004), HealthGrades 5-star rating (p &lt; 0.00001), general surgery residency (p &lt; 0.00001), gastroenterology fellowship (p &lt; 0.00001), and interventional radiology services (p &lt; 0.00001). No significant relationships were found between resection volume and any one of the clinical support factors and perioperative death. Presence of strong clinical support was associated with lower mortality (odds ratio = 0.32; p = 0.001).\nCONCLUSIONS: System clinical resources were more influential in operative mortality for pancreatic resection. This might help explain why high-volume hospitals, low-volume surgeons in high-volume institutions, and some lower-volume hospitals with excellent clinical resources have lower perioperative mortality rates for pancreatic resection.","container-title":"Journal of the American College of Surgeons","DOI":"10.1016/j.jamcollsurg.2009.01.019","ISSN":"1879-1190","issue":"4","journalAbbreviation":"J Am Coll Surg","language":"eng","note":"PMID: 19476785","page":"520-527","source":"PubMed","title":"Relationship between hospital volume, system clinical resources, and mortality in pancreatic resection","volume":"208","author":[{"family":"Joseph","given":"Bellal"},{"family":"Morton","given":"John M."},{"family":"Hernandez-Boussard","given":"Tina"},{"family":"Rubinfeld","given":"Ilan"},{"family":"Faraj","given":"Chadi"},{"family":"Velanovich","given":"Vic"}],"issued":{"date-parts":[["2009",4]]}}},{"id":5505,"uris":["http://zotero.org/users/4732780/items/Z5YZLYTA"],"uri":["http://zotero.org/users/4732780/items/Z5YZLYTA"],"itemData":{"id":5505,"type":"article-journal","abstract":"CONTEXT: The worsening hospital nurse shortage and recent California legislation mandating minimum hospital patient-to-nurse ratios demand an understanding of how nurse staffing levels affect patient outcomes and nurse retention in hospital practice.\nOBJECTIVE: To determine the association between the patient-to-nurse ratio and patient mortality, failure-to-rescue (deaths following complications) among surgical patients, and factors related to nurse retention.\nDESIGN, SETTING, AND PARTICIPANTS: Cross-sectional analyses of linked data from 10 184 staff nurses surveyed, 232 342 general, orthopedic, and vascular surgery patients discharged from the hospital between April 1, 1998, and November 30, 1999, and administrative data from 168 nonfederal adult general hospitals in Pennsylvania.\nMAIN OUTCOME MEASURES: Risk-adjusted patient mortality and failure-to-rescue within 30 days of admission, and nurse-reported job dissatisfaction and job-related burnout.\nRESULTS: After adjusting for patient and hospital characteristics (size, teaching status, and technology), each additional patient per nurse was associated with a 7% (odds ratio [OR], 1.07; 95% confidence interval [CI], 1.03-1.12) increase in the likelihood of dying within 30 days of admission and a 7% (OR, 1.07; 95% CI, 1.02-1.11) increase in the odds of failure-to-rescue. After adjusting for nurse and hospital characteristics, each additional patient per nurse was associated with a 23% (OR, 1.23; 95% CI, 1.13-1.34) increase in the odds of burnout and a 15% (OR, 1.15; 95% CI, 1.07-1.25) increase in the odds of job dissatisfaction.\nCONCLUSIONS: In hospitals with high patient-to-nurse ratios, surgical patients experience higher risk-adjusted 30-day mortality and failure-to-rescue rates, and nurses are more likely to experience burnout and job dissatisfaction.","container-title":"JAMA","DOI":"10.1001/jama.288.16.1987","ISSN":"0098-7484","issue":"16","journalAbbreviation":"JAMA","language":"eng","note":"PMID: 12387650","page":"1987-1993","source":"PubMed","title":"Hospital nurse staffing and patient mortality, nurse burnout, and job dissatisfaction","volume":"288","author":[{"family":"Aiken","given":"Linda H."},{"family":"Clarke","given":"Sean P."},{"family":"Sloane","given":"Douglas M."},{"family":"Sochalski","given":"Julie"},{"family":"Silber","given":"Jeffrey H."}],"issued":{"date-parts":[["2002",10,23]]}}},{"id":5515,"uris":["http://zotero.org/users/4732780/items/553CCHCH"],"uri":["http://zotero.org/users/4732780/items/553CCHCH"],"itemData":{"id":5515,"type":"article-journal","abstract":"Procedure volume has been used as a proxy for quality and recommended as a basis for hospital referrals. We studied the volume, mortality, and associated hospital and staffing characteristics of ten complex procedures in U.S. hospitals using the 2000 HCUP Nationwide Inpatient Sample. Although the majority of patients had their procedures performed in high-volume hospitals, for seven procedures, more than three-fourths of hospitals would be considered low-volume. Unadjusted mortality rates were significantly higher at low-volume hospitals for five procedures. Low-volume hospitals also tended to have lower mean numbers of residents and RNs. However, for two procedures, low-volume hospitals had RN and resident staffing equal to or higher than those of high-volume hospitals, and the unadjusted mortality rates were no different.","container-title":"Health Affairs (Project Hope)","DOI":"10.1377/hlthaff.22.2.167","ISSN":"0278-2715","issue":"2","journalAbbreviation":"Health Aff (Millwood)","language":"eng","note":"PMID: 12674419","page":"167-177","source":"PubMed","title":"Volume thresholds and hospital characteristics in the United States","volume":"22","author":[{"family":"Elixhauser","given":"Anne"},{"family":"Steiner","given":"Claudia"},{"family":"Fraser","given":"Irene"}],"issued":{"date-parts":[["2003",4]]}}}],"schema":"https://github.com/citation-style-language/schema/raw/master/csl-citation.json"} </w:instrText>
      </w:r>
      <w:r w:rsidR="00C31A69" w:rsidRPr="00E678AB">
        <w:rPr>
          <w:lang w:val="en-GB"/>
        </w:rPr>
        <w:fldChar w:fldCharType="separate"/>
      </w:r>
      <w:r w:rsidR="00F3627B" w:rsidRPr="00F3627B">
        <w:rPr>
          <w:rFonts w:ascii="Cambria" w:cs="Times New Roman"/>
          <w:vertAlign w:val="superscript"/>
        </w:rPr>
        <w:t>36,39,40</w:t>
      </w:r>
      <w:r w:rsidR="00C31A69" w:rsidRPr="00E678AB">
        <w:rPr>
          <w:lang w:val="en-GB"/>
        </w:rPr>
        <w:fldChar w:fldCharType="end"/>
      </w:r>
      <w:r w:rsidRPr="00E678AB">
        <w:rPr>
          <w:lang w:val="en-GB"/>
        </w:rPr>
        <w:t xml:space="preserve"> Debate still exists whether hospital volume versus hospital process is the prim</w:t>
      </w:r>
      <w:r w:rsidR="00905FC5">
        <w:rPr>
          <w:lang w:val="en-GB"/>
        </w:rPr>
        <w:t>ary</w:t>
      </w:r>
      <w:r w:rsidRPr="00E678AB">
        <w:rPr>
          <w:lang w:val="en-GB"/>
        </w:rPr>
        <w:t xml:space="preserve"> reason for lower perioperative mortality in cancer surgery,</w:t>
      </w:r>
      <w:r w:rsidR="00C31A69" w:rsidRPr="00E678AB">
        <w:rPr>
          <w:lang w:val="en-GB"/>
        </w:rPr>
        <w:fldChar w:fldCharType="begin"/>
      </w:r>
      <w:r w:rsidR="00F3627B">
        <w:rPr>
          <w:lang w:val="en-GB"/>
        </w:rPr>
        <w:instrText xml:space="preserve"> ADDIN ZOTERO_ITEM CSL_CITATION {"citationID":"Fz1MnGjk","properties":{"formattedCitation":"\\super 36,41\\nosupersub{}","plainCitation":"36,41","noteIndex":0},"citationItems":[{"id":5491,"uris":["http://zotero.org/users/4732780/items/WJDBN2TN"],"uri":["http://zotero.org/users/4732780/items/WJDBN2TN"],"itemData":{"id":5491,"type":"article-journal","abstract":"BACKGROUND: The relationship between hospital volume and perioperative mortality in pancreaticoduodenectomy has been well established. We studied whether associations exist between hospital volume and hospital clinical resources and between both of these factors to mortality to help explain this relationship.\nSTUDY DESIGN: This two-part study reviewed publicly available hospital information from the Leapfrog Group, HealthGrades, and hospital Web sites. Hospitals were evaluated for Leapfrog ICU staffing criteria and Safe Practice Score; HealthGrades five-star rating for complex gastrointestinal procedures and operations; and presence of a general surgery residency, gastroenterology fellowship, and interventional radiology. Evaluation used trend analysis and multiple logistic regression analysis. The second part determined the mortality rate for pancreaticoduodenectomy using inpatient mortality data from the National Inpatient Sample and Leapfrog. Hospitals were categorized by low volume (&lt; or = 10/year), high volume (&gt; or = 11/year), strong clinical support (presence of all support factors), and weak clinical support (absence of any factor). Data were correlated by number of pancreatic resections per hospital, hospital system clinical resources, and operative mortality.\nRESULTS: As hospital volume increased, statistically significant increases occurred in the frequency of hospitals meeting Leapfrog ICU staffing criteria (p &lt; 0.0001), Leapfrog Safe Practice Score (p = 0.0004), HealthGrades 5-star rating (p &lt; 0.00001), general surgery residency (p &lt; 0.00001), gastroenterology fellowship (p &lt; 0.00001), and interventional radiology services (p &lt; 0.00001). No significant relationships were found between resection volume and any one of the clinical support factors and perioperative death. Presence of strong clinical support was associated with lower mortality (odds ratio = 0.32; p = 0.001).\nCONCLUSIONS: System clinical resources were more influential in operative mortality for pancreatic resection. This might help explain why high-volume hospitals, low-volume surgeons in high-volume institutions, and some lower-volume hospitals with excellent clinical resources have lower perioperative mortality rates for pancreatic resection.","container-title":"Journal of the American College of Surgeons","DOI":"10.1016/j.jamcollsurg.2009.01.019","ISSN":"1879-1190","issue":"4","journalAbbreviation":"J Am Coll Surg","language":"eng","note":"PMID: 19476785","page":"520-527","source":"PubMed","title":"Relationship between hospital volume, system clinical resources, and mortality in pancreatic resection","volume":"208","author":[{"family":"Joseph","given":"Bellal"},{"family":"Morton","given":"John M."},{"family":"Hernandez-Boussard","given":"Tina"},{"family":"Rubinfeld","given":"Ilan"},{"family":"Faraj","given":"Chadi"},{"family":"Velanovich","given":"Vic"}],"issued":{"date-parts":[["2009",4]]}}},{"id":5517,"uris":["http://zotero.org/users/4732780/items/S9755HT3"],"uri":["http://zotero.org/users/4732780/items/S9755HT3"],"itemData":{"id":5517,"type":"article-journal","abstract":"Research has demonstrated that there is lower operative mortality at hospitals with higher surgical volume. Using administrative data from Medicare, this study found lower mortality associated with each of eight procedures when performed by surgeons who undertook the operation more frequently.","container-title":"New England Journal of Medicine","DOI":"10.1056/NEJMsa035205","ISSN":"0028-4793","issue":"22","note":"publisher: Massachusetts Medical Society\n_eprint: https://doi.org/10.1056/NEJMsa035205\nPMID: 14645640","page":"2117-2127","source":"Taylor and Francis+NEJM","title":"Surgeon Volume and Operative Mortality in the United States","volume":"349","author":[{"family":"Birkmeyer","given":"John D."},{"family":"Stukel","given":"Therese A."},{"family":"Siewers","given":"Andrea E."},{"family":"Goodney","given":"Philip P."},{"family":"Wennberg","given":"David E."},{"family":"Lucas","given":"F. Lee"}],"issued":{"date-parts":[["2003",11,27]]}}}],"schema":"https://github.com/citation-style-language/schema/raw/master/csl-citation.json"} </w:instrText>
      </w:r>
      <w:r w:rsidR="00C31A69" w:rsidRPr="00E678AB">
        <w:rPr>
          <w:lang w:val="en-GB"/>
        </w:rPr>
        <w:fldChar w:fldCharType="separate"/>
      </w:r>
      <w:r w:rsidR="00F3627B" w:rsidRPr="00F3627B">
        <w:rPr>
          <w:rFonts w:ascii="Cambria" w:cs="Times New Roman"/>
          <w:vertAlign w:val="superscript"/>
        </w:rPr>
        <w:t>36,41</w:t>
      </w:r>
      <w:r w:rsidR="00C31A69" w:rsidRPr="00E678AB">
        <w:rPr>
          <w:lang w:val="en-GB"/>
        </w:rPr>
        <w:fldChar w:fldCharType="end"/>
      </w:r>
      <w:r w:rsidRPr="00E678AB">
        <w:rPr>
          <w:lang w:val="en-GB"/>
        </w:rPr>
        <w:t xml:space="preserve"> particularly as available clinical resources often increase with hospital volume.</w:t>
      </w:r>
      <w:r w:rsidR="00C31A69" w:rsidRPr="00E678AB">
        <w:rPr>
          <w:lang w:val="en-GB"/>
        </w:rPr>
        <w:fldChar w:fldCharType="begin"/>
      </w:r>
      <w:r w:rsidR="00F3627B">
        <w:rPr>
          <w:lang w:val="en-GB"/>
        </w:rPr>
        <w:instrText xml:space="preserve"> ADDIN ZOTERO_ITEM CSL_CITATION {"citationID":"BAoTcHFd","properties":{"formattedCitation":"\\super 36,42\\nosupersub{}","plainCitation":"36,42","noteIndex":0},"citationItems":[{"id":5491,"uris":["http://zotero.org/users/4732780/items/WJDBN2TN"],"uri":["http://zotero.org/users/4732780/items/WJDBN2TN"],"itemData":{"id":5491,"type":"article-journal","abstract":"BACKGROUND: The relationship between hospital volume and perioperative mortality in pancreaticoduodenectomy has been well established. We studied whether associations exist between hospital volume and hospital clinical resources and between both of these factors to mortality to help explain this relationship.\nSTUDY DESIGN: This two-part study reviewed publicly available hospital information from the Leapfrog Group, HealthGrades, and hospital Web sites. Hospitals were evaluated for Leapfrog ICU staffing criteria and Safe Practice Score; HealthGrades five-star rating for complex gastrointestinal procedures and operations; and presence of a general surgery residency, gastroenterology fellowship, and interventional radiology. Evaluation used trend analysis and multiple logistic regression analysis. The second part determined the mortality rate for pancreaticoduodenectomy using inpatient mortality data from the National Inpatient Sample and Leapfrog. Hospitals were categorized by low volume (&lt; or = 10/year), high volume (&gt; or = 11/year), strong clinical support (presence of all support factors), and weak clinical support (absence of any factor). Data were correlated by number of pancreatic resections per hospital, hospital system clinical resources, and operative mortality.\nRESULTS: As hospital volume increased, statistically significant increases occurred in the frequency of hospitals meeting Leapfrog ICU staffing criteria (p &lt; 0.0001), Leapfrog Safe Practice Score (p = 0.0004), HealthGrades 5-star rating (p &lt; 0.00001), general surgery residency (p &lt; 0.00001), gastroenterology fellowship (p &lt; 0.00001), and interventional radiology services (p &lt; 0.00001). No significant relationships were found between resection volume and any one of the clinical support factors and perioperative death. Presence of strong clinical support was associated with lower mortality (odds ratio = 0.32; p = 0.001).\nCONCLUSIONS: System clinical resources were more influential in operative mortality for pancreatic resection. This might help explain why high-volume hospitals, low-volume surgeons in high-volume institutions, and some lower-volume hospitals with excellent clinical resources have lower perioperative mortality rates for pancreatic resection.","container-title":"Journal of the American College of Surgeons","DOI":"10.1016/j.jamcollsurg.2009.01.019","ISSN":"1879-1190","issue":"4","journalAbbreviation":"J Am Coll Surg","language":"eng","note":"PMID: 19476785","page":"520-527","source":"PubMed","title":"Relationship between hospital volume, system clinical resources, and mortality in pancreatic resection","volume":"208","author":[{"family":"Joseph","given":"Bellal"},{"family":"Morton","given":"John M."},{"family":"Hernandez-Boussard","given":"Tina"},{"family":"Rubinfeld","given":"Ilan"},{"family":"Faraj","given":"Chadi"},{"family":"Velanovich","given":"Vic"}],"issued":{"date-parts":[["2009",4]]}}},{"id":5520,"uris":["http://zotero.org/users/4732780/items/YXWDLVYK"],"uri":["http://zotero.org/users/4732780/items/YXWDLVYK"],"itemData":{"id":5520,"type":"article-journal","abstract":"BACKGROUND: Minimum case volume thresholds for complex cancer operations have been proposed by the Leapfrog Group. There has been no formal study of how these standards correlate with actual hospital mortality.\nSTUDY DESIGN: The National Cancer Database was used to identify patients undergoing operations for esophageal, lung, pancreatic, and rectal cancer between 2013 and 2015. Recommended annual hospital case volume was used to divide hospitals into those meeting a minimum volume threshold (VT) and those below it. Hospitals in the highest quartile of adjusted hospital mortality were designated as poor performing hospitals (PPHs). Sensitivity, specificity, negative predictive value, and positive predictive value of current minimum VTs to predict PPHs were calculated.\nRESULTS: The proportion of hospitals meeting minimum VTs varied from 7% for esophagectomy to 27% for rectal operations. Proposed minimum VTs had a sensitivity of 69% to 93%, specificity of 7% to 27%, and area under the curve of 0.59 to 0.65 for identifying PPHs. Although the negative predictive value varied from 72% to 79%, the positive predictive value was only 24% to 26%. Optimal minimum VTs to identify PPHs were lower than those currently proposed-esophagus was 4 vs 20, lung was 21 vs 40, pancreas was 7 vs 20, and rectum was 8 vs 16. Even under these idealized volume cutoffs, the best performing procedure-specific model (esophagus) had an area under the curve of 0.68.\nCONCLUSIONS: Although proposed minimum VTs are reasonably good at identifying PPHs, they misclassify 3 of 4 hospitals below the minimum VT as PPHs and 1 of 4 PPHs as meeting the minimum VT. Use of case volume cutoffs alone does not correlate well with actual hospital mortality.","container-title":"Journal of the American College of Surgeons","DOI":"10.1016/j.jamcollsurg.2020.02.051","ISSN":"1879-1190","issue":"1","journalAbbreviation":"J Am Coll Surg","language":"eng","note":"PMID: 32335321","page":"45-52.e4","source":"PubMed","title":"Correlation of Proposed Surgical Volume Standards for Complex Cancer Surgery with Hospital Mortality","volume":"231","author":[{"family":"Wasif","given":"Nabil"},{"family":"Etzioni","given":"David A."},{"family":"Habermann","given":"Elizabeth"},{"family":"Mathur","given":"Amit"},{"family":"Chang","given":"Yu-Hui"}],"issued":{"date-parts":[["2020",7]]}}}],"schema":"https://github.com/citation-style-language/schema/raw/master/csl-citation.json"} </w:instrText>
      </w:r>
      <w:r w:rsidR="00C31A69" w:rsidRPr="00E678AB">
        <w:rPr>
          <w:lang w:val="en-GB"/>
        </w:rPr>
        <w:fldChar w:fldCharType="separate"/>
      </w:r>
      <w:r w:rsidR="00F3627B" w:rsidRPr="00F3627B">
        <w:rPr>
          <w:rFonts w:ascii="Cambria" w:cs="Times New Roman"/>
          <w:vertAlign w:val="superscript"/>
        </w:rPr>
        <w:t>36,42</w:t>
      </w:r>
      <w:r w:rsidR="00C31A69" w:rsidRPr="00E678AB">
        <w:rPr>
          <w:lang w:val="en-GB"/>
        </w:rPr>
        <w:fldChar w:fldCharType="end"/>
      </w:r>
      <w:r w:rsidR="00C31A69" w:rsidRPr="00E678AB">
        <w:rPr>
          <w:lang w:val="en-GB"/>
        </w:rPr>
        <w:t xml:space="preserve"> </w:t>
      </w:r>
      <w:r w:rsidRPr="00E678AB">
        <w:rPr>
          <w:lang w:val="en-GB"/>
        </w:rPr>
        <w:t>Additional studies are required to determine their impact on hospital mortality globally.</w:t>
      </w:r>
    </w:p>
    <w:p w14:paraId="6B55E1ED" w14:textId="4F575F69" w:rsidR="00F91E68" w:rsidRDefault="00F91E68" w:rsidP="00F91E68">
      <w:pPr>
        <w:pStyle w:val="BodyText"/>
      </w:pPr>
      <w:r>
        <w:t xml:space="preserve">In conclusion, the number of patients undergoing surgery in hospitals with reduced resources and weak processes of care is higher in low and middle-income settings, putting these patients at additional risk. Although early mortality following cancer surgery is known to be elevated in LMICs, the improvement of facilities can dramatically reduce perioperative mortality in these settings. A more comprehensive study of </w:t>
      </w:r>
      <w:r w:rsidRPr="004F3104">
        <w:t>systems strengthening</w:t>
      </w:r>
      <w:r>
        <w:t xml:space="preserve"> and improvement interventions to reduce postoperative mortality would </w:t>
      </w:r>
      <w:r w:rsidR="007F3B91">
        <w:t>provide important information on mechanisms to</w:t>
      </w:r>
      <w:r>
        <w:t xml:space="preserve"> impact cancer surgery outcomes for the large numbers of patients who receive care at these institutions.</w:t>
      </w:r>
    </w:p>
    <w:p w14:paraId="58C93277" w14:textId="77777777" w:rsidR="00F91E68" w:rsidRDefault="00F91E68" w:rsidP="00F91E68">
      <w:r>
        <w:br w:type="page"/>
      </w:r>
    </w:p>
    <w:p w14:paraId="39A1D254" w14:textId="77777777" w:rsidR="00F91E68" w:rsidRDefault="00F91E68" w:rsidP="00F91E68">
      <w:pPr>
        <w:pStyle w:val="Heading3"/>
      </w:pPr>
      <w:r>
        <w:lastRenderedPageBreak/>
        <w:t>Data sharing</w:t>
      </w:r>
    </w:p>
    <w:p w14:paraId="100EA4DA" w14:textId="751330F8" w:rsidR="00F91E68" w:rsidRDefault="00F91E68" w:rsidP="00F91E68">
      <w:pPr>
        <w:pStyle w:val="FirstParagraph"/>
      </w:pPr>
      <w:r>
        <w:t xml:space="preserve">The dataset can be explored using an online </w:t>
      </w:r>
      <w:proofErr w:type="spellStart"/>
      <w:r>
        <w:t>visualisation</w:t>
      </w:r>
      <w:proofErr w:type="spellEnd"/>
      <w:r>
        <w:t xml:space="preserve"> application </w:t>
      </w:r>
      <w:r w:rsidRPr="00671D32">
        <w:rPr>
          <w:bCs/>
        </w:rPr>
        <w:t>online</w:t>
      </w:r>
      <w:r w:rsidR="00671D32">
        <w:rPr>
          <w:bCs/>
        </w:rPr>
        <w:t xml:space="preserve"> (cancer.globalsurg.org)</w:t>
      </w:r>
      <w:r>
        <w:t>. Hospital-level data can be shared by application to the corresponding author. For analyses of patient-level identifiable data within our trusted research environment, please contact the corresponding author.</w:t>
      </w:r>
    </w:p>
    <w:p w14:paraId="1CD70BD9" w14:textId="77777777" w:rsidR="00F91E68" w:rsidRDefault="00F91E68" w:rsidP="00F91E68">
      <w:r>
        <w:br w:type="page"/>
      </w:r>
    </w:p>
    <w:p w14:paraId="599883C4" w14:textId="77777777" w:rsidR="00CF7BC4" w:rsidRPr="00E678AB" w:rsidRDefault="009D77B2">
      <w:pPr>
        <w:pStyle w:val="Heading3"/>
        <w:rPr>
          <w:lang w:val="en-GB"/>
        </w:rPr>
      </w:pPr>
      <w:bookmarkStart w:id="14" w:name="references"/>
      <w:r w:rsidRPr="00E678AB">
        <w:rPr>
          <w:lang w:val="en-GB"/>
        </w:rPr>
        <w:lastRenderedPageBreak/>
        <w:t>References</w:t>
      </w:r>
      <w:bookmarkEnd w:id="14"/>
    </w:p>
    <w:p w14:paraId="4282A4CC" w14:textId="77777777" w:rsidR="001B1749" w:rsidRPr="001B1749" w:rsidRDefault="00210740" w:rsidP="001B1749">
      <w:pPr>
        <w:pStyle w:val="Bibliography"/>
        <w:rPr>
          <w:rFonts w:ascii="Cambria"/>
        </w:rPr>
      </w:pPr>
      <w:r w:rsidRPr="00E678AB">
        <w:rPr>
          <w:lang w:val="en-GB"/>
        </w:rPr>
        <w:fldChar w:fldCharType="begin"/>
      </w:r>
      <w:r w:rsidRPr="00E678AB">
        <w:rPr>
          <w:lang w:val="en-GB"/>
        </w:rPr>
        <w:instrText xml:space="preserve"> ADDIN ZOTERO_BIBL {"uncited":[],"omitted":[],"custom":[]} CSL_BIBLIOGRAPHY </w:instrText>
      </w:r>
      <w:r w:rsidRPr="00E678AB">
        <w:rPr>
          <w:lang w:val="en-GB"/>
        </w:rPr>
        <w:fldChar w:fldCharType="separate"/>
      </w:r>
      <w:r w:rsidR="001B1749" w:rsidRPr="001B1749">
        <w:rPr>
          <w:rFonts w:ascii="Cambria"/>
        </w:rPr>
        <w:t xml:space="preserve">1. </w:t>
      </w:r>
      <w:r w:rsidR="001B1749" w:rsidRPr="001B1749">
        <w:rPr>
          <w:rFonts w:ascii="Cambria"/>
        </w:rPr>
        <w:tab/>
        <w:t xml:space="preserve">Sullivan R, </w:t>
      </w:r>
      <w:proofErr w:type="spellStart"/>
      <w:r w:rsidR="001B1749" w:rsidRPr="001B1749">
        <w:rPr>
          <w:rFonts w:ascii="Cambria"/>
        </w:rPr>
        <w:t>Alatise</w:t>
      </w:r>
      <w:proofErr w:type="spellEnd"/>
      <w:r w:rsidR="001B1749" w:rsidRPr="001B1749">
        <w:rPr>
          <w:rFonts w:ascii="Cambria"/>
        </w:rPr>
        <w:t xml:space="preserve"> OI, Anderson BO, </w:t>
      </w:r>
      <w:proofErr w:type="spellStart"/>
      <w:r w:rsidR="001B1749" w:rsidRPr="001B1749">
        <w:rPr>
          <w:rFonts w:ascii="Cambria"/>
        </w:rPr>
        <w:t>Audisio</w:t>
      </w:r>
      <w:proofErr w:type="spellEnd"/>
      <w:r w:rsidR="001B1749" w:rsidRPr="001B1749">
        <w:rPr>
          <w:rFonts w:ascii="Cambria"/>
        </w:rPr>
        <w:t xml:space="preserve"> R, </w:t>
      </w:r>
      <w:proofErr w:type="spellStart"/>
      <w:r w:rsidR="001B1749" w:rsidRPr="001B1749">
        <w:rPr>
          <w:rFonts w:ascii="Cambria"/>
        </w:rPr>
        <w:t>Autier</w:t>
      </w:r>
      <w:proofErr w:type="spellEnd"/>
      <w:r w:rsidR="001B1749" w:rsidRPr="001B1749">
        <w:rPr>
          <w:rFonts w:ascii="Cambria"/>
        </w:rPr>
        <w:t xml:space="preserve"> P, Aggarwal A, et al. Global cancer surgery: delivering safe, affordable, and timely cancer surgery. Lancet Oncol. 2015 Sep;16(11):1193–224. </w:t>
      </w:r>
    </w:p>
    <w:p w14:paraId="28F903EC" w14:textId="77777777" w:rsidR="001B1749" w:rsidRPr="001B1749" w:rsidRDefault="001B1749" w:rsidP="001B1749">
      <w:pPr>
        <w:pStyle w:val="Bibliography"/>
        <w:rPr>
          <w:rFonts w:ascii="Cambria"/>
        </w:rPr>
      </w:pPr>
      <w:r w:rsidRPr="001B1749">
        <w:rPr>
          <w:rFonts w:ascii="Cambria"/>
        </w:rPr>
        <w:t xml:space="preserve">2. </w:t>
      </w:r>
      <w:r w:rsidRPr="001B1749">
        <w:rPr>
          <w:rFonts w:ascii="Cambria"/>
        </w:rPr>
        <w:tab/>
        <w:t xml:space="preserve">Meara JG, </w:t>
      </w:r>
      <w:proofErr w:type="spellStart"/>
      <w:r w:rsidRPr="001B1749">
        <w:rPr>
          <w:rFonts w:ascii="Cambria"/>
        </w:rPr>
        <w:t>Hagander</w:t>
      </w:r>
      <w:proofErr w:type="spellEnd"/>
      <w:r w:rsidRPr="001B1749">
        <w:rPr>
          <w:rFonts w:ascii="Cambria"/>
        </w:rPr>
        <w:t xml:space="preserve"> L, Leather AJM. Surgery and global health: </w:t>
      </w:r>
      <w:proofErr w:type="gramStart"/>
      <w:r w:rsidRPr="001B1749">
        <w:rPr>
          <w:rFonts w:ascii="Cambria"/>
        </w:rPr>
        <w:t>a</w:t>
      </w:r>
      <w:proofErr w:type="gramEnd"/>
      <w:r w:rsidRPr="001B1749">
        <w:rPr>
          <w:rFonts w:ascii="Cambria"/>
        </w:rPr>
        <w:t xml:space="preserve"> Lancet Commission. Lancet. 2014 Jan 4;383(9911):12–3. </w:t>
      </w:r>
    </w:p>
    <w:p w14:paraId="74183818" w14:textId="77777777" w:rsidR="001B1749" w:rsidRPr="001B1749" w:rsidRDefault="001B1749" w:rsidP="001B1749">
      <w:pPr>
        <w:pStyle w:val="Bibliography"/>
        <w:rPr>
          <w:rFonts w:ascii="Cambria"/>
        </w:rPr>
      </w:pPr>
      <w:r w:rsidRPr="001B1749">
        <w:rPr>
          <w:rFonts w:ascii="Cambria"/>
        </w:rPr>
        <w:t xml:space="preserve">3. </w:t>
      </w:r>
      <w:r w:rsidRPr="001B1749">
        <w:rPr>
          <w:rFonts w:ascii="Cambria"/>
        </w:rPr>
        <w:tab/>
        <w:t xml:space="preserve">Ward ZJ, Scott AM, </w:t>
      </w:r>
      <w:proofErr w:type="spellStart"/>
      <w:r w:rsidRPr="001B1749">
        <w:rPr>
          <w:rFonts w:ascii="Cambria"/>
        </w:rPr>
        <w:t>Hricak</w:t>
      </w:r>
      <w:proofErr w:type="spellEnd"/>
      <w:r w:rsidRPr="001B1749">
        <w:rPr>
          <w:rFonts w:ascii="Cambria"/>
        </w:rPr>
        <w:t xml:space="preserve"> H, </w:t>
      </w:r>
      <w:proofErr w:type="spellStart"/>
      <w:r w:rsidRPr="001B1749">
        <w:rPr>
          <w:rFonts w:ascii="Cambria"/>
        </w:rPr>
        <w:t>Atun</w:t>
      </w:r>
      <w:proofErr w:type="spellEnd"/>
      <w:r w:rsidRPr="001B1749">
        <w:rPr>
          <w:rFonts w:ascii="Cambria"/>
        </w:rPr>
        <w:t xml:space="preserve"> R. Global costs, health benefits, and economic benefits of scaling up treatment and imaging modalities for survival of 11 cancers: a simulation-based analysis. The Lancet Oncology. 2021 Mar 1;22(3):341–50. </w:t>
      </w:r>
    </w:p>
    <w:p w14:paraId="602CD5DF" w14:textId="77777777" w:rsidR="001B1749" w:rsidRPr="001B1749" w:rsidRDefault="001B1749" w:rsidP="001B1749">
      <w:pPr>
        <w:pStyle w:val="Bibliography"/>
        <w:rPr>
          <w:rFonts w:ascii="Cambria"/>
        </w:rPr>
      </w:pPr>
      <w:r w:rsidRPr="001B1749">
        <w:rPr>
          <w:rFonts w:ascii="Cambria"/>
        </w:rPr>
        <w:t xml:space="preserve">4. </w:t>
      </w:r>
      <w:r w:rsidRPr="001B1749">
        <w:rPr>
          <w:rFonts w:ascii="Cambria"/>
        </w:rPr>
        <w:tab/>
      </w:r>
      <w:proofErr w:type="spellStart"/>
      <w:r w:rsidRPr="001B1749">
        <w:rPr>
          <w:rFonts w:ascii="Cambria"/>
        </w:rPr>
        <w:t>Hricak</w:t>
      </w:r>
      <w:proofErr w:type="spellEnd"/>
      <w:r w:rsidRPr="001B1749">
        <w:rPr>
          <w:rFonts w:ascii="Cambria"/>
        </w:rPr>
        <w:t xml:space="preserve"> H, Abdel-Wahab M, </w:t>
      </w:r>
      <w:proofErr w:type="spellStart"/>
      <w:r w:rsidRPr="001B1749">
        <w:rPr>
          <w:rFonts w:ascii="Cambria"/>
        </w:rPr>
        <w:t>Atun</w:t>
      </w:r>
      <w:proofErr w:type="spellEnd"/>
      <w:r w:rsidRPr="001B1749">
        <w:rPr>
          <w:rFonts w:ascii="Cambria"/>
        </w:rPr>
        <w:t xml:space="preserve"> R, </w:t>
      </w:r>
      <w:proofErr w:type="spellStart"/>
      <w:r w:rsidRPr="001B1749">
        <w:rPr>
          <w:rFonts w:ascii="Cambria"/>
        </w:rPr>
        <w:t>Lette</w:t>
      </w:r>
      <w:proofErr w:type="spellEnd"/>
      <w:r w:rsidRPr="001B1749">
        <w:rPr>
          <w:rFonts w:ascii="Cambria"/>
        </w:rPr>
        <w:t xml:space="preserve"> MM, </w:t>
      </w:r>
      <w:proofErr w:type="spellStart"/>
      <w:r w:rsidRPr="001B1749">
        <w:rPr>
          <w:rFonts w:ascii="Cambria"/>
        </w:rPr>
        <w:t>Paez</w:t>
      </w:r>
      <w:proofErr w:type="spellEnd"/>
      <w:r w:rsidRPr="001B1749">
        <w:rPr>
          <w:rFonts w:ascii="Cambria"/>
        </w:rPr>
        <w:t xml:space="preserve"> D, Brink JA, et al. Medical imaging and nuclear medicine: </w:t>
      </w:r>
      <w:proofErr w:type="gramStart"/>
      <w:r w:rsidRPr="001B1749">
        <w:rPr>
          <w:rFonts w:ascii="Cambria"/>
        </w:rPr>
        <w:t>a</w:t>
      </w:r>
      <w:proofErr w:type="gramEnd"/>
      <w:r w:rsidRPr="001B1749">
        <w:rPr>
          <w:rFonts w:ascii="Cambria"/>
        </w:rPr>
        <w:t xml:space="preserve"> Lancet Oncology Commission. Lancet Oncol. 2021 Mar 3; </w:t>
      </w:r>
    </w:p>
    <w:p w14:paraId="3315AE3E" w14:textId="77777777" w:rsidR="001B1749" w:rsidRPr="001B1749" w:rsidRDefault="001B1749" w:rsidP="001B1749">
      <w:pPr>
        <w:pStyle w:val="Bibliography"/>
        <w:rPr>
          <w:rFonts w:ascii="Cambria"/>
        </w:rPr>
      </w:pPr>
      <w:r w:rsidRPr="001B1749">
        <w:rPr>
          <w:rFonts w:ascii="Cambria"/>
        </w:rPr>
        <w:t xml:space="preserve">5. </w:t>
      </w:r>
      <w:r w:rsidRPr="001B1749">
        <w:rPr>
          <w:rFonts w:ascii="Cambria"/>
        </w:rPr>
        <w:tab/>
        <w:t>National Institute for Health Research Global Health Research Unit on Global Surgery. Prioritizing research for patients requiring surgery in low- and middle-income countries. Br J Surg. 2019 Jan;106(2</w:t>
      </w:r>
      <w:proofErr w:type="gramStart"/>
      <w:r w:rsidRPr="001B1749">
        <w:rPr>
          <w:rFonts w:ascii="Cambria"/>
        </w:rPr>
        <w:t>):e</w:t>
      </w:r>
      <w:proofErr w:type="gramEnd"/>
      <w:r w:rsidRPr="001B1749">
        <w:rPr>
          <w:rFonts w:ascii="Cambria"/>
        </w:rPr>
        <w:t xml:space="preserve">113–20. </w:t>
      </w:r>
    </w:p>
    <w:p w14:paraId="61CA5F62" w14:textId="77777777" w:rsidR="001B1749" w:rsidRPr="001B1749" w:rsidRDefault="001B1749" w:rsidP="001B1749">
      <w:pPr>
        <w:pStyle w:val="Bibliography"/>
        <w:rPr>
          <w:rFonts w:ascii="Cambria"/>
        </w:rPr>
      </w:pPr>
      <w:r w:rsidRPr="001B1749">
        <w:rPr>
          <w:rFonts w:ascii="Cambria"/>
        </w:rPr>
        <w:t xml:space="preserve">6. </w:t>
      </w:r>
      <w:r w:rsidRPr="001B1749">
        <w:rPr>
          <w:rFonts w:ascii="Cambria"/>
        </w:rPr>
        <w:tab/>
        <w:t xml:space="preserve">Funk LM, Gawande AA, </w:t>
      </w:r>
      <w:proofErr w:type="spellStart"/>
      <w:r w:rsidRPr="001B1749">
        <w:rPr>
          <w:rFonts w:ascii="Cambria"/>
        </w:rPr>
        <w:t>Semel</w:t>
      </w:r>
      <w:proofErr w:type="spellEnd"/>
      <w:r w:rsidRPr="001B1749">
        <w:rPr>
          <w:rFonts w:ascii="Cambria"/>
        </w:rPr>
        <w:t xml:space="preserve"> ME, Lipsitz SR, Berry WR, </w:t>
      </w:r>
      <w:proofErr w:type="spellStart"/>
      <w:r w:rsidRPr="001B1749">
        <w:rPr>
          <w:rFonts w:ascii="Cambria"/>
        </w:rPr>
        <w:t>Zinner</w:t>
      </w:r>
      <w:proofErr w:type="spellEnd"/>
      <w:r w:rsidRPr="001B1749">
        <w:rPr>
          <w:rFonts w:ascii="Cambria"/>
        </w:rPr>
        <w:t xml:space="preserve"> MJ, et al. Esophagectomy outcomes at low-volume hospitals: the association between systems characteristics and mortality. Ann Surg. 2011 May;253(5):912–7. </w:t>
      </w:r>
    </w:p>
    <w:p w14:paraId="2BBA0ACB" w14:textId="77777777" w:rsidR="001B1749" w:rsidRPr="001B1749" w:rsidRDefault="001B1749" w:rsidP="001B1749">
      <w:pPr>
        <w:pStyle w:val="Bibliography"/>
        <w:rPr>
          <w:rFonts w:ascii="Cambria"/>
        </w:rPr>
      </w:pPr>
      <w:r w:rsidRPr="001B1749">
        <w:rPr>
          <w:rFonts w:ascii="Cambria"/>
        </w:rPr>
        <w:t xml:space="preserve">7. </w:t>
      </w:r>
      <w:r w:rsidRPr="001B1749">
        <w:rPr>
          <w:rFonts w:ascii="Cambria"/>
        </w:rPr>
        <w:tab/>
        <w:t xml:space="preserve">Sheetz KH, </w:t>
      </w:r>
      <w:proofErr w:type="spellStart"/>
      <w:r w:rsidRPr="001B1749">
        <w:rPr>
          <w:rFonts w:ascii="Cambria"/>
        </w:rPr>
        <w:t>Dimick</w:t>
      </w:r>
      <w:proofErr w:type="spellEnd"/>
      <w:r w:rsidRPr="001B1749">
        <w:rPr>
          <w:rFonts w:ascii="Cambria"/>
        </w:rPr>
        <w:t xml:space="preserve"> JB, </w:t>
      </w:r>
      <w:proofErr w:type="spellStart"/>
      <w:r w:rsidRPr="001B1749">
        <w:rPr>
          <w:rFonts w:ascii="Cambria"/>
        </w:rPr>
        <w:t>Ghaferi</w:t>
      </w:r>
      <w:proofErr w:type="spellEnd"/>
      <w:r w:rsidRPr="001B1749">
        <w:rPr>
          <w:rFonts w:ascii="Cambria"/>
        </w:rPr>
        <w:t xml:space="preserve"> AA. Impact of Hospital Characteristics on Failure to Rescue Following Major Surgery. Ann Surg. 2016 Apr;263(4):692–7. </w:t>
      </w:r>
    </w:p>
    <w:p w14:paraId="1B3CDF92" w14:textId="77777777" w:rsidR="001B1749" w:rsidRPr="001B1749" w:rsidRDefault="001B1749" w:rsidP="001B1749">
      <w:pPr>
        <w:pStyle w:val="Bibliography"/>
        <w:rPr>
          <w:rFonts w:ascii="Cambria"/>
        </w:rPr>
      </w:pPr>
      <w:r w:rsidRPr="001B1749">
        <w:rPr>
          <w:rFonts w:ascii="Cambria"/>
        </w:rPr>
        <w:t xml:space="preserve">8. </w:t>
      </w:r>
      <w:r w:rsidRPr="001B1749">
        <w:rPr>
          <w:rFonts w:ascii="Cambria"/>
        </w:rPr>
        <w:tab/>
      </w:r>
      <w:proofErr w:type="spellStart"/>
      <w:r w:rsidRPr="001B1749">
        <w:rPr>
          <w:rFonts w:ascii="Cambria"/>
        </w:rPr>
        <w:t>Reames</w:t>
      </w:r>
      <w:proofErr w:type="spellEnd"/>
      <w:r w:rsidRPr="001B1749">
        <w:rPr>
          <w:rFonts w:ascii="Cambria"/>
        </w:rPr>
        <w:t xml:space="preserve"> BN, </w:t>
      </w:r>
      <w:proofErr w:type="spellStart"/>
      <w:r w:rsidRPr="001B1749">
        <w:rPr>
          <w:rFonts w:ascii="Cambria"/>
        </w:rPr>
        <w:t>Ghaferi</w:t>
      </w:r>
      <w:proofErr w:type="spellEnd"/>
      <w:r w:rsidRPr="001B1749">
        <w:rPr>
          <w:rFonts w:ascii="Cambria"/>
        </w:rPr>
        <w:t xml:space="preserve"> AA, </w:t>
      </w:r>
      <w:proofErr w:type="spellStart"/>
      <w:r w:rsidRPr="001B1749">
        <w:rPr>
          <w:rFonts w:ascii="Cambria"/>
        </w:rPr>
        <w:t>Birkmeyer</w:t>
      </w:r>
      <w:proofErr w:type="spellEnd"/>
      <w:r w:rsidRPr="001B1749">
        <w:rPr>
          <w:rFonts w:ascii="Cambria"/>
        </w:rPr>
        <w:t xml:space="preserve"> JD, </w:t>
      </w:r>
      <w:proofErr w:type="spellStart"/>
      <w:r w:rsidRPr="001B1749">
        <w:rPr>
          <w:rFonts w:ascii="Cambria"/>
        </w:rPr>
        <w:t>Dimick</w:t>
      </w:r>
      <w:proofErr w:type="spellEnd"/>
      <w:r w:rsidRPr="001B1749">
        <w:rPr>
          <w:rFonts w:ascii="Cambria"/>
        </w:rPr>
        <w:t xml:space="preserve"> JB. Hospital volume and operative mortality in the modern era. Ann Surg. 2014 Aug;260(2):244–51. </w:t>
      </w:r>
    </w:p>
    <w:p w14:paraId="0959A501" w14:textId="77777777" w:rsidR="001B1749" w:rsidRPr="001B1749" w:rsidRDefault="001B1749" w:rsidP="001B1749">
      <w:pPr>
        <w:pStyle w:val="Bibliography"/>
        <w:rPr>
          <w:rFonts w:ascii="Cambria"/>
        </w:rPr>
      </w:pPr>
      <w:r w:rsidRPr="001B1749">
        <w:rPr>
          <w:rFonts w:ascii="Cambria"/>
        </w:rPr>
        <w:t xml:space="preserve">9. </w:t>
      </w:r>
      <w:r w:rsidRPr="001B1749">
        <w:rPr>
          <w:rFonts w:ascii="Cambria"/>
        </w:rPr>
        <w:tab/>
        <w:t xml:space="preserve">Global variation in postoperative mortality and complications after cancer surgery: a </w:t>
      </w:r>
      <w:proofErr w:type="spellStart"/>
      <w:r w:rsidRPr="001B1749">
        <w:rPr>
          <w:rFonts w:ascii="Cambria"/>
        </w:rPr>
        <w:t>multicentre</w:t>
      </w:r>
      <w:proofErr w:type="spellEnd"/>
      <w:r w:rsidRPr="001B1749">
        <w:rPr>
          <w:rFonts w:ascii="Cambria"/>
        </w:rPr>
        <w:t>, prospective cohort study in 82 countries [Internet]. Vol. 397, Lancet (London, England). Lancet; 2021 [cited 2021 Feb 3]. Available from: https://pubmed.ncbi.nlm.nih.gov/33485461/</w:t>
      </w:r>
    </w:p>
    <w:p w14:paraId="4F1BDD59" w14:textId="77777777" w:rsidR="001B1749" w:rsidRPr="001B1749" w:rsidRDefault="001B1749" w:rsidP="001B1749">
      <w:pPr>
        <w:pStyle w:val="Bibliography"/>
        <w:rPr>
          <w:rFonts w:ascii="Cambria"/>
        </w:rPr>
      </w:pPr>
      <w:r w:rsidRPr="001B1749">
        <w:rPr>
          <w:rFonts w:ascii="Cambria"/>
        </w:rPr>
        <w:t xml:space="preserve">10. </w:t>
      </w:r>
      <w:r w:rsidRPr="001B1749">
        <w:rPr>
          <w:rFonts w:ascii="Cambria"/>
        </w:rPr>
        <w:tab/>
        <w:t xml:space="preserve">Surgery NGHRU on G. Quality and outcomes in global cancer surgery: protocol for a </w:t>
      </w:r>
      <w:proofErr w:type="spellStart"/>
      <w:r w:rsidRPr="001B1749">
        <w:rPr>
          <w:rFonts w:ascii="Cambria"/>
        </w:rPr>
        <w:t>multicentre</w:t>
      </w:r>
      <w:proofErr w:type="spellEnd"/>
      <w:r w:rsidRPr="001B1749">
        <w:rPr>
          <w:rFonts w:ascii="Cambria"/>
        </w:rPr>
        <w:t>, international, prospective cohort study (GlobalSurg 3). BMJ Open [Internet]. 2019 May 1 [cited 2020 Jan 20];9(5). Available from: https://bmjopen.bmj.com/content/9/5/e026646</w:t>
      </w:r>
    </w:p>
    <w:p w14:paraId="7B076BD5" w14:textId="77777777" w:rsidR="001B1749" w:rsidRPr="001B1749" w:rsidRDefault="001B1749" w:rsidP="001B1749">
      <w:pPr>
        <w:pStyle w:val="Bibliography"/>
        <w:rPr>
          <w:rFonts w:ascii="Cambria"/>
        </w:rPr>
      </w:pPr>
      <w:r w:rsidRPr="001B1749">
        <w:rPr>
          <w:rFonts w:ascii="Cambria"/>
        </w:rPr>
        <w:t xml:space="preserve">11. </w:t>
      </w:r>
      <w:r w:rsidRPr="001B1749">
        <w:rPr>
          <w:rFonts w:ascii="Cambria"/>
        </w:rPr>
        <w:tab/>
      </w:r>
      <w:proofErr w:type="spellStart"/>
      <w:r w:rsidRPr="001B1749">
        <w:rPr>
          <w:rFonts w:ascii="Cambria"/>
        </w:rPr>
        <w:t>Bhangu</w:t>
      </w:r>
      <w:proofErr w:type="spellEnd"/>
      <w:r w:rsidRPr="001B1749">
        <w:rPr>
          <w:rFonts w:ascii="Cambria"/>
        </w:rPr>
        <w:t xml:space="preserve"> A, </w:t>
      </w:r>
      <w:proofErr w:type="spellStart"/>
      <w:r w:rsidRPr="001B1749">
        <w:rPr>
          <w:rFonts w:ascii="Cambria"/>
        </w:rPr>
        <w:t>Kolias</w:t>
      </w:r>
      <w:proofErr w:type="spellEnd"/>
      <w:r w:rsidRPr="001B1749">
        <w:rPr>
          <w:rFonts w:ascii="Cambria"/>
        </w:rPr>
        <w:t xml:space="preserve"> AG, Pinkney T, Hall NJ, Fitzgerald JE. Surgical research collaboratives in the UK. Lancet. 2013 Sep 28;382(9898):1091–2. </w:t>
      </w:r>
    </w:p>
    <w:p w14:paraId="66C0B5AD" w14:textId="77777777" w:rsidR="001B1749" w:rsidRPr="001B1749" w:rsidRDefault="001B1749" w:rsidP="001B1749">
      <w:pPr>
        <w:pStyle w:val="Bibliography"/>
        <w:rPr>
          <w:rFonts w:ascii="Cambria"/>
        </w:rPr>
      </w:pPr>
      <w:r w:rsidRPr="001B1749">
        <w:rPr>
          <w:rFonts w:ascii="Cambria"/>
        </w:rPr>
        <w:t xml:space="preserve">12. </w:t>
      </w:r>
      <w:r w:rsidRPr="001B1749">
        <w:rPr>
          <w:rFonts w:ascii="Cambria"/>
        </w:rPr>
        <w:tab/>
      </w:r>
      <w:proofErr w:type="spellStart"/>
      <w:r w:rsidRPr="001B1749">
        <w:rPr>
          <w:rFonts w:ascii="Cambria"/>
        </w:rPr>
        <w:t>Gospodarowicz</w:t>
      </w:r>
      <w:proofErr w:type="spellEnd"/>
      <w:r w:rsidRPr="001B1749">
        <w:rPr>
          <w:rFonts w:ascii="Cambria"/>
        </w:rPr>
        <w:t xml:space="preserve"> M, </w:t>
      </w:r>
      <w:proofErr w:type="spellStart"/>
      <w:r w:rsidRPr="001B1749">
        <w:rPr>
          <w:rFonts w:ascii="Cambria"/>
        </w:rPr>
        <w:t>Trypuc</w:t>
      </w:r>
      <w:proofErr w:type="spellEnd"/>
      <w:r w:rsidRPr="001B1749">
        <w:rPr>
          <w:rFonts w:ascii="Cambria"/>
        </w:rPr>
        <w:t xml:space="preserve"> J, Cruz AD, Khader J, Omar S, Knaul F. CHAPTER 11. CANCER SERVICES AND THE COMPREHENSIVE CANCER CENTER. :43. </w:t>
      </w:r>
    </w:p>
    <w:p w14:paraId="0A068BE3" w14:textId="77777777" w:rsidR="001B1749" w:rsidRPr="001B1749" w:rsidRDefault="001B1749" w:rsidP="001B1749">
      <w:pPr>
        <w:pStyle w:val="Bibliography"/>
        <w:rPr>
          <w:rFonts w:ascii="Cambria"/>
        </w:rPr>
      </w:pPr>
      <w:r w:rsidRPr="001B1749">
        <w:rPr>
          <w:rFonts w:ascii="Cambria"/>
        </w:rPr>
        <w:t xml:space="preserve">13. </w:t>
      </w:r>
      <w:r w:rsidRPr="001B1749">
        <w:rPr>
          <w:rFonts w:ascii="Cambria"/>
        </w:rPr>
        <w:tab/>
        <w:t>Health topics [Internet]. [cited 2021 Mar 24]. Available from: https://www.who.int/health-topics</w:t>
      </w:r>
    </w:p>
    <w:p w14:paraId="3831355E" w14:textId="77777777" w:rsidR="001B1749" w:rsidRPr="001B1749" w:rsidRDefault="001B1749" w:rsidP="001B1749">
      <w:pPr>
        <w:pStyle w:val="Bibliography"/>
        <w:rPr>
          <w:rFonts w:ascii="Cambria"/>
        </w:rPr>
      </w:pPr>
      <w:r w:rsidRPr="001B1749">
        <w:rPr>
          <w:rFonts w:ascii="Cambria"/>
        </w:rPr>
        <w:t xml:space="preserve">14. </w:t>
      </w:r>
      <w:r w:rsidRPr="001B1749">
        <w:rPr>
          <w:rFonts w:ascii="Cambria"/>
        </w:rPr>
        <w:tab/>
        <w:t>NHS Data Model and Dictionary [Internet]. [cited 2021 Mar 24]. Available from: https://datadictionary.nhs.uk/</w:t>
      </w:r>
    </w:p>
    <w:p w14:paraId="52D92FF0" w14:textId="77777777" w:rsidR="001B1749" w:rsidRPr="001B1749" w:rsidRDefault="001B1749" w:rsidP="001B1749">
      <w:pPr>
        <w:pStyle w:val="Bibliography"/>
        <w:rPr>
          <w:rFonts w:ascii="Cambria"/>
        </w:rPr>
      </w:pPr>
      <w:r w:rsidRPr="001B1749">
        <w:rPr>
          <w:rFonts w:ascii="Cambria"/>
        </w:rPr>
        <w:t xml:space="preserve">15. </w:t>
      </w:r>
      <w:r w:rsidRPr="001B1749">
        <w:rPr>
          <w:rFonts w:ascii="Cambria"/>
        </w:rPr>
        <w:tab/>
        <w:t>Types of Oncologists | Cancer.Net [Internet]. [cited 2019 Jan 10]. Available from: https://www.cancer.net/navigating-cancer-care/cancer-basics/cancer-care-team/types-oncologists</w:t>
      </w:r>
    </w:p>
    <w:p w14:paraId="7110ED64" w14:textId="77777777" w:rsidR="001B1749" w:rsidRPr="001B1749" w:rsidRDefault="001B1749" w:rsidP="001B1749">
      <w:pPr>
        <w:pStyle w:val="Bibliography"/>
        <w:rPr>
          <w:rFonts w:ascii="Cambria"/>
        </w:rPr>
      </w:pPr>
      <w:r w:rsidRPr="001B1749">
        <w:rPr>
          <w:rFonts w:ascii="Cambria"/>
        </w:rPr>
        <w:t xml:space="preserve">16. </w:t>
      </w:r>
      <w:r w:rsidRPr="001B1749">
        <w:rPr>
          <w:rFonts w:ascii="Cambria"/>
        </w:rPr>
        <w:tab/>
      </w:r>
      <w:proofErr w:type="spellStart"/>
      <w:r w:rsidRPr="001B1749">
        <w:rPr>
          <w:rFonts w:ascii="Cambria"/>
        </w:rPr>
        <w:t>Oesophago</w:t>
      </w:r>
      <w:proofErr w:type="spellEnd"/>
      <w:r w:rsidRPr="001B1749">
        <w:rPr>
          <w:rFonts w:ascii="Cambria"/>
        </w:rPr>
        <w:t>-gastric cancer | Guidance and guidelines | NICE [Internet]. [cited 2019 Jan 10]. Available from: https://www.nice.org.uk/guidance/qs176/chapter/Quality-statement-2-Multidisciplinary-review</w:t>
      </w:r>
    </w:p>
    <w:p w14:paraId="3170020D" w14:textId="77777777" w:rsidR="001B1749" w:rsidRPr="001B1749" w:rsidRDefault="001B1749" w:rsidP="001B1749">
      <w:pPr>
        <w:pStyle w:val="Bibliography"/>
        <w:rPr>
          <w:rFonts w:ascii="Cambria"/>
        </w:rPr>
      </w:pPr>
      <w:r w:rsidRPr="001B1749">
        <w:rPr>
          <w:rFonts w:ascii="Cambria"/>
        </w:rPr>
        <w:lastRenderedPageBreak/>
        <w:t xml:space="preserve">17. </w:t>
      </w:r>
      <w:r w:rsidRPr="001B1749">
        <w:rPr>
          <w:rFonts w:ascii="Cambria"/>
        </w:rPr>
        <w:tab/>
        <w:t xml:space="preserve">von Elm E, Altman DG, Egger M, Pocock SJ, </w:t>
      </w:r>
      <w:proofErr w:type="spellStart"/>
      <w:r w:rsidRPr="001B1749">
        <w:rPr>
          <w:rFonts w:ascii="Cambria"/>
        </w:rPr>
        <w:t>Gøtzsche</w:t>
      </w:r>
      <w:proofErr w:type="spellEnd"/>
      <w:r w:rsidRPr="001B1749">
        <w:rPr>
          <w:rFonts w:ascii="Cambria"/>
        </w:rPr>
        <w:t xml:space="preserve"> PC, </w:t>
      </w:r>
      <w:proofErr w:type="spellStart"/>
      <w:r w:rsidRPr="001B1749">
        <w:rPr>
          <w:rFonts w:ascii="Cambria"/>
        </w:rPr>
        <w:t>Vandenbroucke</w:t>
      </w:r>
      <w:proofErr w:type="spellEnd"/>
      <w:r w:rsidRPr="001B1749">
        <w:rPr>
          <w:rFonts w:ascii="Cambria"/>
        </w:rPr>
        <w:t xml:space="preserve"> JP, et al. The Strengthening the Reporting of Observational Studies in Epidemiology (STROBE) statement: guidelines for reporting observational studies. J Clin Epidemiol. 2008 Apr;61(4):344–9. </w:t>
      </w:r>
    </w:p>
    <w:p w14:paraId="310B75C7" w14:textId="77777777" w:rsidR="001B1749" w:rsidRPr="001B1749" w:rsidRDefault="001B1749" w:rsidP="001B1749">
      <w:pPr>
        <w:pStyle w:val="Bibliography"/>
        <w:rPr>
          <w:rFonts w:ascii="Cambria"/>
        </w:rPr>
      </w:pPr>
      <w:r w:rsidRPr="001B1749">
        <w:rPr>
          <w:rFonts w:ascii="Cambria"/>
        </w:rPr>
        <w:t xml:space="preserve">18. </w:t>
      </w:r>
      <w:r w:rsidRPr="001B1749">
        <w:rPr>
          <w:rFonts w:ascii="Cambria"/>
        </w:rPr>
        <w:tab/>
      </w:r>
      <w:proofErr w:type="spellStart"/>
      <w:r w:rsidRPr="001B1749">
        <w:rPr>
          <w:rFonts w:ascii="Cambria"/>
        </w:rPr>
        <w:t>Ogrinc</w:t>
      </w:r>
      <w:proofErr w:type="spellEnd"/>
      <w:r w:rsidRPr="001B1749">
        <w:rPr>
          <w:rFonts w:ascii="Cambria"/>
        </w:rPr>
        <w:t xml:space="preserve"> G, Davies L, Goodman D, </w:t>
      </w:r>
      <w:proofErr w:type="spellStart"/>
      <w:r w:rsidRPr="001B1749">
        <w:rPr>
          <w:rFonts w:ascii="Cambria"/>
        </w:rPr>
        <w:t>Batalden</w:t>
      </w:r>
      <w:proofErr w:type="spellEnd"/>
      <w:r w:rsidRPr="001B1749">
        <w:rPr>
          <w:rFonts w:ascii="Cambria"/>
        </w:rPr>
        <w:t xml:space="preserve"> P, Davidoff F, Stevens D. SQUIRE 2.0 (Standards for </w:t>
      </w:r>
      <w:proofErr w:type="spellStart"/>
      <w:r w:rsidRPr="001B1749">
        <w:rPr>
          <w:rFonts w:ascii="Cambria"/>
        </w:rPr>
        <w:t>QUality</w:t>
      </w:r>
      <w:proofErr w:type="spellEnd"/>
      <w:r w:rsidRPr="001B1749">
        <w:rPr>
          <w:rFonts w:ascii="Cambria"/>
        </w:rPr>
        <w:t xml:space="preserve"> Improvement Reporting Excellence): revised publication guidelines from a detailed consensus process. BMJ Qual </w:t>
      </w:r>
      <w:proofErr w:type="spellStart"/>
      <w:r w:rsidRPr="001B1749">
        <w:rPr>
          <w:rFonts w:ascii="Cambria"/>
        </w:rPr>
        <w:t>Saf</w:t>
      </w:r>
      <w:proofErr w:type="spellEnd"/>
      <w:r w:rsidRPr="001B1749">
        <w:rPr>
          <w:rFonts w:ascii="Cambria"/>
        </w:rPr>
        <w:t xml:space="preserve">. 2016 Dec 1;25(12):986–92. </w:t>
      </w:r>
    </w:p>
    <w:p w14:paraId="1FB230F5" w14:textId="77777777" w:rsidR="001B1749" w:rsidRPr="001B1749" w:rsidRDefault="001B1749" w:rsidP="001B1749">
      <w:pPr>
        <w:pStyle w:val="Bibliography"/>
        <w:rPr>
          <w:rFonts w:ascii="Cambria"/>
        </w:rPr>
      </w:pPr>
      <w:r w:rsidRPr="001B1749">
        <w:rPr>
          <w:rFonts w:ascii="Cambria"/>
        </w:rPr>
        <w:t xml:space="preserve">19. </w:t>
      </w:r>
      <w:r w:rsidRPr="001B1749">
        <w:rPr>
          <w:rFonts w:ascii="Cambria"/>
        </w:rPr>
        <w:tab/>
      </w:r>
      <w:proofErr w:type="spellStart"/>
      <w:r w:rsidRPr="001B1749">
        <w:rPr>
          <w:rFonts w:ascii="Cambria"/>
        </w:rPr>
        <w:t>Dindo</w:t>
      </w:r>
      <w:proofErr w:type="spellEnd"/>
      <w:r w:rsidRPr="001B1749">
        <w:rPr>
          <w:rFonts w:ascii="Cambria"/>
        </w:rPr>
        <w:t xml:space="preserve"> D, </w:t>
      </w:r>
      <w:proofErr w:type="spellStart"/>
      <w:r w:rsidRPr="001B1749">
        <w:rPr>
          <w:rFonts w:ascii="Cambria"/>
        </w:rPr>
        <w:t>Demartines</w:t>
      </w:r>
      <w:proofErr w:type="spellEnd"/>
      <w:r w:rsidRPr="001B1749">
        <w:rPr>
          <w:rFonts w:ascii="Cambria"/>
        </w:rPr>
        <w:t xml:space="preserve"> N, </w:t>
      </w:r>
      <w:proofErr w:type="spellStart"/>
      <w:r w:rsidRPr="001B1749">
        <w:rPr>
          <w:rFonts w:ascii="Cambria"/>
        </w:rPr>
        <w:t>Clavien</w:t>
      </w:r>
      <w:proofErr w:type="spellEnd"/>
      <w:r w:rsidRPr="001B1749">
        <w:rPr>
          <w:rFonts w:ascii="Cambria"/>
        </w:rPr>
        <w:t xml:space="preserve"> P-A. Classification of surgical complications: a new proposal with evaluation in a cohort of 6336 patients and results of a survey. Ann Surg. 2004 Aug;240(2):205–13. </w:t>
      </w:r>
    </w:p>
    <w:p w14:paraId="120CDC6E" w14:textId="77777777" w:rsidR="001B1749" w:rsidRPr="001B1749" w:rsidRDefault="001B1749" w:rsidP="001B1749">
      <w:pPr>
        <w:pStyle w:val="Bibliography"/>
        <w:rPr>
          <w:rFonts w:ascii="Cambria"/>
        </w:rPr>
      </w:pPr>
      <w:r w:rsidRPr="001B1749">
        <w:rPr>
          <w:rFonts w:ascii="Cambria"/>
        </w:rPr>
        <w:t xml:space="preserve">20. </w:t>
      </w:r>
      <w:r w:rsidRPr="001B1749">
        <w:rPr>
          <w:rFonts w:ascii="Cambria"/>
        </w:rPr>
        <w:tab/>
        <w:t xml:space="preserve">Treadwell JR, Lucas S, Tsou AY. Surgical checklists: a systematic review of impacts and implementation. BMJ Qual </w:t>
      </w:r>
      <w:proofErr w:type="spellStart"/>
      <w:r w:rsidRPr="001B1749">
        <w:rPr>
          <w:rFonts w:ascii="Cambria"/>
        </w:rPr>
        <w:t>Saf</w:t>
      </w:r>
      <w:proofErr w:type="spellEnd"/>
      <w:r w:rsidRPr="001B1749">
        <w:rPr>
          <w:rFonts w:ascii="Cambria"/>
        </w:rPr>
        <w:t xml:space="preserve">. 2014 Apr 1;23(4):299–318. </w:t>
      </w:r>
    </w:p>
    <w:p w14:paraId="12712EFF" w14:textId="77777777" w:rsidR="001B1749" w:rsidRPr="001B1749" w:rsidRDefault="001B1749" w:rsidP="001B1749">
      <w:pPr>
        <w:pStyle w:val="Bibliography"/>
        <w:rPr>
          <w:rFonts w:ascii="Cambria"/>
        </w:rPr>
      </w:pPr>
      <w:r w:rsidRPr="001B1749">
        <w:rPr>
          <w:rFonts w:ascii="Cambria"/>
        </w:rPr>
        <w:t xml:space="preserve">21. </w:t>
      </w:r>
      <w:r w:rsidRPr="001B1749">
        <w:rPr>
          <w:rFonts w:ascii="Cambria"/>
        </w:rPr>
        <w:tab/>
        <w:t xml:space="preserve">Walker IA, </w:t>
      </w:r>
      <w:proofErr w:type="spellStart"/>
      <w:r w:rsidRPr="001B1749">
        <w:rPr>
          <w:rFonts w:ascii="Cambria"/>
        </w:rPr>
        <w:t>Reshamwalla</w:t>
      </w:r>
      <w:proofErr w:type="spellEnd"/>
      <w:r w:rsidRPr="001B1749">
        <w:rPr>
          <w:rFonts w:ascii="Cambria"/>
        </w:rPr>
        <w:t xml:space="preserve"> S, Wilson IH. Surgical safety checklists: do they improve outcomes? British Journal of </w:t>
      </w:r>
      <w:proofErr w:type="spellStart"/>
      <w:r w:rsidRPr="001B1749">
        <w:rPr>
          <w:rFonts w:ascii="Cambria"/>
        </w:rPr>
        <w:t>Anaesthesia</w:t>
      </w:r>
      <w:proofErr w:type="spellEnd"/>
      <w:r w:rsidRPr="001B1749">
        <w:rPr>
          <w:rFonts w:ascii="Cambria"/>
        </w:rPr>
        <w:t xml:space="preserve">. 2012 Jul 1;109(1):47–54. </w:t>
      </w:r>
    </w:p>
    <w:p w14:paraId="1B24A79C" w14:textId="77777777" w:rsidR="001B1749" w:rsidRPr="001B1749" w:rsidRDefault="001B1749" w:rsidP="001B1749">
      <w:pPr>
        <w:pStyle w:val="Bibliography"/>
        <w:rPr>
          <w:rFonts w:ascii="Cambria"/>
        </w:rPr>
      </w:pPr>
      <w:r w:rsidRPr="001B1749">
        <w:rPr>
          <w:rFonts w:ascii="Cambria"/>
        </w:rPr>
        <w:t xml:space="preserve">22. </w:t>
      </w:r>
      <w:r w:rsidRPr="001B1749">
        <w:rPr>
          <w:rFonts w:ascii="Cambria"/>
        </w:rPr>
        <w:tab/>
        <w:t>NICE | The National Institute for Health and Care Excellence [Internet]. NICE. NICE; [cited 2021 Apr 9]. Available from: https://www.nice.org.uk/</w:t>
      </w:r>
    </w:p>
    <w:p w14:paraId="683EBD46" w14:textId="77777777" w:rsidR="001B1749" w:rsidRPr="001B1749" w:rsidRDefault="001B1749" w:rsidP="001B1749">
      <w:pPr>
        <w:pStyle w:val="Bibliography"/>
        <w:rPr>
          <w:rFonts w:ascii="Cambria"/>
        </w:rPr>
      </w:pPr>
      <w:r w:rsidRPr="001B1749">
        <w:rPr>
          <w:rFonts w:ascii="Cambria"/>
        </w:rPr>
        <w:t xml:space="preserve">23. </w:t>
      </w:r>
      <w:r w:rsidRPr="001B1749">
        <w:rPr>
          <w:rFonts w:ascii="Cambria"/>
        </w:rPr>
        <w:tab/>
        <w:t xml:space="preserve">November 15 U on, 2019. </w:t>
      </w:r>
      <w:proofErr w:type="spellStart"/>
      <w:r w:rsidRPr="001B1749">
        <w:rPr>
          <w:rFonts w:ascii="Cambria"/>
        </w:rPr>
        <w:t>CoC</w:t>
      </w:r>
      <w:proofErr w:type="spellEnd"/>
      <w:r w:rsidRPr="001B1749">
        <w:rPr>
          <w:rFonts w:ascii="Cambria"/>
        </w:rPr>
        <w:t xml:space="preserve"> Quality of Care Measures [Internet]. American College of Surgeons. [cited 2021 Apr 9]. Available from: http://www.facs.org/quality-programs/cancer/ncdb/qualitymeasures</w:t>
      </w:r>
    </w:p>
    <w:p w14:paraId="49F009B6" w14:textId="77777777" w:rsidR="001B1749" w:rsidRPr="001B1749" w:rsidRDefault="001B1749" w:rsidP="001B1749">
      <w:pPr>
        <w:pStyle w:val="Bibliography"/>
        <w:rPr>
          <w:rFonts w:ascii="Cambria"/>
        </w:rPr>
      </w:pPr>
      <w:r w:rsidRPr="001B1749">
        <w:rPr>
          <w:rFonts w:ascii="Cambria"/>
        </w:rPr>
        <w:t xml:space="preserve">24. </w:t>
      </w:r>
      <w:r w:rsidRPr="001B1749">
        <w:rPr>
          <w:rFonts w:ascii="Cambria"/>
        </w:rPr>
        <w:tab/>
        <w:t>Freitas A, Silva-Costa T, Lopes F, Garcia-</w:t>
      </w:r>
      <w:proofErr w:type="spellStart"/>
      <w:r w:rsidRPr="001B1749">
        <w:rPr>
          <w:rFonts w:ascii="Cambria"/>
        </w:rPr>
        <w:t>Lema</w:t>
      </w:r>
      <w:proofErr w:type="spellEnd"/>
      <w:r w:rsidRPr="001B1749">
        <w:rPr>
          <w:rFonts w:ascii="Cambria"/>
        </w:rPr>
        <w:t xml:space="preserve"> I, Teixeira-Pinto A, </w:t>
      </w:r>
      <w:proofErr w:type="spellStart"/>
      <w:r w:rsidRPr="001B1749">
        <w:rPr>
          <w:rFonts w:ascii="Cambria"/>
        </w:rPr>
        <w:t>Brazdil</w:t>
      </w:r>
      <w:proofErr w:type="spellEnd"/>
      <w:r w:rsidRPr="001B1749">
        <w:rPr>
          <w:rFonts w:ascii="Cambria"/>
        </w:rPr>
        <w:t xml:space="preserve"> P, et al. Factors influencing hospital high length of stay outliers. BMC Health Services Research. 2012 Aug 20;12(1):265. </w:t>
      </w:r>
    </w:p>
    <w:p w14:paraId="18B15872" w14:textId="77777777" w:rsidR="001B1749" w:rsidRPr="001B1749" w:rsidRDefault="001B1749" w:rsidP="001B1749">
      <w:pPr>
        <w:pStyle w:val="Bibliography"/>
        <w:rPr>
          <w:rFonts w:ascii="Cambria"/>
        </w:rPr>
      </w:pPr>
      <w:r w:rsidRPr="001B1749">
        <w:rPr>
          <w:rFonts w:ascii="Cambria"/>
        </w:rPr>
        <w:t xml:space="preserve">25. </w:t>
      </w:r>
      <w:r w:rsidRPr="001B1749">
        <w:rPr>
          <w:rFonts w:ascii="Cambria"/>
        </w:rPr>
        <w:tab/>
        <w:t xml:space="preserve">Englert J, Davis KM, Koch KE. Using clinical practice analysis to improve care. </w:t>
      </w:r>
      <w:proofErr w:type="spellStart"/>
      <w:r w:rsidRPr="001B1749">
        <w:rPr>
          <w:rFonts w:ascii="Cambria"/>
        </w:rPr>
        <w:t>Jt</w:t>
      </w:r>
      <w:proofErr w:type="spellEnd"/>
      <w:r w:rsidRPr="001B1749">
        <w:rPr>
          <w:rFonts w:ascii="Cambria"/>
        </w:rPr>
        <w:t xml:space="preserve"> Comm J Qual Improv. 2001 Jun;27(6):291–301. </w:t>
      </w:r>
    </w:p>
    <w:p w14:paraId="669AD245" w14:textId="77777777" w:rsidR="001B1749" w:rsidRPr="001B1749" w:rsidRDefault="001B1749" w:rsidP="001B1749">
      <w:pPr>
        <w:pStyle w:val="Bibliography"/>
        <w:rPr>
          <w:rFonts w:ascii="Cambria"/>
        </w:rPr>
      </w:pPr>
      <w:r w:rsidRPr="001B1749">
        <w:rPr>
          <w:rFonts w:ascii="Cambria"/>
        </w:rPr>
        <w:t xml:space="preserve">26. </w:t>
      </w:r>
      <w:r w:rsidRPr="001B1749">
        <w:rPr>
          <w:rFonts w:ascii="Cambria"/>
        </w:rPr>
        <w:tab/>
      </w:r>
      <w:proofErr w:type="spellStart"/>
      <w:r w:rsidRPr="001B1749">
        <w:rPr>
          <w:rFonts w:ascii="Cambria"/>
        </w:rPr>
        <w:t>Haneuse</w:t>
      </w:r>
      <w:proofErr w:type="spellEnd"/>
      <w:r w:rsidRPr="001B1749">
        <w:rPr>
          <w:rFonts w:ascii="Cambria"/>
        </w:rPr>
        <w:t xml:space="preserve"> S, </w:t>
      </w:r>
      <w:proofErr w:type="spellStart"/>
      <w:r w:rsidRPr="001B1749">
        <w:rPr>
          <w:rFonts w:ascii="Cambria"/>
        </w:rPr>
        <w:t>Dominici</w:t>
      </w:r>
      <w:proofErr w:type="spellEnd"/>
      <w:r w:rsidRPr="001B1749">
        <w:rPr>
          <w:rFonts w:ascii="Cambria"/>
        </w:rPr>
        <w:t xml:space="preserve"> F, Normand S-L, </w:t>
      </w:r>
      <w:proofErr w:type="spellStart"/>
      <w:r w:rsidRPr="001B1749">
        <w:rPr>
          <w:rFonts w:ascii="Cambria"/>
        </w:rPr>
        <w:t>Schrag</w:t>
      </w:r>
      <w:proofErr w:type="spellEnd"/>
      <w:r w:rsidRPr="001B1749">
        <w:rPr>
          <w:rFonts w:ascii="Cambria"/>
        </w:rPr>
        <w:t xml:space="preserve"> D. Assessment of Between-Hospital Variation in Readmission and Mortality After Cancer Surgical Procedures. JAMA </w:t>
      </w:r>
      <w:proofErr w:type="spellStart"/>
      <w:r w:rsidRPr="001B1749">
        <w:rPr>
          <w:rFonts w:ascii="Cambria"/>
        </w:rPr>
        <w:t>Netw</w:t>
      </w:r>
      <w:proofErr w:type="spellEnd"/>
      <w:r w:rsidRPr="001B1749">
        <w:rPr>
          <w:rFonts w:ascii="Cambria"/>
        </w:rPr>
        <w:t xml:space="preserve"> Open. 2018 Oct 5;1(6</w:t>
      </w:r>
      <w:proofErr w:type="gramStart"/>
      <w:r w:rsidRPr="001B1749">
        <w:rPr>
          <w:rFonts w:ascii="Cambria"/>
        </w:rPr>
        <w:t>):e</w:t>
      </w:r>
      <w:proofErr w:type="gramEnd"/>
      <w:r w:rsidRPr="001B1749">
        <w:rPr>
          <w:rFonts w:ascii="Cambria"/>
        </w:rPr>
        <w:t xml:space="preserve">183038. </w:t>
      </w:r>
    </w:p>
    <w:p w14:paraId="5C819E7F" w14:textId="77777777" w:rsidR="001B1749" w:rsidRPr="001B1749" w:rsidRDefault="001B1749" w:rsidP="001B1749">
      <w:pPr>
        <w:pStyle w:val="Bibliography"/>
        <w:rPr>
          <w:rFonts w:ascii="Cambria"/>
        </w:rPr>
      </w:pPr>
      <w:r w:rsidRPr="001B1749">
        <w:rPr>
          <w:rFonts w:ascii="Cambria"/>
        </w:rPr>
        <w:t xml:space="preserve">27. </w:t>
      </w:r>
      <w:r w:rsidRPr="001B1749">
        <w:rPr>
          <w:rFonts w:ascii="Cambria"/>
        </w:rPr>
        <w:tab/>
        <w:t xml:space="preserve">Manzano J-GM, Yang M, Zhao H, </w:t>
      </w:r>
      <w:proofErr w:type="spellStart"/>
      <w:r w:rsidRPr="001B1749">
        <w:rPr>
          <w:rFonts w:ascii="Cambria"/>
        </w:rPr>
        <w:t>Elting</w:t>
      </w:r>
      <w:proofErr w:type="spellEnd"/>
      <w:r w:rsidRPr="001B1749">
        <w:rPr>
          <w:rFonts w:ascii="Cambria"/>
        </w:rPr>
        <w:t xml:space="preserve"> LS, George MC, Luo R, et al. Readmission Patterns After GI Cancer Hospitalizations: The Medical Versus Surgical Patient. J Oncol </w:t>
      </w:r>
      <w:proofErr w:type="spellStart"/>
      <w:r w:rsidRPr="001B1749">
        <w:rPr>
          <w:rFonts w:ascii="Cambria"/>
        </w:rPr>
        <w:t>Pract</w:t>
      </w:r>
      <w:proofErr w:type="spellEnd"/>
      <w:r w:rsidRPr="001B1749">
        <w:rPr>
          <w:rFonts w:ascii="Cambria"/>
        </w:rPr>
        <w:t>. 2018 Mar;14(3</w:t>
      </w:r>
      <w:proofErr w:type="gramStart"/>
      <w:r w:rsidRPr="001B1749">
        <w:rPr>
          <w:rFonts w:ascii="Cambria"/>
        </w:rPr>
        <w:t>):e</w:t>
      </w:r>
      <w:proofErr w:type="gramEnd"/>
      <w:r w:rsidRPr="001B1749">
        <w:rPr>
          <w:rFonts w:ascii="Cambria"/>
        </w:rPr>
        <w:t xml:space="preserve">137–48. </w:t>
      </w:r>
    </w:p>
    <w:p w14:paraId="73AA4A85" w14:textId="77777777" w:rsidR="001B1749" w:rsidRPr="001B1749" w:rsidRDefault="001B1749" w:rsidP="001B1749">
      <w:pPr>
        <w:pStyle w:val="Bibliography"/>
        <w:rPr>
          <w:rFonts w:ascii="Cambria"/>
        </w:rPr>
      </w:pPr>
      <w:r w:rsidRPr="001B1749">
        <w:rPr>
          <w:rFonts w:ascii="Cambria"/>
        </w:rPr>
        <w:t xml:space="preserve">28. </w:t>
      </w:r>
      <w:r w:rsidRPr="001B1749">
        <w:rPr>
          <w:rFonts w:ascii="Cambria"/>
        </w:rPr>
        <w:tab/>
        <w:t xml:space="preserve">Aiello Bowles EJ, </w:t>
      </w:r>
      <w:proofErr w:type="spellStart"/>
      <w:r w:rsidRPr="001B1749">
        <w:rPr>
          <w:rFonts w:ascii="Cambria"/>
        </w:rPr>
        <w:t>Tuzzio</w:t>
      </w:r>
      <w:proofErr w:type="spellEnd"/>
      <w:r w:rsidRPr="001B1749">
        <w:rPr>
          <w:rFonts w:ascii="Cambria"/>
        </w:rPr>
        <w:t xml:space="preserve"> L, Wiese CJ, Kirlin B, Greene SM, </w:t>
      </w:r>
      <w:proofErr w:type="spellStart"/>
      <w:r w:rsidRPr="001B1749">
        <w:rPr>
          <w:rFonts w:ascii="Cambria"/>
        </w:rPr>
        <w:t>Clauser</w:t>
      </w:r>
      <w:proofErr w:type="spellEnd"/>
      <w:r w:rsidRPr="001B1749">
        <w:rPr>
          <w:rFonts w:ascii="Cambria"/>
        </w:rPr>
        <w:t xml:space="preserve"> SB, et al. Understanding high-quality cancer care: a summary of expert perspectives. Cancer. 2008 Feb 15;112(4):934–42. </w:t>
      </w:r>
    </w:p>
    <w:p w14:paraId="66F9CF18" w14:textId="77777777" w:rsidR="001B1749" w:rsidRPr="001B1749" w:rsidRDefault="001B1749" w:rsidP="001B1749">
      <w:pPr>
        <w:pStyle w:val="Bibliography"/>
        <w:rPr>
          <w:rFonts w:ascii="Cambria"/>
        </w:rPr>
      </w:pPr>
      <w:r w:rsidRPr="001B1749">
        <w:rPr>
          <w:rFonts w:ascii="Cambria"/>
        </w:rPr>
        <w:t xml:space="preserve">29. </w:t>
      </w:r>
      <w:r w:rsidRPr="001B1749">
        <w:rPr>
          <w:rFonts w:ascii="Cambria"/>
        </w:rPr>
        <w:tab/>
        <w:t xml:space="preserve">McCrum ML, Lipsitz SR, Berry WR, Jha AK, Gawande AA. Beyond volume: does hospital complexity </w:t>
      </w:r>
      <w:proofErr w:type="gramStart"/>
      <w:r w:rsidRPr="001B1749">
        <w:rPr>
          <w:rFonts w:ascii="Cambria"/>
        </w:rPr>
        <w:t>matter?:</w:t>
      </w:r>
      <w:proofErr w:type="gramEnd"/>
      <w:r w:rsidRPr="001B1749">
        <w:rPr>
          <w:rFonts w:ascii="Cambria"/>
        </w:rPr>
        <w:t xml:space="preserve"> an analysis of inpatient surgical mortality in the United States. Med Care. 2014 Mar;52(3):235–42. </w:t>
      </w:r>
    </w:p>
    <w:p w14:paraId="188AB273" w14:textId="77777777" w:rsidR="001B1749" w:rsidRPr="001B1749" w:rsidRDefault="001B1749" w:rsidP="001B1749">
      <w:pPr>
        <w:pStyle w:val="Bibliography"/>
        <w:rPr>
          <w:rFonts w:ascii="Cambria"/>
        </w:rPr>
      </w:pPr>
      <w:r w:rsidRPr="001B1749">
        <w:rPr>
          <w:rFonts w:ascii="Cambria"/>
        </w:rPr>
        <w:t xml:space="preserve">30. </w:t>
      </w:r>
      <w:r w:rsidRPr="001B1749">
        <w:rPr>
          <w:rFonts w:ascii="Cambria"/>
        </w:rPr>
        <w:tab/>
      </w:r>
      <w:proofErr w:type="spellStart"/>
      <w:r w:rsidRPr="001B1749">
        <w:rPr>
          <w:rFonts w:ascii="Cambria"/>
        </w:rPr>
        <w:t>Khuri</w:t>
      </w:r>
      <w:proofErr w:type="spellEnd"/>
      <w:r w:rsidRPr="001B1749">
        <w:rPr>
          <w:rFonts w:ascii="Cambria"/>
        </w:rPr>
        <w:t xml:space="preserve"> SF, Henderson WG, DePalma RG, </w:t>
      </w:r>
      <w:proofErr w:type="spellStart"/>
      <w:r w:rsidRPr="001B1749">
        <w:rPr>
          <w:rFonts w:ascii="Cambria"/>
        </w:rPr>
        <w:t>Mosca</w:t>
      </w:r>
      <w:proofErr w:type="spellEnd"/>
      <w:r w:rsidRPr="001B1749">
        <w:rPr>
          <w:rFonts w:ascii="Cambria"/>
        </w:rPr>
        <w:t xml:space="preserve"> C, Healey NA, </w:t>
      </w:r>
      <w:proofErr w:type="spellStart"/>
      <w:r w:rsidRPr="001B1749">
        <w:rPr>
          <w:rFonts w:ascii="Cambria"/>
        </w:rPr>
        <w:t>Kumbhani</w:t>
      </w:r>
      <w:proofErr w:type="spellEnd"/>
      <w:r w:rsidRPr="001B1749">
        <w:rPr>
          <w:rFonts w:ascii="Cambria"/>
        </w:rPr>
        <w:t xml:space="preserve"> DJ, et al. Determinants of long-term survival after major surgery and the adverse effect of postoperative complications. Ann Surg. 2005 Sep;242(3):326–41; discussion 341-343. </w:t>
      </w:r>
    </w:p>
    <w:p w14:paraId="1BEC9A61" w14:textId="77777777" w:rsidR="001B1749" w:rsidRPr="001B1749" w:rsidRDefault="001B1749" w:rsidP="001B1749">
      <w:pPr>
        <w:pStyle w:val="Bibliography"/>
        <w:rPr>
          <w:rFonts w:ascii="Cambria"/>
        </w:rPr>
      </w:pPr>
      <w:r w:rsidRPr="001B1749">
        <w:rPr>
          <w:rFonts w:ascii="Cambria"/>
        </w:rPr>
        <w:t xml:space="preserve">31. </w:t>
      </w:r>
      <w:r w:rsidRPr="001B1749">
        <w:rPr>
          <w:rFonts w:ascii="Cambria"/>
        </w:rPr>
        <w:tab/>
        <w:t xml:space="preserve">Moons KGM, Altman DG, </w:t>
      </w:r>
      <w:proofErr w:type="spellStart"/>
      <w:r w:rsidRPr="001B1749">
        <w:rPr>
          <w:rFonts w:ascii="Cambria"/>
        </w:rPr>
        <w:t>Reitsma</w:t>
      </w:r>
      <w:proofErr w:type="spellEnd"/>
      <w:r w:rsidRPr="001B1749">
        <w:rPr>
          <w:rFonts w:ascii="Cambria"/>
        </w:rPr>
        <w:t xml:space="preserve"> JB, Ioannidis JPA, Macaskill P, </w:t>
      </w:r>
      <w:proofErr w:type="spellStart"/>
      <w:r w:rsidRPr="001B1749">
        <w:rPr>
          <w:rFonts w:ascii="Cambria"/>
        </w:rPr>
        <w:t>Steyerberg</w:t>
      </w:r>
      <w:proofErr w:type="spellEnd"/>
      <w:r w:rsidRPr="001B1749">
        <w:rPr>
          <w:rFonts w:ascii="Cambria"/>
        </w:rPr>
        <w:t xml:space="preserve"> EW, et al. Transparent Reporting of a multivariable prediction model for Individual Prognosis or Diagnosis (TRIPOD): explanation and elaboration. Ann Intern Med. 2015 Jan 6;162(1</w:t>
      </w:r>
      <w:proofErr w:type="gramStart"/>
      <w:r w:rsidRPr="001B1749">
        <w:rPr>
          <w:rFonts w:ascii="Cambria"/>
        </w:rPr>
        <w:t>):W</w:t>
      </w:r>
      <w:proofErr w:type="gramEnd"/>
      <w:r w:rsidRPr="001B1749">
        <w:rPr>
          <w:rFonts w:ascii="Cambria"/>
        </w:rPr>
        <w:t xml:space="preserve">1-73. </w:t>
      </w:r>
    </w:p>
    <w:p w14:paraId="5EEB4258" w14:textId="77777777" w:rsidR="001B1749" w:rsidRPr="001B1749" w:rsidRDefault="001B1749" w:rsidP="001B1749">
      <w:pPr>
        <w:pStyle w:val="Bibliography"/>
        <w:rPr>
          <w:rFonts w:ascii="Cambria"/>
        </w:rPr>
      </w:pPr>
      <w:r w:rsidRPr="001B1749">
        <w:rPr>
          <w:rFonts w:ascii="Cambria"/>
        </w:rPr>
        <w:lastRenderedPageBreak/>
        <w:t xml:space="preserve">32. </w:t>
      </w:r>
      <w:r w:rsidRPr="001B1749">
        <w:rPr>
          <w:rFonts w:ascii="Cambria"/>
        </w:rPr>
        <w:tab/>
        <w:t xml:space="preserve">GlobalSurg Collaborative and National Institute for Health Research Global Health Research Unit on Global Surgery. Global variation in postoperative mortality and complications after cancer surgery: a </w:t>
      </w:r>
      <w:proofErr w:type="spellStart"/>
      <w:r w:rsidRPr="001B1749">
        <w:rPr>
          <w:rFonts w:ascii="Cambria"/>
        </w:rPr>
        <w:t>multicentre</w:t>
      </w:r>
      <w:proofErr w:type="spellEnd"/>
      <w:r w:rsidRPr="001B1749">
        <w:rPr>
          <w:rFonts w:ascii="Cambria"/>
        </w:rPr>
        <w:t xml:space="preserve">, prospective cohort study in 82 countries. Lancet. 2021 Jan 30;397(10272):387–97. </w:t>
      </w:r>
    </w:p>
    <w:p w14:paraId="025D1246" w14:textId="77777777" w:rsidR="001B1749" w:rsidRPr="001B1749" w:rsidRDefault="001B1749" w:rsidP="001B1749">
      <w:pPr>
        <w:pStyle w:val="Bibliography"/>
        <w:rPr>
          <w:rFonts w:ascii="Cambria"/>
        </w:rPr>
      </w:pPr>
      <w:r w:rsidRPr="001B1749">
        <w:rPr>
          <w:rFonts w:ascii="Cambria"/>
        </w:rPr>
        <w:t xml:space="preserve">33. </w:t>
      </w:r>
      <w:r w:rsidRPr="001B1749">
        <w:rPr>
          <w:rFonts w:ascii="Cambria"/>
        </w:rPr>
        <w:tab/>
        <w:t xml:space="preserve">Donabedian A. The quality of care. How can it be assessed? JAMA. 1988 Sep 23;260(12):1743–8. </w:t>
      </w:r>
    </w:p>
    <w:p w14:paraId="4792B4E9" w14:textId="77777777" w:rsidR="001B1749" w:rsidRPr="001B1749" w:rsidRDefault="001B1749" w:rsidP="001B1749">
      <w:pPr>
        <w:pStyle w:val="Bibliography"/>
        <w:rPr>
          <w:rFonts w:ascii="Cambria"/>
        </w:rPr>
      </w:pPr>
      <w:r w:rsidRPr="001B1749">
        <w:rPr>
          <w:rFonts w:ascii="Cambria"/>
        </w:rPr>
        <w:t xml:space="preserve">34. </w:t>
      </w:r>
      <w:r w:rsidRPr="001B1749">
        <w:rPr>
          <w:rFonts w:ascii="Cambria"/>
        </w:rPr>
        <w:tab/>
        <w:t xml:space="preserve">Bray F, Jemal A, Grey N, </w:t>
      </w:r>
      <w:proofErr w:type="spellStart"/>
      <w:r w:rsidRPr="001B1749">
        <w:rPr>
          <w:rFonts w:ascii="Cambria"/>
        </w:rPr>
        <w:t>Ferlay</w:t>
      </w:r>
      <w:proofErr w:type="spellEnd"/>
      <w:r w:rsidRPr="001B1749">
        <w:rPr>
          <w:rFonts w:ascii="Cambria"/>
        </w:rPr>
        <w:t xml:space="preserve"> J, Forman D. Global cancer transitions according to the Human Development Index (2008-2030): a population-based study. Lancet Oncol. 2012 Aug;13(8):790–801. </w:t>
      </w:r>
    </w:p>
    <w:p w14:paraId="6233324D" w14:textId="77777777" w:rsidR="001B1749" w:rsidRPr="001B1749" w:rsidRDefault="001B1749" w:rsidP="001B1749">
      <w:pPr>
        <w:pStyle w:val="Bibliography"/>
        <w:rPr>
          <w:rFonts w:ascii="Cambria"/>
        </w:rPr>
      </w:pPr>
      <w:r w:rsidRPr="001B1749">
        <w:rPr>
          <w:rFonts w:ascii="Cambria"/>
        </w:rPr>
        <w:t xml:space="preserve">35. </w:t>
      </w:r>
      <w:r w:rsidRPr="001B1749">
        <w:rPr>
          <w:rFonts w:ascii="Cambria"/>
        </w:rPr>
        <w:tab/>
      </w:r>
      <w:proofErr w:type="spellStart"/>
      <w:r w:rsidRPr="001B1749">
        <w:rPr>
          <w:rFonts w:ascii="Cambria"/>
        </w:rPr>
        <w:t>Allemani</w:t>
      </w:r>
      <w:proofErr w:type="spellEnd"/>
      <w:r w:rsidRPr="001B1749">
        <w:rPr>
          <w:rFonts w:ascii="Cambria"/>
        </w:rPr>
        <w:t xml:space="preserve"> C, Matsuda T, Carlo VD, Harewood R, Matz M, </w:t>
      </w:r>
      <w:proofErr w:type="spellStart"/>
      <w:r w:rsidRPr="001B1749">
        <w:rPr>
          <w:rFonts w:ascii="Cambria"/>
        </w:rPr>
        <w:t>Nikšić</w:t>
      </w:r>
      <w:proofErr w:type="spellEnd"/>
      <w:r w:rsidRPr="001B1749">
        <w:rPr>
          <w:rFonts w:ascii="Cambria"/>
        </w:rPr>
        <w:t xml:space="preserve"> M, et al. Global surveillance of trends in cancer survival 2000–14 (CONCORD-3): analysis of individual records for 37 513 025 patients diagnosed with one of 18 cancers from 322 population-based registries in 71 countries. The Lancet. 2018 Mar 17;391(10125):1023–75. </w:t>
      </w:r>
    </w:p>
    <w:p w14:paraId="611D94C7" w14:textId="77777777" w:rsidR="001B1749" w:rsidRPr="001B1749" w:rsidRDefault="001B1749" w:rsidP="001B1749">
      <w:pPr>
        <w:pStyle w:val="Bibliography"/>
        <w:rPr>
          <w:rFonts w:ascii="Cambria"/>
        </w:rPr>
      </w:pPr>
      <w:r w:rsidRPr="001B1749">
        <w:rPr>
          <w:rFonts w:ascii="Cambria"/>
        </w:rPr>
        <w:t xml:space="preserve">36. </w:t>
      </w:r>
      <w:r w:rsidRPr="001B1749">
        <w:rPr>
          <w:rFonts w:ascii="Cambria"/>
        </w:rPr>
        <w:tab/>
        <w:t>Joseph B, Morton JM, Hernandez-</w:t>
      </w:r>
      <w:proofErr w:type="spellStart"/>
      <w:r w:rsidRPr="001B1749">
        <w:rPr>
          <w:rFonts w:ascii="Cambria"/>
        </w:rPr>
        <w:t>Boussard</w:t>
      </w:r>
      <w:proofErr w:type="spellEnd"/>
      <w:r w:rsidRPr="001B1749">
        <w:rPr>
          <w:rFonts w:ascii="Cambria"/>
        </w:rPr>
        <w:t xml:space="preserve"> T, </w:t>
      </w:r>
      <w:proofErr w:type="spellStart"/>
      <w:r w:rsidRPr="001B1749">
        <w:rPr>
          <w:rFonts w:ascii="Cambria"/>
        </w:rPr>
        <w:t>Rubinfeld</w:t>
      </w:r>
      <w:proofErr w:type="spellEnd"/>
      <w:r w:rsidRPr="001B1749">
        <w:rPr>
          <w:rFonts w:ascii="Cambria"/>
        </w:rPr>
        <w:t xml:space="preserve"> I, Faraj C, </w:t>
      </w:r>
      <w:proofErr w:type="spellStart"/>
      <w:r w:rsidRPr="001B1749">
        <w:rPr>
          <w:rFonts w:ascii="Cambria"/>
        </w:rPr>
        <w:t>Velanovich</w:t>
      </w:r>
      <w:proofErr w:type="spellEnd"/>
      <w:r w:rsidRPr="001B1749">
        <w:rPr>
          <w:rFonts w:ascii="Cambria"/>
        </w:rPr>
        <w:t xml:space="preserve"> V. Relationship between hospital volume, system clinical resources, and mortality in pancreatic resection. J Am Coll Surg. 2009 Apr;208(4):520–7. </w:t>
      </w:r>
    </w:p>
    <w:p w14:paraId="46E18A35" w14:textId="77777777" w:rsidR="001B1749" w:rsidRPr="001B1749" w:rsidRDefault="001B1749" w:rsidP="001B1749">
      <w:pPr>
        <w:pStyle w:val="Bibliography"/>
        <w:rPr>
          <w:rFonts w:ascii="Cambria"/>
        </w:rPr>
      </w:pPr>
      <w:r w:rsidRPr="001B1749">
        <w:rPr>
          <w:rFonts w:ascii="Cambria"/>
        </w:rPr>
        <w:t xml:space="preserve">37. </w:t>
      </w:r>
      <w:r w:rsidRPr="001B1749">
        <w:rPr>
          <w:rFonts w:ascii="Cambria"/>
        </w:rPr>
        <w:tab/>
        <w:t>Cancer [Internet]. [cited 2021 Mar 24]. Available from: https://www.who.int/news-room/fact-sheets/detail/cancer</w:t>
      </w:r>
    </w:p>
    <w:p w14:paraId="557FED04" w14:textId="77777777" w:rsidR="001B1749" w:rsidRPr="001B1749" w:rsidRDefault="001B1749" w:rsidP="001B1749">
      <w:pPr>
        <w:pStyle w:val="Bibliography"/>
        <w:rPr>
          <w:rFonts w:ascii="Cambria"/>
        </w:rPr>
      </w:pPr>
      <w:r w:rsidRPr="001B1749">
        <w:rPr>
          <w:rFonts w:ascii="Cambria"/>
        </w:rPr>
        <w:t xml:space="preserve">38. </w:t>
      </w:r>
      <w:r w:rsidRPr="001B1749">
        <w:rPr>
          <w:rFonts w:ascii="Cambria"/>
        </w:rPr>
        <w:tab/>
        <w:t xml:space="preserve">Sud A, Jones ME, </w:t>
      </w:r>
      <w:proofErr w:type="spellStart"/>
      <w:r w:rsidRPr="001B1749">
        <w:rPr>
          <w:rFonts w:ascii="Cambria"/>
        </w:rPr>
        <w:t>Broggio</w:t>
      </w:r>
      <w:proofErr w:type="spellEnd"/>
      <w:r w:rsidRPr="001B1749">
        <w:rPr>
          <w:rFonts w:ascii="Cambria"/>
        </w:rPr>
        <w:t xml:space="preserve"> J, Loveday C, Torr B, Garrett A, et al. Collateral damage: the impact on outcomes from cancer surgery of the COVID-19 pandemic. Ann Oncol. 2020 Aug;31(8):1065–74. </w:t>
      </w:r>
    </w:p>
    <w:p w14:paraId="27B4A386" w14:textId="77777777" w:rsidR="001B1749" w:rsidRPr="001B1749" w:rsidRDefault="001B1749" w:rsidP="001B1749">
      <w:pPr>
        <w:pStyle w:val="Bibliography"/>
        <w:rPr>
          <w:rFonts w:ascii="Cambria"/>
        </w:rPr>
      </w:pPr>
      <w:r w:rsidRPr="001B1749">
        <w:rPr>
          <w:rFonts w:ascii="Cambria"/>
        </w:rPr>
        <w:t xml:space="preserve">39. </w:t>
      </w:r>
      <w:r w:rsidRPr="001B1749">
        <w:rPr>
          <w:rFonts w:ascii="Cambria"/>
        </w:rPr>
        <w:tab/>
        <w:t xml:space="preserve">Aiken LH, Clarke SP, Sloane DM, </w:t>
      </w:r>
      <w:proofErr w:type="spellStart"/>
      <w:r w:rsidRPr="001B1749">
        <w:rPr>
          <w:rFonts w:ascii="Cambria"/>
        </w:rPr>
        <w:t>Sochalski</w:t>
      </w:r>
      <w:proofErr w:type="spellEnd"/>
      <w:r w:rsidRPr="001B1749">
        <w:rPr>
          <w:rFonts w:ascii="Cambria"/>
        </w:rPr>
        <w:t xml:space="preserve"> J, Silber JH. Hospital nurse staffing and patient mortality, nurse burnout, and job dissatisfaction. JAMA. 2002 Oct 23;288(16):1987–93. </w:t>
      </w:r>
    </w:p>
    <w:p w14:paraId="57F202D3" w14:textId="77777777" w:rsidR="001B1749" w:rsidRPr="001B1749" w:rsidRDefault="001B1749" w:rsidP="001B1749">
      <w:pPr>
        <w:pStyle w:val="Bibliography"/>
        <w:rPr>
          <w:rFonts w:ascii="Cambria"/>
        </w:rPr>
      </w:pPr>
      <w:r w:rsidRPr="001B1749">
        <w:rPr>
          <w:rFonts w:ascii="Cambria"/>
        </w:rPr>
        <w:t xml:space="preserve">40. </w:t>
      </w:r>
      <w:r w:rsidRPr="001B1749">
        <w:rPr>
          <w:rFonts w:ascii="Cambria"/>
        </w:rPr>
        <w:tab/>
      </w:r>
      <w:proofErr w:type="spellStart"/>
      <w:r w:rsidRPr="001B1749">
        <w:rPr>
          <w:rFonts w:ascii="Cambria"/>
        </w:rPr>
        <w:t>Elixhauser</w:t>
      </w:r>
      <w:proofErr w:type="spellEnd"/>
      <w:r w:rsidRPr="001B1749">
        <w:rPr>
          <w:rFonts w:ascii="Cambria"/>
        </w:rPr>
        <w:t xml:space="preserve"> A, Steiner C, Fraser I. Volume thresholds and hospital characteristics in the United States. Health </w:t>
      </w:r>
      <w:proofErr w:type="spellStart"/>
      <w:r w:rsidRPr="001B1749">
        <w:rPr>
          <w:rFonts w:ascii="Cambria"/>
        </w:rPr>
        <w:t>Aff</w:t>
      </w:r>
      <w:proofErr w:type="spellEnd"/>
      <w:r w:rsidRPr="001B1749">
        <w:rPr>
          <w:rFonts w:ascii="Cambria"/>
        </w:rPr>
        <w:t xml:space="preserve"> (Millwood). 2003 Apr;22(2):167–77. </w:t>
      </w:r>
    </w:p>
    <w:p w14:paraId="7A634CDD" w14:textId="77777777" w:rsidR="001B1749" w:rsidRPr="001B1749" w:rsidRDefault="001B1749" w:rsidP="001B1749">
      <w:pPr>
        <w:pStyle w:val="Bibliography"/>
        <w:rPr>
          <w:rFonts w:ascii="Cambria"/>
        </w:rPr>
      </w:pPr>
      <w:r w:rsidRPr="001B1749">
        <w:rPr>
          <w:rFonts w:ascii="Cambria"/>
        </w:rPr>
        <w:t xml:space="preserve">41. </w:t>
      </w:r>
      <w:r w:rsidRPr="001B1749">
        <w:rPr>
          <w:rFonts w:ascii="Cambria"/>
        </w:rPr>
        <w:tab/>
      </w:r>
      <w:proofErr w:type="spellStart"/>
      <w:r w:rsidRPr="001B1749">
        <w:rPr>
          <w:rFonts w:ascii="Cambria"/>
        </w:rPr>
        <w:t>Birkmeyer</w:t>
      </w:r>
      <w:proofErr w:type="spellEnd"/>
      <w:r w:rsidRPr="001B1749">
        <w:rPr>
          <w:rFonts w:ascii="Cambria"/>
        </w:rPr>
        <w:t xml:space="preserve"> JD, </w:t>
      </w:r>
      <w:proofErr w:type="spellStart"/>
      <w:r w:rsidRPr="001B1749">
        <w:rPr>
          <w:rFonts w:ascii="Cambria"/>
        </w:rPr>
        <w:t>Stukel</w:t>
      </w:r>
      <w:proofErr w:type="spellEnd"/>
      <w:r w:rsidRPr="001B1749">
        <w:rPr>
          <w:rFonts w:ascii="Cambria"/>
        </w:rPr>
        <w:t xml:space="preserve"> TA, </w:t>
      </w:r>
      <w:proofErr w:type="spellStart"/>
      <w:r w:rsidRPr="001B1749">
        <w:rPr>
          <w:rFonts w:ascii="Cambria"/>
        </w:rPr>
        <w:t>Siewers</w:t>
      </w:r>
      <w:proofErr w:type="spellEnd"/>
      <w:r w:rsidRPr="001B1749">
        <w:rPr>
          <w:rFonts w:ascii="Cambria"/>
        </w:rPr>
        <w:t xml:space="preserve"> AE, </w:t>
      </w:r>
      <w:proofErr w:type="spellStart"/>
      <w:r w:rsidRPr="001B1749">
        <w:rPr>
          <w:rFonts w:ascii="Cambria"/>
        </w:rPr>
        <w:t>Goodney</w:t>
      </w:r>
      <w:proofErr w:type="spellEnd"/>
      <w:r w:rsidRPr="001B1749">
        <w:rPr>
          <w:rFonts w:ascii="Cambria"/>
        </w:rPr>
        <w:t xml:space="preserve"> PP, </w:t>
      </w:r>
      <w:proofErr w:type="spellStart"/>
      <w:r w:rsidRPr="001B1749">
        <w:rPr>
          <w:rFonts w:ascii="Cambria"/>
        </w:rPr>
        <w:t>Wennberg</w:t>
      </w:r>
      <w:proofErr w:type="spellEnd"/>
      <w:r w:rsidRPr="001B1749">
        <w:rPr>
          <w:rFonts w:ascii="Cambria"/>
        </w:rPr>
        <w:t xml:space="preserve"> DE, Lucas FL. Surgeon Volume and Operative Mortality in the United States. New England Journal of Medicine. 2003 Nov 27;349(22):2117–27. </w:t>
      </w:r>
    </w:p>
    <w:p w14:paraId="4E88AFEC" w14:textId="77777777" w:rsidR="001B1749" w:rsidRPr="001B1749" w:rsidRDefault="001B1749" w:rsidP="001B1749">
      <w:pPr>
        <w:pStyle w:val="Bibliography"/>
        <w:rPr>
          <w:rFonts w:ascii="Cambria"/>
        </w:rPr>
      </w:pPr>
      <w:r w:rsidRPr="001B1749">
        <w:rPr>
          <w:rFonts w:ascii="Cambria"/>
        </w:rPr>
        <w:t xml:space="preserve">42. </w:t>
      </w:r>
      <w:r w:rsidRPr="001B1749">
        <w:rPr>
          <w:rFonts w:ascii="Cambria"/>
        </w:rPr>
        <w:tab/>
        <w:t xml:space="preserve">Wasif N, Etzioni DA, </w:t>
      </w:r>
      <w:proofErr w:type="spellStart"/>
      <w:r w:rsidRPr="001B1749">
        <w:rPr>
          <w:rFonts w:ascii="Cambria"/>
        </w:rPr>
        <w:t>Habermann</w:t>
      </w:r>
      <w:proofErr w:type="spellEnd"/>
      <w:r w:rsidRPr="001B1749">
        <w:rPr>
          <w:rFonts w:ascii="Cambria"/>
        </w:rPr>
        <w:t xml:space="preserve"> E, Mathur A, Chang Y-H. Correlation of Proposed Surgical Volume Standards for Complex Cancer Surgery with Hospital Mortality. J Am Coll Surg. 2020 Jul;231(1):45-</w:t>
      </w:r>
      <w:proofErr w:type="gramStart"/>
      <w:r w:rsidRPr="001B1749">
        <w:rPr>
          <w:rFonts w:ascii="Cambria"/>
        </w:rPr>
        <w:t>52.e</w:t>
      </w:r>
      <w:proofErr w:type="gramEnd"/>
      <w:r w:rsidRPr="001B1749">
        <w:rPr>
          <w:rFonts w:ascii="Cambria"/>
        </w:rPr>
        <w:t xml:space="preserve">4. </w:t>
      </w:r>
    </w:p>
    <w:p w14:paraId="4B03D177" w14:textId="3A9B1EE5" w:rsidR="00CF7BC4" w:rsidRPr="00E678AB" w:rsidRDefault="00210740">
      <w:r w:rsidRPr="00E678AB">
        <w:fldChar w:fldCharType="end"/>
      </w:r>
    </w:p>
    <w:sectPr w:rsidR="00CF7BC4" w:rsidRPr="00E678AB" w:rsidSect="006701A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52084" w14:textId="77777777" w:rsidR="00A24D2C" w:rsidRDefault="00A24D2C">
      <w:r>
        <w:separator/>
      </w:r>
    </w:p>
  </w:endnote>
  <w:endnote w:type="continuationSeparator" w:id="0">
    <w:p w14:paraId="0CEA145C" w14:textId="77777777" w:rsidR="00A24D2C" w:rsidRDefault="00A2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915CC" w14:textId="77777777" w:rsidR="00A24D2C" w:rsidRDefault="00A24D2C">
      <w:r>
        <w:separator/>
      </w:r>
    </w:p>
  </w:footnote>
  <w:footnote w:type="continuationSeparator" w:id="0">
    <w:p w14:paraId="23281031" w14:textId="77777777" w:rsidR="00A24D2C" w:rsidRDefault="00A2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4050"/>
    <w:multiLevelType w:val="hybridMultilevel"/>
    <w:tmpl w:val="DA9414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8138F5"/>
    <w:multiLevelType w:val="hybridMultilevel"/>
    <w:tmpl w:val="7C147538"/>
    <w:lvl w:ilvl="0" w:tplc="04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72EDB"/>
    <w:multiLevelType w:val="hybridMultilevel"/>
    <w:tmpl w:val="527E2E48"/>
    <w:lvl w:ilvl="0" w:tplc="55E8FDD6">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19C88B0A">
      <w:numFmt w:val="bullet"/>
      <w:lvlText w:val="-"/>
      <w:lvlJc w:val="left"/>
      <w:pPr>
        <w:ind w:left="2340" w:hanging="360"/>
      </w:pPr>
      <w:rPr>
        <w:rFonts w:ascii="Arial" w:eastAsia="Times New Roman" w:hAnsi="Arial" w:cs="Arial" w:hint="default"/>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766488"/>
    <w:multiLevelType w:val="hybridMultilevel"/>
    <w:tmpl w:val="F1AAC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0CD2DE"/>
    <w:multiLevelType w:val="multilevel"/>
    <w:tmpl w:val="CD0E407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5" w15:restartNumberingAfterBreak="0">
    <w:nsid w:val="1D9F0669"/>
    <w:multiLevelType w:val="hybridMultilevel"/>
    <w:tmpl w:val="5850734E"/>
    <w:lvl w:ilvl="0" w:tplc="04090001">
      <w:start w:val="1"/>
      <w:numFmt w:val="bullet"/>
      <w:lvlText w:val=""/>
      <w:lvlJc w:val="left"/>
      <w:pPr>
        <w:ind w:left="1440" w:hanging="360"/>
      </w:pPr>
      <w:rPr>
        <w:rFonts w:ascii="Symbol" w:hAnsi="Symbol"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45692D"/>
    <w:multiLevelType w:val="hybridMultilevel"/>
    <w:tmpl w:val="85EE5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364AFD"/>
    <w:multiLevelType w:val="hybridMultilevel"/>
    <w:tmpl w:val="FBF48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9E2796C"/>
    <w:multiLevelType w:val="hybridMultilevel"/>
    <w:tmpl w:val="DEBC7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1AE401"/>
    <w:multiLevelType w:val="multilevel"/>
    <w:tmpl w:val="91B43A0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0" w15:restartNumberingAfterBreak="0">
    <w:nsid w:val="3C344D96"/>
    <w:multiLevelType w:val="hybridMultilevel"/>
    <w:tmpl w:val="1E7491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D155F0"/>
    <w:multiLevelType w:val="hybridMultilevel"/>
    <w:tmpl w:val="6672A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657382"/>
    <w:multiLevelType w:val="hybridMultilevel"/>
    <w:tmpl w:val="2FDC5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6A3DBB"/>
    <w:multiLevelType w:val="hybridMultilevel"/>
    <w:tmpl w:val="C96E3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0FF1C0C"/>
    <w:multiLevelType w:val="hybridMultilevel"/>
    <w:tmpl w:val="F4BA3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B128C4"/>
    <w:multiLevelType w:val="multilevel"/>
    <w:tmpl w:val="4664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303B6"/>
    <w:multiLevelType w:val="hybridMultilevel"/>
    <w:tmpl w:val="97CCDF1C"/>
    <w:lvl w:ilvl="0" w:tplc="DF00B044">
      <w:start w:val="1"/>
      <w:numFmt w:val="decimal"/>
      <w:lvlText w:val="%1."/>
      <w:lvlJc w:val="left"/>
      <w:pPr>
        <w:ind w:left="720" w:hanging="360"/>
      </w:pPr>
      <w:rPr>
        <w:rFonts w:asciiTheme="minorHAnsi" w:hAnsi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07260E"/>
    <w:multiLevelType w:val="hybridMultilevel"/>
    <w:tmpl w:val="37BA2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507E97"/>
    <w:multiLevelType w:val="hybridMultilevel"/>
    <w:tmpl w:val="904E7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B33D5A"/>
    <w:multiLevelType w:val="hybridMultilevel"/>
    <w:tmpl w:val="EBA6C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4"/>
  </w:num>
  <w:num w:numId="3">
    <w:abstractNumId w:val="9"/>
  </w:num>
  <w:num w:numId="4">
    <w:abstractNumId w:val="10"/>
  </w:num>
  <w:num w:numId="5">
    <w:abstractNumId w:val="13"/>
  </w:num>
  <w:num w:numId="6">
    <w:abstractNumId w:val="3"/>
  </w:num>
  <w:num w:numId="7">
    <w:abstractNumId w:val="7"/>
  </w:num>
  <w:num w:numId="8">
    <w:abstractNumId w:val="11"/>
  </w:num>
  <w:num w:numId="9">
    <w:abstractNumId w:val="12"/>
  </w:num>
  <w:num w:numId="10">
    <w:abstractNumId w:val="8"/>
  </w:num>
  <w:num w:numId="11">
    <w:abstractNumId w:val="18"/>
  </w:num>
  <w:num w:numId="12">
    <w:abstractNumId w:val="2"/>
  </w:num>
  <w:num w:numId="13">
    <w:abstractNumId w:val="0"/>
  </w:num>
  <w:num w:numId="14">
    <w:abstractNumId w:val="5"/>
  </w:num>
  <w:num w:numId="15">
    <w:abstractNumId w:val="1"/>
  </w:num>
  <w:num w:numId="16">
    <w:abstractNumId w:val="14"/>
  </w:num>
  <w:num w:numId="17">
    <w:abstractNumId w:val="19"/>
  </w:num>
  <w:num w:numId="18">
    <w:abstractNumId w:val="17"/>
  </w:num>
  <w:num w:numId="19">
    <w:abstractNumId w:val="6"/>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1491"/>
    <w:rsid w:val="000018D7"/>
    <w:rsid w:val="0000749D"/>
    <w:rsid w:val="00011C8B"/>
    <w:rsid w:val="0001252A"/>
    <w:rsid w:val="00013857"/>
    <w:rsid w:val="00017892"/>
    <w:rsid w:val="000263A3"/>
    <w:rsid w:val="00031A2E"/>
    <w:rsid w:val="00031CFA"/>
    <w:rsid w:val="00033129"/>
    <w:rsid w:val="00034328"/>
    <w:rsid w:val="00035C73"/>
    <w:rsid w:val="000375AE"/>
    <w:rsid w:val="00044603"/>
    <w:rsid w:val="000469D2"/>
    <w:rsid w:val="000478B0"/>
    <w:rsid w:val="000536B5"/>
    <w:rsid w:val="00055275"/>
    <w:rsid w:val="000560FD"/>
    <w:rsid w:val="000702EA"/>
    <w:rsid w:val="0007153C"/>
    <w:rsid w:val="00081A59"/>
    <w:rsid w:val="00081C68"/>
    <w:rsid w:val="000923C5"/>
    <w:rsid w:val="000945EC"/>
    <w:rsid w:val="000953BB"/>
    <w:rsid w:val="000A6AB2"/>
    <w:rsid w:val="000B1416"/>
    <w:rsid w:val="000B17FC"/>
    <w:rsid w:val="000B326E"/>
    <w:rsid w:val="000B5C03"/>
    <w:rsid w:val="000C3E4E"/>
    <w:rsid w:val="000D0256"/>
    <w:rsid w:val="000D51A4"/>
    <w:rsid w:val="000E00D8"/>
    <w:rsid w:val="000E013B"/>
    <w:rsid w:val="000E0627"/>
    <w:rsid w:val="000E427D"/>
    <w:rsid w:val="000E743B"/>
    <w:rsid w:val="000F0074"/>
    <w:rsid w:val="000F0404"/>
    <w:rsid w:val="000F3BBF"/>
    <w:rsid w:val="00100F49"/>
    <w:rsid w:val="0010344B"/>
    <w:rsid w:val="00104B05"/>
    <w:rsid w:val="00105520"/>
    <w:rsid w:val="0011013C"/>
    <w:rsid w:val="0011483E"/>
    <w:rsid w:val="0011493F"/>
    <w:rsid w:val="00117EDE"/>
    <w:rsid w:val="00120768"/>
    <w:rsid w:val="00122BEA"/>
    <w:rsid w:val="0012449C"/>
    <w:rsid w:val="00124637"/>
    <w:rsid w:val="001261C4"/>
    <w:rsid w:val="00126D03"/>
    <w:rsid w:val="00134D23"/>
    <w:rsid w:val="001443A0"/>
    <w:rsid w:val="0015290E"/>
    <w:rsid w:val="00153E8D"/>
    <w:rsid w:val="001665B6"/>
    <w:rsid w:val="001673CA"/>
    <w:rsid w:val="001767D8"/>
    <w:rsid w:val="0018019C"/>
    <w:rsid w:val="00182A9B"/>
    <w:rsid w:val="00194973"/>
    <w:rsid w:val="00196FFD"/>
    <w:rsid w:val="001A1BF0"/>
    <w:rsid w:val="001A774F"/>
    <w:rsid w:val="001B1749"/>
    <w:rsid w:val="001B308D"/>
    <w:rsid w:val="001B4D96"/>
    <w:rsid w:val="001B7E2D"/>
    <w:rsid w:val="001C0374"/>
    <w:rsid w:val="001D2AF2"/>
    <w:rsid w:val="001D4ABA"/>
    <w:rsid w:val="001E0004"/>
    <w:rsid w:val="001E1566"/>
    <w:rsid w:val="001E5D09"/>
    <w:rsid w:val="001E680A"/>
    <w:rsid w:val="001F0C45"/>
    <w:rsid w:val="001F2E7C"/>
    <w:rsid w:val="00210740"/>
    <w:rsid w:val="002113E5"/>
    <w:rsid w:val="00211645"/>
    <w:rsid w:val="00211769"/>
    <w:rsid w:val="0021185F"/>
    <w:rsid w:val="00211B6F"/>
    <w:rsid w:val="00214FB9"/>
    <w:rsid w:val="00217093"/>
    <w:rsid w:val="002227C0"/>
    <w:rsid w:val="00223A55"/>
    <w:rsid w:val="0022473F"/>
    <w:rsid w:val="00232C83"/>
    <w:rsid w:val="002332EF"/>
    <w:rsid w:val="002370B1"/>
    <w:rsid w:val="002376AC"/>
    <w:rsid w:val="00241098"/>
    <w:rsid w:val="00245F3D"/>
    <w:rsid w:val="002520B4"/>
    <w:rsid w:val="00253E44"/>
    <w:rsid w:val="002618CE"/>
    <w:rsid w:val="002634C2"/>
    <w:rsid w:val="0026490C"/>
    <w:rsid w:val="00265AA3"/>
    <w:rsid w:val="00266252"/>
    <w:rsid w:val="00266F5E"/>
    <w:rsid w:val="002702DE"/>
    <w:rsid w:val="00280606"/>
    <w:rsid w:val="00284378"/>
    <w:rsid w:val="00295C45"/>
    <w:rsid w:val="002A09D3"/>
    <w:rsid w:val="002A19E1"/>
    <w:rsid w:val="002A1B4E"/>
    <w:rsid w:val="002A54D0"/>
    <w:rsid w:val="002A54FB"/>
    <w:rsid w:val="002A6148"/>
    <w:rsid w:val="002B071A"/>
    <w:rsid w:val="002B18A0"/>
    <w:rsid w:val="002B1DA2"/>
    <w:rsid w:val="002B3BD3"/>
    <w:rsid w:val="002C21CE"/>
    <w:rsid w:val="002C39F7"/>
    <w:rsid w:val="002C5FA8"/>
    <w:rsid w:val="002C67D2"/>
    <w:rsid w:val="002C7855"/>
    <w:rsid w:val="002D681B"/>
    <w:rsid w:val="002D7B47"/>
    <w:rsid w:val="002E0B99"/>
    <w:rsid w:val="002E0D94"/>
    <w:rsid w:val="002E3819"/>
    <w:rsid w:val="002E5CB1"/>
    <w:rsid w:val="002E665E"/>
    <w:rsid w:val="002E75D7"/>
    <w:rsid w:val="002E7990"/>
    <w:rsid w:val="002F4234"/>
    <w:rsid w:val="002F771F"/>
    <w:rsid w:val="00301180"/>
    <w:rsid w:val="00301A66"/>
    <w:rsid w:val="00310901"/>
    <w:rsid w:val="00313EA4"/>
    <w:rsid w:val="0031464D"/>
    <w:rsid w:val="00316E00"/>
    <w:rsid w:val="00326246"/>
    <w:rsid w:val="003275A3"/>
    <w:rsid w:val="003344F9"/>
    <w:rsid w:val="00334BCD"/>
    <w:rsid w:val="00335AC4"/>
    <w:rsid w:val="00340995"/>
    <w:rsid w:val="003436BE"/>
    <w:rsid w:val="003442F1"/>
    <w:rsid w:val="00344867"/>
    <w:rsid w:val="00344A8C"/>
    <w:rsid w:val="00345D3E"/>
    <w:rsid w:val="00347D50"/>
    <w:rsid w:val="00352886"/>
    <w:rsid w:val="00354BB0"/>
    <w:rsid w:val="00360495"/>
    <w:rsid w:val="0036205B"/>
    <w:rsid w:val="00363B6F"/>
    <w:rsid w:val="00365EE8"/>
    <w:rsid w:val="003704B4"/>
    <w:rsid w:val="00374301"/>
    <w:rsid w:val="00377506"/>
    <w:rsid w:val="00380AC8"/>
    <w:rsid w:val="00396855"/>
    <w:rsid w:val="003A7DBE"/>
    <w:rsid w:val="003D22B8"/>
    <w:rsid w:val="003E1BE9"/>
    <w:rsid w:val="003E358C"/>
    <w:rsid w:val="003E6601"/>
    <w:rsid w:val="003F4FC3"/>
    <w:rsid w:val="003F5D63"/>
    <w:rsid w:val="003F68E1"/>
    <w:rsid w:val="003F70BD"/>
    <w:rsid w:val="004002E1"/>
    <w:rsid w:val="0040130E"/>
    <w:rsid w:val="00403FF6"/>
    <w:rsid w:val="004044DA"/>
    <w:rsid w:val="00412A1E"/>
    <w:rsid w:val="0041686D"/>
    <w:rsid w:val="00420997"/>
    <w:rsid w:val="004209D5"/>
    <w:rsid w:val="00422757"/>
    <w:rsid w:val="0042616F"/>
    <w:rsid w:val="00427634"/>
    <w:rsid w:val="00430E36"/>
    <w:rsid w:val="00440B04"/>
    <w:rsid w:val="004416F4"/>
    <w:rsid w:val="004438BC"/>
    <w:rsid w:val="0044645C"/>
    <w:rsid w:val="00454D05"/>
    <w:rsid w:val="00457BE9"/>
    <w:rsid w:val="00460120"/>
    <w:rsid w:val="0046394E"/>
    <w:rsid w:val="0046659B"/>
    <w:rsid w:val="00467FAD"/>
    <w:rsid w:val="00475E7C"/>
    <w:rsid w:val="00480570"/>
    <w:rsid w:val="004859B7"/>
    <w:rsid w:val="0049019C"/>
    <w:rsid w:val="0049473B"/>
    <w:rsid w:val="004A7B7A"/>
    <w:rsid w:val="004B5C27"/>
    <w:rsid w:val="004C025F"/>
    <w:rsid w:val="004C07BD"/>
    <w:rsid w:val="004C26A6"/>
    <w:rsid w:val="004C472D"/>
    <w:rsid w:val="004C71E7"/>
    <w:rsid w:val="004D1D2E"/>
    <w:rsid w:val="004D3864"/>
    <w:rsid w:val="004D4B04"/>
    <w:rsid w:val="004D4E04"/>
    <w:rsid w:val="004D52F7"/>
    <w:rsid w:val="004D6036"/>
    <w:rsid w:val="004E03B7"/>
    <w:rsid w:val="004E1ED7"/>
    <w:rsid w:val="004E29B3"/>
    <w:rsid w:val="004E2AB3"/>
    <w:rsid w:val="004E5C39"/>
    <w:rsid w:val="004F0C6A"/>
    <w:rsid w:val="004F3104"/>
    <w:rsid w:val="004F4873"/>
    <w:rsid w:val="004F5F3E"/>
    <w:rsid w:val="004F63D0"/>
    <w:rsid w:val="004F7A4E"/>
    <w:rsid w:val="005069F3"/>
    <w:rsid w:val="00510D98"/>
    <w:rsid w:val="00510DA0"/>
    <w:rsid w:val="00515E65"/>
    <w:rsid w:val="00517D61"/>
    <w:rsid w:val="005228E2"/>
    <w:rsid w:val="0052331B"/>
    <w:rsid w:val="0052485A"/>
    <w:rsid w:val="00530DD7"/>
    <w:rsid w:val="0054212A"/>
    <w:rsid w:val="00543752"/>
    <w:rsid w:val="00544CEF"/>
    <w:rsid w:val="00554053"/>
    <w:rsid w:val="00560927"/>
    <w:rsid w:val="005631DE"/>
    <w:rsid w:val="00563555"/>
    <w:rsid w:val="0057098B"/>
    <w:rsid w:val="00570AF0"/>
    <w:rsid w:val="005839AB"/>
    <w:rsid w:val="00583D16"/>
    <w:rsid w:val="005850F2"/>
    <w:rsid w:val="00590D07"/>
    <w:rsid w:val="005A7059"/>
    <w:rsid w:val="005B346F"/>
    <w:rsid w:val="005B565F"/>
    <w:rsid w:val="005C7942"/>
    <w:rsid w:val="005D0E69"/>
    <w:rsid w:val="005D5777"/>
    <w:rsid w:val="005D5974"/>
    <w:rsid w:val="005F3744"/>
    <w:rsid w:val="005F7F57"/>
    <w:rsid w:val="00601710"/>
    <w:rsid w:val="00604A4A"/>
    <w:rsid w:val="00606A8F"/>
    <w:rsid w:val="006079B9"/>
    <w:rsid w:val="006138A6"/>
    <w:rsid w:val="006242E2"/>
    <w:rsid w:val="0062596D"/>
    <w:rsid w:val="006308B8"/>
    <w:rsid w:val="006311B5"/>
    <w:rsid w:val="00632131"/>
    <w:rsid w:val="0064088E"/>
    <w:rsid w:val="00643AF8"/>
    <w:rsid w:val="00657ADB"/>
    <w:rsid w:val="00657F9B"/>
    <w:rsid w:val="0066309A"/>
    <w:rsid w:val="00665C0D"/>
    <w:rsid w:val="00665D39"/>
    <w:rsid w:val="006701A9"/>
    <w:rsid w:val="00671D32"/>
    <w:rsid w:val="0067417D"/>
    <w:rsid w:val="00674C9B"/>
    <w:rsid w:val="00682AC9"/>
    <w:rsid w:val="00685F44"/>
    <w:rsid w:val="00687199"/>
    <w:rsid w:val="00690808"/>
    <w:rsid w:val="006A3266"/>
    <w:rsid w:val="006A56C2"/>
    <w:rsid w:val="006A6D7F"/>
    <w:rsid w:val="006A728E"/>
    <w:rsid w:val="006B0ACD"/>
    <w:rsid w:val="006B281A"/>
    <w:rsid w:val="006B2A2A"/>
    <w:rsid w:val="006B2CB3"/>
    <w:rsid w:val="006B2EEF"/>
    <w:rsid w:val="006B2F9F"/>
    <w:rsid w:val="006C06A9"/>
    <w:rsid w:val="006C267E"/>
    <w:rsid w:val="006C2DFC"/>
    <w:rsid w:val="006D489F"/>
    <w:rsid w:val="006D50A0"/>
    <w:rsid w:val="006D6868"/>
    <w:rsid w:val="006E06CA"/>
    <w:rsid w:val="006E151A"/>
    <w:rsid w:val="006E349F"/>
    <w:rsid w:val="006E58CB"/>
    <w:rsid w:val="006F0500"/>
    <w:rsid w:val="006F0E9A"/>
    <w:rsid w:val="006F1D38"/>
    <w:rsid w:val="006F6029"/>
    <w:rsid w:val="006F6566"/>
    <w:rsid w:val="007002C2"/>
    <w:rsid w:val="00702743"/>
    <w:rsid w:val="00703267"/>
    <w:rsid w:val="007032D1"/>
    <w:rsid w:val="00703376"/>
    <w:rsid w:val="00711305"/>
    <w:rsid w:val="00711524"/>
    <w:rsid w:val="007118FE"/>
    <w:rsid w:val="00714379"/>
    <w:rsid w:val="00717955"/>
    <w:rsid w:val="00727981"/>
    <w:rsid w:val="0073159E"/>
    <w:rsid w:val="00731EC6"/>
    <w:rsid w:val="00731F08"/>
    <w:rsid w:val="00734766"/>
    <w:rsid w:val="00735DA4"/>
    <w:rsid w:val="00740C66"/>
    <w:rsid w:val="007442FB"/>
    <w:rsid w:val="00746328"/>
    <w:rsid w:val="007464AC"/>
    <w:rsid w:val="007524D3"/>
    <w:rsid w:val="0075446C"/>
    <w:rsid w:val="00754A2D"/>
    <w:rsid w:val="00760EDA"/>
    <w:rsid w:val="007705E3"/>
    <w:rsid w:val="007838C5"/>
    <w:rsid w:val="00784D58"/>
    <w:rsid w:val="00787ED3"/>
    <w:rsid w:val="00790CEC"/>
    <w:rsid w:val="007979D9"/>
    <w:rsid w:val="007A1BCC"/>
    <w:rsid w:val="007A3B20"/>
    <w:rsid w:val="007A4B89"/>
    <w:rsid w:val="007A5040"/>
    <w:rsid w:val="007B0ADF"/>
    <w:rsid w:val="007B18E4"/>
    <w:rsid w:val="007B1EC8"/>
    <w:rsid w:val="007B234B"/>
    <w:rsid w:val="007B55D9"/>
    <w:rsid w:val="007B7ECF"/>
    <w:rsid w:val="007C0BF2"/>
    <w:rsid w:val="007C12E6"/>
    <w:rsid w:val="007C137D"/>
    <w:rsid w:val="007C5FAC"/>
    <w:rsid w:val="007C71E4"/>
    <w:rsid w:val="007D3D19"/>
    <w:rsid w:val="007D47FB"/>
    <w:rsid w:val="007D5BF1"/>
    <w:rsid w:val="007D623B"/>
    <w:rsid w:val="007E0137"/>
    <w:rsid w:val="007E062B"/>
    <w:rsid w:val="007E2C5D"/>
    <w:rsid w:val="007F3B91"/>
    <w:rsid w:val="007F4BB4"/>
    <w:rsid w:val="00802D4F"/>
    <w:rsid w:val="008065AE"/>
    <w:rsid w:val="00810AED"/>
    <w:rsid w:val="00811287"/>
    <w:rsid w:val="00811A52"/>
    <w:rsid w:val="00812CFD"/>
    <w:rsid w:val="008158C9"/>
    <w:rsid w:val="00815BC1"/>
    <w:rsid w:val="0081773C"/>
    <w:rsid w:val="00821150"/>
    <w:rsid w:val="008279FC"/>
    <w:rsid w:val="0083056F"/>
    <w:rsid w:val="00841A14"/>
    <w:rsid w:val="0084325A"/>
    <w:rsid w:val="008443E9"/>
    <w:rsid w:val="00845BE9"/>
    <w:rsid w:val="008531AB"/>
    <w:rsid w:val="00856DCD"/>
    <w:rsid w:val="00857C5B"/>
    <w:rsid w:val="00862857"/>
    <w:rsid w:val="00865E16"/>
    <w:rsid w:val="00866603"/>
    <w:rsid w:val="00867D70"/>
    <w:rsid w:val="008740AB"/>
    <w:rsid w:val="00874F83"/>
    <w:rsid w:val="00881E8D"/>
    <w:rsid w:val="0088333F"/>
    <w:rsid w:val="00892E9C"/>
    <w:rsid w:val="008963F6"/>
    <w:rsid w:val="008965FA"/>
    <w:rsid w:val="00897681"/>
    <w:rsid w:val="008A3DB9"/>
    <w:rsid w:val="008A504B"/>
    <w:rsid w:val="008A533F"/>
    <w:rsid w:val="008A591B"/>
    <w:rsid w:val="008A62BE"/>
    <w:rsid w:val="008A7882"/>
    <w:rsid w:val="008A7FF0"/>
    <w:rsid w:val="008B3913"/>
    <w:rsid w:val="008B42C0"/>
    <w:rsid w:val="008B4307"/>
    <w:rsid w:val="008B44E3"/>
    <w:rsid w:val="008B66D3"/>
    <w:rsid w:val="008B7103"/>
    <w:rsid w:val="008B71A2"/>
    <w:rsid w:val="008C0377"/>
    <w:rsid w:val="008C04D8"/>
    <w:rsid w:val="008C141A"/>
    <w:rsid w:val="008C213B"/>
    <w:rsid w:val="008C37CA"/>
    <w:rsid w:val="008C6337"/>
    <w:rsid w:val="008C6612"/>
    <w:rsid w:val="008D036A"/>
    <w:rsid w:val="008D5F24"/>
    <w:rsid w:val="008D6863"/>
    <w:rsid w:val="008D79B8"/>
    <w:rsid w:val="008E2C25"/>
    <w:rsid w:val="008E319C"/>
    <w:rsid w:val="008E5480"/>
    <w:rsid w:val="008E63D5"/>
    <w:rsid w:val="008E6992"/>
    <w:rsid w:val="008F6E77"/>
    <w:rsid w:val="009007E5"/>
    <w:rsid w:val="0090392E"/>
    <w:rsid w:val="00905FC5"/>
    <w:rsid w:val="00906CE1"/>
    <w:rsid w:val="00923CA2"/>
    <w:rsid w:val="009251ED"/>
    <w:rsid w:val="00926907"/>
    <w:rsid w:val="009309D7"/>
    <w:rsid w:val="00930C27"/>
    <w:rsid w:val="00931EC0"/>
    <w:rsid w:val="009321A1"/>
    <w:rsid w:val="0093246B"/>
    <w:rsid w:val="009329DE"/>
    <w:rsid w:val="00937382"/>
    <w:rsid w:val="00944AB6"/>
    <w:rsid w:val="009515A8"/>
    <w:rsid w:val="00952E99"/>
    <w:rsid w:val="0095326D"/>
    <w:rsid w:val="00954FBE"/>
    <w:rsid w:val="00955852"/>
    <w:rsid w:val="009636A0"/>
    <w:rsid w:val="00966C49"/>
    <w:rsid w:val="00967951"/>
    <w:rsid w:val="00971D67"/>
    <w:rsid w:val="00974651"/>
    <w:rsid w:val="00980F4A"/>
    <w:rsid w:val="0098326D"/>
    <w:rsid w:val="00984C97"/>
    <w:rsid w:val="00985FCA"/>
    <w:rsid w:val="00997D6C"/>
    <w:rsid w:val="009B1F90"/>
    <w:rsid w:val="009B51DD"/>
    <w:rsid w:val="009C2728"/>
    <w:rsid w:val="009C53E2"/>
    <w:rsid w:val="009C5513"/>
    <w:rsid w:val="009D1E0F"/>
    <w:rsid w:val="009D291B"/>
    <w:rsid w:val="009D349C"/>
    <w:rsid w:val="009D3898"/>
    <w:rsid w:val="009D4075"/>
    <w:rsid w:val="009D4537"/>
    <w:rsid w:val="009D6F7C"/>
    <w:rsid w:val="009D77B2"/>
    <w:rsid w:val="009D7A19"/>
    <w:rsid w:val="009E228F"/>
    <w:rsid w:val="009F1358"/>
    <w:rsid w:val="009F1927"/>
    <w:rsid w:val="009F3659"/>
    <w:rsid w:val="00A00B68"/>
    <w:rsid w:val="00A065DD"/>
    <w:rsid w:val="00A146AD"/>
    <w:rsid w:val="00A17C8A"/>
    <w:rsid w:val="00A21C6F"/>
    <w:rsid w:val="00A226D6"/>
    <w:rsid w:val="00A239C6"/>
    <w:rsid w:val="00A24D2C"/>
    <w:rsid w:val="00A26F73"/>
    <w:rsid w:val="00A34F58"/>
    <w:rsid w:val="00A358C4"/>
    <w:rsid w:val="00A37289"/>
    <w:rsid w:val="00A3775C"/>
    <w:rsid w:val="00A37A55"/>
    <w:rsid w:val="00A419E1"/>
    <w:rsid w:val="00A42465"/>
    <w:rsid w:val="00A462B2"/>
    <w:rsid w:val="00A54438"/>
    <w:rsid w:val="00A620C8"/>
    <w:rsid w:val="00A63FFD"/>
    <w:rsid w:val="00A67571"/>
    <w:rsid w:val="00A72CFC"/>
    <w:rsid w:val="00A762E9"/>
    <w:rsid w:val="00A83383"/>
    <w:rsid w:val="00A8503D"/>
    <w:rsid w:val="00A86E54"/>
    <w:rsid w:val="00A86FFD"/>
    <w:rsid w:val="00A919E8"/>
    <w:rsid w:val="00A96D4C"/>
    <w:rsid w:val="00A97E93"/>
    <w:rsid w:val="00AA3EC4"/>
    <w:rsid w:val="00AA7470"/>
    <w:rsid w:val="00AA7A4D"/>
    <w:rsid w:val="00AB0961"/>
    <w:rsid w:val="00AB34AE"/>
    <w:rsid w:val="00AB426E"/>
    <w:rsid w:val="00AB527D"/>
    <w:rsid w:val="00AC0B37"/>
    <w:rsid w:val="00AD1843"/>
    <w:rsid w:val="00AD1D63"/>
    <w:rsid w:val="00AD71D3"/>
    <w:rsid w:val="00AD7594"/>
    <w:rsid w:val="00AE25A9"/>
    <w:rsid w:val="00AE5A85"/>
    <w:rsid w:val="00AE5B40"/>
    <w:rsid w:val="00AE7D70"/>
    <w:rsid w:val="00AF1DFA"/>
    <w:rsid w:val="00AF7C32"/>
    <w:rsid w:val="00B0422A"/>
    <w:rsid w:val="00B049E9"/>
    <w:rsid w:val="00B11F6A"/>
    <w:rsid w:val="00B1598F"/>
    <w:rsid w:val="00B2688C"/>
    <w:rsid w:val="00B31177"/>
    <w:rsid w:val="00B320CA"/>
    <w:rsid w:val="00B33EBA"/>
    <w:rsid w:val="00B36809"/>
    <w:rsid w:val="00B37FC8"/>
    <w:rsid w:val="00B41C5F"/>
    <w:rsid w:val="00B476E7"/>
    <w:rsid w:val="00B54356"/>
    <w:rsid w:val="00B64914"/>
    <w:rsid w:val="00B7261F"/>
    <w:rsid w:val="00B733C6"/>
    <w:rsid w:val="00B74360"/>
    <w:rsid w:val="00B76305"/>
    <w:rsid w:val="00B778A8"/>
    <w:rsid w:val="00B802C9"/>
    <w:rsid w:val="00B80B04"/>
    <w:rsid w:val="00B817F3"/>
    <w:rsid w:val="00B83AEB"/>
    <w:rsid w:val="00B85F65"/>
    <w:rsid w:val="00B86ACC"/>
    <w:rsid w:val="00B86B75"/>
    <w:rsid w:val="00B87168"/>
    <w:rsid w:val="00B876E5"/>
    <w:rsid w:val="00B87845"/>
    <w:rsid w:val="00B95B6B"/>
    <w:rsid w:val="00B977CB"/>
    <w:rsid w:val="00B979C3"/>
    <w:rsid w:val="00BA5296"/>
    <w:rsid w:val="00BA6AC5"/>
    <w:rsid w:val="00BB0219"/>
    <w:rsid w:val="00BB05E5"/>
    <w:rsid w:val="00BB0E24"/>
    <w:rsid w:val="00BB2B93"/>
    <w:rsid w:val="00BB6970"/>
    <w:rsid w:val="00BC4473"/>
    <w:rsid w:val="00BC48D5"/>
    <w:rsid w:val="00BC68A9"/>
    <w:rsid w:val="00BC7B70"/>
    <w:rsid w:val="00BD4833"/>
    <w:rsid w:val="00BD5ECA"/>
    <w:rsid w:val="00BE44FB"/>
    <w:rsid w:val="00BE4A33"/>
    <w:rsid w:val="00BE4E52"/>
    <w:rsid w:val="00BE75CE"/>
    <w:rsid w:val="00BF3727"/>
    <w:rsid w:val="00BF3FF7"/>
    <w:rsid w:val="00BF5E76"/>
    <w:rsid w:val="00C15E3E"/>
    <w:rsid w:val="00C1611E"/>
    <w:rsid w:val="00C17B93"/>
    <w:rsid w:val="00C2252B"/>
    <w:rsid w:val="00C31A69"/>
    <w:rsid w:val="00C36279"/>
    <w:rsid w:val="00C379C8"/>
    <w:rsid w:val="00C456F5"/>
    <w:rsid w:val="00C52C85"/>
    <w:rsid w:val="00C57F8D"/>
    <w:rsid w:val="00C6335C"/>
    <w:rsid w:val="00C648FA"/>
    <w:rsid w:val="00C7369E"/>
    <w:rsid w:val="00C7435C"/>
    <w:rsid w:val="00C800DC"/>
    <w:rsid w:val="00C83505"/>
    <w:rsid w:val="00C861FB"/>
    <w:rsid w:val="00C86AF8"/>
    <w:rsid w:val="00C90E45"/>
    <w:rsid w:val="00C90FE4"/>
    <w:rsid w:val="00C93265"/>
    <w:rsid w:val="00C93997"/>
    <w:rsid w:val="00C93C3A"/>
    <w:rsid w:val="00C97FB6"/>
    <w:rsid w:val="00CA1C22"/>
    <w:rsid w:val="00CA4ADE"/>
    <w:rsid w:val="00CA5013"/>
    <w:rsid w:val="00CA59C7"/>
    <w:rsid w:val="00CA6216"/>
    <w:rsid w:val="00CA73F6"/>
    <w:rsid w:val="00CB501E"/>
    <w:rsid w:val="00CB645A"/>
    <w:rsid w:val="00CB68B3"/>
    <w:rsid w:val="00CB7202"/>
    <w:rsid w:val="00CC3B49"/>
    <w:rsid w:val="00CC3F87"/>
    <w:rsid w:val="00CC5E1B"/>
    <w:rsid w:val="00CD2F6E"/>
    <w:rsid w:val="00CD4810"/>
    <w:rsid w:val="00CE2A76"/>
    <w:rsid w:val="00CE2F4D"/>
    <w:rsid w:val="00CF10C9"/>
    <w:rsid w:val="00CF423C"/>
    <w:rsid w:val="00CF58E2"/>
    <w:rsid w:val="00CF7397"/>
    <w:rsid w:val="00CF7BC4"/>
    <w:rsid w:val="00D00FDD"/>
    <w:rsid w:val="00D044C3"/>
    <w:rsid w:val="00D145B7"/>
    <w:rsid w:val="00D15090"/>
    <w:rsid w:val="00D15E64"/>
    <w:rsid w:val="00D166FC"/>
    <w:rsid w:val="00D20E88"/>
    <w:rsid w:val="00D23D3D"/>
    <w:rsid w:val="00D25E3F"/>
    <w:rsid w:val="00D306A1"/>
    <w:rsid w:val="00D33389"/>
    <w:rsid w:val="00D359C9"/>
    <w:rsid w:val="00D35A27"/>
    <w:rsid w:val="00D37CC3"/>
    <w:rsid w:val="00D40C70"/>
    <w:rsid w:val="00D435FD"/>
    <w:rsid w:val="00D4435A"/>
    <w:rsid w:val="00D4441E"/>
    <w:rsid w:val="00D514E0"/>
    <w:rsid w:val="00D61341"/>
    <w:rsid w:val="00D71040"/>
    <w:rsid w:val="00D72ADE"/>
    <w:rsid w:val="00D72B0F"/>
    <w:rsid w:val="00D75693"/>
    <w:rsid w:val="00D7591C"/>
    <w:rsid w:val="00D84F79"/>
    <w:rsid w:val="00D91960"/>
    <w:rsid w:val="00D96849"/>
    <w:rsid w:val="00D97439"/>
    <w:rsid w:val="00DA1A17"/>
    <w:rsid w:val="00DA7599"/>
    <w:rsid w:val="00DA7B61"/>
    <w:rsid w:val="00DB0F99"/>
    <w:rsid w:val="00DC00A2"/>
    <w:rsid w:val="00DC07C7"/>
    <w:rsid w:val="00DC639B"/>
    <w:rsid w:val="00DD118D"/>
    <w:rsid w:val="00DD30D0"/>
    <w:rsid w:val="00DE24D8"/>
    <w:rsid w:val="00DE2E3B"/>
    <w:rsid w:val="00DE6969"/>
    <w:rsid w:val="00DF115A"/>
    <w:rsid w:val="00E0105F"/>
    <w:rsid w:val="00E01B60"/>
    <w:rsid w:val="00E053A1"/>
    <w:rsid w:val="00E12903"/>
    <w:rsid w:val="00E143B0"/>
    <w:rsid w:val="00E1591E"/>
    <w:rsid w:val="00E1769B"/>
    <w:rsid w:val="00E17EAA"/>
    <w:rsid w:val="00E21299"/>
    <w:rsid w:val="00E221DA"/>
    <w:rsid w:val="00E232EA"/>
    <w:rsid w:val="00E234C1"/>
    <w:rsid w:val="00E250A7"/>
    <w:rsid w:val="00E2573A"/>
    <w:rsid w:val="00E25AB8"/>
    <w:rsid w:val="00E26FF1"/>
    <w:rsid w:val="00E27DAE"/>
    <w:rsid w:val="00E315A3"/>
    <w:rsid w:val="00E31E67"/>
    <w:rsid w:val="00E355FA"/>
    <w:rsid w:val="00E42D88"/>
    <w:rsid w:val="00E4501F"/>
    <w:rsid w:val="00E51A48"/>
    <w:rsid w:val="00E547CA"/>
    <w:rsid w:val="00E61780"/>
    <w:rsid w:val="00E678AB"/>
    <w:rsid w:val="00E74E91"/>
    <w:rsid w:val="00E80F36"/>
    <w:rsid w:val="00E827D8"/>
    <w:rsid w:val="00E86369"/>
    <w:rsid w:val="00E9328C"/>
    <w:rsid w:val="00E94B03"/>
    <w:rsid w:val="00EA2730"/>
    <w:rsid w:val="00EA28C3"/>
    <w:rsid w:val="00EA51E3"/>
    <w:rsid w:val="00EB2537"/>
    <w:rsid w:val="00EB3234"/>
    <w:rsid w:val="00EB3D10"/>
    <w:rsid w:val="00EC00A6"/>
    <w:rsid w:val="00ED1138"/>
    <w:rsid w:val="00ED2E22"/>
    <w:rsid w:val="00ED5212"/>
    <w:rsid w:val="00ED7AE9"/>
    <w:rsid w:val="00EE292A"/>
    <w:rsid w:val="00EE37B7"/>
    <w:rsid w:val="00EE4C78"/>
    <w:rsid w:val="00EE71D7"/>
    <w:rsid w:val="00EF2CFA"/>
    <w:rsid w:val="00EF5AA2"/>
    <w:rsid w:val="00EF5B8F"/>
    <w:rsid w:val="00EF74BB"/>
    <w:rsid w:val="00F0088F"/>
    <w:rsid w:val="00F01501"/>
    <w:rsid w:val="00F05E83"/>
    <w:rsid w:val="00F13F07"/>
    <w:rsid w:val="00F201EE"/>
    <w:rsid w:val="00F22474"/>
    <w:rsid w:val="00F25FAB"/>
    <w:rsid w:val="00F26D00"/>
    <w:rsid w:val="00F27B23"/>
    <w:rsid w:val="00F31823"/>
    <w:rsid w:val="00F33196"/>
    <w:rsid w:val="00F346DF"/>
    <w:rsid w:val="00F35CF4"/>
    <w:rsid w:val="00F3627B"/>
    <w:rsid w:val="00F36A0A"/>
    <w:rsid w:val="00F37906"/>
    <w:rsid w:val="00F43504"/>
    <w:rsid w:val="00F45559"/>
    <w:rsid w:val="00F528C8"/>
    <w:rsid w:val="00F53C2E"/>
    <w:rsid w:val="00F5638C"/>
    <w:rsid w:val="00F57578"/>
    <w:rsid w:val="00F57D02"/>
    <w:rsid w:val="00F61AC2"/>
    <w:rsid w:val="00F63F67"/>
    <w:rsid w:val="00F65852"/>
    <w:rsid w:val="00F65FBF"/>
    <w:rsid w:val="00F71A52"/>
    <w:rsid w:val="00F7768C"/>
    <w:rsid w:val="00F83AFC"/>
    <w:rsid w:val="00F87C79"/>
    <w:rsid w:val="00F90AD0"/>
    <w:rsid w:val="00F91E68"/>
    <w:rsid w:val="00F93625"/>
    <w:rsid w:val="00F9506F"/>
    <w:rsid w:val="00F96B0E"/>
    <w:rsid w:val="00FA0360"/>
    <w:rsid w:val="00FA09BD"/>
    <w:rsid w:val="00FA6D2F"/>
    <w:rsid w:val="00FA7C74"/>
    <w:rsid w:val="00FB2623"/>
    <w:rsid w:val="00FB47B0"/>
    <w:rsid w:val="00FB5F9F"/>
    <w:rsid w:val="00FC0C73"/>
    <w:rsid w:val="00FC3573"/>
    <w:rsid w:val="00FD4418"/>
    <w:rsid w:val="00FD511C"/>
    <w:rsid w:val="00FD7964"/>
    <w:rsid w:val="00FE10BC"/>
    <w:rsid w:val="00FE6D37"/>
    <w:rsid w:val="00FF09DD"/>
    <w:rsid w:val="00FF3912"/>
    <w:rsid w:val="00FF6BAC"/>
    <w:rsid w:val="00FF70AE"/>
    <w:rsid w:val="00FF76A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28A0"/>
  <w15:docId w15:val="{7E249FEE-453C-524F-8CCB-923C5998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5A3"/>
    <w:pPr>
      <w:spacing w:after="0"/>
    </w:pPr>
    <w:rPr>
      <w:rFonts w:ascii="Times New Roman" w:eastAsia="Times New Roman" w:hAnsi="Times New Roman" w:cs="Times New Roman"/>
      <w:lang w:val="en-GB" w:eastAsia="en-GB"/>
    </w:rPr>
  </w:style>
  <w:style w:type="paragraph" w:styleId="Heading1">
    <w:name w:val="heading 1"/>
    <w:basedOn w:val="Normal"/>
    <w:next w:val="BodyText"/>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lang w:val="en-US" w:eastAsia="en-US"/>
    </w:rPr>
  </w:style>
  <w:style w:type="paragraph" w:styleId="Heading2">
    <w:name w:val="heading 2"/>
    <w:basedOn w:val="Normal"/>
    <w:next w:val="BodyText"/>
    <w:uiPriority w:val="9"/>
    <w:unhideWhenUsed/>
    <w:qFormat/>
    <w:pPr>
      <w:keepNext/>
      <w:keepLines/>
      <w:spacing w:before="200"/>
      <w:outlineLvl w:val="1"/>
    </w:pPr>
    <w:rPr>
      <w:rFonts w:asciiTheme="majorHAnsi" w:eastAsiaTheme="majorEastAsia" w:hAnsiTheme="majorHAnsi" w:cstheme="majorBidi"/>
      <w:b/>
      <w:bCs/>
      <w:color w:val="4F81BD" w:themeColor="accent1"/>
      <w:sz w:val="32"/>
      <w:szCs w:val="32"/>
      <w:lang w:val="en-US" w:eastAsia="en-US"/>
    </w:rPr>
  </w:style>
  <w:style w:type="paragraph" w:styleId="Heading3">
    <w:name w:val="heading 3"/>
    <w:basedOn w:val="Normal"/>
    <w:next w:val="BodyText"/>
    <w:uiPriority w:val="9"/>
    <w:unhideWhenUsed/>
    <w:qFormat/>
    <w:pPr>
      <w:keepNext/>
      <w:keepLines/>
      <w:spacing w:before="200"/>
      <w:outlineLvl w:val="2"/>
    </w:pPr>
    <w:rPr>
      <w:rFonts w:asciiTheme="majorHAnsi" w:eastAsiaTheme="majorEastAsia" w:hAnsiTheme="majorHAnsi" w:cstheme="majorBidi"/>
      <w:b/>
      <w:bCs/>
      <w:color w:val="4F81BD" w:themeColor="accent1"/>
      <w:sz w:val="28"/>
      <w:szCs w:val="28"/>
      <w:lang w:val="en-US" w:eastAsia="en-US"/>
    </w:rPr>
  </w:style>
  <w:style w:type="paragraph" w:styleId="Heading4">
    <w:name w:val="heading 4"/>
    <w:basedOn w:val="Normal"/>
    <w:next w:val="BodyText"/>
    <w:uiPriority w:val="9"/>
    <w:unhideWhenUsed/>
    <w:qFormat/>
    <w:pPr>
      <w:keepNext/>
      <w:keepLines/>
      <w:spacing w:before="200"/>
      <w:outlineLvl w:val="3"/>
    </w:pPr>
    <w:rPr>
      <w:rFonts w:asciiTheme="majorHAnsi" w:eastAsiaTheme="majorEastAsia" w:hAnsiTheme="majorHAnsi" w:cstheme="majorBidi"/>
      <w:b/>
      <w:bCs/>
      <w:color w:val="4F81BD" w:themeColor="accent1"/>
      <w:lang w:val="en-US" w:eastAsia="en-US"/>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
      <w:iCs/>
      <w:color w:val="4F81BD" w:themeColor="accent1"/>
      <w:lang w:val="en-US" w:eastAsia="en-US"/>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lang w:val="en-US" w:eastAsia="en-US"/>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lang w:val="en-US" w:eastAsia="en-US"/>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lang w:val="en-US" w:eastAsia="en-US"/>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rPr>
      <w:rFonts w:asciiTheme="minorHAnsi" w:eastAsiaTheme="minorHAnsi" w:hAnsiTheme="minorHAnsi" w:cstheme="minorBidi"/>
      <w:lang w:val="en-US" w:eastAsia="en-US"/>
    </w:rPr>
  </w:style>
  <w:style w:type="paragraph" w:customStyle="1" w:styleId="FirstParagraph">
    <w:name w:val="First Paragraph"/>
    <w:basedOn w:val="BodyText"/>
    <w:next w:val="BodyText"/>
    <w:qFormat/>
  </w:style>
  <w:style w:type="paragraph" w:customStyle="1" w:styleId="Compact">
    <w:name w:val="Compact"/>
    <w:basedOn w:val="BodyText"/>
    <w:qFormat/>
    <w:rsid w:val="00D67598"/>
    <w:pPr>
      <w:spacing w:before="36" w:after="36"/>
    </w:pPr>
    <w:rPr>
      <w:sz w:val="16"/>
    </w:r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lang w:val="en-US" w:eastAsia="en-US"/>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rFonts w:asciiTheme="minorHAnsi" w:eastAsiaTheme="minorHAnsi" w:hAnsiTheme="minorHAnsi" w:cstheme="minorBidi"/>
      <w:sz w:val="20"/>
      <w:szCs w:val="20"/>
      <w:lang w:val="en-US" w:eastAsia="en-US"/>
    </w:rPr>
  </w:style>
  <w:style w:type="paragraph" w:styleId="Bibliography">
    <w:name w:val="Bibliography"/>
    <w:basedOn w:val="Normal"/>
    <w:qFormat/>
    <w:pPr>
      <w:tabs>
        <w:tab w:val="left" w:pos="500"/>
      </w:tabs>
      <w:spacing w:after="240"/>
      <w:ind w:left="504" w:hanging="504"/>
    </w:pPr>
    <w:rPr>
      <w:rFonts w:asciiTheme="minorHAnsi" w:eastAsiaTheme="minorHAnsi" w:hAnsiTheme="minorHAnsi" w:cstheme="minorBidi"/>
      <w:lang w:val="en-US" w:eastAsia="en-US"/>
    </w:rPr>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pPr>
      <w:spacing w:after="200"/>
    </w:pPr>
    <w:rPr>
      <w:rFonts w:asciiTheme="minorHAnsi" w:eastAsiaTheme="minorHAnsi" w:hAnsiTheme="minorHAnsi" w:cstheme="minorBidi"/>
      <w:lang w:val="en-US" w:eastAsia="en-US"/>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pPr>
    <w:rPr>
      <w:rFonts w:asciiTheme="minorHAnsi" w:eastAsiaTheme="minorHAnsi" w:hAnsiTheme="minorHAnsi" w:cstheme="minorBidi"/>
      <w:b/>
      <w:lang w:val="en-US" w:eastAsia="en-US"/>
    </w:rPr>
  </w:style>
  <w:style w:type="paragraph" w:customStyle="1" w:styleId="Definition">
    <w:name w:val="Definition"/>
    <w:basedOn w:val="Normal"/>
    <w:pPr>
      <w:spacing w:after="200"/>
    </w:pPr>
    <w:rPr>
      <w:rFonts w:asciiTheme="minorHAnsi" w:eastAsiaTheme="minorHAnsi" w:hAnsiTheme="minorHAnsi" w:cstheme="minorBidi"/>
      <w:lang w:val="en-US" w:eastAsia="en-US"/>
    </w:rPr>
  </w:style>
  <w:style w:type="paragraph" w:styleId="Caption">
    <w:name w:val="caption"/>
    <w:basedOn w:val="Normal"/>
    <w:link w:val="CaptionChar"/>
    <w:pPr>
      <w:spacing w:after="120"/>
    </w:pPr>
    <w:rPr>
      <w:rFonts w:asciiTheme="minorHAnsi" w:eastAsiaTheme="minorHAnsi" w:hAnsiTheme="minorHAnsi" w:cstheme="minorBidi"/>
      <w:i/>
      <w:lang w:val="en-US" w:eastAsia="en-US"/>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pPr>
      <w:spacing w:after="200"/>
    </w:pPr>
    <w:rPr>
      <w:rFonts w:asciiTheme="minorHAnsi" w:eastAsiaTheme="minorHAnsi" w:hAnsiTheme="minorHAnsi" w:cstheme="minorBidi"/>
      <w:lang w:val="en-US" w:eastAsia="en-US"/>
    </w:rPr>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spacing w:after="200"/>
    </w:pPr>
    <w:rPr>
      <w:rFonts w:asciiTheme="minorHAnsi" w:eastAsiaTheme="minorHAnsi" w:hAnsiTheme="minorHAnsi" w:cstheme="minorBidi"/>
      <w:lang w:val="en-US" w:eastAsia="en-US"/>
    </w:r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styleId="CommentReference">
    <w:name w:val="annotation reference"/>
    <w:basedOn w:val="DefaultParagraphFont"/>
    <w:semiHidden/>
    <w:unhideWhenUsed/>
    <w:rsid w:val="00787ED3"/>
    <w:rPr>
      <w:sz w:val="16"/>
      <w:szCs w:val="16"/>
    </w:rPr>
  </w:style>
  <w:style w:type="paragraph" w:styleId="CommentText">
    <w:name w:val="annotation text"/>
    <w:basedOn w:val="Normal"/>
    <w:link w:val="CommentTextChar"/>
    <w:unhideWhenUsed/>
    <w:rsid w:val="00787ED3"/>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rsid w:val="00787ED3"/>
    <w:rPr>
      <w:sz w:val="20"/>
      <w:szCs w:val="20"/>
    </w:rPr>
  </w:style>
  <w:style w:type="paragraph" w:styleId="CommentSubject">
    <w:name w:val="annotation subject"/>
    <w:basedOn w:val="CommentText"/>
    <w:next w:val="CommentText"/>
    <w:link w:val="CommentSubjectChar"/>
    <w:semiHidden/>
    <w:unhideWhenUsed/>
    <w:rsid w:val="00787ED3"/>
    <w:rPr>
      <w:b/>
      <w:bCs/>
    </w:rPr>
  </w:style>
  <w:style w:type="character" w:customStyle="1" w:styleId="CommentSubjectChar">
    <w:name w:val="Comment Subject Char"/>
    <w:basedOn w:val="CommentTextChar"/>
    <w:link w:val="CommentSubject"/>
    <w:semiHidden/>
    <w:rsid w:val="00787ED3"/>
    <w:rPr>
      <w:b/>
      <w:bCs/>
      <w:sz w:val="20"/>
      <w:szCs w:val="20"/>
    </w:rPr>
  </w:style>
  <w:style w:type="paragraph" w:customStyle="1" w:styleId="v1msonormal">
    <w:name w:val="v1msonormal"/>
    <w:basedOn w:val="Normal"/>
    <w:rsid w:val="00C93265"/>
    <w:pPr>
      <w:spacing w:before="100" w:beforeAutospacing="1" w:after="100" w:afterAutospacing="1"/>
    </w:pPr>
  </w:style>
  <w:style w:type="paragraph" w:styleId="BalloonText">
    <w:name w:val="Balloon Text"/>
    <w:basedOn w:val="Normal"/>
    <w:link w:val="BalloonTextChar"/>
    <w:semiHidden/>
    <w:unhideWhenUsed/>
    <w:rsid w:val="00B37FC8"/>
    <w:rPr>
      <w:sz w:val="18"/>
      <w:szCs w:val="18"/>
    </w:rPr>
  </w:style>
  <w:style w:type="character" w:customStyle="1" w:styleId="BalloonTextChar">
    <w:name w:val="Balloon Text Char"/>
    <w:basedOn w:val="DefaultParagraphFont"/>
    <w:link w:val="BalloonText"/>
    <w:semiHidden/>
    <w:rsid w:val="00B37FC8"/>
    <w:rPr>
      <w:rFonts w:ascii="Times New Roman" w:eastAsia="Times New Roman" w:hAnsi="Times New Roman" w:cs="Times New Roman"/>
      <w:sz w:val="18"/>
      <w:szCs w:val="18"/>
      <w:lang w:val="en-GB" w:eastAsia="en-GB"/>
    </w:rPr>
  </w:style>
  <w:style w:type="paragraph" w:styleId="ListParagraph">
    <w:name w:val="List Paragraph"/>
    <w:basedOn w:val="Normal"/>
    <w:uiPriority w:val="34"/>
    <w:qFormat/>
    <w:rsid w:val="00457BE9"/>
    <w:pPr>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E6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7785">
      <w:bodyDiv w:val="1"/>
      <w:marLeft w:val="0"/>
      <w:marRight w:val="0"/>
      <w:marTop w:val="0"/>
      <w:marBottom w:val="0"/>
      <w:divBdr>
        <w:top w:val="none" w:sz="0" w:space="0" w:color="auto"/>
        <w:left w:val="none" w:sz="0" w:space="0" w:color="auto"/>
        <w:bottom w:val="none" w:sz="0" w:space="0" w:color="auto"/>
        <w:right w:val="none" w:sz="0" w:space="0" w:color="auto"/>
      </w:divBdr>
    </w:div>
    <w:div w:id="120811648">
      <w:bodyDiv w:val="1"/>
      <w:marLeft w:val="0"/>
      <w:marRight w:val="0"/>
      <w:marTop w:val="0"/>
      <w:marBottom w:val="0"/>
      <w:divBdr>
        <w:top w:val="none" w:sz="0" w:space="0" w:color="auto"/>
        <w:left w:val="none" w:sz="0" w:space="0" w:color="auto"/>
        <w:bottom w:val="none" w:sz="0" w:space="0" w:color="auto"/>
        <w:right w:val="none" w:sz="0" w:space="0" w:color="auto"/>
      </w:divBdr>
    </w:div>
    <w:div w:id="834414637">
      <w:bodyDiv w:val="1"/>
      <w:marLeft w:val="0"/>
      <w:marRight w:val="0"/>
      <w:marTop w:val="0"/>
      <w:marBottom w:val="0"/>
      <w:divBdr>
        <w:top w:val="none" w:sz="0" w:space="0" w:color="auto"/>
        <w:left w:val="none" w:sz="0" w:space="0" w:color="auto"/>
        <w:bottom w:val="none" w:sz="0" w:space="0" w:color="auto"/>
        <w:right w:val="none" w:sz="0" w:space="0" w:color="auto"/>
      </w:divBdr>
    </w:div>
    <w:div w:id="980188700">
      <w:bodyDiv w:val="1"/>
      <w:marLeft w:val="0"/>
      <w:marRight w:val="0"/>
      <w:marTop w:val="0"/>
      <w:marBottom w:val="0"/>
      <w:divBdr>
        <w:top w:val="none" w:sz="0" w:space="0" w:color="auto"/>
        <w:left w:val="none" w:sz="0" w:space="0" w:color="auto"/>
        <w:bottom w:val="none" w:sz="0" w:space="0" w:color="auto"/>
        <w:right w:val="none" w:sz="0" w:space="0" w:color="auto"/>
      </w:divBdr>
    </w:div>
    <w:div w:id="1337147083">
      <w:bodyDiv w:val="1"/>
      <w:marLeft w:val="0"/>
      <w:marRight w:val="0"/>
      <w:marTop w:val="0"/>
      <w:marBottom w:val="0"/>
      <w:divBdr>
        <w:top w:val="none" w:sz="0" w:space="0" w:color="auto"/>
        <w:left w:val="none" w:sz="0" w:space="0" w:color="auto"/>
        <w:bottom w:val="none" w:sz="0" w:space="0" w:color="auto"/>
        <w:right w:val="none" w:sz="0" w:space="0" w:color="auto"/>
      </w:divBdr>
    </w:div>
    <w:div w:id="1616323220">
      <w:bodyDiv w:val="1"/>
      <w:marLeft w:val="0"/>
      <w:marRight w:val="0"/>
      <w:marTop w:val="0"/>
      <w:marBottom w:val="0"/>
      <w:divBdr>
        <w:top w:val="none" w:sz="0" w:space="0" w:color="auto"/>
        <w:left w:val="none" w:sz="0" w:space="0" w:color="auto"/>
        <w:bottom w:val="none" w:sz="0" w:space="0" w:color="auto"/>
        <w:right w:val="none" w:sz="0" w:space="0" w:color="auto"/>
      </w:divBdr>
    </w:div>
    <w:div w:id="1627928368">
      <w:bodyDiv w:val="1"/>
      <w:marLeft w:val="0"/>
      <w:marRight w:val="0"/>
      <w:marTop w:val="0"/>
      <w:marBottom w:val="0"/>
      <w:divBdr>
        <w:top w:val="none" w:sz="0" w:space="0" w:color="auto"/>
        <w:left w:val="none" w:sz="0" w:space="0" w:color="auto"/>
        <w:bottom w:val="none" w:sz="0" w:space="0" w:color="auto"/>
        <w:right w:val="none" w:sz="0" w:space="0" w:color="auto"/>
      </w:divBdr>
    </w:div>
    <w:div w:id="1723282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C6AFA-F573-EA40-B591-724D1985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22</Pages>
  <Words>36639</Words>
  <Characters>208847</Characters>
  <Application>Microsoft Office Word</Application>
  <DocSecurity>0</DocSecurity>
  <Lines>1740</Lines>
  <Paragraphs>489</Paragraphs>
  <ScaleCrop>false</ScaleCrop>
  <HeadingPairs>
    <vt:vector size="2" baseType="variant">
      <vt:variant>
        <vt:lpstr>Title</vt:lpstr>
      </vt:variant>
      <vt:variant>
        <vt:i4>1</vt:i4>
      </vt:variant>
    </vt:vector>
  </HeadingPairs>
  <TitlesOfParts>
    <vt:vector size="1" baseType="lpstr">
      <vt:lpstr>Influence of hospital capacities and characteristics on patient outcomes following cancer surgery: an international, mixed methods ecological study</vt:lpstr>
    </vt:vector>
  </TitlesOfParts>
  <Company/>
  <LinksUpToDate>false</LinksUpToDate>
  <CharactersWithSpaces>244997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Influence of hospital capacities and characteristics on patient outcomes following cancer surgery: an international, mixed methods ecological study</dc:title>
  <dc:creator>Stephen Knight</dc:creator>
  <cp:keywords/>
  <cp:lastModifiedBy>Stephen Knight</cp:lastModifiedBy>
  <cp:revision>136</cp:revision>
  <dcterms:created xsi:type="dcterms:W3CDTF">2021-05-27T13:09:00Z</dcterms:created>
  <dcterms:modified xsi:type="dcterms:W3CDTF">2021-05-30T19:36:00Z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ZOTERO_PREF_1">
    <vt:lpwstr>&lt;data data-version="3" zotero-version="5.0.96.2"&gt;&lt;session id="wYwteCTe"/&gt;&lt;style id="http://www.zotero.org/styles/vancouver-superscript" locale="en-GB" hasBibliography="1" bibliographyStyleHasBeenSet="1"/&gt;&lt;prefs&gt;&lt;pref name="fieldType" value="Field"/&gt;&lt;pref </vt:lpwstr>
  </property>
  <property fmtid="{D5CDD505-2E9C-101B-9397-08002B2CF9AE}" pid="4" name="ZOTERO_PREF_2">
    <vt:lpwstr>name="dontAskDelayCitationUpdates" value="true"/&gt;&lt;/prefs&gt;&lt;/data&gt;</vt:lpwstr>
  </property>
</Properties>
</file>