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7FFB" w14:textId="554AF643" w:rsidR="00003F7F" w:rsidRPr="00E23BAF" w:rsidRDefault="00634BBB" w:rsidP="009914A5">
      <w:pPr>
        <w:pStyle w:val="Authornames"/>
        <w:rPr>
          <w:b/>
          <w:bCs/>
          <w:i/>
          <w:iCs/>
          <w:lang w:val="en-US"/>
        </w:rPr>
      </w:pPr>
      <w:bookmarkStart w:id="0" w:name="_Toc461605575"/>
      <w:r>
        <w:rPr>
          <w:b/>
          <w:bCs/>
          <w:lang w:val="en-US"/>
        </w:rPr>
        <w:t>Knowledgeable but not</w:t>
      </w:r>
      <w:r w:rsidR="007B124F">
        <w:rPr>
          <w:b/>
          <w:bCs/>
          <w:lang w:val="en-US"/>
        </w:rPr>
        <w:t xml:space="preserve"> </w:t>
      </w:r>
      <w:r w:rsidR="007A0D74">
        <w:rPr>
          <w:b/>
          <w:bCs/>
          <w:lang w:val="en-US"/>
        </w:rPr>
        <w:t>specialist</w:t>
      </w:r>
      <w:r w:rsidR="003E6FB2">
        <w:rPr>
          <w:b/>
          <w:bCs/>
          <w:lang w:val="en-US"/>
        </w:rPr>
        <w:t>:</w:t>
      </w:r>
      <w:r>
        <w:rPr>
          <w:b/>
          <w:bCs/>
          <w:lang w:val="en-US"/>
        </w:rPr>
        <w:t xml:space="preserve"> </w:t>
      </w:r>
      <w:r w:rsidR="008F1728" w:rsidRPr="008F1728">
        <w:rPr>
          <w:b/>
          <w:bCs/>
          <w:lang w:val="en-US"/>
        </w:rPr>
        <w:t xml:space="preserve">Virtual School Heads’ </w:t>
      </w:r>
      <w:r w:rsidR="006258FF">
        <w:rPr>
          <w:b/>
          <w:bCs/>
          <w:lang w:val="en-US"/>
        </w:rPr>
        <w:t>experiences of supporting</w:t>
      </w:r>
      <w:r w:rsidR="008F1728" w:rsidRPr="008F1728">
        <w:rPr>
          <w:b/>
          <w:bCs/>
          <w:lang w:val="en-US"/>
        </w:rPr>
        <w:t xml:space="preserve"> </w:t>
      </w:r>
      <w:r w:rsidR="00E23BAF">
        <w:rPr>
          <w:b/>
          <w:bCs/>
          <w:lang w:val="en-US"/>
        </w:rPr>
        <w:t xml:space="preserve">autistic </w:t>
      </w:r>
      <w:r w:rsidR="006258FF">
        <w:rPr>
          <w:b/>
          <w:bCs/>
          <w:lang w:val="en-US"/>
        </w:rPr>
        <w:t>c</w:t>
      </w:r>
      <w:r w:rsidR="008F1728" w:rsidRPr="008F1728">
        <w:rPr>
          <w:b/>
          <w:bCs/>
          <w:lang w:val="en-US"/>
        </w:rPr>
        <w:t>hi</w:t>
      </w:r>
      <w:bookmarkEnd w:id="0"/>
      <w:r w:rsidR="00E23BAF">
        <w:rPr>
          <w:b/>
          <w:bCs/>
          <w:lang w:val="en-US"/>
        </w:rPr>
        <w:t>ldren in care</w:t>
      </w:r>
    </w:p>
    <w:p w14:paraId="107D23A3" w14:textId="5AFB7364" w:rsidR="00E23BAF" w:rsidRDefault="00E23BAF" w:rsidP="00E23BAF">
      <w:pPr>
        <w:rPr>
          <w:lang w:val="en-US"/>
        </w:rPr>
      </w:pPr>
    </w:p>
    <w:p w14:paraId="39A18E24" w14:textId="4AB9BC55" w:rsidR="00442B9C" w:rsidRPr="00003F7F" w:rsidRDefault="00003F7F" w:rsidP="009914A5">
      <w:pPr>
        <w:pStyle w:val="Authornames"/>
        <w:rPr>
          <w:b/>
          <w:bCs/>
        </w:rPr>
      </w:pPr>
      <w:r w:rsidRPr="00D502B5">
        <w:t xml:space="preserve">Jennifer </w:t>
      </w:r>
      <w:proofErr w:type="spellStart"/>
      <w:proofErr w:type="gramStart"/>
      <w:r w:rsidRPr="00D502B5">
        <w:t>Pickles</w:t>
      </w:r>
      <w:r w:rsidR="004F428E" w:rsidRPr="00394920">
        <w:rPr>
          <w:vertAlign w:val="superscript"/>
        </w:rPr>
        <w:t>a</w:t>
      </w:r>
      <w:r w:rsidR="00522CE4">
        <w:rPr>
          <w:vertAlign w:val="superscript"/>
        </w:rPr>
        <w:t>,c</w:t>
      </w:r>
      <w:proofErr w:type="spellEnd"/>
      <w:proofErr w:type="gramEnd"/>
      <w:r>
        <w:t xml:space="preserve">, Sarah </w:t>
      </w:r>
      <w:proofErr w:type="spellStart"/>
      <w:r>
        <w:t>Parsons</w:t>
      </w:r>
      <w:r w:rsidR="00522CE4" w:rsidRPr="00522CE4">
        <w:rPr>
          <w:vertAlign w:val="superscript"/>
        </w:rPr>
        <w:t>b</w:t>
      </w:r>
      <w:r w:rsidR="00522CE4">
        <w:rPr>
          <w:vertAlign w:val="superscript"/>
        </w:rPr>
        <w:t>,c</w:t>
      </w:r>
      <w:proofErr w:type="spellEnd"/>
      <w:r>
        <w:t>, and</w:t>
      </w:r>
      <w:r w:rsidR="004F428E">
        <w:t xml:space="preserve"> </w:t>
      </w:r>
      <w:r>
        <w:t>Hanna</w:t>
      </w:r>
      <w:r w:rsidR="004F428E">
        <w:t xml:space="preserve"> </w:t>
      </w:r>
      <w:proofErr w:type="spellStart"/>
      <w:r>
        <w:t>Kovshoff</w:t>
      </w:r>
      <w:r w:rsidR="00522CE4">
        <w:rPr>
          <w:vertAlign w:val="superscript"/>
        </w:rPr>
        <w:t>a,c</w:t>
      </w:r>
      <w:proofErr w:type="spellEnd"/>
      <w:r>
        <w:rPr>
          <w:vertAlign w:val="superscript"/>
        </w:rPr>
        <w:t>*</w:t>
      </w:r>
    </w:p>
    <w:p w14:paraId="0C9D06CC" w14:textId="41AA6467" w:rsidR="00522CE4" w:rsidRPr="00522CE4" w:rsidRDefault="00B64FA3" w:rsidP="00522CE4">
      <w:pPr>
        <w:pStyle w:val="Affiliation"/>
      </w:pPr>
      <w:r w:rsidRPr="00394920">
        <w:rPr>
          <w:vertAlign w:val="superscript"/>
        </w:rPr>
        <w:t>a</w:t>
      </w:r>
      <w:r w:rsidR="00522CE4">
        <w:t xml:space="preserve"> </w:t>
      </w:r>
      <w:r w:rsidR="00522CE4" w:rsidRPr="00522CE4">
        <w:t>School of Psychology, University of Southampton,</w:t>
      </w:r>
      <w:r w:rsidR="00522CE4">
        <w:t xml:space="preserve"> Southampton</w:t>
      </w:r>
      <w:r w:rsidR="00522CE4" w:rsidRPr="00522CE4">
        <w:t xml:space="preserve">, </w:t>
      </w:r>
      <w:proofErr w:type="gramStart"/>
      <w:r w:rsidR="00522CE4" w:rsidRPr="00522CE4">
        <w:t>UK</w:t>
      </w:r>
      <w:r w:rsidR="00522CE4">
        <w:t>;</w:t>
      </w:r>
      <w:proofErr w:type="gramEnd"/>
    </w:p>
    <w:p w14:paraId="05D6D419" w14:textId="332036D2" w:rsidR="00997B0F" w:rsidRDefault="00B64FA3" w:rsidP="00A2360E">
      <w:pPr>
        <w:pStyle w:val="Affiliation"/>
      </w:pPr>
      <w:r w:rsidRPr="003152C8">
        <w:t xml:space="preserve"> </w:t>
      </w:r>
      <w:r w:rsidRPr="00394920">
        <w:rPr>
          <w:vertAlign w:val="superscript"/>
        </w:rPr>
        <w:t>b</w:t>
      </w:r>
      <w:r w:rsidR="00522CE4">
        <w:rPr>
          <w:vertAlign w:val="superscript"/>
        </w:rPr>
        <w:t xml:space="preserve"> </w:t>
      </w:r>
      <w:r w:rsidR="00522CE4">
        <w:t xml:space="preserve">Southampton Education School, </w:t>
      </w:r>
      <w:r w:rsidR="00522CE4" w:rsidRPr="00522CE4">
        <w:t>University of Southampton,</w:t>
      </w:r>
      <w:r w:rsidR="00522CE4">
        <w:t xml:space="preserve"> Southampton</w:t>
      </w:r>
      <w:r w:rsidR="00522CE4" w:rsidRPr="00522CE4">
        <w:t xml:space="preserve">, </w:t>
      </w:r>
      <w:proofErr w:type="gramStart"/>
      <w:r w:rsidR="00522CE4" w:rsidRPr="00522CE4">
        <w:t>UK</w:t>
      </w:r>
      <w:r w:rsidR="00522CE4">
        <w:t>;</w:t>
      </w:r>
      <w:proofErr w:type="gramEnd"/>
    </w:p>
    <w:p w14:paraId="63FE701F" w14:textId="148DF9D3" w:rsidR="00522CE4" w:rsidRPr="00522CE4" w:rsidRDefault="00522CE4" w:rsidP="00A2360E">
      <w:pPr>
        <w:pStyle w:val="Affiliation"/>
      </w:pPr>
      <w:r w:rsidRPr="00522CE4">
        <w:rPr>
          <w:vertAlign w:val="superscript"/>
        </w:rPr>
        <w:t>c</w:t>
      </w:r>
      <w:r>
        <w:rPr>
          <w:vertAlign w:val="superscript"/>
        </w:rPr>
        <w:t xml:space="preserve"> </w:t>
      </w:r>
      <w:r>
        <w:t>The Autism Community Research Network @Southampton [</w:t>
      </w:r>
      <w:proofErr w:type="spellStart"/>
      <w:r>
        <w:t>ACoRNS</w:t>
      </w:r>
      <w:proofErr w:type="spellEnd"/>
      <w:r>
        <w:t>], Southampton, UK.</w:t>
      </w:r>
    </w:p>
    <w:p w14:paraId="45B64280" w14:textId="3310973D" w:rsidR="006E7E41" w:rsidRDefault="005C056D" w:rsidP="00A2360E">
      <w:pPr>
        <w:pStyle w:val="Correspondencedetails"/>
      </w:pPr>
      <w:r>
        <w:t>*</w:t>
      </w:r>
      <w:r w:rsidR="00C14585">
        <w:t>corresponding autho</w:t>
      </w:r>
      <w:r w:rsidR="006E7E41">
        <w:t xml:space="preserve">r </w:t>
      </w:r>
    </w:p>
    <w:p w14:paraId="4E3A82EF" w14:textId="77777777" w:rsidR="00BD23C2" w:rsidRDefault="00BD23C2" w:rsidP="00A2360E">
      <w:pPr>
        <w:pStyle w:val="Correspondencedetails"/>
      </w:pPr>
    </w:p>
    <w:p w14:paraId="3C6BD913" w14:textId="67F8C8C1" w:rsidR="00BD23C2" w:rsidRPr="00BD23C2" w:rsidRDefault="00BD23C2" w:rsidP="00A2360E">
      <w:pPr>
        <w:pStyle w:val="Correspondencedetails"/>
      </w:pPr>
      <w:r w:rsidRPr="00BD23C2">
        <w:t xml:space="preserve">Sarah Parsons ORCID: </w:t>
      </w:r>
      <w:hyperlink r:id="rId8" w:history="1">
        <w:r w:rsidRPr="00BD23C2">
          <w:rPr>
            <w:rStyle w:val="Hyperlink"/>
            <w:shd w:val="clear" w:color="auto" w:fill="FFFFFF"/>
          </w:rPr>
          <w:t>https://orcid.org/0000-0002-2542-4745</w:t>
        </w:r>
      </w:hyperlink>
      <w:r w:rsidRPr="00BD23C2">
        <w:rPr>
          <w:color w:val="494A4C"/>
          <w:shd w:val="clear" w:color="auto" w:fill="FFFFFF"/>
        </w:rPr>
        <w:t xml:space="preserve"> </w:t>
      </w:r>
    </w:p>
    <w:p w14:paraId="39FD8346" w14:textId="1370C315" w:rsidR="00BD23C2" w:rsidRDefault="00BD23C2" w:rsidP="00A2360E">
      <w:pPr>
        <w:pStyle w:val="Correspondencedetails"/>
      </w:pPr>
      <w:r>
        <w:t xml:space="preserve">Hanna Kovshoff ORCID: </w:t>
      </w:r>
      <w:hyperlink r:id="rId9" w:history="1">
        <w:r w:rsidRPr="00FE6F36">
          <w:rPr>
            <w:rStyle w:val="Hyperlink"/>
          </w:rPr>
          <w:t>https://orcid.org/0000-0001-6041-0376</w:t>
        </w:r>
      </w:hyperlink>
      <w:r>
        <w:t xml:space="preserve"> </w:t>
      </w:r>
    </w:p>
    <w:p w14:paraId="4816A074" w14:textId="77777777" w:rsidR="00904BCF" w:rsidRDefault="00904BCF" w:rsidP="00E23BAF">
      <w:pPr>
        <w:pStyle w:val="Articletitle"/>
      </w:pPr>
    </w:p>
    <w:p w14:paraId="297BEE58" w14:textId="6BF9F204" w:rsidR="00BD23C2" w:rsidRPr="00BD23C2" w:rsidRDefault="00BD23C2" w:rsidP="00E23BAF">
      <w:pPr>
        <w:pStyle w:val="Articletitle"/>
        <w:rPr>
          <w:color w:val="333333"/>
          <w:sz w:val="24"/>
        </w:rPr>
      </w:pPr>
      <w:r w:rsidRPr="00BD23C2">
        <w:rPr>
          <w:color w:val="333333"/>
          <w:sz w:val="24"/>
        </w:rPr>
        <w:t>Biographical notes</w:t>
      </w:r>
    </w:p>
    <w:p w14:paraId="45396C1D" w14:textId="2A8EA316" w:rsidR="00BD23C2" w:rsidRPr="00BD23C2" w:rsidRDefault="00A776FE" w:rsidP="000661EE">
      <w:pPr>
        <w:pStyle w:val="Articletitle"/>
        <w:spacing w:line="240" w:lineRule="auto"/>
      </w:pPr>
      <w:r w:rsidRPr="00A32BFE">
        <w:rPr>
          <w:b w:val="0"/>
          <w:bCs/>
          <w:sz w:val="24"/>
        </w:rPr>
        <w:t>Jennifer Pickles is an HCPC accredited Educational Psychologist working in the</w:t>
      </w:r>
      <w:r w:rsidR="00A32BFE">
        <w:rPr>
          <w:b w:val="0"/>
          <w:bCs/>
          <w:sz w:val="24"/>
        </w:rPr>
        <w:t xml:space="preserve"> London B</w:t>
      </w:r>
      <w:r w:rsidRPr="00A32BFE">
        <w:rPr>
          <w:b w:val="0"/>
          <w:bCs/>
          <w:sz w:val="24"/>
        </w:rPr>
        <w:t>orough of Hackney. In 2020 she was awarded her Doctorate in Educational Psychology (</w:t>
      </w:r>
      <w:proofErr w:type="spellStart"/>
      <w:r w:rsidRPr="00A32BFE">
        <w:rPr>
          <w:b w:val="0"/>
          <w:bCs/>
          <w:sz w:val="24"/>
        </w:rPr>
        <w:t>DEdPsy</w:t>
      </w:r>
      <w:proofErr w:type="spellEnd"/>
      <w:r w:rsidRPr="00A32BFE">
        <w:rPr>
          <w:b w:val="0"/>
          <w:bCs/>
          <w:sz w:val="24"/>
        </w:rPr>
        <w:t>) from the University of Southampton. Jennifer’s research explores autistic children’s experience of education, educational professionals’ understanding of autism, and the intersection of these two areas. Her approach to this area prioritises the subjective experiences of individuals with an emphasis on the integration of theory and practice.</w:t>
      </w:r>
    </w:p>
    <w:p w14:paraId="6FC45D12" w14:textId="335CF18A" w:rsidR="00391980" w:rsidRPr="00BD23C2" w:rsidRDefault="00BD23C2" w:rsidP="000661EE">
      <w:pPr>
        <w:pStyle w:val="Articletitle"/>
        <w:spacing w:after="0" w:line="240" w:lineRule="auto"/>
      </w:pPr>
      <w:r w:rsidRPr="00BD23C2">
        <w:rPr>
          <w:b w:val="0"/>
          <w:bCs/>
          <w:sz w:val="24"/>
        </w:rPr>
        <w:t>Sarah Parsons is Professor of Autism and Inclusion at the University of Southampton, where she co-directs (with Kovshoff) the Autism Community Research Network @ Southampton [</w:t>
      </w:r>
      <w:proofErr w:type="spellStart"/>
      <w:r w:rsidRPr="00BD23C2">
        <w:rPr>
          <w:b w:val="0"/>
          <w:bCs/>
          <w:sz w:val="24"/>
        </w:rPr>
        <w:t>ACoRNS</w:t>
      </w:r>
      <w:proofErr w:type="spellEnd"/>
      <w:r w:rsidRPr="00BD23C2">
        <w:rPr>
          <w:b w:val="0"/>
          <w:bCs/>
          <w:sz w:val="24"/>
        </w:rPr>
        <w:t>].</w:t>
      </w:r>
      <w:r w:rsidRPr="00BD23C2">
        <w:rPr>
          <w:rFonts w:ascii="Arial" w:hAnsi="Arial" w:cs="Arial"/>
          <w:b w:val="0"/>
          <w:color w:val="555555"/>
          <w:sz w:val="21"/>
          <w:szCs w:val="21"/>
          <w:shd w:val="clear" w:color="auto" w:fill="FFFFFF"/>
        </w:rPr>
        <w:t xml:space="preserve"> </w:t>
      </w:r>
      <w:r>
        <w:rPr>
          <w:b w:val="0"/>
          <w:bCs/>
          <w:sz w:val="24"/>
        </w:rPr>
        <w:t>Sarah has</w:t>
      </w:r>
      <w:r w:rsidRPr="00BD23C2">
        <w:rPr>
          <w:b w:val="0"/>
          <w:bCs/>
          <w:sz w:val="24"/>
        </w:rPr>
        <w:t xml:space="preserve"> longstanding research interests in the educational experiences of </w:t>
      </w:r>
      <w:r>
        <w:rPr>
          <w:b w:val="0"/>
          <w:bCs/>
          <w:sz w:val="24"/>
        </w:rPr>
        <w:t xml:space="preserve">autistic </w:t>
      </w:r>
      <w:r w:rsidRPr="00BD23C2">
        <w:rPr>
          <w:b w:val="0"/>
          <w:bCs/>
          <w:sz w:val="24"/>
        </w:rPr>
        <w:t xml:space="preserve">children, young people and adults and their families. </w:t>
      </w:r>
      <w:r>
        <w:rPr>
          <w:b w:val="0"/>
          <w:bCs/>
          <w:sz w:val="24"/>
        </w:rPr>
        <w:t>Her</w:t>
      </w:r>
      <w:r w:rsidRPr="00BD23C2">
        <w:rPr>
          <w:b w:val="0"/>
          <w:bCs/>
          <w:sz w:val="24"/>
        </w:rPr>
        <w:t xml:space="preserve"> work is participatory and inclusive with a particular focus on knowledge co-construction between research and practice</w:t>
      </w:r>
      <w:r>
        <w:rPr>
          <w:b w:val="0"/>
          <w:bCs/>
          <w:sz w:val="24"/>
        </w:rPr>
        <w:t xml:space="preserve">, and </w:t>
      </w:r>
      <w:r w:rsidRPr="00BD23C2">
        <w:rPr>
          <w:b w:val="0"/>
          <w:bCs/>
          <w:sz w:val="24"/>
        </w:rPr>
        <w:t>the development and application of creative methodologies for enabling the voices and participation of children and young people</w:t>
      </w:r>
      <w:r>
        <w:rPr>
          <w:b w:val="0"/>
          <w:bCs/>
          <w:sz w:val="24"/>
        </w:rPr>
        <w:t>.</w:t>
      </w:r>
    </w:p>
    <w:p w14:paraId="306A9786" w14:textId="77777777" w:rsidR="000661EE" w:rsidRDefault="000661EE" w:rsidP="000661EE">
      <w:pPr>
        <w:spacing w:line="240" w:lineRule="auto"/>
      </w:pPr>
    </w:p>
    <w:p w14:paraId="4051D424" w14:textId="39DEB8F6" w:rsidR="00BD23C2" w:rsidRPr="00BD23C2" w:rsidRDefault="00BD23C2" w:rsidP="000661EE">
      <w:pPr>
        <w:spacing w:line="240" w:lineRule="auto"/>
      </w:pPr>
      <w:r w:rsidRPr="00BD23C2">
        <w:t>Hanna Kovshoff i</w:t>
      </w:r>
      <w:r w:rsidR="00E73096">
        <w:t>s an Associate Professor of Developmental Psychology at the University of Southampton and Co-Director (with Parsons) of the Autism Community Research Network @ Southampton [</w:t>
      </w:r>
      <w:proofErr w:type="spellStart"/>
      <w:r w:rsidR="00E73096">
        <w:t>ACoRNS</w:t>
      </w:r>
      <w:proofErr w:type="spellEnd"/>
      <w:r w:rsidR="00E73096">
        <w:t xml:space="preserve">]. Her work explores developmental and educational experiences and trajectories of neurodivergent children and young people </w:t>
      </w:r>
      <w:r w:rsidR="00E73096">
        <w:lastRenderedPageBreak/>
        <w:t xml:space="preserve">and their families with a focus on ameliorating barriers to educational attainment and wellbeing. </w:t>
      </w:r>
      <w:r w:rsidR="00391980">
        <w:t xml:space="preserve">She is particularly interested in developing and using creative and participatory methodologies to access the views and voices of autistic children and young people. </w:t>
      </w:r>
    </w:p>
    <w:p w14:paraId="62D76678" w14:textId="77777777" w:rsidR="00BD23C2" w:rsidRDefault="00BD23C2" w:rsidP="00E23BAF">
      <w:pPr>
        <w:pStyle w:val="Articletitle"/>
        <w:rPr>
          <w:b w:val="0"/>
          <w:bCs/>
          <w:sz w:val="22"/>
          <w:szCs w:val="22"/>
        </w:rPr>
      </w:pPr>
    </w:p>
    <w:p w14:paraId="4A353404" w14:textId="07C67086" w:rsidR="00E23BAF" w:rsidRPr="006F3BBE" w:rsidRDefault="00C14585" w:rsidP="00E23BAF">
      <w:pPr>
        <w:pStyle w:val="Articletitle"/>
        <w:rPr>
          <w:i/>
          <w:iCs/>
          <w:szCs w:val="28"/>
          <w:lang w:val="en-US"/>
        </w:rPr>
      </w:pPr>
      <w:r w:rsidRPr="006F3BBE">
        <w:rPr>
          <w:szCs w:val="28"/>
        </w:rPr>
        <w:br w:type="page"/>
      </w:r>
      <w:r w:rsidR="00634BBB" w:rsidRPr="006F3BBE">
        <w:rPr>
          <w:szCs w:val="28"/>
        </w:rPr>
        <w:lastRenderedPageBreak/>
        <w:t xml:space="preserve">Knowledgeable but not </w:t>
      </w:r>
      <w:r w:rsidR="007A0D74" w:rsidRPr="006F3BBE">
        <w:rPr>
          <w:szCs w:val="28"/>
        </w:rPr>
        <w:t>specialist</w:t>
      </w:r>
      <w:r w:rsidR="00634BBB" w:rsidRPr="006F3BBE">
        <w:rPr>
          <w:szCs w:val="28"/>
        </w:rPr>
        <w:t xml:space="preserve">: </w:t>
      </w:r>
      <w:r w:rsidR="00E23BAF" w:rsidRPr="006F3BBE">
        <w:rPr>
          <w:szCs w:val="28"/>
          <w:lang w:val="en-US"/>
        </w:rPr>
        <w:t>Virtual School Heads’ experiences of supporting autistic children in care</w:t>
      </w:r>
    </w:p>
    <w:p w14:paraId="60803FE1" w14:textId="0C8CA472" w:rsidR="006258FF" w:rsidRDefault="006258FF" w:rsidP="006258FF">
      <w:pPr>
        <w:pStyle w:val="Abstract"/>
      </w:pPr>
      <w:r>
        <w:t>Autistic children comprise a large group of young people who are Looked</w:t>
      </w:r>
      <w:r w:rsidR="004A2D21">
        <w:t>-</w:t>
      </w:r>
      <w:r>
        <w:t xml:space="preserve">After by their </w:t>
      </w:r>
      <w:r w:rsidR="00E7646E">
        <w:t>l</w:t>
      </w:r>
      <w:r>
        <w:t xml:space="preserve">ocal </w:t>
      </w:r>
      <w:r w:rsidR="00E7646E">
        <w:t>a</w:t>
      </w:r>
      <w:r>
        <w:t xml:space="preserve">uthority and for whom educational outcomes </w:t>
      </w:r>
      <w:r w:rsidR="00522CE4">
        <w:t>are amongst</w:t>
      </w:r>
      <w:r>
        <w:t xml:space="preserve"> the poorest of all children in care. Virtual School Heads (VSHs) in England have</w:t>
      </w:r>
      <w:r w:rsidR="00CF737B">
        <w:t xml:space="preserve"> </w:t>
      </w:r>
      <w:r>
        <w:t>a statutory responsibility to improve the educational outcomes of children in car</w:t>
      </w:r>
      <w:r w:rsidR="00836E6F">
        <w:t>e</w:t>
      </w:r>
      <w:r w:rsidR="005E4535">
        <w:t xml:space="preserve"> following the implementation of the Children and Families Act 2014</w:t>
      </w:r>
      <w:r w:rsidR="00836E6F">
        <w:t xml:space="preserve">. </w:t>
      </w:r>
      <w:r>
        <w:t>However, very little is known about the experiences of VSHs in supporting autistic children in care</w:t>
      </w:r>
      <w:r w:rsidR="001101F9">
        <w:t>,</w:t>
      </w:r>
      <w:r>
        <w:t xml:space="preserve"> including whether and how knowledge about autism diagnosis is shared within interprofessional teams. This qualitative study reports the findings from nine semi-structured interviews with eight VSHs and one </w:t>
      </w:r>
      <w:r w:rsidR="00F35FC8">
        <w:t>o</w:t>
      </w:r>
      <w:r>
        <w:t xml:space="preserve">ccupational </w:t>
      </w:r>
      <w:r w:rsidR="00F35FC8">
        <w:t>t</w:t>
      </w:r>
      <w:r>
        <w:t xml:space="preserve">herapist from eight </w:t>
      </w:r>
      <w:r w:rsidR="00E7646E">
        <w:t>l</w:t>
      </w:r>
      <w:r>
        <w:t xml:space="preserve">ocal </w:t>
      </w:r>
      <w:r w:rsidR="00E7646E">
        <w:t>a</w:t>
      </w:r>
      <w:r>
        <w:t xml:space="preserve">uthorities in England. </w:t>
      </w:r>
      <w:r w:rsidR="00836E6F">
        <w:t>VSHs worked within multiple and diverse teams locally and nationally to co-ordinate and manage effective provision but reported that knowledge about autism was often un</w:t>
      </w:r>
      <w:r w:rsidR="0081792A">
        <w:t>certain</w:t>
      </w:r>
      <w:r w:rsidR="00836E6F">
        <w:t xml:space="preserve"> and conflated with attachment difficulties.</w:t>
      </w:r>
      <w:r w:rsidR="00884FDD">
        <w:t xml:space="preserve"> </w:t>
      </w:r>
      <w:r w:rsidR="00836E6F">
        <w:t>T</w:t>
      </w:r>
      <w:r w:rsidR="00836E6F" w:rsidRPr="00836E6F">
        <w:t xml:space="preserve">hey could not state with confidence that individuals </w:t>
      </w:r>
      <w:r w:rsidR="00CF737B">
        <w:t xml:space="preserve">around the child </w:t>
      </w:r>
      <w:r w:rsidR="00836E6F" w:rsidRPr="00836E6F">
        <w:t>were sufficiently enabled to provide appropriate</w:t>
      </w:r>
      <w:r w:rsidR="00195FC9">
        <w:t xml:space="preserve"> support and</w:t>
      </w:r>
      <w:r w:rsidR="00836E6F">
        <w:t xml:space="preserve"> educational</w:t>
      </w:r>
      <w:r w:rsidR="00836E6F" w:rsidRPr="00836E6F">
        <w:t xml:space="preserve"> provision.</w:t>
      </w:r>
      <w:r w:rsidR="001101F9">
        <w:t xml:space="preserve"> The VSH, and the children they support, occupy liminal roles which create challenges for effective communication and support. Crucially, young people’s views need to be authentically gathered and holistically understood to inform and improve provision.</w:t>
      </w:r>
    </w:p>
    <w:p w14:paraId="4FF0C697" w14:textId="191D6D26" w:rsidR="0020415E" w:rsidRPr="0020415E" w:rsidRDefault="00997B0F" w:rsidP="006258FF">
      <w:pPr>
        <w:pStyle w:val="Abstract"/>
      </w:pPr>
      <w:r>
        <w:t xml:space="preserve">Keywords: </w:t>
      </w:r>
      <w:r w:rsidR="005E4535">
        <w:t>autism</w:t>
      </w:r>
      <w:r>
        <w:t xml:space="preserve">; </w:t>
      </w:r>
      <w:r w:rsidR="005E4535">
        <w:t>Looked After</w:t>
      </w:r>
      <w:r>
        <w:t xml:space="preserve">; </w:t>
      </w:r>
      <w:r w:rsidR="005E4535">
        <w:t xml:space="preserve">Virtual School Heads; attachment  </w:t>
      </w:r>
    </w:p>
    <w:p w14:paraId="7F17BB87" w14:textId="4EFF4EA0" w:rsidR="00997B0F" w:rsidRPr="004B2512" w:rsidRDefault="00003F7F" w:rsidP="004B2512">
      <w:pPr>
        <w:pStyle w:val="Heading1"/>
      </w:pPr>
      <w:r w:rsidRPr="004B2512">
        <w:t>Introduction</w:t>
      </w:r>
    </w:p>
    <w:p w14:paraId="4D01756B" w14:textId="0E4B5F45" w:rsidR="00B34D2E" w:rsidRDefault="005E4535" w:rsidP="00B34D2E">
      <w:pPr>
        <w:pStyle w:val="Paragraph"/>
      </w:pPr>
      <w:r>
        <w:t xml:space="preserve">The </w:t>
      </w:r>
      <w:r w:rsidRPr="00E66BFC">
        <w:t>Children and Families Act 2014</w:t>
      </w:r>
      <w:r w:rsidR="00E66BFC" w:rsidRPr="00E66BFC">
        <w:t xml:space="preserve"> </w:t>
      </w:r>
      <w:r>
        <w:t xml:space="preserve">established a </w:t>
      </w:r>
      <w:r w:rsidR="00E66BFC" w:rsidRPr="00E66BFC">
        <w:t>statutory requirement for all local authorities (LAs) in England to employ a Virtual School Head (VSH)</w:t>
      </w:r>
      <w:r w:rsidR="00BD7713">
        <w:t xml:space="preserve"> with the primary responsibility of</w:t>
      </w:r>
      <w:r w:rsidR="00BD7713" w:rsidRPr="00BD7713">
        <w:t xml:space="preserve"> </w:t>
      </w:r>
      <w:r w:rsidR="00BD7713" w:rsidRPr="00E66BFC">
        <w:t>improv</w:t>
      </w:r>
      <w:r w:rsidR="00BD7713">
        <w:t>ing</w:t>
      </w:r>
      <w:r w:rsidR="00BD7713" w:rsidRPr="00E66BFC">
        <w:t xml:space="preserve"> </w:t>
      </w:r>
      <w:r w:rsidR="00BD7713">
        <w:t xml:space="preserve">the </w:t>
      </w:r>
      <w:r w:rsidR="00BD7713" w:rsidRPr="00E66BFC">
        <w:t>educational outcomes</w:t>
      </w:r>
      <w:r w:rsidR="00BD7713">
        <w:t xml:space="preserve"> of children in care</w:t>
      </w:r>
      <w:r w:rsidR="00BD7713" w:rsidRPr="00E66BFC">
        <w:t>.</w:t>
      </w:r>
      <w:r w:rsidR="00BD7713">
        <w:t xml:space="preserve"> Specifically, a</w:t>
      </w:r>
      <w:r w:rsidR="00E66BFC" w:rsidRPr="00E66BFC">
        <w:t xml:space="preserve"> VSH’s role is to monitor and assess educational progress for all children in LA care and oversee the provision of appropriate educational support (Department for Education</w:t>
      </w:r>
      <w:r w:rsidR="00D72519">
        <w:t xml:space="preserve"> (DfE)</w:t>
      </w:r>
      <w:r w:rsidR="00E66BFC" w:rsidRPr="00E66BFC">
        <w:t xml:space="preserve">, 2018).  </w:t>
      </w:r>
      <w:r w:rsidR="00B34D2E" w:rsidRPr="00E66BFC">
        <w:t>There is no prescribed model for service delivery; instead there is a framework for practice outlined within the legislative guidance (D</w:t>
      </w:r>
      <w:r w:rsidR="00D72519">
        <w:t>fE</w:t>
      </w:r>
      <w:r w:rsidR="00B34D2E" w:rsidRPr="00E66BFC">
        <w:t>, 2018</w:t>
      </w:r>
      <w:r w:rsidR="00D72519">
        <w:t xml:space="preserve">; </w:t>
      </w:r>
      <w:r w:rsidR="00B34D2E" w:rsidRPr="00E66BFC">
        <w:t xml:space="preserve">National </w:t>
      </w:r>
      <w:r w:rsidR="00B34D2E" w:rsidRPr="00E66BFC">
        <w:lastRenderedPageBreak/>
        <w:t>Association of VSHs, 2019).</w:t>
      </w:r>
      <w:r w:rsidR="00B34D2E">
        <w:t xml:space="preserve"> As Sebba and Berridge (2019) make clear:</w:t>
      </w:r>
    </w:p>
    <w:p w14:paraId="4DE0C428" w14:textId="7D20684F" w:rsidR="00B34D2E" w:rsidRPr="00B34D2E" w:rsidRDefault="00B34D2E" w:rsidP="00B34D2E">
      <w:pPr>
        <w:pStyle w:val="Newparagraph"/>
        <w:ind w:left="720" w:firstLine="0"/>
      </w:pPr>
      <w:r>
        <w:t>A Virtual School is not a physical school, but a team mainly of teachers in a local authority (LA) who work predominantly through the schools and other services to improve the education of children in care.</w:t>
      </w:r>
      <w:r w:rsidR="001A505C">
        <w:t xml:space="preserve"> (p.539)</w:t>
      </w:r>
    </w:p>
    <w:p w14:paraId="66A64E0E" w14:textId="3B64C6A4" w:rsidR="007E1F42" w:rsidRDefault="00195FC9" w:rsidP="007E1F42">
      <w:pPr>
        <w:pStyle w:val="Paragraph"/>
        <w:spacing w:before="0"/>
        <w:ind w:firstLine="720"/>
      </w:pPr>
      <w:r>
        <w:t xml:space="preserve">The need for the VSH role is underscored by the stark educational </w:t>
      </w:r>
      <w:r w:rsidRPr="00E66BFC">
        <w:t xml:space="preserve">disadvantages </w:t>
      </w:r>
      <w:r>
        <w:t xml:space="preserve">experienced by children in care in England </w:t>
      </w:r>
      <w:r w:rsidRPr="00E66BFC">
        <w:t xml:space="preserve">at all key stages.  For example, UK government statistics show that children in care are far less likely to meet the expected standard in reading, writing and mathematics at </w:t>
      </w:r>
      <w:r w:rsidR="000661EE">
        <w:t>k</w:t>
      </w:r>
      <w:r w:rsidRPr="00E66BFC">
        <w:t xml:space="preserve">ey </w:t>
      </w:r>
      <w:r w:rsidR="000661EE">
        <w:t>s</w:t>
      </w:r>
      <w:r w:rsidRPr="00E66BFC">
        <w:t>tage 2 than children who are not in care (37%</w:t>
      </w:r>
      <w:r w:rsidR="00D72519">
        <w:t xml:space="preserve"> vs.</w:t>
      </w:r>
      <w:r w:rsidRPr="00E66BFC">
        <w:t xml:space="preserve"> 65%</w:t>
      </w:r>
      <w:r w:rsidR="00D72519">
        <w:t>, respectively</w:t>
      </w:r>
      <w:r w:rsidRPr="00E66BFC">
        <w:t>) (D</w:t>
      </w:r>
      <w:r w:rsidR="00D72519">
        <w:t>fE</w:t>
      </w:r>
      <w:r w:rsidRPr="00E66BFC">
        <w:t>, 2020).  Children who are in care with special educational needs (SEN) are at greater risk of poorer educational outcomes compared with children with SEN who are not in care, and children in care who do not have SEN (O’Higgins</w:t>
      </w:r>
      <w:r w:rsidR="001A505C">
        <w:t xml:space="preserve"> et al.</w:t>
      </w:r>
      <w:r w:rsidRPr="00E66BFC">
        <w:t xml:space="preserve">, 2017).  </w:t>
      </w:r>
      <w:r w:rsidRPr="00AD5C66">
        <w:t>Of the 8,090 pupils who have been in care continuously for the past 12 months and have an EHCP, 11.3% have Autism Spectrum Disorder (ASD) formally recorded as their primary need</w:t>
      </w:r>
      <w:r>
        <w:t xml:space="preserve"> (approximately </w:t>
      </w:r>
      <w:r w:rsidRPr="00AD5C66">
        <w:t>920 children</w:t>
      </w:r>
      <w:r>
        <w:t>),</w:t>
      </w:r>
      <w:r w:rsidR="0051385B">
        <w:t xml:space="preserve"> making </w:t>
      </w:r>
      <w:r w:rsidRPr="00AD5C66">
        <w:t>autism the third highest indicated primary need after social, emotional and mental health, and moderate learning difficulties</w:t>
      </w:r>
      <w:r>
        <w:t xml:space="preserve"> </w:t>
      </w:r>
      <w:r w:rsidRPr="00AD5C66">
        <w:t>(D</w:t>
      </w:r>
      <w:r w:rsidR="00D72519">
        <w:t>fE</w:t>
      </w:r>
      <w:r w:rsidRPr="00AD5C66">
        <w:t xml:space="preserve">, 2020). </w:t>
      </w:r>
    </w:p>
    <w:p w14:paraId="364E9F22" w14:textId="4C57FD89" w:rsidR="00195FC9" w:rsidRDefault="00195FC9" w:rsidP="007E1F42">
      <w:pPr>
        <w:pStyle w:val="Paragraph"/>
        <w:spacing w:before="0"/>
        <w:ind w:firstLine="720"/>
      </w:pPr>
      <w:r w:rsidRPr="00AD5C66">
        <w:t>Of most concern is that children in care with a diagnosis of autism have among the worst Key Stage 4 outcomes</w:t>
      </w:r>
      <w:r>
        <w:t xml:space="preserve"> at aged 16 years</w:t>
      </w:r>
      <w:r w:rsidRPr="00AD5C66">
        <w:t xml:space="preserve"> of all children in care, scoring an average 178 GCSE points fewer than autistic</w:t>
      </w:r>
      <w:r>
        <w:rPr>
          <w:rStyle w:val="FootnoteReference"/>
        </w:rPr>
        <w:footnoteReference w:id="1"/>
      </w:r>
      <w:r w:rsidRPr="00AD5C66">
        <w:t xml:space="preserve"> children who are not in care (Sebba et al., 2015)</w:t>
      </w:r>
      <w:r>
        <w:t>. The especially poor outcomes for autistic children in care at GCSE led O’Higgins</w:t>
      </w:r>
      <w:r w:rsidR="001A505C">
        <w:t xml:space="preserve"> et al.,</w:t>
      </w:r>
      <w:r>
        <w:t xml:space="preserve"> (202</w:t>
      </w:r>
      <w:r w:rsidR="001A505C">
        <w:t>1</w:t>
      </w:r>
      <w:r>
        <w:t>) to conclude that this group ‘…</w:t>
      </w:r>
      <w:r w:rsidRPr="00366117">
        <w:t>require urgent</w:t>
      </w:r>
      <w:r>
        <w:t xml:space="preserve"> </w:t>
      </w:r>
      <w:r w:rsidRPr="00366117">
        <w:t>support</w:t>
      </w:r>
      <w:r w:rsidR="001A505C">
        <w:t>’ (p.15).</w:t>
      </w:r>
      <w:r w:rsidRPr="00AD5C66">
        <w:t xml:space="preserve"> Moreover, the numbers of autistic children in care are likely to b</w:t>
      </w:r>
      <w:r w:rsidR="0051385B">
        <w:t>e</w:t>
      </w:r>
      <w:r w:rsidRPr="00AD5C66">
        <w:t xml:space="preserve"> higher than those reported in the DfE data</w:t>
      </w:r>
      <w:r>
        <w:t xml:space="preserve"> </w:t>
      </w:r>
      <w:r w:rsidRPr="00AD5C66">
        <w:t>(</w:t>
      </w:r>
      <w:r w:rsidRPr="00DC3DEE">
        <w:t>Parsons</w:t>
      </w:r>
      <w:r w:rsidR="001A505C">
        <w:t xml:space="preserve"> et al., </w:t>
      </w:r>
      <w:r w:rsidRPr="00DC3DEE">
        <w:t>2018</w:t>
      </w:r>
      <w:r>
        <w:t>)</w:t>
      </w:r>
      <w:r w:rsidRPr="00AD5C66">
        <w:t xml:space="preserve"> given known challenges with identifying </w:t>
      </w:r>
      <w:r w:rsidRPr="00AD5C66">
        <w:lastRenderedPageBreak/>
        <w:t>and formally diagnosing autism amongst children</w:t>
      </w:r>
      <w:r w:rsidR="00D72519">
        <w:t xml:space="preserve"> </w:t>
      </w:r>
      <w:r w:rsidRPr="00AD5C66">
        <w:t xml:space="preserve">in this population </w:t>
      </w:r>
      <w:r>
        <w:t>(</w:t>
      </w:r>
      <w:r w:rsidRPr="00AD5C66">
        <w:rPr>
          <w:bCs/>
        </w:rPr>
        <w:t>Green et al., 2016</w:t>
      </w:r>
      <w:r w:rsidRPr="00AD5C66">
        <w:t>). Given this prevalence, and these outcomes, there are important questions to be asked about how the specific needs of autistic children within the care system are recognised and addressed.</w:t>
      </w:r>
    </w:p>
    <w:p w14:paraId="2FEFCEF1" w14:textId="2425428B" w:rsidR="007B0F8C" w:rsidRDefault="00D72519" w:rsidP="007B0F8C">
      <w:pPr>
        <w:pStyle w:val="Paragraph"/>
        <w:spacing w:before="0"/>
        <w:ind w:firstLine="720"/>
      </w:pPr>
      <w:r>
        <w:rPr>
          <w:bCs/>
        </w:rPr>
        <w:t xml:space="preserve">According to the </w:t>
      </w:r>
      <w:r w:rsidR="008E134A">
        <w:rPr>
          <w:bCs/>
        </w:rPr>
        <w:t>DfE</w:t>
      </w:r>
      <w:r w:rsidRPr="00BD7713">
        <w:rPr>
          <w:bCs/>
        </w:rPr>
        <w:t xml:space="preserve"> (2018)</w:t>
      </w:r>
      <w:r>
        <w:rPr>
          <w:bCs/>
        </w:rPr>
        <w:t xml:space="preserve">, </w:t>
      </w:r>
      <w:r>
        <w:t>t</w:t>
      </w:r>
      <w:r w:rsidR="00BD7713">
        <w:t xml:space="preserve">he VSH should play a vital role in advocating for the needs of children in care </w:t>
      </w:r>
      <w:r w:rsidR="00BD7713" w:rsidRPr="00BD7713">
        <w:rPr>
          <w:bCs/>
        </w:rPr>
        <w:t>since ‘For looked-after children, as part of a local authority’s corporate parent role, the VSH needs to be the educational advocate that parents are for others’</w:t>
      </w:r>
      <w:r w:rsidR="00884EDD" w:rsidRPr="00884EDD">
        <w:rPr>
          <w:bCs/>
        </w:rPr>
        <w:t xml:space="preserve"> </w:t>
      </w:r>
      <w:r w:rsidR="00884EDD">
        <w:rPr>
          <w:bCs/>
        </w:rPr>
        <w:t>(</w:t>
      </w:r>
      <w:r w:rsidR="00884EDD" w:rsidRPr="00BD7713">
        <w:rPr>
          <w:bCs/>
        </w:rPr>
        <w:t>p.5</w:t>
      </w:r>
      <w:r w:rsidR="00884EDD">
        <w:rPr>
          <w:bCs/>
        </w:rPr>
        <w:t>)</w:t>
      </w:r>
      <w:r>
        <w:rPr>
          <w:bCs/>
        </w:rPr>
        <w:t xml:space="preserve">. </w:t>
      </w:r>
      <w:r w:rsidR="00A411E1">
        <w:rPr>
          <w:bCs/>
        </w:rPr>
        <w:t>Such an advocacy role presupposes that VSHs should</w:t>
      </w:r>
      <w:r>
        <w:rPr>
          <w:bCs/>
        </w:rPr>
        <w:t xml:space="preserve"> </w:t>
      </w:r>
      <w:r w:rsidR="00A411E1">
        <w:rPr>
          <w:bCs/>
        </w:rPr>
        <w:t>be knowledgeable about the key factors that shape the educational experiences of the children for whom they are responsible.</w:t>
      </w:r>
      <w:r w:rsidR="000804D0">
        <w:rPr>
          <w:bCs/>
        </w:rPr>
        <w:t xml:space="preserve"> </w:t>
      </w:r>
      <w:r w:rsidR="001C48CD">
        <w:t xml:space="preserve">Knowing about autism, and about an individual’s diagnosis and what autism means for them, is important for several reasons. </w:t>
      </w:r>
    </w:p>
    <w:p w14:paraId="426536DE" w14:textId="4476947B" w:rsidR="00B728A1" w:rsidRDefault="007B0F8C" w:rsidP="007B0F8C">
      <w:pPr>
        <w:pStyle w:val="Paragraph"/>
        <w:spacing w:before="0"/>
        <w:ind w:firstLine="720"/>
      </w:pPr>
      <w:r>
        <w:t>M</w:t>
      </w:r>
      <w:r w:rsidR="001C48CD">
        <w:t>any autistic children experience transitions between schools or settings as especially challenging</w:t>
      </w:r>
      <w:r w:rsidR="003A5385">
        <w:t xml:space="preserve"> </w:t>
      </w:r>
      <w:r w:rsidR="00773C2C">
        <w:t>(</w:t>
      </w:r>
      <w:proofErr w:type="spellStart"/>
      <w:r w:rsidR="003A5385">
        <w:t>Nuske</w:t>
      </w:r>
      <w:proofErr w:type="spellEnd"/>
      <w:r w:rsidR="003A5385">
        <w:t xml:space="preserve"> et al., 2019</w:t>
      </w:r>
      <w:r w:rsidR="00773C2C">
        <w:t>)</w:t>
      </w:r>
      <w:r w:rsidR="003A5385">
        <w:t xml:space="preserve"> and difficulties experienced may persist over time (Mandy et al., 2016)</w:t>
      </w:r>
      <w:r w:rsidR="001C48CD">
        <w:t>. Reasons for this are interrelated and multi-layered and include difficulties in adapting quickly to the</w:t>
      </w:r>
      <w:r>
        <w:t xml:space="preserve"> </w:t>
      </w:r>
      <w:r w:rsidR="001C48CD">
        <w:t>demands and changes required in a new environment (</w:t>
      </w:r>
      <w:r w:rsidR="003E1C09">
        <w:t>e.g. Makin</w:t>
      </w:r>
      <w:r w:rsidR="00884EDD">
        <w:t xml:space="preserve"> et al.,</w:t>
      </w:r>
      <w:r w:rsidR="003E1C09">
        <w:t xml:space="preserve"> 2017</w:t>
      </w:r>
      <w:r w:rsidR="001C48CD">
        <w:t xml:space="preserve">), as well as difficulties in peer relationships </w:t>
      </w:r>
      <w:r w:rsidR="003E1C09">
        <w:t>(e.g. Goodall, 2018</w:t>
      </w:r>
      <w:r w:rsidR="001C48CD">
        <w:t xml:space="preserve">). </w:t>
      </w:r>
      <w:r w:rsidR="004A4A05">
        <w:t>This could mean that the multiple changes and transitions experienced in care</w:t>
      </w:r>
      <w:r w:rsidR="00D34B6B">
        <w:t xml:space="preserve"> (Driscoll, 2011)</w:t>
      </w:r>
      <w:r w:rsidR="004A4A05">
        <w:t xml:space="preserve"> </w:t>
      </w:r>
      <w:r w:rsidR="008E134A">
        <w:t>are</w:t>
      </w:r>
      <w:r w:rsidR="004A4A05">
        <w:t xml:space="preserve"> especially difficult for autistic children. </w:t>
      </w:r>
      <w:r>
        <w:t>F</w:t>
      </w:r>
      <w:r w:rsidR="001C48CD">
        <w:t>ormal and informal school exclusions are</w:t>
      </w:r>
      <w:r>
        <w:t xml:space="preserve"> also</w:t>
      </w:r>
      <w:r w:rsidR="001C48CD">
        <w:t xml:space="preserve"> higher for autistic children</w:t>
      </w:r>
      <w:r w:rsidR="00D72519">
        <w:t xml:space="preserve"> </w:t>
      </w:r>
      <w:r w:rsidR="00925863">
        <w:t xml:space="preserve">compared to </w:t>
      </w:r>
      <w:r w:rsidR="001C48CD">
        <w:t>any other group (</w:t>
      </w:r>
      <w:r w:rsidR="00486059" w:rsidRPr="00486059">
        <w:t>Brede</w:t>
      </w:r>
      <w:r w:rsidR="00884EDD">
        <w:t xml:space="preserve"> et al.</w:t>
      </w:r>
      <w:r w:rsidR="00486059" w:rsidRPr="00486059">
        <w:t>,</w:t>
      </w:r>
      <w:r w:rsidR="00486059">
        <w:t xml:space="preserve"> </w:t>
      </w:r>
      <w:r w:rsidR="00486059" w:rsidRPr="00486059">
        <w:t>2017</w:t>
      </w:r>
      <w:r w:rsidR="00925863">
        <w:t>; Cooke, 2018</w:t>
      </w:r>
      <w:r w:rsidR="001C48CD">
        <w:t>). Long term outcomes across a range of social, educational and employment-related indices are</w:t>
      </w:r>
      <w:r w:rsidR="00CF737B">
        <w:t xml:space="preserve"> </w:t>
      </w:r>
      <w:r w:rsidR="001C48CD">
        <w:t>considered poor for auti</w:t>
      </w:r>
      <w:r w:rsidR="00D72519">
        <w:t>stic children</w:t>
      </w:r>
      <w:r w:rsidR="001C48CD">
        <w:t xml:space="preserve"> in general </w:t>
      </w:r>
      <w:r w:rsidR="003A5385">
        <w:t>(</w:t>
      </w:r>
      <w:r w:rsidR="003A5385" w:rsidRPr="003A5385">
        <w:t>Anderson</w:t>
      </w:r>
      <w:r w:rsidR="00884EDD">
        <w:t xml:space="preserve"> et al.</w:t>
      </w:r>
      <w:r w:rsidR="003A5385" w:rsidRPr="003A5385">
        <w:t>,</w:t>
      </w:r>
      <w:r w:rsidR="003A5385">
        <w:t xml:space="preserve"> </w:t>
      </w:r>
      <w:r w:rsidR="003A5385" w:rsidRPr="003A5385">
        <w:t>2018</w:t>
      </w:r>
      <w:r w:rsidR="003E1C09">
        <w:t>; Ayres et al., 2018; National Autistic Society, 2017</w:t>
      </w:r>
      <w:r w:rsidR="003A5385" w:rsidRPr="003A5385">
        <w:t>)</w:t>
      </w:r>
      <w:r w:rsidR="001C48CD">
        <w:t xml:space="preserve">, and especially so for autistic children in care </w:t>
      </w:r>
      <w:r w:rsidR="003E1C09">
        <w:t>(</w:t>
      </w:r>
      <w:proofErr w:type="spellStart"/>
      <w:r w:rsidR="003E1C09">
        <w:t>Lenehan</w:t>
      </w:r>
      <w:proofErr w:type="spellEnd"/>
      <w:r w:rsidR="003E1C09">
        <w:t>, 2017</w:t>
      </w:r>
      <w:r w:rsidR="00A92FE4">
        <w:t xml:space="preserve">; </w:t>
      </w:r>
      <w:proofErr w:type="spellStart"/>
      <w:r w:rsidR="00A92FE4" w:rsidRPr="00A92FE4">
        <w:t>Sebba</w:t>
      </w:r>
      <w:proofErr w:type="spellEnd"/>
      <w:r w:rsidR="00A92FE4" w:rsidRPr="00A92FE4">
        <w:t xml:space="preserve"> et al., </w:t>
      </w:r>
      <w:r w:rsidR="00A92FE4">
        <w:t>2</w:t>
      </w:r>
      <w:r w:rsidR="00A92FE4" w:rsidRPr="00A92FE4">
        <w:t>015</w:t>
      </w:r>
      <w:r w:rsidR="001C48CD">
        <w:t>).</w:t>
      </w:r>
    </w:p>
    <w:p w14:paraId="3F2F3C7D" w14:textId="2F64D061" w:rsidR="001C48CD" w:rsidRDefault="002802A8" w:rsidP="00B728A1">
      <w:pPr>
        <w:pStyle w:val="Paragraph"/>
        <w:spacing w:before="0"/>
        <w:ind w:firstLine="720"/>
      </w:pPr>
      <w:r>
        <w:t>Accordingly</w:t>
      </w:r>
      <w:r w:rsidR="00FD231B">
        <w:t>, Green et al., (2016) argue</w:t>
      </w:r>
      <w:r w:rsidR="002A4187">
        <w:t>d</w:t>
      </w:r>
      <w:r w:rsidR="00FD231B">
        <w:t xml:space="preserve"> that accurate identification of autism is essential in making decisions about support </w:t>
      </w:r>
      <w:r w:rsidR="001101F9">
        <w:t xml:space="preserve">of children in care </w:t>
      </w:r>
      <w:r w:rsidR="00FD231B">
        <w:t>since</w:t>
      </w:r>
      <w:r w:rsidR="00FD231B" w:rsidRPr="00FD231B">
        <w:t xml:space="preserve"> </w:t>
      </w:r>
      <w:r w:rsidR="00FD231B">
        <w:t xml:space="preserve">‘…identification of </w:t>
      </w:r>
      <w:r w:rsidR="00FD231B">
        <w:lastRenderedPageBreak/>
        <w:t>ASD impairments has specific implications for family understanding, style of intervention, and educational planning’ and that ‘ASD is an important alternative explanation for a child’s difficulties, with different implications’</w:t>
      </w:r>
      <w:r w:rsidR="00884EDD">
        <w:t xml:space="preserve"> (p.1400).</w:t>
      </w:r>
      <w:r w:rsidR="0020015C">
        <w:t xml:space="preserve"> In referring to an ‘alternative explanation’, Green et al (2016) </w:t>
      </w:r>
      <w:r w:rsidR="002A4187">
        <w:t xml:space="preserve">stressed </w:t>
      </w:r>
      <w:r w:rsidR="0020015C">
        <w:t xml:space="preserve">the tendency to attribute relationship and behaviour difficulties to </w:t>
      </w:r>
      <w:r w:rsidR="0020015C" w:rsidRPr="0020015C">
        <w:t>pre-natal influences, early trauma, and disrupted attachment (DeJong, 2010)</w:t>
      </w:r>
      <w:r w:rsidR="0020015C">
        <w:t xml:space="preserve"> rather than</w:t>
      </w:r>
      <w:r w:rsidR="006D4617">
        <w:t xml:space="preserve"> to</w:t>
      </w:r>
      <w:r w:rsidR="00E23BAF">
        <w:t xml:space="preserve"> a</w:t>
      </w:r>
      <w:r w:rsidR="0020015C">
        <w:t xml:space="preserve"> neurodevelopmental disability.</w:t>
      </w:r>
    </w:p>
    <w:p w14:paraId="384FDC9C" w14:textId="508C995F" w:rsidR="008E5C4E" w:rsidRDefault="00FD231B" w:rsidP="00EC1130">
      <w:pPr>
        <w:pStyle w:val="Paragraph"/>
        <w:spacing w:before="0"/>
        <w:ind w:firstLine="720"/>
      </w:pPr>
      <w:r>
        <w:t>Unfortunately, information about autism diagnosis is rarely shared or prioritised in the planning and management of services for children</w:t>
      </w:r>
      <w:r w:rsidR="00D72519">
        <w:t xml:space="preserve"> in care</w:t>
      </w:r>
      <w:r>
        <w:t xml:space="preserve">. </w:t>
      </w:r>
      <w:r w:rsidR="008E5C4E">
        <w:t>A</w:t>
      </w:r>
      <w:r w:rsidR="00DC3DEE" w:rsidRPr="00DC3DEE">
        <w:t xml:space="preserve"> review of Freedom of Information</w:t>
      </w:r>
      <w:r w:rsidR="00DC3DEE">
        <w:t xml:space="preserve"> (</w:t>
      </w:r>
      <w:proofErr w:type="spellStart"/>
      <w:r w:rsidR="00DC3DEE">
        <w:t>FoI</w:t>
      </w:r>
      <w:proofErr w:type="spellEnd"/>
      <w:r w:rsidR="00DC3DEE">
        <w:t>)</w:t>
      </w:r>
      <w:r w:rsidR="00DC3DEE" w:rsidRPr="00DC3DEE">
        <w:t xml:space="preserve"> requests based on responses from 147 LAs in England</w:t>
      </w:r>
      <w:r w:rsidR="008E5C4E">
        <w:t xml:space="preserve"> </w:t>
      </w:r>
      <w:r>
        <w:t>(</w:t>
      </w:r>
      <w:r w:rsidR="008E5C4E" w:rsidRPr="00DC3DEE">
        <w:t>Parsons</w:t>
      </w:r>
      <w:r w:rsidR="008E5C4E">
        <w:t xml:space="preserve"> et al., </w:t>
      </w:r>
      <w:r w:rsidR="008E5C4E" w:rsidRPr="00DC3DEE">
        <w:t>2018</w:t>
      </w:r>
      <w:r w:rsidR="008E5C4E">
        <w:t>)</w:t>
      </w:r>
      <w:r w:rsidR="00DC3DEE" w:rsidRPr="00DC3DEE">
        <w:t xml:space="preserve"> highlighted inconsistencies in the sharing of information about an autism diagnosis and revealed that the majority of LAs do not routinely report on the diagnostic status of autistic</w:t>
      </w:r>
      <w:r w:rsidR="002802A8">
        <w:t xml:space="preserve"> </w:t>
      </w:r>
      <w:r w:rsidR="00DC3DEE" w:rsidRPr="00DC3DEE">
        <w:t>children at a strategic level.</w:t>
      </w:r>
      <w:r w:rsidR="00DC3DEE">
        <w:t xml:space="preserve"> Specifically, one of the </w:t>
      </w:r>
      <w:proofErr w:type="spellStart"/>
      <w:r w:rsidR="00DC3DEE">
        <w:t>FoI</w:t>
      </w:r>
      <w:proofErr w:type="spellEnd"/>
      <w:r w:rsidR="00DC3DEE">
        <w:t xml:space="preserve"> questions </w:t>
      </w:r>
      <w:r w:rsidR="00DC3DEE" w:rsidRPr="00DC3DEE">
        <w:t xml:space="preserve">asked whether the </w:t>
      </w:r>
      <w:r w:rsidR="00DC3DEE">
        <w:t>VSH</w:t>
      </w:r>
      <w:r w:rsidR="00DC3DEE" w:rsidRPr="00DC3DEE">
        <w:t xml:space="preserve"> had ever reported to the Corporate Parenting Board on the numbers and needs of children</w:t>
      </w:r>
      <w:r w:rsidR="00B75237">
        <w:t xml:space="preserve"> in care</w:t>
      </w:r>
      <w:r w:rsidR="00DC3DEE" w:rsidRPr="00DC3DEE">
        <w:t xml:space="preserve"> with an autism diagnosis</w:t>
      </w:r>
      <w:r w:rsidR="00DC3DEE">
        <w:t xml:space="preserve">: </w:t>
      </w:r>
      <w:r w:rsidR="00DC3DEE" w:rsidRPr="00DC3DEE">
        <w:t>140</w:t>
      </w:r>
      <w:r w:rsidR="00DC3DEE">
        <w:t xml:space="preserve"> out of 147</w:t>
      </w:r>
      <w:r w:rsidR="00DC3DEE" w:rsidRPr="00DC3DEE">
        <w:t xml:space="preserve"> (95%)</w:t>
      </w:r>
      <w:r w:rsidR="00DC3DEE">
        <w:t xml:space="preserve"> of </w:t>
      </w:r>
      <w:r w:rsidR="00E7646E">
        <w:t>l</w:t>
      </w:r>
      <w:r w:rsidR="00DC3DEE">
        <w:t xml:space="preserve">ocal </w:t>
      </w:r>
      <w:r w:rsidR="00E7646E">
        <w:t>a</w:t>
      </w:r>
      <w:r w:rsidR="00DC3DEE">
        <w:t>uthorities</w:t>
      </w:r>
      <w:r w:rsidR="00DC3DEE" w:rsidRPr="00DC3DEE">
        <w:t xml:space="preserve"> answered in the negative. </w:t>
      </w:r>
      <w:r w:rsidR="00DC3DEE">
        <w:t>This</w:t>
      </w:r>
      <w:r w:rsidR="008E5C4E">
        <w:t xml:space="preserve"> finding led the authors to conclude that</w:t>
      </w:r>
      <w:r w:rsidR="0028372D">
        <w:t>:</w:t>
      </w:r>
    </w:p>
    <w:p w14:paraId="377EE1C6" w14:textId="4D3FC0C4" w:rsidR="008E5C4E" w:rsidRDefault="008E5C4E" w:rsidP="00EC1130">
      <w:pPr>
        <w:pStyle w:val="Paragraph"/>
        <w:spacing w:before="0"/>
        <w:ind w:left="720"/>
        <w:rPr>
          <w:bCs/>
        </w:rPr>
      </w:pPr>
      <w:r>
        <w:t>…t</w:t>
      </w:r>
      <w:r w:rsidRPr="008E5C4E">
        <w:rPr>
          <w:bCs/>
        </w:rPr>
        <w:t>here would be value in highlighting autism diagnostic status as a strategic flag for monitoring provision, progress, and outcomes, with improvements included in objectives as a strategic priority</w:t>
      </w:r>
      <w:r>
        <w:rPr>
          <w:bCs/>
        </w:rPr>
        <w:t xml:space="preserve">. </w:t>
      </w:r>
      <w:r w:rsidR="00884EDD">
        <w:rPr>
          <w:bCs/>
        </w:rPr>
        <w:t>(</w:t>
      </w:r>
      <w:r>
        <w:rPr>
          <w:bCs/>
        </w:rPr>
        <w:t>p.111)</w:t>
      </w:r>
    </w:p>
    <w:p w14:paraId="6A91B6FC" w14:textId="77777777" w:rsidR="0028372D" w:rsidRDefault="0028372D" w:rsidP="00F54191">
      <w:pPr>
        <w:pStyle w:val="Newparagraph"/>
      </w:pPr>
    </w:p>
    <w:p w14:paraId="390DA52B" w14:textId="3D1BB23E" w:rsidR="00E66BFC" w:rsidRPr="00F54191" w:rsidRDefault="001C48CD" w:rsidP="00F54191">
      <w:pPr>
        <w:pStyle w:val="Newparagraph"/>
      </w:pPr>
      <w:r>
        <w:t>However</w:t>
      </w:r>
      <w:r w:rsidR="00E66BFC">
        <w:t>, d</w:t>
      </w:r>
      <w:r w:rsidR="00E66BFC" w:rsidRPr="00E66BFC">
        <w:t xml:space="preserve">espite the VSH role being written into legislation </w:t>
      </w:r>
      <w:r w:rsidR="00E66BFC">
        <w:t>in 2014</w:t>
      </w:r>
      <w:r w:rsidR="00E66BFC" w:rsidRPr="00E66BFC">
        <w:t xml:space="preserve"> there is</w:t>
      </w:r>
      <w:r w:rsidR="00E66BFC">
        <w:t xml:space="preserve"> very</w:t>
      </w:r>
      <w:r w:rsidR="00E66BFC" w:rsidRPr="00E66BFC">
        <w:t xml:space="preserve"> limited research in this area</w:t>
      </w:r>
      <w:r w:rsidR="007B124F">
        <w:t xml:space="preserve"> in general</w:t>
      </w:r>
      <w:r w:rsidR="00E66BFC" w:rsidRPr="00E66BFC">
        <w:t xml:space="preserve"> (Drew &amp; Banerjee, 2018</w:t>
      </w:r>
      <w:r w:rsidR="00817B47">
        <w:t>; Sebba &amp; Berridge, 2019</w:t>
      </w:r>
      <w:r w:rsidR="00E66BFC" w:rsidRPr="00E66BFC">
        <w:t>) and no research</w:t>
      </w:r>
      <w:r w:rsidR="00E66BFC">
        <w:t>, to the best of our knowledge, focusing</w:t>
      </w:r>
      <w:r w:rsidR="00A92FE4">
        <w:t xml:space="preserve"> specifically</w:t>
      </w:r>
      <w:r w:rsidR="00E66BFC">
        <w:t xml:space="preserve"> on </w:t>
      </w:r>
      <w:r w:rsidR="00E66BFC" w:rsidRPr="00E66BFC">
        <w:t>support</w:t>
      </w:r>
      <w:r w:rsidR="00E23BAF">
        <w:t xml:space="preserve"> for autistic children</w:t>
      </w:r>
      <w:r w:rsidR="00E66BFC" w:rsidRPr="00E66BFC">
        <w:t xml:space="preserve"> within England’s virtual schools.</w:t>
      </w:r>
      <w:r w:rsidR="00E66BFC">
        <w:t xml:space="preserve"> </w:t>
      </w:r>
      <w:r w:rsidR="00E66BFC" w:rsidRPr="00E66BFC">
        <w:t>Therefore, this study</w:t>
      </w:r>
      <w:r w:rsidR="00E23BAF">
        <w:t xml:space="preserve"> </w:t>
      </w:r>
      <w:r w:rsidR="00E23BAF">
        <w:lastRenderedPageBreak/>
        <w:t>explored h</w:t>
      </w:r>
      <w:r w:rsidR="00E66BFC" w:rsidRPr="00E66BFC">
        <w:t>ow VSHs perceive their role when supporting autistic children in care</w:t>
      </w:r>
      <w:r w:rsidR="00817B47">
        <w:t xml:space="preserve"> </w:t>
      </w:r>
      <w:bookmarkStart w:id="1" w:name="_Toc461605582"/>
      <w:r w:rsidR="00F54191">
        <w:t xml:space="preserve">to address the following </w:t>
      </w:r>
      <w:r w:rsidR="00F54191" w:rsidRPr="00F54191">
        <w:rPr>
          <w:bCs/>
        </w:rPr>
        <w:t>r</w:t>
      </w:r>
      <w:r w:rsidR="00E66BFC" w:rsidRPr="00F54191">
        <w:rPr>
          <w:bCs/>
        </w:rPr>
        <w:t>esearch questions</w:t>
      </w:r>
      <w:bookmarkEnd w:id="1"/>
      <w:r w:rsidR="00F54191">
        <w:rPr>
          <w:bCs/>
        </w:rPr>
        <w:t>:</w:t>
      </w:r>
    </w:p>
    <w:p w14:paraId="46ADB958" w14:textId="77777777" w:rsidR="00E66BFC" w:rsidRPr="00E66BFC" w:rsidRDefault="00E66BFC" w:rsidP="00E66BFC">
      <w:pPr>
        <w:pStyle w:val="Paragraph"/>
        <w:numPr>
          <w:ilvl w:val="0"/>
          <w:numId w:val="31"/>
        </w:numPr>
      </w:pPr>
      <w:r w:rsidRPr="00E66BFC">
        <w:t>What are the experiences of Virtual School Heads in providing autism related support for children in care within their LA?</w:t>
      </w:r>
    </w:p>
    <w:p w14:paraId="11AC305A" w14:textId="77777777" w:rsidR="00E66BFC" w:rsidRPr="00E66BFC" w:rsidRDefault="00E66BFC" w:rsidP="00E66BFC">
      <w:pPr>
        <w:pStyle w:val="Paragraph"/>
        <w:numPr>
          <w:ilvl w:val="0"/>
          <w:numId w:val="31"/>
        </w:numPr>
      </w:pPr>
      <w:r w:rsidRPr="00E66BFC">
        <w:t>How is information relating to an autism diagnosis and support planning shared with schools?</w:t>
      </w:r>
    </w:p>
    <w:p w14:paraId="15C795D5" w14:textId="77777777" w:rsidR="00E66BFC" w:rsidRPr="00E66BFC" w:rsidRDefault="00E66BFC" w:rsidP="00E66BFC">
      <w:pPr>
        <w:pStyle w:val="Paragraph"/>
        <w:numPr>
          <w:ilvl w:val="0"/>
          <w:numId w:val="31"/>
        </w:numPr>
      </w:pPr>
      <w:r w:rsidRPr="00E66BFC">
        <w:t>What can be learned about best practice and possible barriers in supporting autistic children in care?</w:t>
      </w:r>
    </w:p>
    <w:p w14:paraId="46432530" w14:textId="032AB157" w:rsidR="00E66BFC" w:rsidRDefault="00551980" w:rsidP="000101CA">
      <w:pPr>
        <w:pStyle w:val="Heading1"/>
      </w:pPr>
      <w:r>
        <w:t>Materials and Methods</w:t>
      </w:r>
    </w:p>
    <w:p w14:paraId="17E1FE52" w14:textId="11527483" w:rsidR="00551980" w:rsidRPr="00551980" w:rsidRDefault="00D72519" w:rsidP="00551980">
      <w:pPr>
        <w:pStyle w:val="Heading2"/>
      </w:pPr>
      <w:r>
        <w:t>Semi-structured interview</w:t>
      </w:r>
    </w:p>
    <w:p w14:paraId="3D09DA3A" w14:textId="571BC711" w:rsidR="00773C2C" w:rsidRPr="00EB6460" w:rsidRDefault="00EB6460" w:rsidP="002B7C4A">
      <w:pPr>
        <w:pStyle w:val="Newparagraph"/>
        <w:ind w:firstLine="0"/>
      </w:pPr>
      <w:r w:rsidRPr="00EB6460">
        <w:t>The study utilised a qualitative, exploratory design</w:t>
      </w:r>
      <w:r w:rsidR="004D39E1">
        <w:t xml:space="preserve"> within an interpretivist framework.</w:t>
      </w:r>
      <w:r w:rsidRPr="00EB6460">
        <w:t xml:space="preserve"> </w:t>
      </w:r>
      <w:r w:rsidR="00773C2C">
        <w:t>A semi-structured interview schedule was designed to determine how people perceived their roles,</w:t>
      </w:r>
      <w:r w:rsidR="00B75237">
        <w:t xml:space="preserve"> to </w:t>
      </w:r>
      <w:r w:rsidR="00773C2C">
        <w:t>describe and reflect upon the processes in place</w:t>
      </w:r>
      <w:r w:rsidR="00B75237">
        <w:t>,</w:t>
      </w:r>
      <w:r w:rsidR="00107B06">
        <w:t xml:space="preserve"> </w:t>
      </w:r>
      <w:r w:rsidR="00773C2C">
        <w:t>and</w:t>
      </w:r>
      <w:r w:rsidR="00B75237">
        <w:t xml:space="preserve"> to</w:t>
      </w:r>
      <w:r w:rsidR="00773C2C">
        <w:t xml:space="preserve"> explore how they felt about their remit. </w:t>
      </w:r>
      <w:r w:rsidR="00D34B18">
        <w:t xml:space="preserve">The full interview schedule is included </w:t>
      </w:r>
      <w:r w:rsidR="002A4187">
        <w:t>in the supplementary information</w:t>
      </w:r>
      <w:r w:rsidR="00D34B18">
        <w:t>.</w:t>
      </w:r>
    </w:p>
    <w:p w14:paraId="3153A348" w14:textId="77777777" w:rsidR="000101CA" w:rsidRPr="000101CA" w:rsidRDefault="000101CA" w:rsidP="0092406F">
      <w:pPr>
        <w:pStyle w:val="Heading2"/>
      </w:pPr>
      <w:bookmarkStart w:id="2" w:name="_Toc461605587"/>
      <w:r w:rsidRPr="000101CA">
        <w:t>Participants</w:t>
      </w:r>
      <w:bookmarkEnd w:id="2"/>
    </w:p>
    <w:p w14:paraId="70ABCD6E" w14:textId="2C2F6620" w:rsidR="000101CA" w:rsidRPr="000101CA" w:rsidRDefault="000101CA" w:rsidP="000101CA">
      <w:pPr>
        <w:pStyle w:val="Newparagraph"/>
      </w:pPr>
      <w:r w:rsidRPr="000101CA">
        <w:t>Nine participants (</w:t>
      </w:r>
      <w:r w:rsidR="002A4187">
        <w:t xml:space="preserve">5 </w:t>
      </w:r>
      <w:r w:rsidRPr="000101CA">
        <w:t xml:space="preserve">females </w:t>
      </w:r>
      <w:r w:rsidR="002A4187">
        <w:t>and</w:t>
      </w:r>
      <w:r w:rsidRPr="000101CA">
        <w:t xml:space="preserve"> </w:t>
      </w:r>
      <w:r w:rsidR="002A4187">
        <w:t xml:space="preserve">4 </w:t>
      </w:r>
      <w:r w:rsidRPr="000101CA">
        <w:t xml:space="preserve">males) </w:t>
      </w:r>
      <w:r w:rsidR="0020015C" w:rsidRPr="000101CA">
        <w:t xml:space="preserve">from eight LAs </w:t>
      </w:r>
      <w:r w:rsidRPr="000101CA">
        <w:t xml:space="preserve">were interviewed, all of whom were employed as the VSH by a LA or by the VSH in a different role. In </w:t>
      </w:r>
      <w:r w:rsidR="0020015C">
        <w:t>o</w:t>
      </w:r>
      <w:r w:rsidRPr="000101CA">
        <w:t>ne</w:t>
      </w:r>
      <w:r w:rsidR="0020015C">
        <w:t xml:space="preserve"> case</w:t>
      </w:r>
      <w:r w:rsidRPr="000101CA">
        <w:t xml:space="preserve">, the VSH identified another member of staff as being the most informed person to contribute to the research. Therefore, one of the interviews included two participants: the VSH and the </w:t>
      </w:r>
      <w:r w:rsidR="00F35FC8">
        <w:t>o</w:t>
      </w:r>
      <w:r w:rsidRPr="000101CA">
        <w:t xml:space="preserve">ccupational </w:t>
      </w:r>
      <w:r w:rsidR="00F35FC8">
        <w:t>t</w:t>
      </w:r>
      <w:r w:rsidRPr="000101CA">
        <w:t>herapist employed by the virtual school.</w:t>
      </w:r>
      <w:r w:rsidR="0020015C">
        <w:t xml:space="preserve"> </w:t>
      </w:r>
    </w:p>
    <w:p w14:paraId="0E2DBD26" w14:textId="69AE6DCC" w:rsidR="00773C2C" w:rsidRDefault="00773C2C" w:rsidP="0092406F">
      <w:pPr>
        <w:pStyle w:val="Heading2"/>
      </w:pPr>
      <w:bookmarkStart w:id="3" w:name="_Toc461605588"/>
      <w:r>
        <w:lastRenderedPageBreak/>
        <w:t>Ethics</w:t>
      </w:r>
    </w:p>
    <w:p w14:paraId="465F6439" w14:textId="1702AD9A" w:rsidR="00773C2C" w:rsidRDefault="00773C2C" w:rsidP="00773C2C">
      <w:pPr>
        <w:pStyle w:val="Newparagraph"/>
      </w:pPr>
      <w:r w:rsidRPr="000101CA">
        <w:t>The study conformed to the British Psychology Society’s</w:t>
      </w:r>
      <w:r>
        <w:t xml:space="preserve"> </w:t>
      </w:r>
      <w:r w:rsidRPr="000101CA">
        <w:t>(BPS, 20</w:t>
      </w:r>
      <w:r w:rsidR="008F1926">
        <w:t>21</w:t>
      </w:r>
      <w:r w:rsidRPr="000101CA">
        <w:t>)</w:t>
      </w:r>
      <w:r>
        <w:t xml:space="preserve"> </w:t>
      </w:r>
      <w:r w:rsidRPr="000101CA">
        <w:t xml:space="preserve">ethical guidelines and the </w:t>
      </w:r>
      <w:r w:rsidR="002A4187">
        <w:t xml:space="preserve">REDACTED FOR BLIND REVIEW </w:t>
      </w:r>
      <w:r w:rsidRPr="000101CA">
        <w:t xml:space="preserve">ethical review committee granted approval before the study commenced (Ethics Approval Reference #47572).  Participants were provided with a detailed information sheet regarding the nature and purpose of the study, </w:t>
      </w:r>
      <w:r w:rsidR="004D39E1">
        <w:t xml:space="preserve">and </w:t>
      </w:r>
      <w:r w:rsidRPr="000101CA">
        <w:t>their right</w:t>
      </w:r>
      <w:r w:rsidR="004D39E1">
        <w:t>s</w:t>
      </w:r>
      <w:r w:rsidRPr="000101CA">
        <w:t xml:space="preserve"> to</w:t>
      </w:r>
      <w:r w:rsidR="004D39E1">
        <w:t xml:space="preserve"> confidentiality and</w:t>
      </w:r>
      <w:r w:rsidRPr="000101CA">
        <w:t xml:space="preserve"> withdraw</w:t>
      </w:r>
      <w:r w:rsidR="004D39E1">
        <w:t xml:space="preserve">al. </w:t>
      </w:r>
      <w:r w:rsidRPr="000101CA">
        <w:t>All participants signed a consent form to formalise their agreement to take part.</w:t>
      </w:r>
    </w:p>
    <w:p w14:paraId="09F4F1B8" w14:textId="1717933B" w:rsidR="000101CA" w:rsidRPr="000101CA" w:rsidRDefault="000101CA" w:rsidP="00CF737B">
      <w:pPr>
        <w:pStyle w:val="Heading2"/>
        <w:tabs>
          <w:tab w:val="left" w:pos="1700"/>
        </w:tabs>
      </w:pPr>
      <w:r w:rsidRPr="000101CA">
        <w:t>Procedure</w:t>
      </w:r>
      <w:bookmarkEnd w:id="3"/>
      <w:r w:rsidR="00CF737B">
        <w:tab/>
      </w:r>
    </w:p>
    <w:p w14:paraId="47ACD5FC" w14:textId="4F195A76" w:rsidR="000101CA" w:rsidRPr="000101CA" w:rsidRDefault="000101CA" w:rsidP="008863B6">
      <w:pPr>
        <w:pStyle w:val="Newparagraph"/>
      </w:pPr>
      <w:r w:rsidRPr="000101CA">
        <w:t xml:space="preserve">To recruit participants, personalised emails </w:t>
      </w:r>
      <w:r w:rsidR="008863B6" w:rsidRPr="000101CA">
        <w:t xml:space="preserve">detailing the purpose of the study </w:t>
      </w:r>
      <w:r w:rsidRPr="000101CA">
        <w:t>were sent to every VSH in England, the contact details of whom were accessed through a Freedom of Information request published online (</w:t>
      </w:r>
      <w:proofErr w:type="spellStart"/>
      <w:r w:rsidRPr="000101CA">
        <w:t>Lidell</w:t>
      </w:r>
      <w:proofErr w:type="spellEnd"/>
      <w:r w:rsidRPr="000101CA">
        <w:t>, 2017).  Where some of these email addresses were out of date or no longer in use, efforts were taken to find current email addresses so that all individuals within this role were offered the opportunity to participate.</w:t>
      </w:r>
      <w:r w:rsidR="004D39E1">
        <w:t xml:space="preserve"> </w:t>
      </w:r>
      <w:r w:rsidRPr="000101CA">
        <w:t xml:space="preserve">VSHs from eight </w:t>
      </w:r>
      <w:r w:rsidR="0028372D">
        <w:t>LAs</w:t>
      </w:r>
      <w:r w:rsidRPr="000101CA">
        <w:t xml:space="preserve"> expressed their interest and were able to find time to participate.  Interviews were conducted face-to-face, or on the telephone depending on the preferences of the participants.  Three interviews were conducted during the UK period of lockdown (post March 23rd, 2020), due to the COVID-19 pandemic.</w:t>
      </w:r>
    </w:p>
    <w:p w14:paraId="4C99F94A" w14:textId="77777777" w:rsidR="000101CA" w:rsidRPr="000101CA" w:rsidRDefault="000101CA" w:rsidP="0092406F">
      <w:pPr>
        <w:pStyle w:val="Heading2"/>
      </w:pPr>
      <w:bookmarkStart w:id="4" w:name="_Toc461605589"/>
      <w:r w:rsidRPr="000101CA">
        <w:t>Thematic analysis</w:t>
      </w:r>
      <w:bookmarkEnd w:id="4"/>
    </w:p>
    <w:p w14:paraId="49FD766E" w14:textId="239BE092" w:rsidR="000101CA" w:rsidRPr="000101CA" w:rsidRDefault="000101CA" w:rsidP="000101CA">
      <w:pPr>
        <w:pStyle w:val="Newparagraph"/>
      </w:pPr>
      <w:r w:rsidRPr="000101CA">
        <w:t>The data were analysed using the six-step approach to reflexive thematic analysis as described by Braun</w:t>
      </w:r>
      <w:r w:rsidR="00884EDD">
        <w:t xml:space="preserve"> et al.,</w:t>
      </w:r>
      <w:r w:rsidRPr="000101CA">
        <w:t xml:space="preserve"> (2019).  Audio recordings were listened to twice per interview and all</w:t>
      </w:r>
      <w:r w:rsidR="00B75237">
        <w:t xml:space="preserve"> interviews transcribed</w:t>
      </w:r>
      <w:r w:rsidRPr="000101CA">
        <w:t>.  A bottom-up, inductive approach to coding was applied.  Codes were initially determined using a semantic approach to line-by-line analysis</w:t>
      </w:r>
      <w:r w:rsidR="002B7C4A">
        <w:t xml:space="preserve"> and then </w:t>
      </w:r>
      <w:r w:rsidRPr="000101CA">
        <w:t xml:space="preserve">developed into latent codes where meaning was explored beyond the semantic description given by participants.  Patterns of meaning across the codes were </w:t>
      </w:r>
      <w:r w:rsidRPr="000101CA">
        <w:lastRenderedPageBreak/>
        <w:t>identified and then categorised to generate potential themes.  Thematic maps were created</w:t>
      </w:r>
      <w:r w:rsidR="00B75237">
        <w:t>,</w:t>
      </w:r>
      <w:r w:rsidR="008863B6">
        <w:t xml:space="preserve"> and v</w:t>
      </w:r>
      <w:r w:rsidRPr="000101CA">
        <w:t>erification of themes reviewed to ensure that they were identifiable as coherent</w:t>
      </w:r>
      <w:r w:rsidR="004D39E1">
        <w:t xml:space="preserve"> and distinctive</w:t>
      </w:r>
      <w:r w:rsidRPr="000101CA">
        <w:t xml:space="preserve">. </w:t>
      </w:r>
    </w:p>
    <w:p w14:paraId="41158F8B" w14:textId="77777777" w:rsidR="008863B6" w:rsidRPr="008863B6" w:rsidRDefault="008863B6" w:rsidP="008863B6">
      <w:pPr>
        <w:pStyle w:val="Heading1"/>
      </w:pPr>
      <w:bookmarkStart w:id="5" w:name="_Toc461605590"/>
      <w:r w:rsidRPr="008863B6">
        <w:t>Results</w:t>
      </w:r>
      <w:bookmarkEnd w:id="5"/>
    </w:p>
    <w:p w14:paraId="7330B065" w14:textId="77777777" w:rsidR="008863B6" w:rsidRPr="008863B6" w:rsidRDefault="008863B6" w:rsidP="008863B6">
      <w:pPr>
        <w:pStyle w:val="Heading2"/>
      </w:pPr>
      <w:bookmarkStart w:id="6" w:name="_Toc461605591"/>
      <w:r w:rsidRPr="008863B6">
        <w:t>Thematic map</w:t>
      </w:r>
      <w:bookmarkEnd w:id="6"/>
    </w:p>
    <w:p w14:paraId="217FF74D" w14:textId="32D78452" w:rsidR="00462CD8" w:rsidRDefault="00110835" w:rsidP="002B7C4A">
      <w:pPr>
        <w:pStyle w:val="Newparagraph"/>
        <w:rPr>
          <w:noProof/>
          <w:lang w:val="en-US"/>
        </w:rPr>
      </w:pPr>
      <w:r>
        <w:t>T</w:t>
      </w:r>
      <w:r w:rsidR="008863B6" w:rsidRPr="008863B6">
        <w:t>hree main themes</w:t>
      </w:r>
      <w:r>
        <w:t xml:space="preserve"> were developed</w:t>
      </w:r>
      <w:r w:rsidR="008863B6">
        <w:t>:</w:t>
      </w:r>
      <w:r w:rsidR="008863B6" w:rsidRPr="008863B6">
        <w:t xml:space="preserve"> </w:t>
      </w:r>
      <w:bookmarkStart w:id="7" w:name="_Hlk75770265"/>
      <w:r w:rsidR="008863B6">
        <w:t xml:space="preserve">(1) </w:t>
      </w:r>
      <w:r w:rsidR="008863B6" w:rsidRPr="008863B6">
        <w:t xml:space="preserve">Impact of structure and systems, </w:t>
      </w:r>
      <w:r w:rsidR="008863B6">
        <w:t xml:space="preserve">(2) </w:t>
      </w:r>
      <w:r w:rsidR="008863B6" w:rsidRPr="008863B6">
        <w:t>Specialist knowledge, and</w:t>
      </w:r>
      <w:r w:rsidR="008863B6">
        <w:t xml:space="preserve"> (3) </w:t>
      </w:r>
      <w:r w:rsidR="008863B6" w:rsidRPr="008863B6">
        <w:t>Strategies for suppor</w:t>
      </w:r>
      <w:bookmarkEnd w:id="7"/>
      <w:r w:rsidR="0000064B">
        <w:t xml:space="preserve">t, each with some interlinking </w:t>
      </w:r>
      <w:r w:rsidR="008863B6" w:rsidRPr="008863B6">
        <w:t>subtheme</w:t>
      </w:r>
      <w:r w:rsidR="00E23BAF">
        <w:t xml:space="preserve">s </w:t>
      </w:r>
      <w:r w:rsidR="0000064B">
        <w:t>(</w:t>
      </w:r>
      <w:r w:rsidR="008863B6" w:rsidRPr="008863B6">
        <w:t xml:space="preserve">Figure </w:t>
      </w:r>
      <w:r w:rsidR="008863B6">
        <w:t>1</w:t>
      </w:r>
      <w:r w:rsidR="0000064B">
        <w:t>)</w:t>
      </w:r>
      <w:r w:rsidR="008863B6" w:rsidRPr="008863B6">
        <w:t>. There was</w:t>
      </w:r>
      <w:r w:rsidR="00E23BAF">
        <w:t xml:space="preserve"> also</w:t>
      </w:r>
      <w:r w:rsidR="008863B6" w:rsidRPr="008863B6">
        <w:t xml:space="preserve"> an overarching </w:t>
      </w:r>
      <w:r w:rsidR="00E23BAF">
        <w:t>theme of</w:t>
      </w:r>
      <w:r w:rsidR="008863B6" w:rsidRPr="008863B6">
        <w:t xml:space="preserve"> </w:t>
      </w:r>
      <w:r w:rsidR="00E23BAF" w:rsidRPr="00D502B5">
        <w:rPr>
          <w:i/>
          <w:iCs/>
        </w:rPr>
        <w:t>responsibility</w:t>
      </w:r>
      <w:r w:rsidR="00E23BAF" w:rsidRPr="008863B6">
        <w:rPr>
          <w:b/>
          <w:bCs/>
        </w:rPr>
        <w:t xml:space="preserve"> </w:t>
      </w:r>
      <w:r w:rsidR="00E23BAF" w:rsidRPr="0062360D">
        <w:t>for providing educational oversight, training, and support</w:t>
      </w:r>
      <w:r w:rsidR="00E23BAF" w:rsidRPr="008863B6">
        <w:t xml:space="preserve"> </w:t>
      </w:r>
      <w:r w:rsidR="008863B6" w:rsidRPr="008863B6">
        <w:t>that came through all the interviews</w:t>
      </w:r>
      <w:r w:rsidR="00E23BAF">
        <w:t>, a</w:t>
      </w:r>
      <w:r w:rsidR="0045139A">
        <w:t>nd</w:t>
      </w:r>
      <w:r w:rsidR="00E23BAF">
        <w:t xml:space="preserve"> an underpinning theme of</w:t>
      </w:r>
      <w:r w:rsidR="008863B6" w:rsidRPr="008863B6">
        <w:t xml:space="preserve"> </w:t>
      </w:r>
      <w:r w:rsidR="008863B6" w:rsidRPr="00D502B5">
        <w:rPr>
          <w:i/>
          <w:iCs/>
        </w:rPr>
        <w:t>relationships</w:t>
      </w:r>
      <w:r w:rsidR="00D502B5">
        <w:t>, and these are woven throughout the findings below</w:t>
      </w:r>
      <w:r w:rsidR="008863B6" w:rsidRPr="008863B6">
        <w:t xml:space="preserve">.  </w:t>
      </w:r>
    </w:p>
    <w:p w14:paraId="444122F8" w14:textId="106C3027" w:rsidR="008863B6" w:rsidRDefault="00462CD8" w:rsidP="00462CD8">
      <w:pPr>
        <w:pStyle w:val="Newparagraph"/>
        <w:jc w:val="center"/>
        <w:rPr>
          <w:noProof/>
          <w:lang w:val="en-US"/>
        </w:rPr>
      </w:pPr>
      <w:r>
        <w:rPr>
          <w:noProof/>
          <w:lang w:val="en-US"/>
        </w:rPr>
        <w:t>***Insert Figure 1 about here***</w:t>
      </w:r>
    </w:p>
    <w:p w14:paraId="7242600E" w14:textId="31DBA448" w:rsidR="008863B6" w:rsidRPr="008863B6" w:rsidRDefault="008848A9" w:rsidP="008863B6">
      <w:pPr>
        <w:pStyle w:val="Heading3"/>
      </w:pPr>
      <w:bookmarkStart w:id="8" w:name="_Toc461605592"/>
      <w:r>
        <w:t xml:space="preserve">Main theme 1: </w:t>
      </w:r>
      <w:r w:rsidR="008863B6" w:rsidRPr="008863B6">
        <w:t>Impact of structure and systems</w:t>
      </w:r>
      <w:bookmarkEnd w:id="8"/>
    </w:p>
    <w:p w14:paraId="7B18FBDD" w14:textId="316DB26B" w:rsidR="002B660F" w:rsidRDefault="008863B6" w:rsidP="00A113FD">
      <w:pPr>
        <w:pStyle w:val="Heading4Paragraph"/>
      </w:pPr>
      <w:bookmarkStart w:id="9" w:name="_Toc461605593"/>
      <w:r w:rsidRPr="008863B6">
        <w:t xml:space="preserve">Local </w:t>
      </w:r>
      <w:r w:rsidR="00E7646E">
        <w:t>a</w:t>
      </w:r>
      <w:r w:rsidRPr="008863B6">
        <w:t>uthority teams</w:t>
      </w:r>
      <w:bookmarkEnd w:id="9"/>
      <w:r w:rsidR="00A113FD">
        <w:t xml:space="preserve">. </w:t>
      </w:r>
      <w:r w:rsidRPr="008863B6">
        <w:t xml:space="preserve">The virtual school exists within the network of departments that comprise a LA.  </w:t>
      </w:r>
      <w:r w:rsidR="001A3851" w:rsidRPr="008863B6">
        <w:t xml:space="preserve">Every participant described a virtual school </w:t>
      </w:r>
      <w:r w:rsidR="001A3851">
        <w:t>with</w:t>
      </w:r>
      <w:r w:rsidR="001A3851" w:rsidRPr="008863B6">
        <w:t xml:space="preserve"> incredibly varied team</w:t>
      </w:r>
      <w:r w:rsidR="001A3851">
        <w:t xml:space="preserve"> composition</w:t>
      </w:r>
      <w:r w:rsidR="007E1F42">
        <w:t xml:space="preserve"> and size. </w:t>
      </w:r>
      <w:r w:rsidR="00E144D4" w:rsidRPr="008863B6">
        <w:t>All</w:t>
      </w:r>
      <w:r w:rsidRPr="008863B6">
        <w:t xml:space="preserve"> the VSHs made multiple references to the necessity of forging positive </w:t>
      </w:r>
      <w:r w:rsidR="00BB43D6">
        <w:t>relationships</w:t>
      </w:r>
      <w:r w:rsidRPr="008863B6">
        <w:t xml:space="preserve"> with different teams: </w:t>
      </w:r>
    </w:p>
    <w:p w14:paraId="3134DB17" w14:textId="77777777" w:rsidR="002B660F" w:rsidRDefault="008863B6" w:rsidP="002B660F">
      <w:pPr>
        <w:pStyle w:val="Newparagraph"/>
        <w:ind w:left="720" w:firstLine="0"/>
      </w:pPr>
      <w:r w:rsidRPr="008863B6">
        <w:t xml:space="preserve">“The…thing that the children need us to do is build the bridge between social care and education.”  (VSH3).  </w:t>
      </w:r>
    </w:p>
    <w:p w14:paraId="2BE41653" w14:textId="53C5D5B9" w:rsidR="008863B6" w:rsidRPr="008863B6" w:rsidRDefault="008863B6" w:rsidP="002B660F">
      <w:pPr>
        <w:pStyle w:val="Newparagraph"/>
        <w:ind w:firstLine="0"/>
      </w:pPr>
      <w:r w:rsidRPr="008863B6">
        <w:t>They also commented on how this is underpinned by their skills in developing these relationships:</w:t>
      </w:r>
    </w:p>
    <w:p w14:paraId="68393B2D" w14:textId="2D3359D5" w:rsidR="008863B6" w:rsidRPr="008863B6" w:rsidRDefault="002B660F" w:rsidP="002B660F">
      <w:pPr>
        <w:pStyle w:val="Newparagraph"/>
        <w:ind w:left="720" w:firstLine="0"/>
        <w:rPr>
          <w:iCs/>
        </w:rPr>
      </w:pPr>
      <w:r>
        <w:rPr>
          <w:iCs/>
        </w:rPr>
        <w:t>“</w:t>
      </w:r>
      <w:r w:rsidR="00964BDF">
        <w:rPr>
          <w:iCs/>
        </w:rPr>
        <w:t>R</w:t>
      </w:r>
      <w:r w:rsidR="008863B6" w:rsidRPr="008863B6">
        <w:rPr>
          <w:iCs/>
        </w:rPr>
        <w:t>elationships are just so important, so our relationship with our colleagues in social care, in our schools,</w:t>
      </w:r>
      <w:r w:rsidR="00752870">
        <w:rPr>
          <w:iCs/>
        </w:rPr>
        <w:t>…</w:t>
      </w:r>
      <w:r w:rsidR="008863B6" w:rsidRPr="008863B6">
        <w:rPr>
          <w:iCs/>
        </w:rPr>
        <w:t xml:space="preserve">with our foster carers, building those trusting </w:t>
      </w:r>
      <w:r w:rsidR="008863B6" w:rsidRPr="008863B6">
        <w:rPr>
          <w:iCs/>
        </w:rPr>
        <w:lastRenderedPageBreak/>
        <w:t>partnerships and relationships and to get everybody working together in one direction to advocate and support that young person to th</w:t>
      </w:r>
      <w:r w:rsidR="00964BDF">
        <w:rPr>
          <w:iCs/>
        </w:rPr>
        <w:t>e</w:t>
      </w:r>
      <w:r w:rsidR="008863B6" w:rsidRPr="008863B6">
        <w:rPr>
          <w:iCs/>
        </w:rPr>
        <w:t xml:space="preserve"> absolute heights is the most important thing.</w:t>
      </w:r>
      <w:r>
        <w:rPr>
          <w:iCs/>
        </w:rPr>
        <w:t>”</w:t>
      </w:r>
      <w:r w:rsidR="008863B6" w:rsidRPr="008863B6">
        <w:rPr>
          <w:iCs/>
        </w:rPr>
        <w:t xml:space="preserve">  (VSH8).</w:t>
      </w:r>
    </w:p>
    <w:p w14:paraId="24652AC9" w14:textId="015D692A" w:rsidR="008863B6" w:rsidRPr="002B660F" w:rsidRDefault="008863B6" w:rsidP="002B660F">
      <w:pPr>
        <w:pStyle w:val="Newparagraph"/>
        <w:ind w:firstLine="0"/>
        <w:rPr>
          <w:iCs/>
        </w:rPr>
      </w:pPr>
      <w:r w:rsidRPr="008863B6">
        <w:t xml:space="preserve">Relationship building was facilitated through seconding members from </w:t>
      </w:r>
      <w:r w:rsidR="0000064B">
        <w:t xml:space="preserve">different </w:t>
      </w:r>
      <w:r w:rsidRPr="008863B6">
        <w:t>services into the virtual school team or offering training to different support agencies</w:t>
      </w:r>
      <w:r w:rsidR="007E1F42">
        <w:t>, including social workers.</w:t>
      </w:r>
      <w:r w:rsidRPr="008863B6">
        <w:t xml:space="preserve"> </w:t>
      </w:r>
      <w:r w:rsidR="002B660F" w:rsidRPr="008863B6">
        <w:t>T</w:t>
      </w:r>
      <w:r w:rsidRPr="008863B6">
        <w:t>wo of the VSHs also spoke of the need to develop a shared language, so that communication between professionals with different areas of expertise was supported:</w:t>
      </w:r>
    </w:p>
    <w:p w14:paraId="582725CD" w14:textId="786408E5" w:rsidR="008863B6" w:rsidRPr="008863B6" w:rsidRDefault="002B660F" w:rsidP="002B660F">
      <w:pPr>
        <w:pStyle w:val="Newparagraph"/>
        <w:ind w:left="720" w:firstLine="0"/>
        <w:rPr>
          <w:iCs/>
        </w:rPr>
      </w:pPr>
      <w:r>
        <w:rPr>
          <w:iCs/>
        </w:rPr>
        <w:t>“</w:t>
      </w:r>
      <w:r w:rsidR="008863B6" w:rsidRPr="008863B6">
        <w:rPr>
          <w:iCs/>
        </w:rPr>
        <w:t>I can go and talk to an [educational psychologist] in education… that's what we speak…Whereas…I would have to understand the structure of how social care works even to know who to talk to.  And from the outside looking in I wouldn't have a clue.</w:t>
      </w:r>
      <w:r>
        <w:rPr>
          <w:iCs/>
        </w:rPr>
        <w:t>”</w:t>
      </w:r>
      <w:r w:rsidR="008863B6" w:rsidRPr="008863B6">
        <w:rPr>
          <w:iCs/>
        </w:rPr>
        <w:t xml:space="preserve">  (VSH3).</w:t>
      </w:r>
    </w:p>
    <w:p w14:paraId="48CB3CE6" w14:textId="77777777" w:rsidR="002B660F" w:rsidRDefault="002B660F" w:rsidP="008863B6">
      <w:pPr>
        <w:pStyle w:val="Newparagraph"/>
      </w:pPr>
    </w:p>
    <w:p w14:paraId="3462B561" w14:textId="0F5A41EF" w:rsidR="002B660F" w:rsidRDefault="007E1F42" w:rsidP="008863B6">
      <w:pPr>
        <w:pStyle w:val="Newparagraph"/>
      </w:pPr>
      <w:r>
        <w:t>S</w:t>
      </w:r>
      <w:r w:rsidR="008863B6" w:rsidRPr="008863B6">
        <w:t>ix out of eight</w:t>
      </w:r>
      <w:r w:rsidR="00964BDF">
        <w:t xml:space="preserve"> </w:t>
      </w:r>
      <w:r w:rsidR="008863B6" w:rsidRPr="008863B6">
        <w:t>VSHs mentioned how there can be challenge</w:t>
      </w:r>
      <w:r w:rsidR="00964BDF">
        <w:t>s</w:t>
      </w:r>
      <w:r w:rsidR="008863B6" w:rsidRPr="008863B6">
        <w:t xml:space="preserve"> in ensuring that social care teams have the requisite knowledge and understanding of the needs of autistic children: </w:t>
      </w:r>
    </w:p>
    <w:p w14:paraId="0DA589AB" w14:textId="77777777" w:rsidR="002B660F" w:rsidRDefault="008863B6" w:rsidP="002B660F">
      <w:pPr>
        <w:pStyle w:val="Newparagraph"/>
        <w:ind w:left="720" w:firstLine="0"/>
      </w:pPr>
      <w:r w:rsidRPr="008863B6">
        <w:t xml:space="preserve">“I’m not assuming that everybody knows a lot about special educational needs from a social care background.”  (VSH4).  </w:t>
      </w:r>
    </w:p>
    <w:p w14:paraId="36627FD9" w14:textId="58CE986F" w:rsidR="002B660F" w:rsidRPr="00964BDF" w:rsidRDefault="008863B6" w:rsidP="002B660F">
      <w:pPr>
        <w:pStyle w:val="Newparagraph"/>
        <w:ind w:firstLine="0"/>
        <w:rPr>
          <w:iCs/>
        </w:rPr>
      </w:pPr>
      <w:r w:rsidRPr="008863B6">
        <w:t>Two distinct issues arose from this discussion</w:t>
      </w:r>
      <w:r w:rsidR="002B660F">
        <w:t>:</w:t>
      </w:r>
      <w:r w:rsidRPr="008863B6">
        <w:t xml:space="preserve"> first</w:t>
      </w:r>
      <w:r w:rsidR="002B660F">
        <w:t>,</w:t>
      </w:r>
      <w:r w:rsidRPr="008863B6">
        <w:t xml:space="preserve"> that the stability of social care teams in some areas was not established and VSHs could not rely on social workers being sufficiently trained in all areas of support</w:t>
      </w:r>
      <w:r w:rsidR="00964BDF">
        <w:t xml:space="preserve"> due to the turnover of staff. </w:t>
      </w:r>
      <w:r w:rsidR="00964BDF">
        <w:rPr>
          <w:iCs/>
        </w:rPr>
        <w:t xml:space="preserve"> </w:t>
      </w:r>
      <w:r w:rsidRPr="008863B6">
        <w:t xml:space="preserve">Second, the question of whether the delivery of this training should be the responsibility of the virtual school was raised: </w:t>
      </w:r>
    </w:p>
    <w:p w14:paraId="03FD79A0" w14:textId="1A68160C" w:rsidR="008863B6" w:rsidRPr="002B660F" w:rsidRDefault="008863B6" w:rsidP="002B660F">
      <w:pPr>
        <w:pStyle w:val="Newparagraph"/>
        <w:ind w:left="720" w:firstLine="0"/>
        <w:rPr>
          <w:iCs/>
        </w:rPr>
      </w:pPr>
      <w:r w:rsidRPr="008863B6">
        <w:t>“</w:t>
      </w:r>
      <w:r w:rsidR="00CF737B">
        <w:t>…</w:t>
      </w:r>
      <w:r w:rsidRPr="008863B6">
        <w:t xml:space="preserve">our remit is education focused.  We’re not there to plug gaps in children’s social care.”  (VSH6).  </w:t>
      </w:r>
    </w:p>
    <w:p w14:paraId="032EEE74" w14:textId="32B114D9" w:rsidR="002A13A4" w:rsidRDefault="00642C6F" w:rsidP="002A13A4">
      <w:pPr>
        <w:pStyle w:val="Newparagraph"/>
        <w:ind w:firstLine="0"/>
      </w:pPr>
      <w:r w:rsidRPr="008863B6">
        <w:lastRenderedPageBreak/>
        <w:t>All</w:t>
      </w:r>
      <w:r w:rsidR="008863B6" w:rsidRPr="008863B6">
        <w:t xml:space="preserve"> the VSHs explained that they would </w:t>
      </w:r>
      <w:r w:rsidR="002A13A4" w:rsidRPr="0018088D">
        <w:t xml:space="preserve">access specialist knowledge from other departments and professionals working with </w:t>
      </w:r>
      <w:r w:rsidR="00195FC9">
        <w:t xml:space="preserve">autistic </w:t>
      </w:r>
      <w:r w:rsidR="002A13A4" w:rsidRPr="0018088D">
        <w:t>pupil</w:t>
      </w:r>
      <w:r w:rsidR="00964BDF">
        <w:t>s</w:t>
      </w:r>
      <w:r w:rsidR="008863B6" w:rsidRPr="0018088D">
        <w:t>,</w:t>
      </w:r>
      <w:r w:rsidR="008863B6" w:rsidRPr="008863B6">
        <w:t xml:space="preserve"> for exampl</w:t>
      </w:r>
      <w:r w:rsidR="002B660F">
        <w:t>e</w:t>
      </w:r>
      <w:r w:rsidR="007E1F42">
        <w:t xml:space="preserve"> </w:t>
      </w:r>
      <w:r w:rsidR="002B660F">
        <w:t>the educational psychology</w:t>
      </w:r>
      <w:r w:rsidR="002A13A4">
        <w:t xml:space="preserve"> or SEND</w:t>
      </w:r>
      <w:r w:rsidR="002B660F">
        <w:t xml:space="preserve"> team</w:t>
      </w:r>
      <w:r w:rsidR="002A13A4">
        <w:t>s</w:t>
      </w:r>
      <w:r w:rsidR="0066626E">
        <w:t>:</w:t>
      </w:r>
      <w:r w:rsidR="002A13A4">
        <w:t xml:space="preserve"> </w:t>
      </w:r>
    </w:p>
    <w:p w14:paraId="6FA67A1B" w14:textId="51FDD8AF" w:rsidR="002A13A4" w:rsidRPr="008863B6" w:rsidRDefault="002A13A4" w:rsidP="002A13A4">
      <w:pPr>
        <w:pStyle w:val="Newparagraph"/>
        <w:ind w:left="720" w:firstLine="0"/>
        <w:rPr>
          <w:iCs/>
        </w:rPr>
      </w:pPr>
      <w:r>
        <w:rPr>
          <w:iCs/>
        </w:rPr>
        <w:t>“</w:t>
      </w:r>
      <w:r w:rsidRPr="008863B6">
        <w:rPr>
          <w:iCs/>
        </w:rPr>
        <w:t>A special school is likely to say to me, this child at our school, it’s an autistic specialist school, um, this child needs this, this and this.’  I might say to the SEND team, ‘does this sound good to you?’  And they’ll go, ‘yeah great idea’, but on the whole we would, again, defer to specialists…we wouldn’t question schools</w:t>
      </w:r>
      <w:r w:rsidR="0066626E">
        <w:rPr>
          <w:iCs/>
        </w:rPr>
        <w:t>’</w:t>
      </w:r>
      <w:r w:rsidRPr="008863B6">
        <w:rPr>
          <w:iCs/>
        </w:rPr>
        <w:t xml:space="preserve"> professionalism about what the child needs.</w:t>
      </w:r>
      <w:r>
        <w:rPr>
          <w:iCs/>
        </w:rPr>
        <w:t>”</w:t>
      </w:r>
      <w:r w:rsidRPr="008863B6">
        <w:rPr>
          <w:iCs/>
        </w:rPr>
        <w:t xml:space="preserve"> (VSH7)</w:t>
      </w:r>
    </w:p>
    <w:p w14:paraId="506C2074" w14:textId="53814D93" w:rsidR="008863B6" w:rsidRPr="00642C6F" w:rsidRDefault="008863B6" w:rsidP="00642C6F">
      <w:pPr>
        <w:pStyle w:val="Newparagraph"/>
        <w:ind w:firstLine="0"/>
        <w:rPr>
          <w:iCs/>
        </w:rPr>
      </w:pPr>
      <w:r w:rsidRPr="008863B6">
        <w:t xml:space="preserve">Only one </w:t>
      </w:r>
      <w:r w:rsidR="00642C6F">
        <w:t>person</w:t>
      </w:r>
      <w:r w:rsidRPr="008863B6">
        <w:t xml:space="preserve"> said that determining the needs of autistic children in care is the responsibility of the LA SEND team and that this knowledge does not rest with the virtual school</w:t>
      </w:r>
      <w:r w:rsidR="007E1F42">
        <w:t>.</w:t>
      </w:r>
    </w:p>
    <w:p w14:paraId="68E9DB64" w14:textId="1BC25820" w:rsidR="008863B6" w:rsidRPr="008863B6" w:rsidRDefault="008863B6" w:rsidP="0018088D">
      <w:pPr>
        <w:pStyle w:val="Heading4Paragraph"/>
      </w:pPr>
      <w:bookmarkStart w:id="10" w:name="_Toc461605594"/>
      <w:r w:rsidRPr="008863B6">
        <w:t>The diversity of different virtual school teams</w:t>
      </w:r>
      <w:bookmarkEnd w:id="10"/>
      <w:r w:rsidR="00A113FD">
        <w:t xml:space="preserve">. </w:t>
      </w:r>
      <w:r w:rsidRPr="008863B6">
        <w:t xml:space="preserve">Every VSH commented on the structure and the size of their team, describing the hierarchy, or lack thereof, and </w:t>
      </w:r>
      <w:r w:rsidR="00964BDF">
        <w:t xml:space="preserve">the differing </w:t>
      </w:r>
      <w:r w:rsidRPr="008863B6">
        <w:t>roles of team members. The</w:t>
      </w:r>
      <w:r w:rsidR="00964BDF">
        <w:t>se</w:t>
      </w:r>
      <w:r w:rsidRPr="008863B6">
        <w:t xml:space="preserve"> roles were different in every LA, with most teams including educational support workers, whilst one team (VSH5) also had social pedagogues and specialist</w:t>
      </w:r>
      <w:r w:rsidR="00964BDF">
        <w:t>s</w:t>
      </w:r>
      <w:r w:rsidRPr="008863B6">
        <w:t xml:space="preserve"> </w:t>
      </w:r>
      <w:r w:rsidR="00964BDF">
        <w:t>i</w:t>
      </w:r>
      <w:r w:rsidRPr="008863B6">
        <w:t xml:space="preserve">ncluding educational psychologists, occupational therapists and speech and language therapists.  </w:t>
      </w:r>
      <w:r w:rsidR="000B2942">
        <w:t xml:space="preserve">This meant </w:t>
      </w:r>
      <w:r w:rsidRPr="008863B6">
        <w:t>that the focus for the support provided for pupils was different within each team</w:t>
      </w:r>
      <w:r w:rsidR="00101710">
        <w:t>.</w:t>
      </w:r>
    </w:p>
    <w:p w14:paraId="78B1BBB8" w14:textId="0530EE8C" w:rsidR="000B2942" w:rsidRDefault="000B2942" w:rsidP="008863B6">
      <w:pPr>
        <w:pStyle w:val="Newparagraph"/>
      </w:pPr>
      <w:r>
        <w:t>E</w:t>
      </w:r>
      <w:r w:rsidR="008863B6" w:rsidRPr="008863B6">
        <w:t>very VSH also reflected on the size of their team in relation to the size of their caseload</w:t>
      </w:r>
      <w:r w:rsidR="00964BDF">
        <w:t>, typically</w:t>
      </w:r>
      <w:r w:rsidR="008863B6" w:rsidRPr="008863B6">
        <w:t xml:space="preserve"> to emphasise how small the team was in relation to the number of pupils support</w:t>
      </w:r>
      <w:r w:rsidR="00964BDF">
        <w:t>ed</w:t>
      </w:r>
      <w:r w:rsidR="008863B6" w:rsidRPr="008863B6">
        <w:t xml:space="preserve">:  </w:t>
      </w:r>
    </w:p>
    <w:p w14:paraId="7FEDC472" w14:textId="77777777" w:rsidR="000B2942" w:rsidRDefault="008863B6" w:rsidP="008863B6">
      <w:pPr>
        <w:pStyle w:val="Newparagraph"/>
      </w:pPr>
      <w:r w:rsidRPr="008863B6">
        <w:t xml:space="preserve">“We're a small team of six that have got over 340 children.”  (VSH1).  </w:t>
      </w:r>
    </w:p>
    <w:p w14:paraId="32E5CAEB" w14:textId="58626FB6" w:rsidR="008863B6" w:rsidRPr="008863B6" w:rsidRDefault="008863B6" w:rsidP="000B2942">
      <w:pPr>
        <w:pStyle w:val="Newparagraph"/>
        <w:ind w:firstLine="0"/>
      </w:pPr>
      <w:r w:rsidRPr="008863B6">
        <w:lastRenderedPageBreak/>
        <w:t>One of the challenges that virtual schools face when they have small teams and high caseloads, is that they are unable to attend</w:t>
      </w:r>
      <w:r w:rsidR="00642C6F">
        <w:t xml:space="preserve"> Personal Education Plan</w:t>
      </w:r>
      <w:r w:rsidRPr="008863B6">
        <w:t xml:space="preserve"> </w:t>
      </w:r>
      <w:r w:rsidR="00642C6F">
        <w:t>[</w:t>
      </w:r>
      <w:r w:rsidRPr="008863B6">
        <w:t>PEP</w:t>
      </w:r>
      <w:r w:rsidR="00642C6F">
        <w:t>]</w:t>
      </w:r>
      <w:r w:rsidR="00642C6F">
        <w:rPr>
          <w:rStyle w:val="FootnoteReference"/>
        </w:rPr>
        <w:footnoteReference w:id="2"/>
      </w:r>
      <w:r w:rsidRPr="008863B6">
        <w:t xml:space="preserve"> meetings</w:t>
      </w:r>
      <w:r w:rsidRPr="00807DB4">
        <w:t>.</w:t>
      </w:r>
      <w:r w:rsidRPr="008863B6">
        <w:t xml:space="preserve">  When asked about their capacity to attend PEP</w:t>
      </w:r>
      <w:r w:rsidR="00101710">
        <w:t xml:space="preserve"> meetings</w:t>
      </w:r>
      <w:r w:rsidRPr="008863B6">
        <w:t>, one of the VSHs expressed their frustration around not being able to have their staff attend to ensure that they are conducted appropriately:</w:t>
      </w:r>
    </w:p>
    <w:p w14:paraId="34A67456" w14:textId="346374C4" w:rsidR="008863B6" w:rsidRPr="008863B6" w:rsidRDefault="000B2942" w:rsidP="000B2942">
      <w:pPr>
        <w:pStyle w:val="Newparagraph"/>
        <w:ind w:left="720" w:firstLine="0"/>
        <w:rPr>
          <w:iCs/>
        </w:rPr>
      </w:pPr>
      <w:r>
        <w:rPr>
          <w:iCs/>
        </w:rPr>
        <w:t>“</w:t>
      </w:r>
      <w:r w:rsidR="008863B6" w:rsidRPr="008863B6">
        <w:rPr>
          <w:iCs/>
        </w:rPr>
        <w:t xml:space="preserve">When I first started this job I wanted a team that was big enough </w:t>
      </w:r>
      <w:proofErr w:type="spellStart"/>
      <w:r w:rsidR="008863B6" w:rsidRPr="008863B6">
        <w:rPr>
          <w:iCs/>
        </w:rPr>
        <w:t>th</w:t>
      </w:r>
      <w:proofErr w:type="spellEnd"/>
      <w:r w:rsidR="008863B6" w:rsidRPr="008863B6">
        <w:rPr>
          <w:iCs/>
        </w:rPr>
        <w:t>[</w:t>
      </w:r>
      <w:proofErr w:type="spellStart"/>
      <w:r w:rsidR="008863B6" w:rsidRPr="008863B6">
        <w:rPr>
          <w:iCs/>
        </w:rPr>
        <w:t>ey</w:t>
      </w:r>
      <w:proofErr w:type="spellEnd"/>
      <w:r w:rsidR="008863B6" w:rsidRPr="008863B6">
        <w:rPr>
          <w:iCs/>
        </w:rPr>
        <w:t>] could go [to PEPs]…because I think when we are there it really helps with the quality of what’s being discussed and the challenge and the support.</w:t>
      </w:r>
      <w:r>
        <w:rPr>
          <w:iCs/>
        </w:rPr>
        <w:t xml:space="preserve">” </w:t>
      </w:r>
      <w:r w:rsidR="008863B6" w:rsidRPr="008863B6">
        <w:rPr>
          <w:iCs/>
        </w:rPr>
        <w:t xml:space="preserve"> (VSH8).</w:t>
      </w:r>
    </w:p>
    <w:p w14:paraId="70C9D9D9" w14:textId="77777777" w:rsidR="008863B6" w:rsidRPr="008863B6" w:rsidRDefault="008863B6" w:rsidP="000B2942">
      <w:pPr>
        <w:pStyle w:val="Newparagraph"/>
        <w:ind w:firstLine="0"/>
      </w:pPr>
      <w:r w:rsidRPr="008863B6">
        <w:t>Another VSH described how they had tried to overcome this challenge by positioning themselves as facilitators of positive relationships between the professionals who were able to attend the PEPs:</w:t>
      </w:r>
    </w:p>
    <w:p w14:paraId="0AB750C9" w14:textId="526F5216" w:rsidR="008863B6" w:rsidRPr="008863B6" w:rsidRDefault="000B2942" w:rsidP="000B2942">
      <w:pPr>
        <w:pStyle w:val="Newparagraph"/>
        <w:ind w:left="720" w:firstLine="0"/>
        <w:rPr>
          <w:iCs/>
        </w:rPr>
      </w:pPr>
      <w:r>
        <w:rPr>
          <w:iCs/>
        </w:rPr>
        <w:t>“</w:t>
      </w:r>
      <w:r w:rsidR="008863B6" w:rsidRPr="008863B6">
        <w:rPr>
          <w:iCs/>
        </w:rPr>
        <w:t xml:space="preserve">I think it's about us… facilitating even better relationships with our </w:t>
      </w:r>
      <w:r w:rsidR="00F35FC8">
        <w:rPr>
          <w:iCs/>
        </w:rPr>
        <w:t>s</w:t>
      </w:r>
      <w:r w:rsidR="008863B6" w:rsidRPr="008863B6">
        <w:rPr>
          <w:iCs/>
        </w:rPr>
        <w:t xml:space="preserve">ocial </w:t>
      </w:r>
      <w:r w:rsidR="00F35FC8">
        <w:rPr>
          <w:iCs/>
        </w:rPr>
        <w:t>w</w:t>
      </w:r>
      <w:r w:rsidR="008863B6" w:rsidRPr="008863B6">
        <w:rPr>
          <w:iCs/>
        </w:rPr>
        <w:t>orkers and schools, trying to get them working better together jointly, and it's all about doing ourselves out of a job.</w:t>
      </w:r>
      <w:r>
        <w:rPr>
          <w:iCs/>
        </w:rPr>
        <w:t xml:space="preserve">” </w:t>
      </w:r>
      <w:r w:rsidR="008863B6" w:rsidRPr="008863B6">
        <w:rPr>
          <w:iCs/>
        </w:rPr>
        <w:t xml:space="preserve"> (VSH2)</w:t>
      </w:r>
    </w:p>
    <w:p w14:paraId="682A04E6" w14:textId="7E9D240E" w:rsidR="008863B6" w:rsidRPr="008863B6" w:rsidRDefault="008863B6" w:rsidP="00A113FD">
      <w:pPr>
        <w:pStyle w:val="Heading4Paragraph"/>
      </w:pPr>
      <w:bookmarkStart w:id="11" w:name="_Toc461605595"/>
      <w:r w:rsidRPr="008863B6">
        <w:t>National implementation</w:t>
      </w:r>
      <w:bookmarkEnd w:id="11"/>
      <w:r w:rsidR="00A113FD">
        <w:t xml:space="preserve">. </w:t>
      </w:r>
      <w:r w:rsidRPr="008863B6">
        <w:t xml:space="preserve">Virtual schools are somewhat unique in that they </w:t>
      </w:r>
      <w:r w:rsidR="008848A9" w:rsidRPr="008863B6">
        <w:t>must</w:t>
      </w:r>
      <w:r w:rsidR="000B2942">
        <w:t xml:space="preserve"> potentially</w:t>
      </w:r>
      <w:r w:rsidRPr="008863B6">
        <w:t xml:space="preserve"> liaise and negotiate with every LA in the country because a child in care may be placed wherever there is appropriate provision for them.  This requires VSHs to communicate</w:t>
      </w:r>
      <w:r w:rsidR="000B2942">
        <w:t>, and share information,</w:t>
      </w:r>
      <w:r w:rsidRPr="008863B6">
        <w:t xml:space="preserve"> with SEND teams across England to ensure that the child has access to the best possible educational provision.  Managing this can be challenging and requires a high level of trust, both interdepartmentally between SEND teams and virtual schools, as well as between different LAs.</w:t>
      </w:r>
    </w:p>
    <w:p w14:paraId="3FF76687" w14:textId="410768F9" w:rsidR="000B2942" w:rsidRDefault="008863B6" w:rsidP="008863B6">
      <w:pPr>
        <w:pStyle w:val="Newparagraph"/>
      </w:pPr>
      <w:r w:rsidRPr="008863B6">
        <w:lastRenderedPageBreak/>
        <w:t>Two of the eight VSHs commented on the Education (Areas to Which Pupils and Students Belong) Regulations 1996, commonly known as the ‘Belonging Regulations’</w:t>
      </w:r>
      <w:r w:rsidR="00964BDF">
        <w:t>, which</w:t>
      </w:r>
      <w:r w:rsidRPr="008863B6">
        <w:t xml:space="preserve"> state that children belong to the LA where they were taken into care.  However, if a child has an EHCP then the responsibility for assessment and provision lies with the LA where they are currently placed, even if that is in </w:t>
      </w:r>
      <w:r w:rsidR="00964BDF">
        <w:t xml:space="preserve">a </w:t>
      </w:r>
      <w:r w:rsidRPr="008863B6">
        <w:t>different part of the country.  VSHs explained that these regulations were a significant barrier in providing the best support for children in care</w:t>
      </w:r>
      <w:r w:rsidR="00FF4C52">
        <w:t>, partly because</w:t>
      </w:r>
      <w:r w:rsidR="00FF4C52" w:rsidRPr="00FF4C52">
        <w:t xml:space="preserve"> </w:t>
      </w:r>
      <w:r w:rsidR="00FF4C52" w:rsidRPr="008863B6">
        <w:t>it created challenges for the sharing of information in a timely manner</w:t>
      </w:r>
      <w:r w:rsidR="00FF4C52">
        <w:t>:</w:t>
      </w:r>
      <w:r w:rsidR="00FF4C52" w:rsidRPr="008863B6">
        <w:t xml:space="preserve"> </w:t>
      </w:r>
      <w:r w:rsidRPr="008863B6">
        <w:t xml:space="preserve"> </w:t>
      </w:r>
    </w:p>
    <w:p w14:paraId="56AFC12E" w14:textId="276E68F4" w:rsidR="000B2942" w:rsidRDefault="008863B6" w:rsidP="00F85DB3">
      <w:pPr>
        <w:pStyle w:val="Newparagraph"/>
        <w:ind w:left="720" w:firstLine="0"/>
      </w:pPr>
      <w:r w:rsidRPr="008863B6">
        <w:t xml:space="preserve">“The </w:t>
      </w:r>
      <w:r w:rsidR="007B124F">
        <w:t>B</w:t>
      </w:r>
      <w:r w:rsidRPr="008863B6">
        <w:t xml:space="preserve">elongings </w:t>
      </w:r>
      <w:r w:rsidR="007B124F">
        <w:t>R</w:t>
      </w:r>
      <w:r w:rsidRPr="008863B6">
        <w:t xml:space="preserve">egulations are completely not fit for purpose for children looked after.”  (VSH3)  </w:t>
      </w:r>
    </w:p>
    <w:p w14:paraId="786741BE" w14:textId="0FA09E64" w:rsidR="008863B6" w:rsidRPr="008863B6" w:rsidRDefault="008863B6" w:rsidP="003A3EDD">
      <w:pPr>
        <w:pStyle w:val="Newparagraph"/>
        <w:ind w:firstLine="0"/>
        <w:rPr>
          <w:iCs/>
        </w:rPr>
      </w:pPr>
      <w:r w:rsidRPr="008863B6">
        <w:t>Furthermore, it was felt that the quality of support documents, such as EHCPs, could be better assured if they were the responsibility of the SEND team within the LA to which a child belonged, rather than where they were placed (where these were different)</w:t>
      </w:r>
      <w:r w:rsidR="000B2942">
        <w:t>.</w:t>
      </w:r>
      <w:r w:rsidR="003A3EDD">
        <w:t xml:space="preserve"> </w:t>
      </w:r>
      <w:r w:rsidRPr="008863B6">
        <w:t xml:space="preserve">One of the challenges described was convincing schools out of area that they should enrol a child in their school when the VSH had no prior relationship with the school. </w:t>
      </w:r>
    </w:p>
    <w:p w14:paraId="2C520658" w14:textId="328E3455" w:rsidR="008863B6" w:rsidRPr="008863B6" w:rsidRDefault="008848A9" w:rsidP="008848A9">
      <w:pPr>
        <w:pStyle w:val="Heading3"/>
      </w:pPr>
      <w:bookmarkStart w:id="12" w:name="_Toc461605596"/>
      <w:r>
        <w:t xml:space="preserve">Main theme 2: </w:t>
      </w:r>
      <w:r w:rsidR="008863B6" w:rsidRPr="008863B6">
        <w:t>Specialist knowledge of autism and attachment</w:t>
      </w:r>
      <w:bookmarkEnd w:id="12"/>
    </w:p>
    <w:p w14:paraId="1206F9A4" w14:textId="76651531" w:rsidR="008863B6" w:rsidRPr="008863B6" w:rsidRDefault="008863B6" w:rsidP="00A113FD">
      <w:pPr>
        <w:pStyle w:val="Heading4Paragraph"/>
      </w:pPr>
      <w:bookmarkStart w:id="13" w:name="_Toc461605597"/>
      <w:r w:rsidRPr="008863B6">
        <w:t>Attachment or autism?</w:t>
      </w:r>
      <w:bookmarkEnd w:id="13"/>
      <w:r w:rsidR="00A113FD">
        <w:t xml:space="preserve"> </w:t>
      </w:r>
      <w:r w:rsidR="00101710" w:rsidRPr="008863B6">
        <w:t>When discussing how to facilitate the needs of autistic pupils in care all the VSHs</w:t>
      </w:r>
      <w:r w:rsidR="003A3EDD">
        <w:t xml:space="preserve"> said</w:t>
      </w:r>
      <w:r w:rsidR="00101710" w:rsidRPr="008863B6">
        <w:t xml:space="preserve"> that this required specialist knowledge.  </w:t>
      </w:r>
      <w:r w:rsidRPr="008863B6">
        <w:t>Seven out of eight VSHs commented on their awareness of how the behaviours relating to an autism diagnosis and an attachment disorder can be similar.  As children in the care system may be more likely to have difficulties forming secure attachments due to their prior experience of familial care this raised concerns around whether a diagnosis of autism for some individuals within the virtual school w</w:t>
      </w:r>
      <w:r w:rsidR="00FF4C52">
        <w:t>as</w:t>
      </w:r>
      <w:r w:rsidRPr="008863B6">
        <w:t xml:space="preserve"> accurate.  Moreover, unpicking these </w:t>
      </w:r>
      <w:r w:rsidRPr="008863B6">
        <w:lastRenderedPageBreak/>
        <w:t xml:space="preserve">behaviours </w:t>
      </w:r>
      <w:r w:rsidR="00F85DB3" w:rsidRPr="008863B6">
        <w:t>to</w:t>
      </w:r>
      <w:r w:rsidRPr="008863B6">
        <w:t xml:space="preserve"> understand the best approach for support was acknowledged to be challenging:</w:t>
      </w:r>
    </w:p>
    <w:p w14:paraId="30A3C007" w14:textId="0A86A276" w:rsidR="008863B6" w:rsidRPr="008863B6" w:rsidRDefault="00F85DB3" w:rsidP="00F85DB3">
      <w:pPr>
        <w:pStyle w:val="Newparagraph"/>
        <w:ind w:left="720" w:firstLine="0"/>
        <w:rPr>
          <w:iCs/>
        </w:rPr>
      </w:pPr>
      <w:r>
        <w:rPr>
          <w:iCs/>
        </w:rPr>
        <w:t>“</w:t>
      </w:r>
      <w:r w:rsidR="008863B6" w:rsidRPr="008863B6">
        <w:rPr>
          <w:iCs/>
        </w:rPr>
        <w:t>Their behaviours that they’re displaying may be read as autism…but…we’ll look at it through an attachment lens and go, actually this looks like… rigidity in thinking, control, wanting and needing to control their behaviours…that look[s] like OCD.  So…[we think] are they on the spectrum, or are they not here?</w:t>
      </w:r>
      <w:r>
        <w:rPr>
          <w:iCs/>
        </w:rPr>
        <w:t>”</w:t>
      </w:r>
      <w:r w:rsidR="008863B6" w:rsidRPr="008863B6">
        <w:rPr>
          <w:iCs/>
        </w:rPr>
        <w:t xml:space="preserve"> (VSH1)</w:t>
      </w:r>
    </w:p>
    <w:p w14:paraId="07F26C3B" w14:textId="072B9033" w:rsidR="00BB43D6" w:rsidRDefault="008863B6" w:rsidP="00B1736C">
      <w:pPr>
        <w:pStyle w:val="Newparagraph"/>
        <w:ind w:firstLine="0"/>
      </w:pPr>
      <w:r w:rsidRPr="008863B6">
        <w:t xml:space="preserve">VSHs were also aware that although the presentation of behaviours may appear similar, the support and interventions that may be most beneficial </w:t>
      </w:r>
      <w:r w:rsidR="00FF4C52">
        <w:t>were</w:t>
      </w:r>
      <w:r w:rsidRPr="008863B6">
        <w:t xml:space="preserve"> likely to be different</w:t>
      </w:r>
      <w:r w:rsidR="00BB43D6" w:rsidRPr="00BB43D6">
        <w:t xml:space="preserve"> </w:t>
      </w:r>
      <w:r w:rsidR="00BB43D6" w:rsidRPr="008863B6">
        <w:t>and therefore procuring an accurate diagnosis was essential</w:t>
      </w:r>
      <w:r w:rsidRPr="008863B6">
        <w:t xml:space="preserve">: </w:t>
      </w:r>
    </w:p>
    <w:p w14:paraId="0865BE3A" w14:textId="423F6E84" w:rsidR="00BB43D6" w:rsidRDefault="008863B6" w:rsidP="00BB43D6">
      <w:pPr>
        <w:pStyle w:val="Newparagraph"/>
        <w:ind w:left="720" w:firstLine="0"/>
      </w:pPr>
      <w:r w:rsidRPr="008863B6">
        <w:t>“Autism, well, it would be more sensory processing based and more emotional regulation, but with attachment or trauma it could be an element of nurturing which could make a difference</w:t>
      </w:r>
      <w:r w:rsidR="00BB43D6">
        <w:t>.</w:t>
      </w:r>
      <w:r w:rsidRPr="008863B6">
        <w:t>” (VSH5)</w:t>
      </w:r>
    </w:p>
    <w:p w14:paraId="3A507D00" w14:textId="1BF5D590" w:rsidR="00BB43D6" w:rsidRDefault="008863B6" w:rsidP="00BB43D6">
      <w:pPr>
        <w:pStyle w:val="Newparagraph"/>
        <w:ind w:firstLine="0"/>
      </w:pPr>
      <w:r w:rsidRPr="008863B6">
        <w:t>Three out of eight of the VSHs also mentioned the Coventry Grid (Moran, 2015)</w:t>
      </w:r>
      <w:r w:rsidR="00BA48AE">
        <w:rPr>
          <w:rStyle w:val="FootnoteReference"/>
        </w:rPr>
        <w:footnoteReference w:id="3"/>
      </w:r>
      <w:r w:rsidRPr="008863B6">
        <w:t xml:space="preserve"> as a tool for unpicking these needs, although they described how the responsibility and knowledge for this lay with external professionals</w:t>
      </w:r>
      <w:r w:rsidR="00361029">
        <w:t>, for example</w:t>
      </w:r>
      <w:r w:rsidRPr="008863B6">
        <w:t xml:space="preserve">: </w:t>
      </w:r>
    </w:p>
    <w:p w14:paraId="38A442A8" w14:textId="77128143" w:rsidR="00BB43D6" w:rsidRDefault="008863B6" w:rsidP="00BB43D6">
      <w:pPr>
        <w:pStyle w:val="Newparagraph"/>
        <w:ind w:left="720" w:firstLine="0"/>
      </w:pPr>
      <w:r w:rsidRPr="008863B6">
        <w:t xml:space="preserve">“The diagnosis is done by the designated doctor in the CAMHS team so I’m aware of the Coventry </w:t>
      </w:r>
      <w:r w:rsidR="00BA48AE">
        <w:t>G</w:t>
      </w:r>
      <w:r w:rsidRPr="008863B6">
        <w:t xml:space="preserve">rid but we don’t use it.”  (VSH5)  </w:t>
      </w:r>
    </w:p>
    <w:p w14:paraId="613CC522" w14:textId="53B9D46D" w:rsidR="00CB53C3" w:rsidRDefault="00CB53C3" w:rsidP="00CB53C3">
      <w:pPr>
        <w:pStyle w:val="Newparagraph"/>
        <w:ind w:firstLine="0"/>
      </w:pPr>
      <w:r>
        <w:t>Nevertheless, i</w:t>
      </w:r>
      <w:r w:rsidR="007A0D74">
        <w:t>t</w:t>
      </w:r>
      <w:r w:rsidR="008863B6" w:rsidRPr="008863B6">
        <w:t xml:space="preserve"> was also felt that autism related needs were better understood by educational professionals than they may be by carers: </w:t>
      </w:r>
    </w:p>
    <w:p w14:paraId="6154DD08" w14:textId="77777777" w:rsidR="00CB53C3" w:rsidRDefault="008863B6" w:rsidP="00CB53C3">
      <w:pPr>
        <w:pStyle w:val="Newparagraph"/>
        <w:ind w:left="720" w:firstLine="0"/>
      </w:pPr>
      <w:r w:rsidRPr="008863B6">
        <w:t xml:space="preserve">“what we find…in the main, the schools are better at dealing with [autism related needs and strengths] than the residential [care homes] or the carers.”  (VSH6) </w:t>
      </w:r>
    </w:p>
    <w:p w14:paraId="4B2D8DE0" w14:textId="04196C12" w:rsidR="008863B6" w:rsidRPr="008863B6" w:rsidRDefault="008863B6" w:rsidP="00CB53C3">
      <w:pPr>
        <w:pStyle w:val="Newparagraph"/>
        <w:ind w:firstLine="0"/>
      </w:pPr>
      <w:r w:rsidRPr="008863B6">
        <w:lastRenderedPageBreak/>
        <w:t xml:space="preserve">This raises </w:t>
      </w:r>
      <w:r w:rsidR="009F5D8E">
        <w:t>a</w:t>
      </w:r>
      <w:r w:rsidRPr="008863B6">
        <w:t xml:space="preserve"> question</w:t>
      </w:r>
      <w:r w:rsidR="009F5D8E">
        <w:t xml:space="preserve"> about</w:t>
      </w:r>
      <w:r w:rsidRPr="008863B6">
        <w:t xml:space="preserve"> whose responsibility it is to ensure that </w:t>
      </w:r>
      <w:r w:rsidR="00BB43D6" w:rsidRPr="008863B6">
        <w:t>all</w:t>
      </w:r>
      <w:r w:rsidRPr="008863B6">
        <w:t xml:space="preserve"> adults around the child have the requisite skills and knowledge to support autistic children in care.  </w:t>
      </w:r>
    </w:p>
    <w:p w14:paraId="40E786CD" w14:textId="6C00D57B" w:rsidR="008863B6" w:rsidRPr="008863B6" w:rsidRDefault="008863B6" w:rsidP="00A113FD">
      <w:pPr>
        <w:pStyle w:val="Heading4Paragraph"/>
      </w:pPr>
      <w:bookmarkStart w:id="14" w:name="_Toc461605598"/>
      <w:r w:rsidRPr="008863B6">
        <w:t>Training</w:t>
      </w:r>
      <w:bookmarkEnd w:id="14"/>
      <w:r w:rsidR="00A113FD">
        <w:t xml:space="preserve">. </w:t>
      </w:r>
      <w:r w:rsidRPr="008863B6">
        <w:t xml:space="preserve">Every VSH interviewed </w:t>
      </w:r>
      <w:r w:rsidR="002A13A4" w:rsidRPr="008863B6">
        <w:t>referred</w:t>
      </w:r>
      <w:r w:rsidRPr="008863B6">
        <w:t xml:space="preserve"> to the training that they offer</w:t>
      </w:r>
      <w:r w:rsidR="009F5D8E">
        <w:t>, which</w:t>
      </w:r>
      <w:r w:rsidRPr="008863B6">
        <w:t xml:space="preserve"> was delivered to a wide range of professionals including </w:t>
      </w:r>
      <w:r w:rsidR="00F35FC8">
        <w:t>d</w:t>
      </w:r>
      <w:r w:rsidRPr="008863B6">
        <w:t xml:space="preserve">esignated </w:t>
      </w:r>
      <w:r w:rsidR="00F35FC8">
        <w:t>t</w:t>
      </w:r>
      <w:r w:rsidRPr="008863B6">
        <w:t>eachers, residential care workers, and social workers.  Given virtual school staff’s expertise and specialist knowledge in the educational needs of children in care, VSHs felt confident in the delivery of this training:</w:t>
      </w:r>
    </w:p>
    <w:p w14:paraId="0D2B4B7B" w14:textId="2B9B5ECD" w:rsidR="008863B6" w:rsidRPr="008863B6" w:rsidRDefault="00CB53C3" w:rsidP="00CB53C3">
      <w:pPr>
        <w:pStyle w:val="Newparagraph"/>
        <w:ind w:left="720" w:firstLine="0"/>
        <w:rPr>
          <w:iCs/>
        </w:rPr>
      </w:pPr>
      <w:r>
        <w:rPr>
          <w:iCs/>
        </w:rPr>
        <w:t>“</w:t>
      </w:r>
      <w:r w:rsidR="008863B6" w:rsidRPr="008863B6">
        <w:rPr>
          <w:iCs/>
        </w:rPr>
        <w:t>If the child has needs we go into school, meet up with the safeguarding lead, the designated teacher, do a classroom observation, and if needed we offer training for every single staff who work with the children.</w:t>
      </w:r>
      <w:r>
        <w:rPr>
          <w:iCs/>
        </w:rPr>
        <w:t>”</w:t>
      </w:r>
      <w:r w:rsidR="008863B6" w:rsidRPr="008863B6">
        <w:rPr>
          <w:iCs/>
        </w:rPr>
        <w:t xml:space="preserve">  (VSH5)</w:t>
      </w:r>
    </w:p>
    <w:p w14:paraId="044F2E7F" w14:textId="1DB67E1E" w:rsidR="00CB53C3" w:rsidRDefault="008863B6" w:rsidP="00CB53C3">
      <w:pPr>
        <w:pStyle w:val="Newparagraph"/>
        <w:ind w:firstLine="0"/>
      </w:pPr>
      <w:r w:rsidRPr="008863B6">
        <w:t>When delivering training to school staff</w:t>
      </w:r>
      <w:r w:rsidR="0066380E">
        <w:t xml:space="preserve">, it was felt that the responsibility for </w:t>
      </w:r>
      <w:r w:rsidRPr="008863B6">
        <w:t xml:space="preserve">deciding on what this training should entail </w:t>
      </w:r>
      <w:r w:rsidR="0066380E">
        <w:t>lay with</w:t>
      </w:r>
      <w:r w:rsidRPr="008863B6">
        <w:t xml:space="preserve"> the VSH: </w:t>
      </w:r>
    </w:p>
    <w:p w14:paraId="50FB5B77" w14:textId="6CB7823F" w:rsidR="008863B6" w:rsidRPr="008863B6" w:rsidRDefault="008863B6" w:rsidP="00CB53C3">
      <w:pPr>
        <w:pStyle w:val="Newparagraph"/>
        <w:ind w:left="720" w:firstLine="0"/>
      </w:pPr>
      <w:r w:rsidRPr="008863B6">
        <w:t>“It’s based on your knowledge of the cohort, i.e. the children who are your children being in the school.”  (VSH6).</w:t>
      </w:r>
    </w:p>
    <w:p w14:paraId="552159FD" w14:textId="5AC0FF10" w:rsidR="008863B6" w:rsidRPr="008863B6" w:rsidRDefault="008863B6" w:rsidP="00CB53C3">
      <w:pPr>
        <w:pStyle w:val="Newparagraph"/>
        <w:ind w:firstLine="0"/>
      </w:pPr>
      <w:r w:rsidRPr="008863B6">
        <w:t>Six out of eight VSHs commented on how they would also deliver training to social workers and foster carers</w:t>
      </w:r>
      <w:r w:rsidR="00CB53C3">
        <w:t xml:space="preserve">. </w:t>
      </w:r>
      <w:r w:rsidRPr="008863B6">
        <w:t xml:space="preserve">Training was described as a tool to help facilitate positive relationships across social care and education.  Delivering training also served </w:t>
      </w:r>
      <w:r w:rsidR="00CB53C3" w:rsidRPr="008863B6">
        <w:t>to</w:t>
      </w:r>
      <w:r w:rsidRPr="008863B6">
        <w:t xml:space="preserve"> maintain contact with teachers and ensure the quality of the work being done in school with children in care.  Ensuring that both social care teams and school staff had the same knowledge and approaches to supporting children in care allowed the virtual school staff to take a step back and empower other professionals:</w:t>
      </w:r>
    </w:p>
    <w:p w14:paraId="7B863020" w14:textId="36F30B79" w:rsidR="008863B6" w:rsidRPr="008863B6" w:rsidRDefault="00CB53C3" w:rsidP="00CB53C3">
      <w:pPr>
        <w:pStyle w:val="Newparagraph"/>
        <w:ind w:left="720" w:firstLine="0"/>
        <w:rPr>
          <w:iCs/>
        </w:rPr>
      </w:pPr>
      <w:r>
        <w:rPr>
          <w:iCs/>
        </w:rPr>
        <w:t>“</w:t>
      </w:r>
      <w:r w:rsidR="008863B6" w:rsidRPr="008863B6">
        <w:rPr>
          <w:iCs/>
        </w:rPr>
        <w:t>It's enabled us to support schools, [our staff] do themselves out of a job because they're training up our social workers and our social worker workforce is getting much more person centred in its approach.</w:t>
      </w:r>
      <w:r>
        <w:rPr>
          <w:iCs/>
        </w:rPr>
        <w:t>”</w:t>
      </w:r>
      <w:r w:rsidR="008863B6" w:rsidRPr="008863B6">
        <w:rPr>
          <w:iCs/>
        </w:rPr>
        <w:t xml:space="preserve">  (VSH2)</w:t>
      </w:r>
    </w:p>
    <w:p w14:paraId="65F12712" w14:textId="56BA9D0C" w:rsidR="008863B6" w:rsidRPr="008863B6" w:rsidRDefault="008863B6" w:rsidP="00CB53C3">
      <w:pPr>
        <w:pStyle w:val="Newparagraph"/>
        <w:ind w:firstLine="0"/>
      </w:pPr>
      <w:r w:rsidRPr="008863B6">
        <w:lastRenderedPageBreak/>
        <w:t>However</w:t>
      </w:r>
      <w:r w:rsidR="00CB53C3">
        <w:t>,</w:t>
      </w:r>
      <w:r w:rsidRPr="008863B6">
        <w:t xml:space="preserve"> another commented on how, due to the structure of their LA, and the instability within the social care team, training staff within social care was not seen as a valuable use of their time. This was particularly described in terms of training workers in areas such as autism.  Although VSHs expressed a desire to share knowledge with social care teams and residential children’s home workers the question of whether this was their responsibility, or if a different team should undertake this, was raised:</w:t>
      </w:r>
    </w:p>
    <w:p w14:paraId="6F74C9A8" w14:textId="60DBAC5F" w:rsidR="008863B6" w:rsidRPr="008863B6" w:rsidRDefault="00BA48AE" w:rsidP="00CB53C3">
      <w:pPr>
        <w:pStyle w:val="Newparagraph"/>
        <w:ind w:left="720" w:firstLine="0"/>
        <w:rPr>
          <w:iCs/>
        </w:rPr>
      </w:pPr>
      <w:r>
        <w:rPr>
          <w:iCs/>
        </w:rPr>
        <w:t>“</w:t>
      </w:r>
      <w:r w:rsidR="008863B6" w:rsidRPr="008863B6">
        <w:rPr>
          <w:iCs/>
        </w:rPr>
        <w:t>There are other people who should be upskilling in those areas…we end up being the people who do it.  But it’s questionable whether we should be doing as much of it as we are in some of the areas we’re doing it because…we’re a small team.</w:t>
      </w:r>
      <w:r>
        <w:rPr>
          <w:iCs/>
        </w:rPr>
        <w:t>”</w:t>
      </w:r>
      <w:r w:rsidR="008863B6" w:rsidRPr="008863B6">
        <w:rPr>
          <w:iCs/>
        </w:rPr>
        <w:t xml:space="preserve"> (VSH6)</w:t>
      </w:r>
    </w:p>
    <w:p w14:paraId="55571281" w14:textId="1175054D" w:rsidR="008863B6" w:rsidRPr="00962BD7" w:rsidRDefault="008863B6" w:rsidP="00962BD7">
      <w:pPr>
        <w:pStyle w:val="Heading4Paragraph"/>
      </w:pPr>
      <w:bookmarkStart w:id="15" w:name="_Toc461605599"/>
      <w:r w:rsidRPr="008863B6">
        <w:t>Limits of VSHs’ knowledge of autism</w:t>
      </w:r>
      <w:bookmarkEnd w:id="15"/>
      <w:r w:rsidR="00962BD7">
        <w:t xml:space="preserve">. </w:t>
      </w:r>
      <w:r w:rsidRPr="008863B6">
        <w:t>Three of the VSHs were transparent about th</w:t>
      </w:r>
      <w:r w:rsidR="00CB53C3">
        <w:t>e</w:t>
      </w:r>
      <w:r w:rsidRPr="008863B6">
        <w:t xml:space="preserve"> limitations of their knowledge around supporting students with a diagnosis of autism</w:t>
      </w:r>
      <w:r w:rsidR="00BA48AE">
        <w:t>, for example:</w:t>
      </w:r>
    </w:p>
    <w:p w14:paraId="086DC9CA" w14:textId="5D7A521D" w:rsidR="008863B6" w:rsidRPr="008863B6" w:rsidRDefault="00CB53C3" w:rsidP="00CB53C3">
      <w:pPr>
        <w:pStyle w:val="Newparagraph"/>
        <w:ind w:left="720" w:firstLine="0"/>
        <w:rPr>
          <w:iCs/>
        </w:rPr>
      </w:pPr>
      <w:r>
        <w:rPr>
          <w:iCs/>
        </w:rPr>
        <w:t>“</w:t>
      </w:r>
      <w:r w:rsidR="008863B6" w:rsidRPr="008863B6">
        <w:rPr>
          <w:iCs/>
        </w:rPr>
        <w:t>I have the knowledge if you like, of a teacher, of a general teacher. I do not have any specialist knowledge around autism, I’ve met autistic children, I’ve had autistic children in my school, so I’ve…got the knowledge that you would expect to find in a state maintained school, which I think, anyone who knows autism would probably say, that’s not enough, but it is what it is.</w:t>
      </w:r>
      <w:r>
        <w:rPr>
          <w:iCs/>
        </w:rPr>
        <w:t xml:space="preserve">” </w:t>
      </w:r>
      <w:r w:rsidR="008863B6" w:rsidRPr="008863B6">
        <w:rPr>
          <w:iCs/>
        </w:rPr>
        <w:t xml:space="preserve"> (VSH7).</w:t>
      </w:r>
    </w:p>
    <w:p w14:paraId="66490413" w14:textId="7880BD0A" w:rsidR="008863B6" w:rsidRDefault="002A13A4" w:rsidP="002A13A4">
      <w:pPr>
        <w:pStyle w:val="Newparagraph"/>
        <w:ind w:firstLine="0"/>
      </w:pPr>
      <w:r w:rsidRPr="008863B6">
        <w:t>All</w:t>
      </w:r>
      <w:r w:rsidR="008863B6" w:rsidRPr="008863B6">
        <w:t xml:space="preserve"> the VSHs explained how they employed staff who bring their own skills and knowledge base and the structure of the team is often designed to address these potential gaps in knowledge.  </w:t>
      </w:r>
    </w:p>
    <w:p w14:paraId="1A2E2F23" w14:textId="69D09BA2" w:rsidR="008863B6" w:rsidRPr="008863B6" w:rsidRDefault="0066380E" w:rsidP="0066380E">
      <w:pPr>
        <w:pStyle w:val="Heading3"/>
      </w:pPr>
      <w:bookmarkStart w:id="16" w:name="_Toc461605600"/>
      <w:r>
        <w:lastRenderedPageBreak/>
        <w:t xml:space="preserve">Main theme 3: </w:t>
      </w:r>
      <w:r w:rsidR="008863B6" w:rsidRPr="008863B6">
        <w:t>Strategies to provide support for children in care</w:t>
      </w:r>
      <w:bookmarkEnd w:id="16"/>
    </w:p>
    <w:p w14:paraId="7384D46B" w14:textId="4212CBFE" w:rsidR="0018088D" w:rsidRDefault="008863B6" w:rsidP="0018088D">
      <w:pPr>
        <w:pStyle w:val="Newparagraph"/>
      </w:pPr>
      <w:r w:rsidRPr="008863B6">
        <w:t xml:space="preserve">The three subthemes that comprise this main theme relate to statutory </w:t>
      </w:r>
      <w:r w:rsidR="00233C41">
        <w:t xml:space="preserve">tools </w:t>
      </w:r>
      <w:r w:rsidR="0066380E">
        <w:t>that impact on the sharing of information about a pupil and</w:t>
      </w:r>
      <w:r w:rsidR="00691EF3">
        <w:t xml:space="preserve"> the availability of appropriate support locally within LA provision.</w:t>
      </w:r>
      <w:r w:rsidR="0066380E">
        <w:t xml:space="preserve"> </w:t>
      </w:r>
      <w:bookmarkStart w:id="17" w:name="_Toc461605601"/>
    </w:p>
    <w:p w14:paraId="2F558419" w14:textId="71F62A51" w:rsidR="008863B6" w:rsidRPr="008863B6" w:rsidRDefault="008863B6" w:rsidP="0018088D">
      <w:pPr>
        <w:pStyle w:val="Newparagraph"/>
        <w:ind w:firstLine="0"/>
      </w:pPr>
      <w:r w:rsidRPr="008863B6">
        <w:t>Personal Education Plans (PEPs)</w:t>
      </w:r>
      <w:bookmarkEnd w:id="17"/>
      <w:r w:rsidR="0066380E">
        <w:t xml:space="preserve">. </w:t>
      </w:r>
      <w:r w:rsidRPr="008863B6">
        <w:t xml:space="preserve">All VSHs are legally required to ensure that every child within the virtual school has a PEP, and that these are updated once every half term. </w:t>
      </w:r>
      <w:r w:rsidR="0018088D" w:rsidRPr="008863B6">
        <w:t>The PEP is one of the most significant tools for collecting and sharing information for the individual child and the child should be involved in the development of these.</w:t>
      </w:r>
      <w:r w:rsidRPr="008863B6">
        <w:t xml:space="preserve"> </w:t>
      </w:r>
      <w:r w:rsidR="0018088D">
        <w:t>T</w:t>
      </w:r>
      <w:r w:rsidRPr="008863B6">
        <w:t xml:space="preserve">o complete the PEP the young person, the </w:t>
      </w:r>
      <w:r w:rsidR="00F35FC8">
        <w:t>d</w:t>
      </w:r>
      <w:r w:rsidRPr="008863B6">
        <w:t xml:space="preserve">esignated </w:t>
      </w:r>
      <w:r w:rsidR="00F35FC8">
        <w:t>t</w:t>
      </w:r>
      <w:r w:rsidRPr="008863B6">
        <w:t xml:space="preserve">eacher within the school, the child’s social worker and ideally a member of the virtual school team attend a meeting to discuss academic progress, personal sense of safety in school and barriers to progress.  The information is stored on a digital software tool called E-PEP which allows for sharing of information across LAs in case a child has a change of placement.  </w:t>
      </w:r>
    </w:p>
    <w:p w14:paraId="7EB97B02" w14:textId="77777777" w:rsidR="008863B6" w:rsidRPr="008863B6" w:rsidRDefault="008863B6" w:rsidP="008863B6">
      <w:pPr>
        <w:pStyle w:val="Newparagraph"/>
      </w:pPr>
      <w:r w:rsidRPr="008863B6">
        <w:t>Given the regularity with which these meetings occur they serve as an opportunity to address needs and strengths, but also to develop the relationships necessary to provide appropriate support for autistic children in care:</w:t>
      </w:r>
    </w:p>
    <w:p w14:paraId="2CB10A51" w14:textId="14BD576A" w:rsidR="008863B6" w:rsidRPr="008863B6" w:rsidRDefault="0018088D" w:rsidP="0018088D">
      <w:pPr>
        <w:pStyle w:val="Newparagraph"/>
        <w:ind w:left="720" w:firstLine="0"/>
        <w:rPr>
          <w:iCs/>
        </w:rPr>
      </w:pPr>
      <w:r>
        <w:rPr>
          <w:iCs/>
        </w:rPr>
        <w:t>“</w:t>
      </w:r>
      <w:r w:rsidR="008863B6" w:rsidRPr="008863B6">
        <w:rPr>
          <w:iCs/>
        </w:rPr>
        <w:t>The PEP meeting is a great time to build relationships and improve things.  I think the way we've managed it is to very clearly delineate who does what and who is responsible for what and play to each other’s strengths.</w:t>
      </w:r>
      <w:r>
        <w:rPr>
          <w:iCs/>
        </w:rPr>
        <w:t>”</w:t>
      </w:r>
      <w:r w:rsidR="008863B6" w:rsidRPr="008863B6">
        <w:rPr>
          <w:iCs/>
        </w:rPr>
        <w:t xml:space="preserve"> (VSH2)</w:t>
      </w:r>
    </w:p>
    <w:p w14:paraId="1EE59261" w14:textId="7830FEA6" w:rsidR="008863B6" w:rsidRPr="008863B6" w:rsidRDefault="008863B6" w:rsidP="0018088D">
      <w:pPr>
        <w:pStyle w:val="Newparagraph"/>
        <w:ind w:firstLine="0"/>
      </w:pPr>
      <w:r w:rsidRPr="008863B6">
        <w:t>Despite all</w:t>
      </w:r>
      <w:r w:rsidR="00EF102F">
        <w:t xml:space="preserve"> </w:t>
      </w:r>
      <w:r w:rsidRPr="008863B6">
        <w:t>the VSHs describing how valuable these meetings are in ensuring appropriate support and provision, they described their role as predomina</w:t>
      </w:r>
      <w:r w:rsidR="0018088D">
        <w:t>n</w:t>
      </w:r>
      <w:r w:rsidRPr="008863B6">
        <w:t>tly being one of oversight</w:t>
      </w:r>
      <w:r w:rsidR="0018088D">
        <w:t>: t</w:t>
      </w:r>
      <w:r w:rsidRPr="008863B6">
        <w:t>he VSHs collect the data from the PEPs, track the</w:t>
      </w:r>
      <w:r w:rsidR="0018088D">
        <w:t xml:space="preserve"> child’s</w:t>
      </w:r>
      <w:r w:rsidRPr="008863B6">
        <w:t xml:space="preserve"> academic progress </w:t>
      </w:r>
      <w:r w:rsidR="0018088D">
        <w:t>and</w:t>
      </w:r>
      <w:r w:rsidRPr="008863B6">
        <w:t xml:space="preserve"> sense of safety</w:t>
      </w:r>
      <w:r w:rsidR="0018088D">
        <w:t>,</w:t>
      </w:r>
      <w:r w:rsidRPr="008863B6">
        <w:t xml:space="preserve"> and intervene with questions to the school or the social worker if there are any causes for concern.  It was felt that this was done more effectively if a member of the virtual school team could attend, but due to the capacity of the teams, this was not often possible.  </w:t>
      </w:r>
    </w:p>
    <w:p w14:paraId="2AFB7CC5" w14:textId="15A692BB" w:rsidR="00C65ED3" w:rsidRDefault="008863B6" w:rsidP="003A3EDD">
      <w:pPr>
        <w:pStyle w:val="Newparagraph"/>
      </w:pPr>
      <w:r w:rsidRPr="008863B6">
        <w:lastRenderedPageBreak/>
        <w:t>Although virtual school staff found attendance at every PEP challenging, some VSHs had worked out ways to ensure that the meeting was as meaningful and efficient as possible.  This was particularly the case for pupils with an EHCP, as they felt able to influence how the PEP and the EHCP could feed into one another and thus enhance the quality of both documents</w:t>
      </w:r>
      <w:r w:rsidR="003A3EDD">
        <w:t>.</w:t>
      </w:r>
    </w:p>
    <w:p w14:paraId="12DC950E" w14:textId="4E1192EF" w:rsidR="008863B6" w:rsidRPr="008863B6" w:rsidRDefault="008863B6" w:rsidP="00BD599C">
      <w:pPr>
        <w:pStyle w:val="Newparagraph"/>
      </w:pPr>
      <w:r w:rsidRPr="008863B6">
        <w:t>There was significant variation in the approach to completing PEPs.  Although there is legal guidance about what needs to be covered in a PEP, there is disparity between how this information is collected.  One VSH explained how every PEP in their LA entailed the completion of a planning tool called Promoting Alternative Tomorrows with Hope (PATH) (VSH2), whilst others described it as a chance to complete an online survey of questions relating to progress and safety.  The PATH tool involves creating a visual representation of the child’s experience, and thus the data collected became more qualitative in nature, whereas online surveys produced quantitative data.  The variation of PEPs w</w:t>
      </w:r>
      <w:r w:rsidR="00BD599C">
        <w:t>as</w:t>
      </w:r>
      <w:r w:rsidRPr="008863B6">
        <w:t xml:space="preserve"> a cause for concern for one VSH due to the national implementation of the support being provided for young people:</w:t>
      </w:r>
    </w:p>
    <w:p w14:paraId="334EFDBF" w14:textId="0FBDC2F7" w:rsidR="008863B6" w:rsidRPr="008863B6" w:rsidRDefault="00C65ED3" w:rsidP="00C65ED3">
      <w:pPr>
        <w:pStyle w:val="Newparagraph"/>
        <w:ind w:left="720" w:firstLine="0"/>
        <w:rPr>
          <w:iCs/>
        </w:rPr>
      </w:pPr>
      <w:r>
        <w:rPr>
          <w:iCs/>
        </w:rPr>
        <w:t>“</w:t>
      </w:r>
      <w:r w:rsidR="008863B6" w:rsidRPr="008863B6">
        <w:rPr>
          <w:iCs/>
        </w:rPr>
        <w:t>[W]</w:t>
      </w:r>
      <w:proofErr w:type="spellStart"/>
      <w:r w:rsidR="008863B6" w:rsidRPr="008863B6">
        <w:rPr>
          <w:iCs/>
        </w:rPr>
        <w:t>e’ve</w:t>
      </w:r>
      <w:proofErr w:type="spellEnd"/>
      <w:r w:rsidR="008863B6" w:rsidRPr="008863B6">
        <w:rPr>
          <w:iCs/>
        </w:rPr>
        <w:t xml:space="preserve"> been on about having a national PEP and lots of us, we’re all on E-PEP now but we’ve still all got our own PEP within E-PEP and if you’re a designated teacher and you’ve got children from seven authorities all doing a different PEP yeah that’s a bit frustrating so there is absolute…discrepancy of variants between virtual school and virtual school</w:t>
      </w:r>
      <w:r>
        <w:rPr>
          <w:iCs/>
        </w:rPr>
        <w:t>.”</w:t>
      </w:r>
      <w:r w:rsidR="008863B6" w:rsidRPr="008863B6">
        <w:rPr>
          <w:iCs/>
        </w:rPr>
        <w:t xml:space="preserve"> (VSH8)</w:t>
      </w:r>
    </w:p>
    <w:p w14:paraId="7869630C" w14:textId="39043DEF" w:rsidR="008863B6" w:rsidRPr="008863B6" w:rsidRDefault="008863B6" w:rsidP="00C65ED3">
      <w:pPr>
        <w:pStyle w:val="Newparagraph"/>
        <w:ind w:firstLine="0"/>
      </w:pPr>
      <w:r w:rsidRPr="008863B6">
        <w:t xml:space="preserve">The concerns relating to this variation become more significant in the context of school staff and social workers facilitating a range of meetings, where the individuals who specifically understand the process for their LA </w:t>
      </w:r>
      <w:r w:rsidR="00C65ED3">
        <w:t>were</w:t>
      </w:r>
      <w:r w:rsidRPr="008863B6">
        <w:t xml:space="preserve"> unable to attend due to the capacity of the team.</w:t>
      </w:r>
    </w:p>
    <w:p w14:paraId="56640B49" w14:textId="0BC2590B" w:rsidR="008863B6" w:rsidRPr="008863B6" w:rsidRDefault="008863B6" w:rsidP="00C65ED3">
      <w:pPr>
        <w:pStyle w:val="Heading4Paragraph"/>
      </w:pPr>
      <w:bookmarkStart w:id="18" w:name="_Toc461605602"/>
      <w:r w:rsidRPr="008863B6">
        <w:lastRenderedPageBreak/>
        <w:t>Education, Health and Care Plans (EHCPs)</w:t>
      </w:r>
      <w:bookmarkEnd w:id="18"/>
      <w:r w:rsidR="00C65ED3">
        <w:t xml:space="preserve">. </w:t>
      </w:r>
      <w:r w:rsidRPr="008863B6">
        <w:t>Al</w:t>
      </w:r>
      <w:r w:rsidR="00C65ED3">
        <w:t>l</w:t>
      </w:r>
      <w:r w:rsidRPr="008863B6">
        <w:t xml:space="preserve"> the VSHs talked about how EHCPs facilitated their understanding of </w:t>
      </w:r>
      <w:r w:rsidR="00EF102F">
        <w:t xml:space="preserve">supporting individual </w:t>
      </w:r>
      <w:r w:rsidRPr="008863B6">
        <w:t>child</w:t>
      </w:r>
      <w:r w:rsidR="00EF102F">
        <w:t>ren</w:t>
      </w:r>
      <w:r w:rsidRPr="008863B6">
        <w:t>.  If a child has a diagnosis of autism prior to coming in to care and requires an EHCP, then the VSH will receive this information when they first take on the responsibility for that child.  However, the question around the quality of EHCPs was raised by three VSHs</w:t>
      </w:r>
      <w:r w:rsidR="00C65ED3">
        <w:t>.</w:t>
      </w:r>
      <w:r w:rsidRPr="008863B6">
        <w:t xml:space="preserve"> One of the VSHs explained how developing and enhancing this quality was a priority for them:</w:t>
      </w:r>
    </w:p>
    <w:p w14:paraId="5711C8E8" w14:textId="38B0691E" w:rsidR="008863B6" w:rsidRDefault="00C65ED3" w:rsidP="00C65ED3">
      <w:pPr>
        <w:pStyle w:val="Newparagraph"/>
        <w:ind w:left="720" w:firstLine="0"/>
        <w:rPr>
          <w:iCs/>
        </w:rPr>
      </w:pPr>
      <w:r>
        <w:rPr>
          <w:iCs/>
        </w:rPr>
        <w:t>“</w:t>
      </w:r>
      <w:r w:rsidR="008863B6" w:rsidRPr="008863B6">
        <w:rPr>
          <w:iCs/>
        </w:rPr>
        <w:t>Every child’s got an education, health and care plan and now we’re looking at the quality of it…We've worked together to put together training to help social workers to understand what an education, health and care plan is, and their part of the care component of it.  So that they're quite clear what it is they have to, to put, contribute to that part.</w:t>
      </w:r>
      <w:r>
        <w:rPr>
          <w:iCs/>
        </w:rPr>
        <w:t>”</w:t>
      </w:r>
      <w:r w:rsidR="008863B6" w:rsidRPr="008863B6">
        <w:rPr>
          <w:iCs/>
        </w:rPr>
        <w:t xml:space="preserve">  (VSH1)</w:t>
      </w:r>
    </w:p>
    <w:p w14:paraId="24DBB8B1" w14:textId="287A9103" w:rsidR="006E56DE" w:rsidRPr="006E56DE" w:rsidRDefault="006E56DE" w:rsidP="006E56DE">
      <w:pPr>
        <w:pStyle w:val="Newparagraph"/>
        <w:ind w:firstLine="0"/>
        <w:rPr>
          <w:iCs/>
        </w:rPr>
      </w:pPr>
      <w:r w:rsidRPr="006E56DE">
        <w:rPr>
          <w:iCs/>
        </w:rPr>
        <w:t xml:space="preserve">One VSH described how having an experienced SEND lead on the team enabled the virtual school staff to be better able to assess the quality of the EHCP and question aspects </w:t>
      </w:r>
      <w:r w:rsidR="00EF102F">
        <w:rPr>
          <w:iCs/>
        </w:rPr>
        <w:t xml:space="preserve">that </w:t>
      </w:r>
      <w:r w:rsidRPr="006E56DE">
        <w:rPr>
          <w:iCs/>
        </w:rPr>
        <w:t>may need improving:</w:t>
      </w:r>
    </w:p>
    <w:p w14:paraId="1C492F9A" w14:textId="5D930928" w:rsidR="006E56DE" w:rsidRPr="006E56DE" w:rsidRDefault="006E56DE" w:rsidP="006E56DE">
      <w:pPr>
        <w:pStyle w:val="Newparagraph"/>
        <w:ind w:left="720" w:firstLine="0"/>
        <w:rPr>
          <w:iCs/>
        </w:rPr>
      </w:pPr>
      <w:r w:rsidRPr="006E56DE">
        <w:rPr>
          <w:iCs/>
        </w:rPr>
        <w:t>“[It] gives us a huge boost in terms of our ability to have some confidence about our children with an education, health and care plan</w:t>
      </w:r>
      <w:r w:rsidR="003A3EDD">
        <w:rPr>
          <w:iCs/>
        </w:rPr>
        <w:t>…a</w:t>
      </w:r>
      <w:r w:rsidRPr="006E56DE">
        <w:rPr>
          <w:iCs/>
        </w:rPr>
        <w:t>nd we've been able to challenge the quality of education, health care plans, as well as the, the quality of the assessments.”  (VSH2).</w:t>
      </w:r>
    </w:p>
    <w:p w14:paraId="1E533300" w14:textId="77777777" w:rsidR="006E56DE" w:rsidRDefault="006E56DE" w:rsidP="00C65ED3">
      <w:pPr>
        <w:pStyle w:val="Newparagraph"/>
        <w:ind w:firstLine="0"/>
      </w:pPr>
    </w:p>
    <w:p w14:paraId="605560DE" w14:textId="7AD7DF9D" w:rsidR="008863B6" w:rsidRPr="008863B6" w:rsidRDefault="008863B6" w:rsidP="006E56DE">
      <w:pPr>
        <w:pStyle w:val="Newparagraph"/>
      </w:pPr>
      <w:r w:rsidRPr="008863B6">
        <w:t>Supporting the understanding of different LA teams around EHCPs was a core component of improving the quality of the plans.  One of the VSHs explained that while the plans featured and focused on educational provision, children in care also had significant needs relating to health and social care.  This necessitates social care teams hav</w:t>
      </w:r>
      <w:r w:rsidR="008566C9">
        <w:t>ing</w:t>
      </w:r>
      <w:r w:rsidRPr="008863B6">
        <w:t xml:space="preserve"> a clear understanding of the purpose of an EHCP.  </w:t>
      </w:r>
      <w:r w:rsidR="008566C9">
        <w:t>Additionally</w:t>
      </w:r>
      <w:r w:rsidRPr="008863B6">
        <w:t xml:space="preserve">, ensuring that </w:t>
      </w:r>
      <w:r w:rsidRPr="008863B6">
        <w:lastRenderedPageBreak/>
        <w:t xml:space="preserve">social care teams </w:t>
      </w:r>
      <w:r w:rsidR="00844CC3" w:rsidRPr="008863B6">
        <w:t>understood</w:t>
      </w:r>
      <w:r w:rsidRPr="008863B6">
        <w:t xml:space="preserve"> what a diagnosis of a learning difficulty means in terms of educational provision was a challenge:</w:t>
      </w:r>
    </w:p>
    <w:p w14:paraId="467216C4" w14:textId="4D2DA55D" w:rsidR="008863B6" w:rsidRPr="008863B6" w:rsidRDefault="008863B6" w:rsidP="00C65ED3">
      <w:pPr>
        <w:pStyle w:val="Newparagraph"/>
        <w:ind w:left="720" w:firstLine="0"/>
        <w:rPr>
          <w:iCs/>
        </w:rPr>
      </w:pPr>
      <w:r w:rsidRPr="008863B6">
        <w:rPr>
          <w:iCs/>
        </w:rPr>
        <w:t>We have an issue where, a lot of diagnoses, be it autism, ADHD, anything</w:t>
      </w:r>
      <w:r w:rsidR="00C65ED3">
        <w:rPr>
          <w:iCs/>
        </w:rPr>
        <w:t>,</w:t>
      </w:r>
      <w:r w:rsidRPr="008863B6">
        <w:rPr>
          <w:iCs/>
        </w:rPr>
        <w:t xml:space="preserve"> </w:t>
      </w:r>
      <w:r w:rsidR="00C65ED3">
        <w:rPr>
          <w:iCs/>
        </w:rPr>
        <w:t>t</w:t>
      </w:r>
      <w:r w:rsidRPr="008863B6">
        <w:rPr>
          <w:iCs/>
        </w:rPr>
        <w:t>he immediate response from social care then is well, why aren’t school completing paperwork for an EHC</w:t>
      </w:r>
      <w:r w:rsidR="00C65ED3">
        <w:rPr>
          <w:iCs/>
        </w:rPr>
        <w:t>P</w:t>
      </w:r>
      <w:r w:rsidRPr="008863B6">
        <w:rPr>
          <w:iCs/>
        </w:rPr>
        <w:t xml:space="preserve">?  </w:t>
      </w:r>
      <w:r w:rsidR="00C65ED3">
        <w:rPr>
          <w:iCs/>
        </w:rPr>
        <w:t>i</w:t>
      </w:r>
      <w:r w:rsidRPr="008863B6">
        <w:rPr>
          <w:iCs/>
        </w:rPr>
        <w:t>.e. an ASD diagnosis must automatically result in this and why aren’t we looking at a specialist provision</w:t>
      </w:r>
      <w:r w:rsidR="00C65ED3">
        <w:rPr>
          <w:iCs/>
        </w:rPr>
        <w:t>?”</w:t>
      </w:r>
      <w:r w:rsidRPr="008863B6">
        <w:rPr>
          <w:iCs/>
        </w:rPr>
        <w:t xml:space="preserve">  (VSH6).</w:t>
      </w:r>
    </w:p>
    <w:p w14:paraId="0ED55DBE" w14:textId="525AE5B3" w:rsidR="008863B6" w:rsidRPr="008863B6" w:rsidRDefault="006E56DE" w:rsidP="006E56DE">
      <w:pPr>
        <w:pStyle w:val="Newparagraph"/>
        <w:ind w:firstLine="0"/>
      </w:pPr>
      <w:r>
        <w:t>However, while</w:t>
      </w:r>
      <w:r w:rsidR="008863B6" w:rsidRPr="008863B6">
        <w:t xml:space="preserve"> EHCPs were understood to be important tools in providing appropriate support and provision within an education setting, the responsibility for pursuing an application does not rest with virtual school, and instead lies outside of their remit:</w:t>
      </w:r>
    </w:p>
    <w:p w14:paraId="3F69E141" w14:textId="77777777" w:rsidR="006E56DE" w:rsidRDefault="006E56DE" w:rsidP="006E56DE">
      <w:pPr>
        <w:pStyle w:val="Newparagraph"/>
        <w:ind w:left="720" w:firstLine="0"/>
        <w:rPr>
          <w:iCs/>
        </w:rPr>
      </w:pPr>
      <w:r>
        <w:rPr>
          <w:iCs/>
        </w:rPr>
        <w:t>“</w:t>
      </w:r>
      <w:r w:rsidR="008863B6" w:rsidRPr="008863B6">
        <w:rPr>
          <w:iCs/>
        </w:rPr>
        <w:t>Schools can do that, parents can do that.  Now in the case of the parents what we would say, is we’d say to the social worker, ‘you act as a parent, you do it.’…They would almost certainly go to the SEND team for support.  But we don’t.</w:t>
      </w:r>
      <w:r>
        <w:rPr>
          <w:iCs/>
        </w:rPr>
        <w:t>”</w:t>
      </w:r>
      <w:r w:rsidR="008863B6" w:rsidRPr="008863B6">
        <w:rPr>
          <w:iCs/>
        </w:rPr>
        <w:t xml:space="preserve">  (VSH7)</w:t>
      </w:r>
    </w:p>
    <w:p w14:paraId="232B086B" w14:textId="04796023" w:rsidR="008863B6" w:rsidRPr="006E56DE" w:rsidRDefault="008863B6" w:rsidP="006E56DE">
      <w:pPr>
        <w:pStyle w:val="Newparagraph"/>
        <w:ind w:firstLine="0"/>
        <w:rPr>
          <w:iCs/>
        </w:rPr>
      </w:pPr>
      <w:r w:rsidRPr="008863B6">
        <w:t>As discussed above, due to the Belonging Regulations, the responsibility for assessment and maintenance of EHCPs rests with the LA within which the child is placed, rather than the LA to whom they ‘belong’ and as such VSHs may need to access multiple different formats for this support strategy as well.</w:t>
      </w:r>
    </w:p>
    <w:p w14:paraId="6F05DF29" w14:textId="77777777" w:rsidR="00691EF3" w:rsidRDefault="008863B6" w:rsidP="00691EF3">
      <w:pPr>
        <w:pStyle w:val="Heading4Paragraph"/>
      </w:pPr>
      <w:bookmarkStart w:id="19" w:name="_Toc461605603"/>
      <w:r w:rsidRPr="008863B6">
        <w:t>The availability of quality care and education provision</w:t>
      </w:r>
      <w:bookmarkEnd w:id="19"/>
      <w:r w:rsidR="00691EF3">
        <w:t xml:space="preserve">. </w:t>
      </w:r>
      <w:r w:rsidRPr="008863B6">
        <w:t>One of the barriers to providing effective support for autistic children in care was stated as the availability of appropriate care and education provision within their LA.  The most striking comment around this came from one VSH who said:</w:t>
      </w:r>
    </w:p>
    <w:p w14:paraId="7DF300EE" w14:textId="77777777" w:rsidR="00691EF3" w:rsidRDefault="008863B6" w:rsidP="00691EF3">
      <w:pPr>
        <w:pStyle w:val="Heading4Paragraph"/>
        <w:spacing w:before="0"/>
        <w:ind w:left="720"/>
      </w:pPr>
      <w:r w:rsidRPr="008863B6">
        <w:t xml:space="preserve">“Residential children’s homes… I mean a lot of them won’t even take a child with [an] autism diagnosis actually, because they fear that they aren’t specialist enough.”  (VSH6). </w:t>
      </w:r>
    </w:p>
    <w:p w14:paraId="3C27EEEA" w14:textId="79AD5C18" w:rsidR="00691EF3" w:rsidRDefault="008863B6" w:rsidP="00691EF3">
      <w:pPr>
        <w:pStyle w:val="Heading4Paragraph"/>
        <w:spacing w:before="0"/>
      </w:pPr>
      <w:r w:rsidRPr="008863B6">
        <w:lastRenderedPageBreak/>
        <w:t xml:space="preserve"> When a LA does not have foster carers who feel confident in supporting an autistic child, and residential children’s homes also feel disempowered, the child is placed outside of the area.  This then results in VSHs having to negotiate appropriate educational provision outside of their LA, which comes with financial implication</w:t>
      </w:r>
      <w:r w:rsidR="00691EF3">
        <w:t>s as well as challenges with:</w:t>
      </w:r>
      <w:r w:rsidRPr="008863B6">
        <w:t xml:space="preserve"> </w:t>
      </w:r>
    </w:p>
    <w:p w14:paraId="5CF19E13" w14:textId="5CEFA1C0" w:rsidR="00691EF3" w:rsidRDefault="008863B6" w:rsidP="00691EF3">
      <w:pPr>
        <w:pStyle w:val="Heading4Paragraph"/>
        <w:spacing w:before="0"/>
        <w:ind w:firstLine="720"/>
      </w:pPr>
      <w:r w:rsidRPr="008863B6">
        <w:t>“</w:t>
      </w:r>
      <w:r w:rsidR="00235440">
        <w:t>…</w:t>
      </w:r>
      <w:r w:rsidRPr="008863B6">
        <w:t xml:space="preserve">getting carers to understand some of the complexities” (VSH6).  </w:t>
      </w:r>
    </w:p>
    <w:p w14:paraId="4E86C361" w14:textId="77777777" w:rsidR="00691EF3" w:rsidRDefault="008863B6" w:rsidP="00691EF3">
      <w:pPr>
        <w:pStyle w:val="Heading4Paragraph"/>
        <w:spacing w:before="0"/>
      </w:pPr>
      <w:r w:rsidRPr="008863B6">
        <w:t xml:space="preserve">This lack of understanding </w:t>
      </w:r>
      <w:r w:rsidR="00691EF3">
        <w:t>of</w:t>
      </w:r>
      <w:r w:rsidRPr="008863B6">
        <w:t xml:space="preserve"> an autism diagnosis also extended to educational staff:</w:t>
      </w:r>
    </w:p>
    <w:p w14:paraId="12297BC0" w14:textId="4695DC50" w:rsidR="008863B6" w:rsidRPr="008863B6" w:rsidRDefault="008863B6" w:rsidP="00691EF3">
      <w:pPr>
        <w:pStyle w:val="Heading4Paragraph"/>
        <w:spacing w:before="0"/>
        <w:ind w:left="720"/>
      </w:pPr>
      <w:r w:rsidRPr="008863B6">
        <w:t xml:space="preserve"> “</w:t>
      </w:r>
      <w:r w:rsidR="00235440">
        <w:t>…</w:t>
      </w:r>
      <w:r w:rsidRPr="008863B6">
        <w:t>getting staff to understand the needs of the children. That’s a big barrier as well.”  (VSH4).</w:t>
      </w:r>
    </w:p>
    <w:p w14:paraId="4093F439" w14:textId="77777777" w:rsidR="00691EF3" w:rsidRDefault="008863B6" w:rsidP="00691EF3">
      <w:pPr>
        <w:pStyle w:val="Newparagraph"/>
        <w:ind w:firstLine="0"/>
      </w:pPr>
      <w:r w:rsidRPr="008863B6">
        <w:t>One VSH described their frustration with the approach some schools take, which is to see a diagnosis and descriptions of behaviour and base their decision on whether to admit a pupil on this documentation</w:t>
      </w:r>
      <w:r w:rsidR="00691EF3">
        <w:t xml:space="preserve">: </w:t>
      </w:r>
    </w:p>
    <w:p w14:paraId="1C74D8DC" w14:textId="77777777" w:rsidR="00691EF3" w:rsidRDefault="008863B6" w:rsidP="00691EF3">
      <w:pPr>
        <w:pStyle w:val="Newparagraph"/>
        <w:ind w:left="720" w:firstLine="0"/>
      </w:pPr>
      <w:r w:rsidRPr="008863B6">
        <w:t xml:space="preserve">“It would be really nice if you could meet the young person as opposed to just looking at what’s written on paper.  Because actually they are a fantastic individual.”  (VSH4).  </w:t>
      </w:r>
    </w:p>
    <w:p w14:paraId="5C7D1F88" w14:textId="637397A9" w:rsidR="008863B6" w:rsidRPr="008863B6" w:rsidRDefault="00691EF3" w:rsidP="00691EF3">
      <w:pPr>
        <w:pStyle w:val="Newparagraph"/>
        <w:ind w:firstLine="0"/>
      </w:pPr>
      <w:r>
        <w:t>T</w:t>
      </w:r>
      <w:r w:rsidR="008863B6" w:rsidRPr="008863B6">
        <w:t>he lack of available care and provision</w:t>
      </w:r>
      <w:r>
        <w:t xml:space="preserve"> within LAs</w:t>
      </w:r>
      <w:r w:rsidR="008863B6" w:rsidRPr="008863B6">
        <w:t xml:space="preserve"> for autistic childre</w:t>
      </w:r>
      <w:r>
        <w:t>n</w:t>
      </w:r>
      <w:r w:rsidR="008863B6" w:rsidRPr="008863B6">
        <w:t xml:space="preserve"> in care led to more significant transition plans as a child may need to be placed outside of a LA, with concomitant requirements on understanding and relationship building</w:t>
      </w:r>
      <w:r>
        <w:t>.</w:t>
      </w:r>
    </w:p>
    <w:p w14:paraId="1E4F03AF" w14:textId="2ABCF038" w:rsidR="00EB6460" w:rsidRPr="00CA1007" w:rsidRDefault="002A13A4" w:rsidP="00CA1007">
      <w:pPr>
        <w:pStyle w:val="Heading1"/>
      </w:pPr>
      <w:r w:rsidRPr="00CA1007">
        <w:t>Discussion</w:t>
      </w:r>
    </w:p>
    <w:p w14:paraId="1651D40B" w14:textId="77EDEA2B" w:rsidR="00F317AD" w:rsidRDefault="00D67C1D" w:rsidP="00CA1007">
      <w:pPr>
        <w:pStyle w:val="Newparagraph"/>
        <w:ind w:firstLine="0"/>
      </w:pPr>
      <w:r>
        <w:t xml:space="preserve">This study explored </w:t>
      </w:r>
      <w:r w:rsidR="002F4C1F" w:rsidRPr="002F4C1F">
        <w:t>the experiences of VSHs in their management and delivery of support for autistic children in care</w:t>
      </w:r>
      <w:r w:rsidR="002F4C1F">
        <w:t xml:space="preserve">. </w:t>
      </w:r>
      <w:r w:rsidR="008D35B6">
        <w:t>O</w:t>
      </w:r>
      <w:r w:rsidR="002F4C1F" w:rsidRPr="002F4C1F">
        <w:t>verall experience</w:t>
      </w:r>
      <w:r w:rsidR="008D35B6">
        <w:t>s</w:t>
      </w:r>
      <w:r w:rsidR="002F4C1F" w:rsidRPr="002F4C1F">
        <w:t xml:space="preserve"> </w:t>
      </w:r>
      <w:r w:rsidR="008D35B6">
        <w:t xml:space="preserve">were </w:t>
      </w:r>
      <w:r w:rsidR="002F4C1F" w:rsidRPr="002F4C1F">
        <w:t>diverse due to the varied arrangements of virtual school teams, how they are placed systemically within the LA, and the placement of the children in different LAs around the countr</w:t>
      </w:r>
      <w:r>
        <w:t>y.</w:t>
      </w:r>
      <w:r w:rsidR="00FB0BD7">
        <w:t xml:space="preserve"> Nevertheless,</w:t>
      </w:r>
      <w:r>
        <w:t xml:space="preserve"> </w:t>
      </w:r>
      <w:r w:rsidR="002F4C1F">
        <w:t>while VSHs felt they were knowledgeable about autism in a general way,</w:t>
      </w:r>
      <w:r w:rsidR="00F317AD">
        <w:t xml:space="preserve"> and more knowledgeable than social care teams</w:t>
      </w:r>
      <w:r w:rsidR="00B6741E">
        <w:t xml:space="preserve"> and carers</w:t>
      </w:r>
      <w:r w:rsidR="00F317AD">
        <w:t>,</w:t>
      </w:r>
      <w:r w:rsidR="002F4C1F">
        <w:t xml:space="preserve"> they</w:t>
      </w:r>
      <w:r>
        <w:t xml:space="preserve"> also</w:t>
      </w:r>
      <w:r w:rsidR="002F4C1F">
        <w:t xml:space="preserve"> felt that supporting autistic </w:t>
      </w:r>
      <w:r w:rsidR="002F4C1F">
        <w:lastRenderedPageBreak/>
        <w:t>children and identifying their needs</w:t>
      </w:r>
      <w:r>
        <w:t xml:space="preserve"> required more specia</w:t>
      </w:r>
      <w:r w:rsidR="002F4C1F">
        <w:t>list</w:t>
      </w:r>
      <w:r>
        <w:t xml:space="preserve"> knowledge.</w:t>
      </w:r>
      <w:r w:rsidR="002F4C1F">
        <w:t xml:space="preserve"> </w:t>
      </w:r>
      <w:r w:rsidR="00FB0BD7">
        <w:t>In line with Drew and Banerjee</w:t>
      </w:r>
      <w:r w:rsidR="00273BA5">
        <w:t>’s</w:t>
      </w:r>
      <w:r w:rsidR="00FB0BD7">
        <w:t xml:space="preserve"> (2019)</w:t>
      </w:r>
      <w:r w:rsidR="00273BA5">
        <w:t xml:space="preserve"> </w:t>
      </w:r>
      <w:r w:rsidR="00273BA5">
        <w:rPr>
          <w:bCs/>
        </w:rPr>
        <w:t>survey of 29 VSHs</w:t>
      </w:r>
      <w:r w:rsidR="00FB0BD7">
        <w:t>, t</w:t>
      </w:r>
      <w:r>
        <w:t>he successful management of securing such specialist knowledge was</w:t>
      </w:r>
      <w:r w:rsidRPr="008863B6">
        <w:t xml:space="preserve"> dependent on </w:t>
      </w:r>
      <w:r>
        <w:t xml:space="preserve">building </w:t>
      </w:r>
      <w:r w:rsidRPr="008863B6">
        <w:t>positive relationships with other professionals</w:t>
      </w:r>
      <w:r>
        <w:t xml:space="preserve"> through </w:t>
      </w:r>
      <w:r w:rsidR="00FB0BD7">
        <w:t xml:space="preserve">providing </w:t>
      </w:r>
      <w:r>
        <w:t>training opportunities and getting to know local teams within the LA</w:t>
      </w:r>
      <w:r w:rsidR="00FB0BD7">
        <w:t xml:space="preserve">. </w:t>
      </w:r>
      <w:r>
        <w:t xml:space="preserve"> </w:t>
      </w:r>
      <w:r w:rsidRPr="002F4C1F">
        <w:t>However, the greatest barrier to successfully developing these relationships was the overarching question of responsibilit</w:t>
      </w:r>
      <w:r>
        <w:t>y</w:t>
      </w:r>
      <w:r w:rsidRPr="002F4C1F">
        <w:t xml:space="preserve">.  Where VSHs were unsure </w:t>
      </w:r>
      <w:r w:rsidRPr="002F4C1F">
        <w:rPr>
          <w:i/>
          <w:iCs/>
        </w:rPr>
        <w:t>whose</w:t>
      </w:r>
      <w:r w:rsidRPr="002F4C1F">
        <w:t xml:space="preserve"> responsibility it was to ensure the requisite skillset and knowledge about autism for those working with autistic children in care, the result was that they could not state with confidence that individuals </w:t>
      </w:r>
      <w:r w:rsidRPr="00D67C1D">
        <w:t xml:space="preserve">around the child </w:t>
      </w:r>
      <w:r w:rsidRPr="002F4C1F">
        <w:t>were sufficiently enabled to provide appropriate provision.</w:t>
      </w:r>
    </w:p>
    <w:p w14:paraId="3F1024B0" w14:textId="4236E35D" w:rsidR="00D67C1D" w:rsidRDefault="002F4C1F" w:rsidP="00F51F13">
      <w:pPr>
        <w:pStyle w:val="Newparagraph"/>
      </w:pPr>
      <w:r w:rsidRPr="002F4C1F">
        <w:t xml:space="preserve"> EHCPs and PEPs</w:t>
      </w:r>
      <w:r>
        <w:t xml:space="preserve"> were key statutory tools that shaped </w:t>
      </w:r>
      <w:r w:rsidRPr="002F4C1F">
        <w:t>information gathering and sharing</w:t>
      </w:r>
      <w:r w:rsidR="00D67C1D">
        <w:t xml:space="preserve"> about autistic children</w:t>
      </w:r>
      <w:r w:rsidR="00884FDD">
        <w:t>. In this sense, the documents have power since the processes that su</w:t>
      </w:r>
      <w:r w:rsidR="00F53056">
        <w:t>pport</w:t>
      </w:r>
      <w:r w:rsidR="00884FDD">
        <w:t xml:space="preserve"> their creation</w:t>
      </w:r>
      <w:r w:rsidR="00F51F13">
        <w:t xml:space="preserve"> mediate,</w:t>
      </w:r>
      <w:r w:rsidR="00884FDD">
        <w:t xml:space="preserve"> direct</w:t>
      </w:r>
      <w:r w:rsidR="00F51F13">
        <w:t>,</w:t>
      </w:r>
      <w:r w:rsidR="00884FDD">
        <w:t xml:space="preserve"> and shape the activities of social actors around them (</w:t>
      </w:r>
      <w:r w:rsidR="00F51F13">
        <w:t xml:space="preserve">Smith, 2001; Daniels, 2004). </w:t>
      </w:r>
      <w:r w:rsidR="00D67C1D">
        <w:t xml:space="preserve">While VSHs acknowledged some </w:t>
      </w:r>
      <w:r w:rsidR="00D67C1D" w:rsidRPr="00D67C1D">
        <w:t>limits to their knowledge about autism</w:t>
      </w:r>
      <w:r w:rsidR="00D67C1D">
        <w:t xml:space="preserve">, they stated that </w:t>
      </w:r>
      <w:r w:rsidR="00D67C1D" w:rsidRPr="00D67C1D">
        <w:t>attendance at the PEP</w:t>
      </w:r>
      <w:r w:rsidR="00FB0BD7">
        <w:t xml:space="preserve"> meetings</w:t>
      </w:r>
      <w:r w:rsidR="00D67C1D" w:rsidRPr="00D67C1D">
        <w:t xml:space="preserve"> enable</w:t>
      </w:r>
      <w:r w:rsidR="00FB0BD7">
        <w:t>d</w:t>
      </w:r>
      <w:r w:rsidR="00D67C1D" w:rsidRPr="00D67C1D">
        <w:t xml:space="preserve"> them to access specific knowledge about the child.</w:t>
      </w:r>
      <w:r w:rsidR="00FB0BD7">
        <w:t xml:space="preserve"> This was especially effective when the PEP meetings were interwoven with the annual review for an EHC</w:t>
      </w:r>
      <w:r w:rsidR="006B6A52">
        <w:t xml:space="preserve">P </w:t>
      </w:r>
      <w:r w:rsidR="008D35B6">
        <w:t>(</w:t>
      </w:r>
      <w:r w:rsidR="00FB0BD7">
        <w:t>which is advised as good practic</w:t>
      </w:r>
      <w:r w:rsidR="00F51F13">
        <w:t>e</w:t>
      </w:r>
      <w:r w:rsidR="008D35B6">
        <w:t xml:space="preserve">; </w:t>
      </w:r>
      <w:r w:rsidR="00F51F13" w:rsidRPr="00F51F13">
        <w:t>D</w:t>
      </w:r>
      <w:r w:rsidR="00884EDD">
        <w:t>fE</w:t>
      </w:r>
      <w:r w:rsidR="006B6A52">
        <w:t xml:space="preserve">, </w:t>
      </w:r>
      <w:r w:rsidR="00F51F13" w:rsidRPr="00F51F13">
        <w:t>2015</w:t>
      </w:r>
      <w:r w:rsidR="00FB0BD7">
        <w:t>).</w:t>
      </w:r>
      <w:r w:rsidR="00D67C1D" w:rsidRPr="00D67C1D">
        <w:t xml:space="preserve">  Through the combination of access to these forms of </w:t>
      </w:r>
      <w:r w:rsidR="00FB0BD7">
        <w:t>knowledge via th</w:t>
      </w:r>
      <w:r w:rsidR="00D67C1D" w:rsidRPr="00D67C1D">
        <w:t>e</w:t>
      </w:r>
      <w:r w:rsidR="00FB0BD7">
        <w:t>se statutory instruments</w:t>
      </w:r>
      <w:r w:rsidR="00D4402D">
        <w:t>,</w:t>
      </w:r>
      <w:r w:rsidR="00D67C1D" w:rsidRPr="00D67C1D">
        <w:t xml:space="preserve"> </w:t>
      </w:r>
      <w:r w:rsidR="00D67C1D">
        <w:t xml:space="preserve">the </w:t>
      </w:r>
      <w:r w:rsidR="00D67C1D" w:rsidRPr="00D67C1D">
        <w:t xml:space="preserve">virtual school staff </w:t>
      </w:r>
      <w:r w:rsidR="00797D3F" w:rsidRPr="00D67C1D">
        <w:t>c</w:t>
      </w:r>
      <w:r w:rsidR="0032044B">
        <w:t xml:space="preserve">ould </w:t>
      </w:r>
      <w:r w:rsidR="00D67C1D" w:rsidRPr="00D67C1D">
        <w:t>facilitate effective provision in unique ways</w:t>
      </w:r>
      <w:r w:rsidR="00023F92">
        <w:t xml:space="preserve"> and this </w:t>
      </w:r>
      <w:r w:rsidR="0032044B">
        <w:t>was</w:t>
      </w:r>
      <w:r w:rsidR="00023F92">
        <w:t xml:space="preserve"> a </w:t>
      </w:r>
      <w:r w:rsidR="00D32740">
        <w:t>real</w:t>
      </w:r>
      <w:r w:rsidR="00023F92">
        <w:t xml:space="preserve"> strength</w:t>
      </w:r>
      <w:r w:rsidR="00D32740">
        <w:t xml:space="preserve"> of their role</w:t>
      </w:r>
      <w:r w:rsidR="0032044B">
        <w:t xml:space="preserve"> given their expertise and networking skills</w:t>
      </w:r>
      <w:r w:rsidR="00D67C1D" w:rsidRPr="00D67C1D">
        <w:t>.</w:t>
      </w:r>
      <w:r w:rsidR="00797D3F">
        <w:t xml:space="preserve"> However,</w:t>
      </w:r>
      <w:r w:rsidR="00D67C1D" w:rsidRPr="00D67C1D">
        <w:t xml:space="preserve"> </w:t>
      </w:r>
      <w:r w:rsidR="00797D3F">
        <w:t>n</w:t>
      </w:r>
      <w:r w:rsidR="00D67C1D" w:rsidRPr="00D67C1D">
        <w:t>ot having</w:t>
      </w:r>
      <w:r w:rsidR="00797D3F">
        <w:t xml:space="preserve"> sufficient</w:t>
      </w:r>
      <w:r w:rsidR="00D67C1D" w:rsidRPr="00D67C1D">
        <w:t xml:space="preserve"> resources to attend these meetings ha</w:t>
      </w:r>
      <w:r w:rsidR="00CA1007">
        <w:t>d</w:t>
      </w:r>
      <w:r w:rsidR="00D67C1D" w:rsidRPr="00D67C1D">
        <w:t xml:space="preserve"> a significant impact on VSHs’ ability to act as an effective facilitator</w:t>
      </w:r>
      <w:r w:rsidR="00FB0BD7">
        <w:t xml:space="preserve"> for the child and create</w:t>
      </w:r>
      <w:r w:rsidR="00CA1007">
        <w:t>d</w:t>
      </w:r>
      <w:r w:rsidR="00FB0BD7">
        <w:t xml:space="preserve"> a major barrier for providing effective support.</w:t>
      </w:r>
      <w:r w:rsidR="00D67C1D" w:rsidRPr="00D67C1D">
        <w:t xml:space="preserve">  </w:t>
      </w:r>
    </w:p>
    <w:p w14:paraId="2C184539" w14:textId="7A98726B" w:rsidR="00F51F13" w:rsidRPr="00D67C1D" w:rsidRDefault="00E05077" w:rsidP="00E05077">
      <w:pPr>
        <w:pStyle w:val="Newparagraph"/>
      </w:pPr>
      <w:r>
        <w:t xml:space="preserve">Additionally, </w:t>
      </w:r>
      <w:r w:rsidR="00F51F13">
        <w:t>the quality</w:t>
      </w:r>
      <w:r>
        <w:t xml:space="preserve"> and consistency</w:t>
      </w:r>
      <w:r w:rsidR="00F51F13">
        <w:t xml:space="preserve"> of the</w:t>
      </w:r>
      <w:r w:rsidR="00B17F78">
        <w:t xml:space="preserve"> PEP and EHCP</w:t>
      </w:r>
      <w:r w:rsidR="00F51F13">
        <w:t xml:space="preserve"> documents and the processes that underpinned their development, were questioned</w:t>
      </w:r>
      <w:r w:rsidR="00B17F78">
        <w:t>.</w:t>
      </w:r>
      <w:r w:rsidR="00F51F13">
        <w:t xml:space="preserve"> </w:t>
      </w:r>
      <w:r w:rsidR="00A06ADC">
        <w:t xml:space="preserve">Concerns about the </w:t>
      </w:r>
      <w:r w:rsidR="00A06ADC">
        <w:lastRenderedPageBreak/>
        <w:t>quality and value of PEPs is not new (</w:t>
      </w:r>
      <w:proofErr w:type="gramStart"/>
      <w:r w:rsidR="00A06ADC">
        <w:t>e.g.</w:t>
      </w:r>
      <w:proofErr w:type="gramEnd"/>
      <w:r w:rsidR="00A06ADC">
        <w:t xml:space="preserve"> Hayden, 2005) and there is emerging evidence that similar concerns exist for EHCPs (which are newer documents: DfE / </w:t>
      </w:r>
      <w:proofErr w:type="spellStart"/>
      <w:r w:rsidR="00A06ADC">
        <w:t>DoH</w:t>
      </w:r>
      <w:proofErr w:type="spellEnd"/>
      <w:r w:rsidR="00A06ADC">
        <w:t>, 2015)</w:t>
      </w:r>
      <w:r w:rsidR="00F53056">
        <w:t>, particularly around the ways in which children’s voices are included (or not)</w:t>
      </w:r>
      <w:r w:rsidR="00A06ADC">
        <w:t xml:space="preserve"> (Castro et al., 2019; Cochrane &amp; </w:t>
      </w:r>
      <w:proofErr w:type="spellStart"/>
      <w:r w:rsidR="00A06ADC">
        <w:t>Soni</w:t>
      </w:r>
      <w:proofErr w:type="spellEnd"/>
      <w:r w:rsidR="00A06ADC">
        <w:t xml:space="preserve">, 2020). The specific issue raised by the VSHs in this study related to the inconsistency of </w:t>
      </w:r>
      <w:r w:rsidR="00180379">
        <w:t>documents (and, therefore, expectations) between LAs which exacerbated communication challenges across teams.</w:t>
      </w:r>
      <w:r w:rsidR="00FD38C6">
        <w:t xml:space="preserve"> </w:t>
      </w:r>
    </w:p>
    <w:p w14:paraId="484F6581" w14:textId="740ACD50" w:rsidR="00D86656" w:rsidRDefault="00D86656" w:rsidP="002F4C1F">
      <w:pPr>
        <w:pStyle w:val="Newparagraph"/>
      </w:pPr>
      <w:r>
        <w:t>The lack of available</w:t>
      </w:r>
      <w:r w:rsidR="00CA1007" w:rsidRPr="00CA1007">
        <w:t xml:space="preserve"> specialist</w:t>
      </w:r>
      <w:r w:rsidRPr="00CA1007">
        <w:t xml:space="preserve"> </w:t>
      </w:r>
      <w:r>
        <w:t>local provision was also cited as a major barrier to maintaining consistency and oversight of a child’s needs and progress</w:t>
      </w:r>
      <w:r w:rsidR="00CA1007">
        <w:t xml:space="preserve"> not least because the Belonging Regulations meant that if a child moved out of area, the responsibility for compl</w:t>
      </w:r>
      <w:r w:rsidR="00FD38C6">
        <w:softHyphen/>
      </w:r>
      <w:r w:rsidR="00CA1007">
        <w:t>eting an EHCP referral or assessment lay with the school the child attended, rather than with the originating VSH. This, in turn, meant that opportunities for the VSH to monitor the implementation of the EHCP requirements, the educational progress of the child</w:t>
      </w:r>
      <w:r w:rsidR="000430E2">
        <w:t xml:space="preserve"> </w:t>
      </w:r>
      <w:r w:rsidR="00CA1007">
        <w:t>and their wellbeing</w:t>
      </w:r>
      <w:r w:rsidR="000430E2">
        <w:t>,</w:t>
      </w:r>
      <w:r w:rsidR="00CA1007">
        <w:t xml:space="preserve"> were greatly reduced.</w:t>
      </w:r>
      <w:r w:rsidR="008D35B6">
        <w:t xml:space="preserve"> Once again</w:t>
      </w:r>
      <w:r w:rsidR="00180379">
        <w:t>, the production of the EHCP document, and the initiation and oversight of its creation directed and regulated the actions of the VSH (cf. Smith, 2001).</w:t>
      </w:r>
    </w:p>
    <w:p w14:paraId="3A73393D" w14:textId="38CD84F0" w:rsidR="00423D39" w:rsidRDefault="00F317AD" w:rsidP="00B16A04">
      <w:pPr>
        <w:pStyle w:val="Newparagraph"/>
      </w:pPr>
      <w:r>
        <w:t xml:space="preserve">The ways that statutory requirements shape activities </w:t>
      </w:r>
      <w:r w:rsidR="000430E2">
        <w:t>seem</w:t>
      </w:r>
      <w:r w:rsidR="00D32740">
        <w:t xml:space="preserve"> to</w:t>
      </w:r>
      <w:r w:rsidR="000430E2">
        <w:t xml:space="preserve"> position</w:t>
      </w:r>
      <w:r w:rsidR="00D32740">
        <w:t xml:space="preserve"> VSHs</w:t>
      </w:r>
      <w:r>
        <w:t xml:space="preserve"> </w:t>
      </w:r>
      <w:r w:rsidR="00884FDD">
        <w:t>as liminal leaders (Shaw-</w:t>
      </w:r>
      <w:proofErr w:type="spellStart"/>
      <w:r w:rsidR="00884FDD">
        <w:t>vanBuskirk</w:t>
      </w:r>
      <w:proofErr w:type="spellEnd"/>
      <w:r w:rsidR="00884FDD">
        <w:t xml:space="preserve"> et al., 2019) </w:t>
      </w:r>
      <w:r>
        <w:t xml:space="preserve">regarding their oversight and management of the educational provision and progress of autistic children in care. </w:t>
      </w:r>
      <w:r w:rsidR="00884FDD">
        <w:t>Liminality is interpreted here as ‘a</w:t>
      </w:r>
      <w:r w:rsidR="00884FDD" w:rsidRPr="00884FDD">
        <w:t xml:space="preserve"> state of between-ness</w:t>
      </w:r>
      <w:r w:rsidR="00884FDD">
        <w:t>’ characterised by ‘…</w:t>
      </w:r>
      <w:r w:rsidR="00884FDD" w:rsidRPr="00884FDD">
        <w:t>doubt, uncertainty and ambiguity</w:t>
      </w:r>
      <w:r w:rsidR="00884FDD">
        <w:t>’ (Shaw-</w:t>
      </w:r>
      <w:proofErr w:type="spellStart"/>
      <w:r w:rsidR="00884FDD">
        <w:t>vanBuskirk</w:t>
      </w:r>
      <w:proofErr w:type="spellEnd"/>
      <w:r w:rsidR="00884FDD">
        <w:t xml:space="preserve"> et al., 2019</w:t>
      </w:r>
      <w:r w:rsidR="007E1F42">
        <w:t>,</w:t>
      </w:r>
      <w:r w:rsidR="00884FDD">
        <w:t xml:space="preserve"> p.644). </w:t>
      </w:r>
      <w:r>
        <w:t xml:space="preserve">On the one hand, </w:t>
      </w:r>
      <w:r w:rsidR="000430E2">
        <w:t>VSHs</w:t>
      </w:r>
      <w:r>
        <w:t xml:space="preserve"> position</w:t>
      </w:r>
      <w:r w:rsidR="000430E2">
        <w:t>ed</w:t>
      </w:r>
      <w:r>
        <w:t xml:space="preserve"> themselves as being more knowledgeable about autism than social care teams and accept</w:t>
      </w:r>
      <w:r w:rsidR="000430E2">
        <w:t>ed</w:t>
      </w:r>
      <w:r>
        <w:t xml:space="preserve"> they have a role in leading the training of staff in</w:t>
      </w:r>
      <w:r w:rsidR="000430E2">
        <w:t xml:space="preserve"> this area (valuing their own expertise). On the other hand, they consider</w:t>
      </w:r>
      <w:r w:rsidR="00AF1F05">
        <w:t>ed</w:t>
      </w:r>
      <w:r w:rsidR="000430E2">
        <w:t xml:space="preserve"> autism as requiring specialist knowledge, beyond their own remit, and so responsibility for identifying and </w:t>
      </w:r>
      <w:r w:rsidR="000430E2">
        <w:lastRenderedPageBreak/>
        <w:t xml:space="preserve">supporting autistic children </w:t>
      </w:r>
      <w:r w:rsidR="00AF1F05">
        <w:t>was</w:t>
      </w:r>
      <w:r w:rsidR="000430E2">
        <w:t xml:space="preserve"> delegated to other – more specialist – teams (outsourcing expertise).</w:t>
      </w:r>
      <w:r w:rsidR="00E05077">
        <w:t xml:space="preserve"> </w:t>
      </w:r>
    </w:p>
    <w:p w14:paraId="72E31D4A" w14:textId="1719F554" w:rsidR="00B16A04" w:rsidRDefault="00E05077" w:rsidP="00B16A04">
      <w:pPr>
        <w:pStyle w:val="Newparagraph"/>
      </w:pPr>
      <w:r>
        <w:t>Recognising the limits of own knowledge and building relationships to bring in expertise where necessary is one of the strengths of liminal leaders (Shaw-</w:t>
      </w:r>
      <w:proofErr w:type="spellStart"/>
      <w:r>
        <w:t>vanBuskirk</w:t>
      </w:r>
      <w:proofErr w:type="spellEnd"/>
      <w:r>
        <w:t xml:space="preserve"> et al., 2019)</w:t>
      </w:r>
      <w:r w:rsidR="00F53056">
        <w:t>,</w:t>
      </w:r>
      <w:r>
        <w:t xml:space="preserve"> and role ambiguity can promote opportunities for transformational learning within and between multi-agency teams (Daniels, 2004). However, the value of this networking</w:t>
      </w:r>
      <w:r w:rsidR="00F53056">
        <w:t>, and the potential for learning,</w:t>
      </w:r>
      <w:r w:rsidR="000430E2">
        <w:t xml:space="preserve"> was </w:t>
      </w:r>
      <w:r>
        <w:t>undermined</w:t>
      </w:r>
      <w:r w:rsidR="000430E2">
        <w:t xml:space="preserve"> when experienced staff  members with specialist knowledge were unable to attend statutory meetings for educational planning and review, either because of resourcing limitations within the team or because the child </w:t>
      </w:r>
      <w:r w:rsidR="00AF1F05">
        <w:t xml:space="preserve">was </w:t>
      </w:r>
      <w:r w:rsidR="000430E2">
        <w:t>moved out of area and so a different team took primary responsibility.</w:t>
      </w:r>
      <w:r w:rsidR="00B16A04">
        <w:t xml:space="preserve"> </w:t>
      </w:r>
      <w:r>
        <w:t>Overall, t</w:t>
      </w:r>
      <w:r w:rsidR="00B16A04">
        <w:t>h</w:t>
      </w:r>
      <w:r>
        <w:t>e</w:t>
      </w:r>
      <w:r w:rsidR="00B16A04">
        <w:t xml:space="preserve"> liminal position</w:t>
      </w:r>
      <w:r>
        <w:t xml:space="preserve"> of VSHs</w:t>
      </w:r>
      <w:r w:rsidR="00B16A04">
        <w:t xml:space="preserve"> sounds like a long way from the central role of the VSH</w:t>
      </w:r>
      <w:r w:rsidR="00180379">
        <w:t xml:space="preserve"> envisaged in policy</w:t>
      </w:r>
      <w:r w:rsidR="00B16A04">
        <w:t xml:space="preserve"> as an advocate for children in care in a similar way that parents advocate for children not in care </w:t>
      </w:r>
      <w:r w:rsidR="00B16A04" w:rsidRPr="00B16A04">
        <w:rPr>
          <w:bCs/>
        </w:rPr>
        <w:t>(D</w:t>
      </w:r>
      <w:r w:rsidR="00884EDD">
        <w:rPr>
          <w:bCs/>
        </w:rPr>
        <w:t>fE</w:t>
      </w:r>
      <w:r w:rsidR="0050525B">
        <w:rPr>
          <w:bCs/>
        </w:rPr>
        <w:t xml:space="preserve">, </w:t>
      </w:r>
      <w:r w:rsidR="00B16A04" w:rsidRPr="00B16A04">
        <w:rPr>
          <w:bCs/>
        </w:rPr>
        <w:t>2018</w:t>
      </w:r>
      <w:r w:rsidR="00B16A04">
        <w:rPr>
          <w:bCs/>
        </w:rPr>
        <w:t>).</w:t>
      </w:r>
    </w:p>
    <w:p w14:paraId="64FDF338" w14:textId="3B761FC9" w:rsidR="00180379" w:rsidRDefault="00AF1F05" w:rsidP="00180379">
      <w:pPr>
        <w:pStyle w:val="Newparagraph"/>
      </w:pPr>
      <w:r>
        <w:t>The</w:t>
      </w:r>
      <w:r w:rsidR="0050525B">
        <w:t xml:space="preserve"> potential</w:t>
      </w:r>
      <w:r>
        <w:t xml:space="preserve"> implications for policy and practice are</w:t>
      </w:r>
      <w:r w:rsidR="0050525B">
        <w:t xml:space="preserve"> </w:t>
      </w:r>
      <w:r>
        <w:t xml:space="preserve">to ensure that VSHs become the primary anchor for autistic children in care such that they can monitor and track educational provision and support consistently, regardless of where the child goes to school. As Parsons et al., (2018) highlighted, </w:t>
      </w:r>
      <w:r w:rsidR="00435C47">
        <w:t xml:space="preserve">to improve outcomes for autistic children, </w:t>
      </w:r>
      <w:r>
        <w:t>autism as a diagnostic flag should be</w:t>
      </w:r>
      <w:r w:rsidR="0032044B">
        <w:t xml:space="preserve"> prioritised strategically </w:t>
      </w:r>
      <w:r w:rsidR="00435C47">
        <w:t xml:space="preserve">via policy leverage, and </w:t>
      </w:r>
      <w:r w:rsidR="008D35B6">
        <w:t>th</w:t>
      </w:r>
      <w:r w:rsidR="00435C47">
        <w:t xml:space="preserve">e present study </w:t>
      </w:r>
      <w:r w:rsidR="008D35B6">
        <w:t xml:space="preserve">suggests that </w:t>
      </w:r>
      <w:r w:rsidR="00435C47">
        <w:t>responsibility for this diagnostic flag should lie with the VSH.</w:t>
      </w:r>
      <w:r w:rsidR="00DB1E15">
        <w:t xml:space="preserve"> </w:t>
      </w:r>
      <w:r w:rsidR="0032044B">
        <w:t xml:space="preserve">Anchoring this responsibility with the VSH </w:t>
      </w:r>
      <w:r w:rsidR="00F53056">
        <w:t>c</w:t>
      </w:r>
      <w:r w:rsidR="0032044B">
        <w:t>ould help to maintain a consistent information chain between the child and those who support them.</w:t>
      </w:r>
      <w:r w:rsidR="00BB3815">
        <w:t xml:space="preserve"> </w:t>
      </w:r>
      <w:r w:rsidR="0032044B">
        <w:t>This contrasts with the present position which seems to be that the autism label, and knowledge about what that means for the young person, travels with the child via statutory documents and between different teams. Th</w:t>
      </w:r>
      <w:r w:rsidR="00176D8D">
        <w:t>us, the</w:t>
      </w:r>
      <w:r w:rsidR="0032044B">
        <w:t xml:space="preserve"> child may become </w:t>
      </w:r>
      <w:r w:rsidR="0032044B">
        <w:lastRenderedPageBreak/>
        <w:t>unmoored from the VSH and the LA, meaning that</w:t>
      </w:r>
      <w:r w:rsidR="000035F1">
        <w:t xml:space="preserve"> strategic oversight and</w:t>
      </w:r>
      <w:r w:rsidR="0032044B">
        <w:t xml:space="preserve"> shared understanding within teams around the child is greatly denuded.</w:t>
      </w:r>
    </w:p>
    <w:p w14:paraId="7588550E" w14:textId="259EF671" w:rsidR="001101F9" w:rsidRDefault="00AF1F05" w:rsidP="00180379">
      <w:pPr>
        <w:pStyle w:val="Newparagraph"/>
      </w:pPr>
      <w:r>
        <w:t>Within this context of liminality</w:t>
      </w:r>
      <w:r w:rsidR="008D35B6">
        <w:t xml:space="preserve"> </w:t>
      </w:r>
      <w:r>
        <w:t>the</w:t>
      </w:r>
      <w:r w:rsidR="008D35B6">
        <w:t>re is, of course,</w:t>
      </w:r>
      <w:r>
        <w:t xml:space="preserve"> </w:t>
      </w:r>
      <w:r w:rsidR="008D35B6">
        <w:t xml:space="preserve">a </w:t>
      </w:r>
      <w:r>
        <w:t>child at the centre of all the discussions.</w:t>
      </w:r>
      <w:r w:rsidR="00180379">
        <w:t xml:space="preserve"> They are liminal</w:t>
      </w:r>
      <w:r w:rsidR="00551873">
        <w:t xml:space="preserve"> </w:t>
      </w:r>
      <w:r w:rsidR="00180379">
        <w:t xml:space="preserve">in their </w:t>
      </w:r>
      <w:r w:rsidR="00551873">
        <w:t>between-ness too: their needs and aspirations straddle education, health</w:t>
      </w:r>
      <w:r w:rsidR="00BB3815">
        <w:t>,</w:t>
      </w:r>
      <w:r w:rsidR="00551873">
        <w:t xml:space="preserve"> and social care as well as different family contexts, schools, and LAs.</w:t>
      </w:r>
      <w:r>
        <w:t xml:space="preserve"> Their autism label is carried with them, via</w:t>
      </w:r>
      <w:r w:rsidR="00551873">
        <w:t xml:space="preserve"> the</w:t>
      </w:r>
      <w:r>
        <w:t xml:space="preserve"> statutory</w:t>
      </w:r>
      <w:r w:rsidR="00551873">
        <w:t xml:space="preserve"> PEP and EHCP</w:t>
      </w:r>
      <w:r>
        <w:t xml:space="preserve"> documents,</w:t>
      </w:r>
      <w:r w:rsidR="00551873">
        <w:t xml:space="preserve"> but the label is sometimes used as a short-cut to decision-making about provision, as suggested by some VSHs who indicated that placements were turned down, even in specialist provision, on this basis and without knowing the child. The</w:t>
      </w:r>
      <w:r w:rsidR="00F53056">
        <w:t xml:space="preserve"> autism</w:t>
      </w:r>
      <w:r w:rsidR="00551873">
        <w:t xml:space="preserve"> label was also regarded as too ‘specialist’ and, therefore, problematic for both carers and educators. It is likely that these narratives of difficulty are reinforced through the statutory documents which tend to focus disproportionately on challenges and problems rather than enabling a more holistic understanding of a child, including</w:t>
      </w:r>
      <w:r w:rsidR="00F53056">
        <w:t xml:space="preserve"> sharing</w:t>
      </w:r>
      <w:r w:rsidR="00551873">
        <w:t xml:space="preserve"> their own views and perspectives (Palikara et al., 2018). </w:t>
      </w:r>
      <w:r w:rsidR="0032585D">
        <w:t>Ther</w:t>
      </w:r>
      <w:r w:rsidR="004C6110">
        <w:t xml:space="preserve">e is </w:t>
      </w:r>
      <w:r w:rsidR="0032585D">
        <w:t>a</w:t>
      </w:r>
      <w:r w:rsidR="00C4118F">
        <w:t xml:space="preserve"> widespread and persistent</w:t>
      </w:r>
      <w:r w:rsidR="0032585D">
        <w:t xml:space="preserve"> deficit-focused</w:t>
      </w:r>
      <w:r w:rsidR="004C6110">
        <w:t>, within-child</w:t>
      </w:r>
      <w:r w:rsidR="0032585D">
        <w:t xml:space="preserve"> view</w:t>
      </w:r>
      <w:r w:rsidR="004C6110">
        <w:t xml:space="preserve"> of </w:t>
      </w:r>
      <w:r w:rsidR="004E3E67">
        <w:t xml:space="preserve">children with SEN generally (Cochrane &amp; </w:t>
      </w:r>
      <w:proofErr w:type="spellStart"/>
      <w:r w:rsidR="004E3E67">
        <w:t>Soni</w:t>
      </w:r>
      <w:proofErr w:type="spellEnd"/>
      <w:r w:rsidR="004E3E67">
        <w:t>, 2020) and autistic children specifically</w:t>
      </w:r>
      <w:r w:rsidR="0032585D">
        <w:t xml:space="preserve"> </w:t>
      </w:r>
      <w:r w:rsidR="00D32740">
        <w:t xml:space="preserve">(Parsons et al., 2021) </w:t>
      </w:r>
      <w:r w:rsidR="00F53056">
        <w:t>that should be challenged</w:t>
      </w:r>
      <w:r w:rsidR="0061097A">
        <w:t>.</w:t>
      </w:r>
    </w:p>
    <w:p w14:paraId="051B23CF" w14:textId="37C6F880" w:rsidR="00C06646" w:rsidRDefault="00EF5878" w:rsidP="00180379">
      <w:pPr>
        <w:pStyle w:val="Newparagraph"/>
      </w:pPr>
      <w:r>
        <w:t>One of the vital ways of challeng</w:t>
      </w:r>
      <w:r w:rsidR="008D35B6">
        <w:t>ing</w:t>
      </w:r>
      <w:r w:rsidR="004E3E67">
        <w:t xml:space="preserve"> the dominant narrative of deficit</w:t>
      </w:r>
      <w:r w:rsidR="00C06646">
        <w:t>, and position of liminality,</w:t>
      </w:r>
      <w:r>
        <w:t xml:space="preserve"> is to listen to what autistic children have to say about their experiences</w:t>
      </w:r>
      <w:r w:rsidR="006017E5">
        <w:t xml:space="preserve"> (Parsons et al., 2020)</w:t>
      </w:r>
      <w:r w:rsidR="0010504C">
        <w:t xml:space="preserve"> and to take those views seriously (</w:t>
      </w:r>
      <w:r w:rsidR="0010504C" w:rsidRPr="000035F1">
        <w:t>Lundy</w:t>
      </w:r>
      <w:r w:rsidR="000035F1" w:rsidRPr="000035F1">
        <w:t>, 2007</w:t>
      </w:r>
      <w:r w:rsidR="0010504C">
        <w:t>)</w:t>
      </w:r>
      <w:r>
        <w:t xml:space="preserve">. Crucially, </w:t>
      </w:r>
      <w:r w:rsidR="001101F9">
        <w:t>autistic young people themselves identify that teachers knowing more about them, and about what autism means for them, is one of the most important factors for supporting their feelings of inclusion and belonging at school (APPGA &amp; NAS, 2017; Hummerstone &amp; Parsons, 2020; Goodall, 2018).</w:t>
      </w:r>
      <w:r w:rsidR="00D32740">
        <w:t xml:space="preserve"> </w:t>
      </w:r>
      <w:r w:rsidR="0010504C">
        <w:t>U</w:t>
      </w:r>
      <w:r w:rsidR="001101F9">
        <w:t>nderstanding the individual,</w:t>
      </w:r>
      <w:r w:rsidR="00D32740">
        <w:t xml:space="preserve"> knowing about their autism</w:t>
      </w:r>
      <w:r w:rsidR="001101F9">
        <w:t xml:space="preserve"> and their strengths and interests as well as areas of need</w:t>
      </w:r>
      <w:r w:rsidR="00D32740">
        <w:t>,</w:t>
      </w:r>
      <w:r w:rsidR="001101F9">
        <w:t xml:space="preserve"> is vital</w:t>
      </w:r>
      <w:r w:rsidR="00D32740">
        <w:t xml:space="preserve"> for </w:t>
      </w:r>
      <w:r w:rsidR="00D32740">
        <w:lastRenderedPageBreak/>
        <w:t xml:space="preserve">educational good practice and supporting longer-term outcomes </w:t>
      </w:r>
      <w:r w:rsidR="001101F9">
        <w:t>(Guldberg</w:t>
      </w:r>
      <w:r w:rsidR="00884EDD">
        <w:t xml:space="preserve"> et al.</w:t>
      </w:r>
      <w:r w:rsidR="001101F9">
        <w:t>, 2019).</w:t>
      </w:r>
      <w:r w:rsidR="00D32740">
        <w:t xml:space="preserve"> The principle of knowing about the child more holistically should apply equally to autistic children in care and efforts to enable their participation and engagement should be redoubled to ensure their voices contribute authentically and appropriately to decision-making (Zilli et al.,</w:t>
      </w:r>
      <w:r w:rsidR="00C06646">
        <w:t xml:space="preserve"> 2020). </w:t>
      </w:r>
    </w:p>
    <w:p w14:paraId="0C3B5CF3" w14:textId="4AF59853" w:rsidR="00DF58D8" w:rsidRDefault="007E1F42" w:rsidP="0010504C">
      <w:pPr>
        <w:pStyle w:val="Newparagraph"/>
      </w:pPr>
      <w:r>
        <w:t>T</w:t>
      </w:r>
      <w:r w:rsidR="00C06646">
        <w:t>hose voices were absent from our research too and so a priority objective for future research is to explore the voices of autistic children in care more directly. While there is some</w:t>
      </w:r>
      <w:r w:rsidR="00C65EE0">
        <w:t xml:space="preserve"> good</w:t>
      </w:r>
      <w:r w:rsidR="00C06646">
        <w:t xml:space="preserve"> evidence from children attending residential special schools</w:t>
      </w:r>
      <w:r w:rsidR="00C65EE0">
        <w:t xml:space="preserve"> about the challenges faced</w:t>
      </w:r>
      <w:r w:rsidR="00C06646">
        <w:t xml:space="preserve"> (Pellicano et al., 2014)</w:t>
      </w:r>
      <w:r w:rsidR="00C65EE0">
        <w:t xml:space="preserve"> there is considerable scope for extending research in this area</w:t>
      </w:r>
      <w:r w:rsidR="00BB3815">
        <w:t xml:space="preserve"> to include a wider range of voices</w:t>
      </w:r>
      <w:r w:rsidR="00C65EE0">
        <w:t>.</w:t>
      </w:r>
      <w:r w:rsidR="00BB3815">
        <w:t xml:space="preserve"> </w:t>
      </w:r>
      <w:r w:rsidR="00D848EC" w:rsidRPr="003F772F">
        <w:rPr>
          <w:highlight w:val="yellow"/>
        </w:rPr>
        <w:t>Whilst we acknowledge the absence of autistic children’s voices in our research, we must also acknowledge the absence of social workers’, and particularly designated teachers’ voices and views from this study. The robustness of this study would have been further enhanced through being able to interview these key groups about their experiences of the virtual school. Undoubtably, future research should endeavour to include the views of these groups to help shape our understanding of the VS and the settings and structures that it must integrate with.</w:t>
      </w:r>
      <w:r w:rsidR="00D848EC">
        <w:t xml:space="preserve"> </w:t>
      </w:r>
      <w:r w:rsidR="00BB3815">
        <w:t>Our sample of VSHs was small and so we also make no claims to generalisation about our findings; there is a need to continue to build our understanding of, and the evidence base around, this important strategic role from across all LAs in England</w:t>
      </w:r>
      <w:r w:rsidR="0010504C">
        <w:t xml:space="preserve"> not least given the urgency required for improving the situation of autistic children in care (</w:t>
      </w:r>
      <w:r w:rsidR="0010504C" w:rsidRPr="0010504C">
        <w:t>O’Higgins</w:t>
      </w:r>
      <w:r w:rsidR="00884EDD">
        <w:t xml:space="preserve"> et al.</w:t>
      </w:r>
      <w:r w:rsidR="0010504C">
        <w:t xml:space="preserve">, </w:t>
      </w:r>
      <w:r w:rsidR="0010504C" w:rsidRPr="0010504C">
        <w:t>2021</w:t>
      </w:r>
      <w:r w:rsidR="0010504C">
        <w:t>)</w:t>
      </w:r>
      <w:r w:rsidR="008D35B6">
        <w:t>.</w:t>
      </w:r>
      <w:r w:rsidR="00BB3815">
        <w:t xml:space="preserve"> </w:t>
      </w:r>
      <w:r w:rsidR="00B124B3" w:rsidRPr="00B124B3">
        <w:rPr>
          <w:highlight w:val="yellow"/>
        </w:rPr>
        <w:t xml:space="preserve">Given the variation in the size and structures of virtual schools </w:t>
      </w:r>
      <w:proofErr w:type="gramStart"/>
      <w:r w:rsidR="00B124B3" w:rsidRPr="00B124B3">
        <w:rPr>
          <w:highlight w:val="yellow"/>
        </w:rPr>
        <w:t>teams,  as</w:t>
      </w:r>
      <w:proofErr w:type="gramEnd"/>
      <w:r w:rsidR="00B124B3" w:rsidRPr="00B124B3">
        <w:rPr>
          <w:highlight w:val="yellow"/>
        </w:rPr>
        <w:t xml:space="preserve"> well as the policies and procedures for assessment and recording of data (e.g., (E)PEPs) employed within different local authorities, a larger and more varied sample would have further enhanced our understanding of the role of virtual schools with respect to autistic children in care</w:t>
      </w:r>
      <w:r w:rsidR="00B124B3" w:rsidRPr="00B124B3">
        <w:rPr>
          <w:highlight w:val="yellow"/>
        </w:rPr>
        <w:t>.</w:t>
      </w:r>
      <w:r w:rsidR="00B124B3">
        <w:t xml:space="preserve"> </w:t>
      </w:r>
      <w:r w:rsidR="00BB3815">
        <w:t xml:space="preserve">Nevertheless, in an extremely </w:t>
      </w:r>
      <w:r w:rsidR="00BB3815">
        <w:lastRenderedPageBreak/>
        <w:t>limited evidence base and with the very stretched nature of the VSH role, our data provide valuable</w:t>
      </w:r>
      <w:r w:rsidR="0010504C">
        <w:t xml:space="preserve"> and rare</w:t>
      </w:r>
      <w:r w:rsidR="00BB3815">
        <w:t xml:space="preserve"> insights into the experiences of busy professionals</w:t>
      </w:r>
      <w:r w:rsidR="008D35B6">
        <w:t xml:space="preserve"> doing their best to</w:t>
      </w:r>
      <w:r w:rsidR="00BB3815">
        <w:t xml:space="preserve"> support autistic children in care. </w:t>
      </w:r>
    </w:p>
    <w:p w14:paraId="56949145" w14:textId="77777777" w:rsidR="00DF58D8" w:rsidRDefault="00DF58D8">
      <w:pPr>
        <w:spacing w:line="240" w:lineRule="auto"/>
      </w:pPr>
      <w:r>
        <w:br w:type="page"/>
      </w:r>
    </w:p>
    <w:p w14:paraId="1C95DEA8" w14:textId="77777777" w:rsidR="00DF58D8" w:rsidRPr="00DF58D8" w:rsidRDefault="00DF58D8" w:rsidP="00DF58D8">
      <w:pPr>
        <w:pStyle w:val="Newparagraph"/>
        <w:rPr>
          <w:b/>
          <w:bCs/>
        </w:rPr>
      </w:pPr>
      <w:r w:rsidRPr="00DF58D8">
        <w:rPr>
          <w:b/>
          <w:bCs/>
        </w:rPr>
        <w:lastRenderedPageBreak/>
        <w:t>References</w:t>
      </w:r>
    </w:p>
    <w:p w14:paraId="3C8B9DA9" w14:textId="77777777" w:rsidR="00DF58D8" w:rsidRPr="00DF58D8" w:rsidRDefault="00DF58D8" w:rsidP="00DF58D8">
      <w:pPr>
        <w:pStyle w:val="Newparagraph"/>
        <w:ind w:hanging="426"/>
      </w:pPr>
      <w:r w:rsidRPr="00DF58D8">
        <w:rPr>
          <w:bCs/>
        </w:rPr>
        <w:t xml:space="preserve">All Party Parliamentary Group on Autism (APPGA) / National Autistic Society (NAS) (2017). </w:t>
      </w:r>
      <w:r w:rsidRPr="00DF58D8">
        <w:rPr>
          <w:bCs/>
          <w:i/>
        </w:rPr>
        <w:t>Autism and education in England 2017</w:t>
      </w:r>
      <w:r w:rsidRPr="00DF58D8">
        <w:rPr>
          <w:bCs/>
        </w:rPr>
        <w:t xml:space="preserve">. </w:t>
      </w:r>
      <w:hyperlink r:id="rId10" w:history="1">
        <w:r w:rsidRPr="00DF58D8">
          <w:rPr>
            <w:rStyle w:val="Hyperlink"/>
            <w:bCs/>
          </w:rPr>
          <w:t>https://www.autism.org.uk/~/media/nas/documents/get-involved/held-back/appga-autism-and-education-report.ashx?la=en-gb</w:t>
        </w:r>
      </w:hyperlink>
    </w:p>
    <w:p w14:paraId="532C32F0" w14:textId="77777777" w:rsidR="00DF58D8" w:rsidRPr="00DF58D8" w:rsidRDefault="00DF58D8" w:rsidP="00DF58D8">
      <w:pPr>
        <w:pStyle w:val="Newparagraph"/>
        <w:ind w:hanging="426"/>
      </w:pPr>
      <w:r w:rsidRPr="00DF58D8">
        <w:t xml:space="preserve">Anderson, K. A., </w:t>
      </w:r>
      <w:proofErr w:type="spellStart"/>
      <w:r w:rsidRPr="00DF58D8">
        <w:t>Sosnowy</w:t>
      </w:r>
      <w:proofErr w:type="spellEnd"/>
      <w:r w:rsidRPr="00DF58D8">
        <w:t xml:space="preserve">, C., </w:t>
      </w:r>
      <w:proofErr w:type="spellStart"/>
      <w:r w:rsidRPr="00DF58D8">
        <w:t>Kuo</w:t>
      </w:r>
      <w:proofErr w:type="spellEnd"/>
      <w:r w:rsidRPr="00DF58D8">
        <w:t>, A. A., &amp; Shattuck, P. T. (2018). Transition of individuals with autism to adulthood: a review of qualitative studies. </w:t>
      </w:r>
      <w:proofErr w:type="spellStart"/>
      <w:r w:rsidRPr="00DF58D8">
        <w:rPr>
          <w:i/>
          <w:iCs/>
        </w:rPr>
        <w:t>Pediatrics</w:t>
      </w:r>
      <w:proofErr w:type="spellEnd"/>
      <w:r w:rsidRPr="00DF58D8">
        <w:t>, </w:t>
      </w:r>
      <w:r w:rsidRPr="00DF58D8">
        <w:rPr>
          <w:i/>
          <w:iCs/>
        </w:rPr>
        <w:t>141</w:t>
      </w:r>
      <w:r w:rsidRPr="00DF58D8">
        <w:t>(Supplement 4), S318-S327.</w:t>
      </w:r>
    </w:p>
    <w:p w14:paraId="61AAF328" w14:textId="5C5DB21A" w:rsidR="00DF58D8" w:rsidRDefault="00DF58D8" w:rsidP="00DF58D8">
      <w:pPr>
        <w:pStyle w:val="Newparagraph"/>
        <w:ind w:hanging="426"/>
      </w:pPr>
      <w:r w:rsidRPr="00DF58D8">
        <w:t xml:space="preserve">Ayres, M., Parr, J. R., Rodgers, J., Mason, D., Avery, L., &amp; Flynn, D. (2018). A systematic review of quality of life of adults on the autism spectrum. </w:t>
      </w:r>
      <w:r w:rsidRPr="00DF58D8">
        <w:rPr>
          <w:i/>
          <w:iCs/>
        </w:rPr>
        <w:t>Autism</w:t>
      </w:r>
      <w:r w:rsidRPr="00DF58D8">
        <w:t xml:space="preserve">, </w:t>
      </w:r>
      <w:r w:rsidRPr="00DF58D8">
        <w:rPr>
          <w:i/>
          <w:iCs/>
        </w:rPr>
        <w:t>22</w:t>
      </w:r>
      <w:r w:rsidRPr="00DF58D8">
        <w:t>(7), 774-783.</w:t>
      </w:r>
    </w:p>
    <w:p w14:paraId="11867919" w14:textId="77DFDE2A" w:rsidR="004A2D21" w:rsidRPr="00DF58D8" w:rsidRDefault="004A2D21" w:rsidP="00DF58D8">
      <w:pPr>
        <w:pStyle w:val="Newparagraph"/>
        <w:ind w:hanging="426"/>
      </w:pPr>
      <w:proofErr w:type="spellStart"/>
      <w:r w:rsidRPr="004A2D21">
        <w:t>Bottema-Beutel</w:t>
      </w:r>
      <w:proofErr w:type="spellEnd"/>
      <w:r w:rsidRPr="004A2D21">
        <w:t xml:space="preserve">, K., Kapp, S. K., Lester, J. N., </w:t>
      </w:r>
      <w:proofErr w:type="spellStart"/>
      <w:r w:rsidRPr="004A2D21">
        <w:t>Sasson</w:t>
      </w:r>
      <w:proofErr w:type="spellEnd"/>
      <w:r w:rsidRPr="004A2D21">
        <w:t>, N. J., &amp; Hand, B. N. (2021). Avoiding ableist language: Suggestions for autism researchers. </w:t>
      </w:r>
      <w:r w:rsidRPr="004A2D21">
        <w:rPr>
          <w:i/>
          <w:iCs/>
        </w:rPr>
        <w:t>Autism in Adulthood</w:t>
      </w:r>
      <w:r w:rsidRPr="004A2D21">
        <w:t>, </w:t>
      </w:r>
      <w:r w:rsidRPr="004A2D21">
        <w:rPr>
          <w:i/>
          <w:iCs/>
        </w:rPr>
        <w:t>3</w:t>
      </w:r>
      <w:r w:rsidRPr="004A2D21">
        <w:t>(1), 18-29.</w:t>
      </w:r>
    </w:p>
    <w:p w14:paraId="763F3ACB" w14:textId="77777777" w:rsidR="00DF58D8" w:rsidRPr="00DF58D8" w:rsidRDefault="00DF58D8" w:rsidP="00DF58D8">
      <w:pPr>
        <w:pStyle w:val="Newparagraph"/>
        <w:ind w:hanging="426"/>
      </w:pPr>
      <w:r w:rsidRPr="00DF58D8">
        <w:t xml:space="preserve">Braun, V., Clarke, V., Hayfield, N., &amp; Terry, G. (2019). Thematic analysis. In </w:t>
      </w:r>
      <w:r w:rsidRPr="00DF58D8">
        <w:rPr>
          <w:i/>
          <w:iCs/>
        </w:rPr>
        <w:t>Handbook of Research Methods in Health Social Sciences</w:t>
      </w:r>
      <w:r w:rsidRPr="00DF58D8">
        <w:t xml:space="preserve"> (pp. 843–860). </w:t>
      </w:r>
    </w:p>
    <w:p w14:paraId="72BF61D9" w14:textId="77777777" w:rsidR="00DF58D8" w:rsidRPr="00DF58D8" w:rsidRDefault="00DF58D8" w:rsidP="00DF58D8">
      <w:pPr>
        <w:pStyle w:val="Newparagraph"/>
        <w:ind w:hanging="426"/>
      </w:pPr>
      <w:r w:rsidRPr="00DF58D8">
        <w:t>Brede, J., Remington, A., Kenny, L., Warren, K., &amp; Pellicano, E. (2017). Excluded from school: Autistic students’ experiences of school exclusion and subsequent re-integration into school. </w:t>
      </w:r>
      <w:r w:rsidRPr="00DF58D8">
        <w:rPr>
          <w:i/>
          <w:iCs/>
        </w:rPr>
        <w:t>Autism &amp; Developmental Language Impairments</w:t>
      </w:r>
      <w:r w:rsidRPr="00DF58D8">
        <w:t>, </w:t>
      </w:r>
      <w:r w:rsidRPr="00DF58D8">
        <w:rPr>
          <w:i/>
          <w:iCs/>
        </w:rPr>
        <w:t>2</w:t>
      </w:r>
      <w:r w:rsidRPr="00DF58D8">
        <w:t>, 2396941517737511.</w:t>
      </w:r>
    </w:p>
    <w:p w14:paraId="3319B573" w14:textId="6D313094" w:rsidR="00DF58D8" w:rsidRPr="00DF58D8" w:rsidRDefault="00DF58D8" w:rsidP="00DF58D8">
      <w:pPr>
        <w:pStyle w:val="Newparagraph"/>
        <w:ind w:hanging="426"/>
        <w:rPr>
          <w:iCs/>
        </w:rPr>
      </w:pPr>
      <w:r w:rsidRPr="00DF58D8">
        <w:t xml:space="preserve">British Psychological Society (BPS). (2021). </w:t>
      </w:r>
      <w:r w:rsidRPr="00DF58D8">
        <w:rPr>
          <w:i/>
          <w:iCs/>
        </w:rPr>
        <w:t xml:space="preserve">Code of Human research ethics. </w:t>
      </w:r>
      <w:r w:rsidRPr="00DF58D8">
        <w:rPr>
          <w:iCs/>
        </w:rPr>
        <w:t xml:space="preserve">Leicester: British Psychological Society. </w:t>
      </w:r>
      <w:hyperlink r:id="rId11" w:history="1">
        <w:r w:rsidRPr="00DF58D8">
          <w:rPr>
            <w:rStyle w:val="Hyperlink"/>
            <w:iCs/>
          </w:rPr>
          <w:t>https://www.bps.org.uk/sites/bps.org.uk/files/Policy%20-%20Files/BPS%20Code%20of%20Human%20Research%20Ethics.pdf</w:t>
        </w:r>
      </w:hyperlink>
      <w:r w:rsidRPr="00DF58D8">
        <w:rPr>
          <w:iCs/>
        </w:rPr>
        <w:t xml:space="preserve"> </w:t>
      </w:r>
    </w:p>
    <w:p w14:paraId="7C52BABD" w14:textId="77777777" w:rsidR="00DF58D8" w:rsidRPr="00DF58D8" w:rsidRDefault="00DF58D8" w:rsidP="00DF58D8">
      <w:pPr>
        <w:pStyle w:val="Newparagraph"/>
        <w:ind w:hanging="426"/>
      </w:pPr>
      <w:r w:rsidRPr="00DF58D8">
        <w:t>Castro, S., Grande, C., &amp; Palikara, O. (2019). Evaluating the quality of outcomes defined for children with Education Health and Care plans in England: A local picture with global implications. </w:t>
      </w:r>
      <w:r w:rsidRPr="00DF58D8">
        <w:rPr>
          <w:i/>
          <w:iCs/>
        </w:rPr>
        <w:t>Research in Developmental Disabilities</w:t>
      </w:r>
      <w:r w:rsidRPr="00DF58D8">
        <w:t>, </w:t>
      </w:r>
      <w:r w:rsidRPr="00DF58D8">
        <w:rPr>
          <w:i/>
          <w:iCs/>
        </w:rPr>
        <w:t>86</w:t>
      </w:r>
      <w:r w:rsidRPr="00DF58D8">
        <w:t>, 41-52.</w:t>
      </w:r>
    </w:p>
    <w:p w14:paraId="0CD2ED2F" w14:textId="77777777" w:rsidR="00DF58D8" w:rsidRPr="00DF58D8" w:rsidRDefault="00DF58D8" w:rsidP="00DF58D8">
      <w:pPr>
        <w:pStyle w:val="Newparagraph"/>
        <w:ind w:hanging="426"/>
      </w:pPr>
      <w:r w:rsidRPr="00DF58D8">
        <w:lastRenderedPageBreak/>
        <w:t>Chiang, H. M. (2008). Expressive communication of children with autism: The use of challenging behaviour. </w:t>
      </w:r>
      <w:r w:rsidRPr="00DF58D8">
        <w:rPr>
          <w:i/>
          <w:iCs/>
        </w:rPr>
        <w:t>Journal of Intellectual Disability Research</w:t>
      </w:r>
      <w:r w:rsidRPr="00DF58D8">
        <w:t>, </w:t>
      </w:r>
      <w:r w:rsidRPr="00DF58D8">
        <w:rPr>
          <w:i/>
          <w:iCs/>
        </w:rPr>
        <w:t>52</w:t>
      </w:r>
      <w:r w:rsidRPr="00DF58D8">
        <w:t>(11), 966-972.</w:t>
      </w:r>
    </w:p>
    <w:p w14:paraId="12E1D5C1" w14:textId="77777777" w:rsidR="00DF58D8" w:rsidRPr="00DF58D8" w:rsidRDefault="00DF58D8" w:rsidP="00DF58D8">
      <w:pPr>
        <w:pStyle w:val="Newparagraph"/>
        <w:ind w:hanging="426"/>
      </w:pPr>
      <w:r w:rsidRPr="00DF58D8">
        <w:t xml:space="preserve">Cochrane, H., &amp; </w:t>
      </w:r>
      <w:proofErr w:type="spellStart"/>
      <w:r w:rsidRPr="00DF58D8">
        <w:t>Soni</w:t>
      </w:r>
      <w:proofErr w:type="spellEnd"/>
      <w:r w:rsidRPr="00DF58D8">
        <w:t>, A. (2020). Education, health and care plans: What do we know so far? </w:t>
      </w:r>
      <w:r w:rsidRPr="00DF58D8">
        <w:rPr>
          <w:i/>
          <w:iCs/>
        </w:rPr>
        <w:t>Support for Learning</w:t>
      </w:r>
      <w:r w:rsidRPr="00DF58D8">
        <w:t>, </w:t>
      </w:r>
      <w:r w:rsidRPr="00DF58D8">
        <w:rPr>
          <w:i/>
          <w:iCs/>
        </w:rPr>
        <w:t>35</w:t>
      </w:r>
      <w:r w:rsidRPr="00DF58D8">
        <w:t>(3), 372-388.</w:t>
      </w:r>
    </w:p>
    <w:p w14:paraId="7CD210FF" w14:textId="013ACF08" w:rsidR="00DF58D8" w:rsidRPr="00DF58D8" w:rsidRDefault="00DF58D8" w:rsidP="00DF58D8">
      <w:pPr>
        <w:pStyle w:val="Newparagraph"/>
        <w:ind w:hanging="426"/>
      </w:pPr>
      <w:r w:rsidRPr="00DF58D8">
        <w:t xml:space="preserve">Cooke, J. (2018). </w:t>
      </w:r>
      <w:r w:rsidRPr="00DF58D8">
        <w:rPr>
          <w:i/>
          <w:iCs/>
        </w:rPr>
        <w:t>We need an Education</w:t>
      </w:r>
      <w:r w:rsidRPr="00DF58D8">
        <w:t>. Ambitious About Autism.</w:t>
      </w:r>
      <w:r>
        <w:t xml:space="preserve"> </w:t>
      </w:r>
      <w:hyperlink r:id="rId12" w:history="1">
        <w:r w:rsidRPr="00DF58D8">
          <w:rPr>
            <w:rStyle w:val="Hyperlink"/>
          </w:rPr>
          <w:t>https://www.ambitiousaboutautism.org.uk/sites/default/files/resources-and-downloads/files/we-need-an-education-exclusions-report.pdf</w:t>
        </w:r>
      </w:hyperlink>
      <w:r w:rsidRPr="00DF58D8">
        <w:t xml:space="preserve"> </w:t>
      </w:r>
    </w:p>
    <w:p w14:paraId="21E2F635" w14:textId="77777777" w:rsidR="00DF58D8" w:rsidRPr="00DF58D8" w:rsidRDefault="00DF58D8" w:rsidP="00DF58D8">
      <w:pPr>
        <w:pStyle w:val="Newparagraph"/>
        <w:ind w:hanging="426"/>
      </w:pPr>
      <w:r w:rsidRPr="00DF58D8">
        <w:t xml:space="preserve">Daniels, H. (2004). Cultural historical activity theory and professional learning. </w:t>
      </w:r>
      <w:r w:rsidRPr="00DF58D8">
        <w:rPr>
          <w:i/>
          <w:iCs/>
        </w:rPr>
        <w:t>International Journal of Disability, Development and Education</w:t>
      </w:r>
      <w:r w:rsidRPr="00DF58D8">
        <w:t>, 51(2), 185-200.</w:t>
      </w:r>
    </w:p>
    <w:p w14:paraId="1B0C1491" w14:textId="77777777" w:rsidR="00DF58D8" w:rsidRPr="00DF58D8" w:rsidRDefault="00DF58D8" w:rsidP="00DF58D8">
      <w:pPr>
        <w:pStyle w:val="Newparagraph"/>
        <w:ind w:hanging="426"/>
      </w:pPr>
      <w:r w:rsidRPr="00DF58D8">
        <w:t xml:space="preserve">DeJong, M. (2010). Some reflections on the use of psychiatric diagnosis in the looked after or “in care” child population. </w:t>
      </w:r>
      <w:r w:rsidRPr="00DF58D8">
        <w:rPr>
          <w:i/>
        </w:rPr>
        <w:t>Clinical Child Psychology and Psychiatry</w:t>
      </w:r>
      <w:r w:rsidRPr="00DF58D8">
        <w:t>, 15(4), 589-599.</w:t>
      </w:r>
    </w:p>
    <w:p w14:paraId="397DB2D4" w14:textId="19052243" w:rsidR="00DF58D8" w:rsidRPr="00DF58D8" w:rsidRDefault="00DF58D8" w:rsidP="00DF58D8">
      <w:pPr>
        <w:pStyle w:val="Newparagraph"/>
        <w:ind w:hanging="426"/>
      </w:pPr>
      <w:r w:rsidRPr="00DF58D8">
        <w:t xml:space="preserve">Department for Education (2015) </w:t>
      </w:r>
      <w:r w:rsidRPr="00DF58D8">
        <w:rPr>
          <w:i/>
          <w:iCs/>
        </w:rPr>
        <w:t>The Children Act 1989 guidance and regulations. Volume 2: Care planning, placement and case review</w:t>
      </w:r>
      <w:r w:rsidRPr="00DF58D8">
        <w:t>.</w:t>
      </w:r>
      <w:r>
        <w:t xml:space="preserve"> </w:t>
      </w:r>
      <w:hyperlink r:id="rId13" w:history="1">
        <w:r w:rsidRPr="00DF58D8">
          <w:rPr>
            <w:rStyle w:val="Hyperlink"/>
          </w:rPr>
          <w:t>https://assets.publishing.service.gov.uk/government/uploads/system/uploads/attachment_data/file/441643/Children_Act_Guidance_2015.pdf</w:t>
        </w:r>
      </w:hyperlink>
      <w:r w:rsidRPr="00DF58D8">
        <w:t xml:space="preserve"> </w:t>
      </w:r>
    </w:p>
    <w:p w14:paraId="567232A0" w14:textId="77777777" w:rsidR="00DF58D8" w:rsidRDefault="00DF58D8" w:rsidP="00DF58D8">
      <w:pPr>
        <w:pStyle w:val="Newparagraph"/>
        <w:ind w:hanging="426"/>
      </w:pPr>
      <w:r w:rsidRPr="00DF58D8">
        <w:t xml:space="preserve">Department for Education. (2018). </w:t>
      </w:r>
      <w:r w:rsidRPr="00DF58D8">
        <w:rPr>
          <w:i/>
        </w:rPr>
        <w:t>Promoting the education of looked after children and previously looked after children: Statutory guidance for local authorities.</w:t>
      </w:r>
    </w:p>
    <w:p w14:paraId="264232AE" w14:textId="6CC210B4" w:rsidR="00DF58D8" w:rsidRPr="00DF58D8" w:rsidRDefault="00337F49" w:rsidP="00DF58D8">
      <w:pPr>
        <w:pStyle w:val="Newparagraph"/>
        <w:ind w:hanging="426"/>
      </w:pPr>
      <w:hyperlink r:id="rId14" w:history="1">
        <w:r w:rsidR="00DF58D8" w:rsidRPr="00DF58D8">
          <w:rPr>
            <w:rStyle w:val="Hyperlink"/>
          </w:rPr>
          <w:t>https://assets.publishing.service.gov.uk/government/uploads/system/uploads/attachment_data/file/683556/Promoting_the_education_of_looked-after_children_and_previously_looked-after_children.pdf</w:t>
        </w:r>
      </w:hyperlink>
      <w:r w:rsidR="00DF58D8" w:rsidRPr="00DF58D8">
        <w:t xml:space="preserve"> </w:t>
      </w:r>
    </w:p>
    <w:p w14:paraId="549EF183" w14:textId="38D86775" w:rsidR="00DF58D8" w:rsidRPr="00DF58D8" w:rsidRDefault="00DF58D8" w:rsidP="00DF58D8">
      <w:pPr>
        <w:pStyle w:val="Newparagraph"/>
        <w:ind w:hanging="426"/>
      </w:pPr>
      <w:r w:rsidRPr="00DF58D8">
        <w:t xml:space="preserve">Department for Education. (2019). </w:t>
      </w:r>
      <w:r w:rsidRPr="00DF58D8">
        <w:rPr>
          <w:i/>
        </w:rPr>
        <w:t>Children looked after in England (including adoption), year ending 31</w:t>
      </w:r>
      <w:r w:rsidRPr="00DF58D8">
        <w:rPr>
          <w:i/>
          <w:vertAlign w:val="superscript"/>
        </w:rPr>
        <w:t>st</w:t>
      </w:r>
      <w:r w:rsidRPr="00DF58D8">
        <w:rPr>
          <w:i/>
        </w:rPr>
        <w:t xml:space="preserve"> March 2019.</w:t>
      </w:r>
      <w:r>
        <w:rPr>
          <w:i/>
        </w:rPr>
        <w:t xml:space="preserve"> </w:t>
      </w:r>
      <w:hyperlink r:id="rId15" w:history="1">
        <w:r w:rsidRPr="00DF58D8">
          <w:rPr>
            <w:rStyle w:val="Hyperlink"/>
          </w:rPr>
          <w:t>https://assets.publishing.service.gov.uk/government/uploads/system/uploads/attachment_data/file/850306/Children_looked_after_in_England_2019_Text.pdf</w:t>
        </w:r>
      </w:hyperlink>
      <w:r w:rsidRPr="00DF58D8">
        <w:t xml:space="preserve"> </w:t>
      </w:r>
    </w:p>
    <w:p w14:paraId="10B08C29" w14:textId="77777777" w:rsidR="00DF58D8" w:rsidRDefault="00DF58D8" w:rsidP="00DF58D8">
      <w:pPr>
        <w:pStyle w:val="Newparagraph"/>
        <w:ind w:hanging="426"/>
        <w:rPr>
          <w:i/>
        </w:rPr>
      </w:pPr>
      <w:r w:rsidRPr="00DF58D8">
        <w:lastRenderedPageBreak/>
        <w:t>Department for Education. (2020</w:t>
      </w:r>
      <w:r w:rsidRPr="00DF58D8">
        <w:rPr>
          <w:i/>
        </w:rPr>
        <w:t>) Outcomes for children looked after by local authorities in England, 31 March 2019.</w:t>
      </w:r>
    </w:p>
    <w:p w14:paraId="70A4002F" w14:textId="23556EAD" w:rsidR="00DF58D8" w:rsidRPr="00DF58D8" w:rsidRDefault="00337F49" w:rsidP="00DF58D8">
      <w:pPr>
        <w:pStyle w:val="Newparagraph"/>
        <w:ind w:hanging="426"/>
      </w:pPr>
      <w:hyperlink r:id="rId16" w:history="1">
        <w:r w:rsidR="00DF58D8" w:rsidRPr="00DF58D8">
          <w:rPr>
            <w:rStyle w:val="Hyperlink"/>
          </w:rPr>
          <w:t>https://assets.publishing.service.gov.uk/government/uploads/system/uploads/attachment_data/file/884758/CLA_Outcomes_Main_Text_2019.pdf</w:t>
        </w:r>
      </w:hyperlink>
      <w:r w:rsidR="00DF58D8" w:rsidRPr="00DF58D8">
        <w:t xml:space="preserve"> </w:t>
      </w:r>
    </w:p>
    <w:p w14:paraId="5EA803DB" w14:textId="77777777" w:rsidR="00DF58D8" w:rsidRPr="00DF58D8" w:rsidRDefault="00DF58D8" w:rsidP="00DF58D8">
      <w:pPr>
        <w:pStyle w:val="Newparagraph"/>
        <w:ind w:hanging="426"/>
      </w:pPr>
      <w:r w:rsidRPr="00DF58D8">
        <w:t xml:space="preserve">Department for Education / Department of Health (2015). </w:t>
      </w:r>
      <w:r w:rsidRPr="00DF58D8">
        <w:rPr>
          <w:i/>
        </w:rPr>
        <w:t>SEND code of practice: 0 to 25 years</w:t>
      </w:r>
      <w:r w:rsidRPr="00DF58D8">
        <w:t xml:space="preserve">. </w:t>
      </w:r>
      <w:hyperlink r:id="rId17" w:history="1">
        <w:r w:rsidRPr="00DF58D8">
          <w:rPr>
            <w:rStyle w:val="Hyperlink"/>
            <w:bCs/>
          </w:rPr>
          <w:t>https://www.gov.uk/government/publications/send-code-of-practice-0-to-25</w:t>
        </w:r>
      </w:hyperlink>
    </w:p>
    <w:p w14:paraId="6EA8E144" w14:textId="77777777" w:rsidR="00DF58D8" w:rsidRPr="00DF58D8" w:rsidRDefault="00DF58D8" w:rsidP="00DF58D8">
      <w:pPr>
        <w:pStyle w:val="Newparagraph"/>
        <w:ind w:hanging="426"/>
      </w:pPr>
      <w:r w:rsidRPr="00DF58D8">
        <w:t xml:space="preserve">Drew, H., &amp; Banerjee, R. (2019). Supporting the education and well-being of children who are looked-after: what is the role of the virtual school? </w:t>
      </w:r>
      <w:r w:rsidRPr="00DF58D8">
        <w:rPr>
          <w:i/>
          <w:iCs/>
        </w:rPr>
        <w:t>European Journal of Psychology of Education</w:t>
      </w:r>
      <w:r w:rsidRPr="00DF58D8">
        <w:t xml:space="preserve">, </w:t>
      </w:r>
      <w:r w:rsidRPr="00DF58D8">
        <w:rPr>
          <w:i/>
          <w:iCs/>
        </w:rPr>
        <w:t>34</w:t>
      </w:r>
      <w:r w:rsidRPr="00DF58D8">
        <w:t>(1), 101–121.</w:t>
      </w:r>
    </w:p>
    <w:p w14:paraId="5FD6DF71" w14:textId="77777777" w:rsidR="00DF58D8" w:rsidRPr="00DF58D8" w:rsidRDefault="00DF58D8" w:rsidP="00DF58D8">
      <w:pPr>
        <w:pStyle w:val="Newparagraph"/>
        <w:ind w:hanging="426"/>
      </w:pPr>
      <w:r w:rsidRPr="00DF58D8">
        <w:t xml:space="preserve">Driscoll, J. (2011). Making up Lost Ground: Challenges in Supporting the Educational Attainment of Looked after Children beyond Key Stage 4. </w:t>
      </w:r>
      <w:r w:rsidRPr="00DF58D8">
        <w:rPr>
          <w:i/>
          <w:iCs/>
        </w:rPr>
        <w:t>Adoption and Fostering</w:t>
      </w:r>
      <w:r w:rsidRPr="00DF58D8">
        <w:t xml:space="preserve">, </w:t>
      </w:r>
      <w:r w:rsidRPr="00DF58D8">
        <w:rPr>
          <w:i/>
          <w:iCs/>
        </w:rPr>
        <w:t>35</w:t>
      </w:r>
      <w:r w:rsidRPr="00DF58D8">
        <w:t xml:space="preserve">(2), 18–31. </w:t>
      </w:r>
    </w:p>
    <w:p w14:paraId="5146E810" w14:textId="77777777" w:rsidR="00DF58D8" w:rsidRPr="00DF58D8" w:rsidRDefault="00DF58D8" w:rsidP="00DF58D8">
      <w:pPr>
        <w:pStyle w:val="Newparagraph"/>
        <w:ind w:hanging="426"/>
        <w:rPr>
          <w:bCs/>
        </w:rPr>
      </w:pPr>
      <w:r w:rsidRPr="00DF58D8">
        <w:rPr>
          <w:bCs/>
        </w:rPr>
        <w:t>Goodall, C. (2018). ‘I felt closed in and like I couldn’t breathe’: A qualitative study exploring the mainstream educational experiences of autistic young people. </w:t>
      </w:r>
      <w:r w:rsidRPr="00DF58D8">
        <w:rPr>
          <w:bCs/>
          <w:i/>
          <w:iCs/>
        </w:rPr>
        <w:t>Autism &amp; Developmental Language Impairments</w:t>
      </w:r>
      <w:r w:rsidRPr="00DF58D8">
        <w:rPr>
          <w:bCs/>
        </w:rPr>
        <w:t>, </w:t>
      </w:r>
      <w:r w:rsidRPr="00DF58D8">
        <w:rPr>
          <w:bCs/>
          <w:i/>
          <w:iCs/>
        </w:rPr>
        <w:t>3</w:t>
      </w:r>
      <w:r w:rsidRPr="00DF58D8">
        <w:rPr>
          <w:bCs/>
        </w:rPr>
        <w:t>, 2396941518804407.</w:t>
      </w:r>
    </w:p>
    <w:p w14:paraId="28418AE0" w14:textId="77777777" w:rsidR="00DF58D8" w:rsidRPr="00DF58D8" w:rsidRDefault="00DF58D8" w:rsidP="00DF58D8">
      <w:pPr>
        <w:pStyle w:val="Newparagraph"/>
        <w:ind w:hanging="426"/>
        <w:rPr>
          <w:bCs/>
        </w:rPr>
      </w:pPr>
      <w:r w:rsidRPr="00DF58D8">
        <w:rPr>
          <w:bCs/>
        </w:rPr>
        <w:t xml:space="preserve">Green, J., Leadbitter, K., Kay, C., &amp; Sharma, K. (2016). Autism spectrum disorder in children adopted after early care breakdown. </w:t>
      </w:r>
      <w:r w:rsidRPr="00DF58D8">
        <w:rPr>
          <w:bCs/>
          <w:i/>
          <w:iCs/>
        </w:rPr>
        <w:t>Journal of Autism and Developmental Disorders</w:t>
      </w:r>
      <w:r w:rsidRPr="00DF58D8">
        <w:rPr>
          <w:bCs/>
        </w:rPr>
        <w:t xml:space="preserve">, </w:t>
      </w:r>
      <w:r w:rsidRPr="00DF58D8">
        <w:rPr>
          <w:bCs/>
          <w:i/>
          <w:iCs/>
        </w:rPr>
        <w:t>46</w:t>
      </w:r>
      <w:r w:rsidRPr="00DF58D8">
        <w:rPr>
          <w:bCs/>
        </w:rPr>
        <w:t>(4), 1392-1402.</w:t>
      </w:r>
    </w:p>
    <w:p w14:paraId="0A42E8E6" w14:textId="33DBBF2D" w:rsidR="00B96C95" w:rsidRPr="00B96C95" w:rsidRDefault="00B96C95" w:rsidP="00B96C95">
      <w:pPr>
        <w:pStyle w:val="Newparagraph"/>
        <w:ind w:hanging="426"/>
      </w:pPr>
      <w:r w:rsidRPr="00B96C95">
        <w:t xml:space="preserve">Guldberg, K., Bradley, R., </w:t>
      </w:r>
      <w:proofErr w:type="spellStart"/>
      <w:r w:rsidRPr="00B96C95">
        <w:t>Wittemeyer</w:t>
      </w:r>
      <w:proofErr w:type="spellEnd"/>
      <w:r w:rsidRPr="00B96C95">
        <w:t xml:space="preserve">, K., </w:t>
      </w:r>
      <w:proofErr w:type="spellStart"/>
      <w:r w:rsidRPr="00B96C95">
        <w:t>Briscombe</w:t>
      </w:r>
      <w:proofErr w:type="spellEnd"/>
      <w:r w:rsidRPr="00B96C95">
        <w:t xml:space="preserve">, J., Phillips, C. </w:t>
      </w:r>
      <w:r>
        <w:t>&amp;</w:t>
      </w:r>
      <w:r w:rsidRPr="00B96C95">
        <w:t xml:space="preserve"> Jones, G. (2019</w:t>
      </w:r>
      <w:r>
        <w:t xml:space="preserve">). </w:t>
      </w:r>
      <w:r w:rsidRPr="00B96C95">
        <w:rPr>
          <w:i/>
          <w:iCs/>
        </w:rPr>
        <w:t>Good Autism Practice: Full Report</w:t>
      </w:r>
      <w:r w:rsidRPr="00B96C95">
        <w:t xml:space="preserve">. London: Autism Education Trust. </w:t>
      </w:r>
      <w:hyperlink r:id="rId18" w:history="1">
        <w:r w:rsidRPr="00B96C95">
          <w:rPr>
            <w:rStyle w:val="Hyperlink"/>
          </w:rPr>
          <w:t>https://www.autismeducationtrust.org.uk/shop/good-autism-practice-resources/</w:t>
        </w:r>
      </w:hyperlink>
      <w:r w:rsidRPr="00B96C95">
        <w:t xml:space="preserve"> </w:t>
      </w:r>
    </w:p>
    <w:p w14:paraId="50DB234B" w14:textId="77777777" w:rsidR="00DF58D8" w:rsidRPr="00DF58D8" w:rsidRDefault="00DF58D8" w:rsidP="00DF58D8">
      <w:pPr>
        <w:pStyle w:val="Newparagraph"/>
        <w:ind w:hanging="426"/>
      </w:pPr>
      <w:r w:rsidRPr="00DF58D8">
        <w:t>Hummerstone, H., &amp; Parsons, S. (2020). What makes a good teacher? Comparing the perspectives of students on the autism spectrum and staff. </w:t>
      </w:r>
      <w:r w:rsidRPr="00DF58D8">
        <w:rPr>
          <w:i/>
          <w:iCs/>
        </w:rPr>
        <w:t>European Journal of Special Needs Education</w:t>
      </w:r>
      <w:r w:rsidRPr="00DF58D8">
        <w:t xml:space="preserve">, 1-15. DOI: 10.1080/08856257.2020.1783800 </w:t>
      </w:r>
    </w:p>
    <w:p w14:paraId="01E5D296" w14:textId="04ABD06D" w:rsidR="00DF58D8" w:rsidRPr="00DF58D8" w:rsidRDefault="00DF58D8" w:rsidP="00DF58D8">
      <w:pPr>
        <w:pStyle w:val="Newparagraph"/>
        <w:ind w:hanging="426"/>
      </w:pPr>
      <w:proofErr w:type="spellStart"/>
      <w:r w:rsidRPr="00DF58D8">
        <w:lastRenderedPageBreak/>
        <w:t>Lenehan</w:t>
      </w:r>
      <w:proofErr w:type="spellEnd"/>
      <w:r w:rsidRPr="00DF58D8">
        <w:t xml:space="preserve">, C. (2017). </w:t>
      </w:r>
      <w:r w:rsidRPr="00DF58D8">
        <w:rPr>
          <w:i/>
        </w:rPr>
        <w:t>These are our children</w:t>
      </w:r>
      <w:r w:rsidRPr="00DF58D8">
        <w:t>. Council for Disabled Children / Department of Health.</w:t>
      </w:r>
      <w:hyperlink r:id="rId19" w:history="1">
        <w:r w:rsidRPr="00DF58D8">
          <w:rPr>
            <w:rStyle w:val="Hyperlink"/>
          </w:rPr>
          <w:t>https://www.gov.uk/government/uploads/system/uploads/attachment_data/file/585376/Lenehan_Review_Report.pdf</w:t>
        </w:r>
      </w:hyperlink>
    </w:p>
    <w:p w14:paraId="68CC6BE7" w14:textId="6DC267E1" w:rsidR="00DF58D8" w:rsidRPr="00DF58D8" w:rsidRDefault="00DF58D8" w:rsidP="00DF58D8">
      <w:pPr>
        <w:pStyle w:val="Newparagraph"/>
        <w:ind w:hanging="426"/>
      </w:pPr>
      <w:proofErr w:type="spellStart"/>
      <w:r w:rsidRPr="00DF58D8">
        <w:t>Lidell</w:t>
      </w:r>
      <w:proofErr w:type="spellEnd"/>
      <w:r w:rsidRPr="00DF58D8">
        <w:t>, A. (2017). Freedom of Information request #2017-0023409.</w:t>
      </w:r>
      <w:r>
        <w:t xml:space="preserve"> </w:t>
      </w:r>
      <w:hyperlink r:id="rId20" w:history="1">
        <w:r w:rsidRPr="00DF58D8">
          <w:rPr>
            <w:rStyle w:val="Hyperlink"/>
          </w:rPr>
          <w:t>https://www.whatdotheyknow.com/request/list_of_virtual_schools_in_engla_2</w:t>
        </w:r>
      </w:hyperlink>
      <w:r w:rsidRPr="00DF58D8">
        <w:t xml:space="preserve"> </w:t>
      </w:r>
    </w:p>
    <w:p w14:paraId="05546B98" w14:textId="77777777" w:rsidR="00DF58D8" w:rsidRPr="00DF58D8" w:rsidRDefault="00DF58D8" w:rsidP="00DF58D8">
      <w:pPr>
        <w:pStyle w:val="Newparagraph"/>
        <w:ind w:hanging="426"/>
      </w:pPr>
      <w:r w:rsidRPr="00DF58D8">
        <w:t>Lundy, L. (2007). ‘Voice’ is not enough: conceptualising Article 12 of the United Nations Convention on the Rights of the Child. </w:t>
      </w:r>
      <w:r w:rsidRPr="00DF58D8">
        <w:rPr>
          <w:i/>
          <w:iCs/>
        </w:rPr>
        <w:t>British Educational Research Journal</w:t>
      </w:r>
      <w:r w:rsidRPr="00DF58D8">
        <w:t>, </w:t>
      </w:r>
      <w:r w:rsidRPr="00DF58D8">
        <w:rPr>
          <w:i/>
          <w:iCs/>
        </w:rPr>
        <w:t>33</w:t>
      </w:r>
      <w:r w:rsidRPr="00DF58D8">
        <w:t>(6), 927-942.</w:t>
      </w:r>
    </w:p>
    <w:p w14:paraId="12B05534" w14:textId="77777777" w:rsidR="00DF58D8" w:rsidRPr="00DF58D8" w:rsidRDefault="00DF58D8" w:rsidP="00DF58D8">
      <w:pPr>
        <w:pStyle w:val="Newparagraph"/>
        <w:ind w:hanging="426"/>
      </w:pPr>
      <w:r w:rsidRPr="00DF58D8">
        <w:t>Makin, C., Hill, V., &amp; Pellicano, E. (2017). The primary-to-secondary school transition for children on the autism spectrum: A multi-informant mixed-methods study. </w:t>
      </w:r>
      <w:r w:rsidRPr="00DF58D8">
        <w:rPr>
          <w:i/>
          <w:iCs/>
        </w:rPr>
        <w:t>Autism &amp; Developmental Language Impairments</w:t>
      </w:r>
      <w:r w:rsidRPr="00DF58D8">
        <w:t>, </w:t>
      </w:r>
      <w:r w:rsidRPr="00DF58D8">
        <w:rPr>
          <w:i/>
          <w:iCs/>
        </w:rPr>
        <w:t>2</w:t>
      </w:r>
      <w:r w:rsidRPr="00DF58D8">
        <w:t>, 2396941516684834.</w:t>
      </w:r>
    </w:p>
    <w:p w14:paraId="11C15B19" w14:textId="77777777" w:rsidR="00DF58D8" w:rsidRPr="00DF58D8" w:rsidRDefault="00DF58D8" w:rsidP="00DF58D8">
      <w:pPr>
        <w:pStyle w:val="Newparagraph"/>
        <w:ind w:hanging="426"/>
      </w:pPr>
      <w:r w:rsidRPr="00DF58D8">
        <w:t xml:space="preserve">Mandy, W., </w:t>
      </w:r>
      <w:proofErr w:type="spellStart"/>
      <w:r w:rsidRPr="00DF58D8">
        <w:t>Murin</w:t>
      </w:r>
      <w:proofErr w:type="spellEnd"/>
      <w:r w:rsidRPr="00DF58D8">
        <w:t xml:space="preserve">, M., </w:t>
      </w:r>
      <w:proofErr w:type="spellStart"/>
      <w:r w:rsidRPr="00DF58D8">
        <w:t>Baykaner</w:t>
      </w:r>
      <w:proofErr w:type="spellEnd"/>
      <w:r w:rsidRPr="00DF58D8">
        <w:t xml:space="preserve">, O., Staunton, S., </w:t>
      </w:r>
      <w:proofErr w:type="spellStart"/>
      <w:r w:rsidRPr="00DF58D8">
        <w:t>Hellriegel</w:t>
      </w:r>
      <w:proofErr w:type="spellEnd"/>
      <w:r w:rsidRPr="00DF58D8">
        <w:t xml:space="preserve">, J., Anderson, S., &amp; </w:t>
      </w:r>
      <w:proofErr w:type="spellStart"/>
      <w:r w:rsidRPr="00DF58D8">
        <w:t>Skuse</w:t>
      </w:r>
      <w:proofErr w:type="spellEnd"/>
      <w:r w:rsidRPr="00DF58D8">
        <w:t>, D. (2016). The transition from primary to secondary school in mainstream education for children with autism spectrum disorder. </w:t>
      </w:r>
      <w:r w:rsidRPr="00DF58D8">
        <w:rPr>
          <w:i/>
          <w:iCs/>
        </w:rPr>
        <w:t>Autism</w:t>
      </w:r>
      <w:r w:rsidRPr="00DF58D8">
        <w:t>, </w:t>
      </w:r>
      <w:r w:rsidRPr="00DF58D8">
        <w:rPr>
          <w:i/>
          <w:iCs/>
        </w:rPr>
        <w:t>20</w:t>
      </w:r>
      <w:r w:rsidRPr="00DF58D8">
        <w:t>(1), 5-13.</w:t>
      </w:r>
    </w:p>
    <w:p w14:paraId="41D09231" w14:textId="029536DC" w:rsidR="00DF58D8" w:rsidRPr="00DF58D8" w:rsidRDefault="00DF58D8" w:rsidP="00DF58D8">
      <w:pPr>
        <w:pStyle w:val="Newparagraph"/>
        <w:ind w:hanging="426"/>
      </w:pPr>
      <w:r w:rsidRPr="00DF58D8">
        <w:t xml:space="preserve">Moran, H. (2015) </w:t>
      </w:r>
      <w:r w:rsidRPr="00DF58D8">
        <w:rPr>
          <w:i/>
          <w:iCs/>
        </w:rPr>
        <w:t>The Coventry Grid Version 2</w:t>
      </w:r>
      <w:r w:rsidRPr="00DF58D8">
        <w:t>.</w:t>
      </w:r>
      <w:r>
        <w:t xml:space="preserve"> </w:t>
      </w:r>
      <w:hyperlink r:id="rId21" w:history="1">
        <w:r w:rsidRPr="00DF58D8">
          <w:rPr>
            <w:rStyle w:val="Hyperlink"/>
          </w:rPr>
          <w:t>https://www2.oxfordshire.gov.uk/cms/sites/default/files/folders/documents/virtualschool/processesandforms/resourcesandpublications/CoventryGrid.pdf</w:t>
        </w:r>
      </w:hyperlink>
      <w:r w:rsidRPr="00DF58D8">
        <w:t xml:space="preserve"> </w:t>
      </w:r>
    </w:p>
    <w:p w14:paraId="79853FE8" w14:textId="77777777" w:rsidR="00DF58D8" w:rsidRPr="00DF58D8" w:rsidRDefault="00DF58D8" w:rsidP="00DF58D8">
      <w:pPr>
        <w:pStyle w:val="Newparagraph"/>
        <w:ind w:hanging="426"/>
      </w:pPr>
      <w:r w:rsidRPr="00DF58D8">
        <w:t xml:space="preserve">National Association of Virtual School Heads. (2019). </w:t>
      </w:r>
      <w:r w:rsidRPr="00DF58D8">
        <w:rPr>
          <w:i/>
        </w:rPr>
        <w:t>The Virtual School Handbook.</w:t>
      </w:r>
      <w:r w:rsidRPr="00DF58D8">
        <w:t xml:space="preserve"> </w:t>
      </w:r>
      <w:hyperlink r:id="rId22" w:history="1">
        <w:r w:rsidRPr="00DF58D8">
          <w:rPr>
            <w:rStyle w:val="Hyperlink"/>
          </w:rPr>
          <w:t>https://navsh.org.uk/wp-content/uploads/2019/01/2019-01-13-VSch-Handbook-NAVSH-Board-edit-2E-final.pdf</w:t>
        </w:r>
      </w:hyperlink>
      <w:r w:rsidRPr="00DF58D8">
        <w:t xml:space="preserve"> </w:t>
      </w:r>
    </w:p>
    <w:p w14:paraId="07F1ACE2" w14:textId="77777777" w:rsidR="00DF58D8" w:rsidRPr="00DF58D8" w:rsidRDefault="00DF58D8" w:rsidP="00DF58D8">
      <w:pPr>
        <w:pStyle w:val="Newparagraph"/>
        <w:ind w:hanging="426"/>
      </w:pPr>
      <w:r w:rsidRPr="00DF58D8">
        <w:t xml:space="preserve">National Autistic Society (2016). </w:t>
      </w:r>
      <w:r w:rsidRPr="00DF58D8">
        <w:rPr>
          <w:i/>
          <w:iCs/>
        </w:rPr>
        <w:t>The autism employment gap: too much information in the workplace</w:t>
      </w:r>
      <w:r w:rsidRPr="00DF58D8">
        <w:t xml:space="preserve">. NAS. </w:t>
      </w:r>
      <w:hyperlink r:id="rId23" w:history="1">
        <w:r w:rsidRPr="00DF58D8">
          <w:rPr>
            <w:rStyle w:val="Hyperlink"/>
          </w:rPr>
          <w:t>https://www.base-uk.org/sites/default/files/knowledgebase/nas_tmi_employment_report_24pp_web.pdf</w:t>
        </w:r>
      </w:hyperlink>
      <w:r w:rsidRPr="00DF58D8">
        <w:t xml:space="preserve"> </w:t>
      </w:r>
    </w:p>
    <w:p w14:paraId="5D82087B" w14:textId="77777777" w:rsidR="00DF58D8" w:rsidRPr="00DF58D8" w:rsidRDefault="00DF58D8" w:rsidP="00DF58D8">
      <w:pPr>
        <w:pStyle w:val="Newparagraph"/>
        <w:ind w:hanging="426"/>
      </w:pPr>
      <w:proofErr w:type="spellStart"/>
      <w:r w:rsidRPr="00DF58D8">
        <w:t>Nuske</w:t>
      </w:r>
      <w:proofErr w:type="spellEnd"/>
      <w:r w:rsidRPr="00DF58D8">
        <w:t xml:space="preserve">, H. J., McGhee </w:t>
      </w:r>
      <w:proofErr w:type="spellStart"/>
      <w:r w:rsidRPr="00DF58D8">
        <w:t>Hassrick</w:t>
      </w:r>
      <w:proofErr w:type="spellEnd"/>
      <w:r w:rsidRPr="00DF58D8">
        <w:t xml:space="preserve">, E., Bronstein, B., Hauptman, L., Aponte, C., </w:t>
      </w:r>
      <w:proofErr w:type="spellStart"/>
      <w:r w:rsidRPr="00DF58D8">
        <w:t>Levato</w:t>
      </w:r>
      <w:proofErr w:type="spellEnd"/>
      <w:r w:rsidRPr="00DF58D8">
        <w:t xml:space="preserve">, L., ... &amp; Smith, T. (2019). Broken bridges—new school transitions for students with autism </w:t>
      </w:r>
      <w:r w:rsidRPr="00DF58D8">
        <w:lastRenderedPageBreak/>
        <w:t>spectrum disorder: A systematic review on difficulties and strategies for success. </w:t>
      </w:r>
      <w:r w:rsidRPr="00DF58D8">
        <w:rPr>
          <w:i/>
          <w:iCs/>
        </w:rPr>
        <w:t>Autism</w:t>
      </w:r>
      <w:r w:rsidRPr="00DF58D8">
        <w:t>, </w:t>
      </w:r>
      <w:r w:rsidRPr="00DF58D8">
        <w:rPr>
          <w:i/>
          <w:iCs/>
        </w:rPr>
        <w:t>23</w:t>
      </w:r>
      <w:r w:rsidRPr="00DF58D8">
        <w:t>(2), 306-325.</w:t>
      </w:r>
    </w:p>
    <w:p w14:paraId="608C413B" w14:textId="77777777" w:rsidR="00DF58D8" w:rsidRPr="00DF58D8" w:rsidRDefault="00DF58D8" w:rsidP="00DF58D8">
      <w:pPr>
        <w:pStyle w:val="Newparagraph"/>
        <w:ind w:hanging="426"/>
      </w:pPr>
      <w:r w:rsidRPr="00DF58D8">
        <w:t>O’Higgins, A., Luke, N., &amp; Strand, S. (2021). Children in care in education: Who is entered for exams and who reaches critical thresholds of success at age 16? </w:t>
      </w:r>
      <w:r w:rsidRPr="00DF58D8">
        <w:rPr>
          <w:i/>
          <w:iCs/>
        </w:rPr>
        <w:t>British Educational Research Journal</w:t>
      </w:r>
      <w:r w:rsidRPr="00DF58D8">
        <w:t xml:space="preserve">. DOI: 10.1002/berj.3736 </w:t>
      </w:r>
    </w:p>
    <w:p w14:paraId="7FAF5982" w14:textId="77777777" w:rsidR="00DF58D8" w:rsidRPr="00DF58D8" w:rsidRDefault="00DF58D8" w:rsidP="00DF58D8">
      <w:pPr>
        <w:pStyle w:val="Newparagraph"/>
        <w:ind w:hanging="426"/>
      </w:pPr>
      <w:r w:rsidRPr="00DF58D8">
        <w:t xml:space="preserve">O’Higgins, A., Sebba, J., &amp; Gardner, F. (2017). What are the factors associated with educational achievement for children in kinship or foster care: A systematic review. </w:t>
      </w:r>
      <w:r w:rsidRPr="00DF58D8">
        <w:rPr>
          <w:i/>
          <w:iCs/>
        </w:rPr>
        <w:t>Children and Youth Services Review</w:t>
      </w:r>
      <w:r w:rsidRPr="00DF58D8">
        <w:t xml:space="preserve">, </w:t>
      </w:r>
      <w:r w:rsidRPr="00DF58D8">
        <w:rPr>
          <w:i/>
          <w:iCs/>
        </w:rPr>
        <w:t>79</w:t>
      </w:r>
      <w:r w:rsidRPr="00DF58D8">
        <w:t xml:space="preserve">, 198–220. </w:t>
      </w:r>
    </w:p>
    <w:p w14:paraId="0509D1B5" w14:textId="77777777" w:rsidR="00DF58D8" w:rsidRPr="00DF58D8" w:rsidRDefault="00DF58D8" w:rsidP="00DF58D8">
      <w:pPr>
        <w:pStyle w:val="Newparagraph"/>
        <w:ind w:hanging="426"/>
      </w:pPr>
      <w:r w:rsidRPr="00DF58D8">
        <w:t xml:space="preserve">Palikara, O., Castro, S., </w:t>
      </w:r>
      <w:proofErr w:type="spellStart"/>
      <w:r w:rsidRPr="00DF58D8">
        <w:t>Gaona</w:t>
      </w:r>
      <w:proofErr w:type="spellEnd"/>
      <w:r w:rsidRPr="00DF58D8">
        <w:t xml:space="preserve">, C., &amp; </w:t>
      </w:r>
      <w:proofErr w:type="spellStart"/>
      <w:r w:rsidRPr="00DF58D8">
        <w:t>Eirinaki</w:t>
      </w:r>
      <w:proofErr w:type="spellEnd"/>
      <w:r w:rsidRPr="00DF58D8">
        <w:t>, V. (2018, April). Capturing the voices of children in the education health and care plans: are we there yet? In </w:t>
      </w:r>
      <w:r w:rsidRPr="00DF58D8">
        <w:rPr>
          <w:i/>
          <w:iCs/>
        </w:rPr>
        <w:t>Frontiers in Education</w:t>
      </w:r>
      <w:r w:rsidRPr="00DF58D8">
        <w:t> (Vol. 3, p. 24). Frontiers.</w:t>
      </w:r>
    </w:p>
    <w:p w14:paraId="64BEBB6F" w14:textId="77777777" w:rsidR="00DF58D8" w:rsidRPr="00DF58D8" w:rsidRDefault="00DF58D8" w:rsidP="00DF58D8">
      <w:pPr>
        <w:pStyle w:val="Newparagraph"/>
        <w:ind w:hanging="426"/>
      </w:pPr>
      <w:r w:rsidRPr="00DF58D8">
        <w:rPr>
          <w:bCs/>
          <w:iCs/>
        </w:rPr>
        <w:t xml:space="preserve">Parsons, S., </w:t>
      </w:r>
      <w:r w:rsidRPr="00DF58D8">
        <w:rPr>
          <w:bCs/>
        </w:rPr>
        <w:t xml:space="preserve">Ivil, K., Kovshoff, H. &amp; Karakosta, E. (2021) ‘Seeing is believing’: exploring the perspectives of young autistic children through Digital Stories. </w:t>
      </w:r>
      <w:r w:rsidRPr="00DF58D8">
        <w:rPr>
          <w:bCs/>
          <w:i/>
          <w:iCs/>
        </w:rPr>
        <w:t>Journal of Early Childhood Research,</w:t>
      </w:r>
      <w:r w:rsidRPr="00DF58D8">
        <w:rPr>
          <w:bCs/>
        </w:rPr>
        <w:t xml:space="preserve"> 19(2),</w:t>
      </w:r>
      <w:r w:rsidRPr="00DF58D8">
        <w:t xml:space="preserve"> </w:t>
      </w:r>
      <w:r w:rsidRPr="00DF58D8">
        <w:rPr>
          <w:bCs/>
        </w:rPr>
        <w:t>161–178.</w:t>
      </w:r>
      <w:r w:rsidRPr="00DF58D8">
        <w:t xml:space="preserve"> </w:t>
      </w:r>
    </w:p>
    <w:p w14:paraId="04297163" w14:textId="77777777" w:rsidR="00DF58D8" w:rsidRPr="00DF58D8" w:rsidRDefault="00DF58D8" w:rsidP="00DF58D8">
      <w:pPr>
        <w:pStyle w:val="Newparagraph"/>
        <w:ind w:hanging="426"/>
      </w:pPr>
      <w:r w:rsidRPr="00DF58D8">
        <w:t xml:space="preserve">Parsons, S., Kovshoff, H., &amp; Ivil, K. (2020) Digital stories for transition: co-constructing an evidence base in the early years with autistic children, families and practitioners. </w:t>
      </w:r>
      <w:r w:rsidRPr="00DF58D8">
        <w:rPr>
          <w:i/>
          <w:iCs/>
        </w:rPr>
        <w:t xml:space="preserve">Educational Review. </w:t>
      </w:r>
      <w:hyperlink r:id="rId24" w:history="1">
        <w:r w:rsidRPr="00DF58D8">
          <w:rPr>
            <w:rStyle w:val="Hyperlink"/>
          </w:rPr>
          <w:t>doi.org/10.1080/00131911.2020.1816909</w:t>
        </w:r>
      </w:hyperlink>
    </w:p>
    <w:p w14:paraId="44EF9132" w14:textId="77777777" w:rsidR="00DF58D8" w:rsidRPr="00DF58D8" w:rsidRDefault="00DF58D8" w:rsidP="00DF58D8">
      <w:pPr>
        <w:pStyle w:val="Newparagraph"/>
        <w:ind w:hanging="426"/>
        <w:rPr>
          <w:bCs/>
        </w:rPr>
      </w:pPr>
      <w:r w:rsidRPr="00DF58D8">
        <w:t xml:space="preserve">Parsons, S., McCullen, A., Emery, T. &amp; Kovshoff, H. (2018). </w:t>
      </w:r>
      <w:r w:rsidRPr="00DF58D8">
        <w:rPr>
          <w:bCs/>
        </w:rPr>
        <w:t xml:space="preserve">Awareness within local authorities in England of autism spectrum diagnoses of looked‐after children. </w:t>
      </w:r>
      <w:r w:rsidRPr="00DF58D8">
        <w:rPr>
          <w:bCs/>
          <w:i/>
        </w:rPr>
        <w:t>British Educational Research Journal, 45</w:t>
      </w:r>
      <w:r w:rsidRPr="00DF58D8">
        <w:rPr>
          <w:bCs/>
        </w:rPr>
        <w:t xml:space="preserve">(1), 99–116. </w:t>
      </w:r>
    </w:p>
    <w:p w14:paraId="35A207C7" w14:textId="77777777" w:rsidR="00DF58D8" w:rsidRPr="00DF58D8" w:rsidRDefault="00DF58D8" w:rsidP="00DF58D8">
      <w:pPr>
        <w:pStyle w:val="Newparagraph"/>
        <w:ind w:hanging="426"/>
      </w:pPr>
      <w:r w:rsidRPr="00DF58D8">
        <w:t xml:space="preserve">Pellicano, L., Hill, V., Croydon, A., </w:t>
      </w:r>
      <w:proofErr w:type="spellStart"/>
      <w:r w:rsidRPr="00DF58D8">
        <w:t>Greathead</w:t>
      </w:r>
      <w:proofErr w:type="spellEnd"/>
      <w:r w:rsidRPr="00DF58D8">
        <w:t xml:space="preserve">, S., Kenny, L., &amp; Yates, R. (2014). </w:t>
      </w:r>
      <w:r w:rsidRPr="00DF58D8">
        <w:rPr>
          <w:i/>
          <w:iCs/>
        </w:rPr>
        <w:t>My Life at School: Understanding the experiences of children and young people with special educational needs in residential special schools</w:t>
      </w:r>
      <w:r w:rsidRPr="00DF58D8">
        <w:t xml:space="preserve">. Office of the Children’s Commissioner. </w:t>
      </w:r>
      <w:hyperlink r:id="rId25" w:history="1">
        <w:r w:rsidRPr="00DF58D8">
          <w:rPr>
            <w:rStyle w:val="Hyperlink"/>
          </w:rPr>
          <w:t>https://discovery.ucl.ac.uk/id/eprint/10021375/1/My_Life_at_School_OCC_UCLIOE.pdf</w:t>
        </w:r>
      </w:hyperlink>
      <w:r w:rsidRPr="00DF58D8">
        <w:t xml:space="preserve"> </w:t>
      </w:r>
    </w:p>
    <w:p w14:paraId="24112441" w14:textId="77777777" w:rsidR="00DF58D8" w:rsidRPr="00DF58D8" w:rsidRDefault="00DF58D8" w:rsidP="00DF58D8">
      <w:pPr>
        <w:pStyle w:val="Newparagraph"/>
        <w:ind w:hanging="426"/>
      </w:pPr>
      <w:r w:rsidRPr="00DF58D8">
        <w:t xml:space="preserve">Sebba, J., &amp; Berridge, D. (2019). The role of the Virtual School in supporting improved educational outcomes for children in care. </w:t>
      </w:r>
      <w:r w:rsidRPr="00DF58D8">
        <w:rPr>
          <w:i/>
          <w:iCs/>
        </w:rPr>
        <w:t>Oxford Review of Education</w:t>
      </w:r>
      <w:r w:rsidRPr="00DF58D8">
        <w:t xml:space="preserve">, </w:t>
      </w:r>
      <w:r w:rsidRPr="00DF58D8">
        <w:rPr>
          <w:i/>
          <w:iCs/>
        </w:rPr>
        <w:t>45</w:t>
      </w:r>
      <w:r w:rsidRPr="00DF58D8">
        <w:t xml:space="preserve">(4, SI), 538–555. </w:t>
      </w:r>
    </w:p>
    <w:p w14:paraId="40A8859D" w14:textId="77777777" w:rsidR="00DF58D8" w:rsidRPr="00DF58D8" w:rsidRDefault="00DF58D8" w:rsidP="00DF58D8">
      <w:pPr>
        <w:pStyle w:val="Newparagraph"/>
        <w:ind w:hanging="426"/>
      </w:pPr>
      <w:r w:rsidRPr="00DF58D8">
        <w:t xml:space="preserve">Sebba, J., Berridge, D., Luke, N., Fletcher, J., Bell, K., Strand, S., ... &amp; O’Higgins, A. (2015). </w:t>
      </w:r>
      <w:r w:rsidRPr="00DF58D8">
        <w:rPr>
          <w:i/>
        </w:rPr>
        <w:t>The educational progress of looked after children in England: Linking care and educational data</w:t>
      </w:r>
      <w:r w:rsidRPr="00DF58D8">
        <w:t xml:space="preserve">. </w:t>
      </w:r>
      <w:hyperlink r:id="rId26" w:history="1">
        <w:r w:rsidRPr="00DF58D8">
          <w:rPr>
            <w:rStyle w:val="Hyperlink"/>
          </w:rPr>
          <w:t>https://ora.ox.ac.uk/objects/uuid:49b64928-4808-4898-911c-30e8981b2ffb</w:t>
        </w:r>
      </w:hyperlink>
      <w:r w:rsidRPr="00DF58D8">
        <w:t xml:space="preserve"> </w:t>
      </w:r>
    </w:p>
    <w:p w14:paraId="1C1AB420" w14:textId="77777777" w:rsidR="00DF58D8" w:rsidRPr="00DF58D8" w:rsidRDefault="00DF58D8" w:rsidP="00DF58D8">
      <w:pPr>
        <w:pStyle w:val="Newparagraph"/>
        <w:ind w:hanging="426"/>
      </w:pPr>
      <w:r w:rsidRPr="00DF58D8">
        <w:t>Shaw-</w:t>
      </w:r>
      <w:proofErr w:type="spellStart"/>
      <w:r w:rsidRPr="00DF58D8">
        <w:t>VanBuskirk</w:t>
      </w:r>
      <w:proofErr w:type="spellEnd"/>
      <w:r w:rsidRPr="00DF58D8">
        <w:t xml:space="preserve">, L., Lim, D. H., &amp; </w:t>
      </w:r>
      <w:proofErr w:type="spellStart"/>
      <w:r w:rsidRPr="00DF58D8">
        <w:t>Jeong</w:t>
      </w:r>
      <w:proofErr w:type="spellEnd"/>
      <w:r w:rsidRPr="00DF58D8">
        <w:t>, S. H. (2019). Liminal leadership: leading betwixt and between. </w:t>
      </w:r>
      <w:r w:rsidRPr="00DF58D8">
        <w:rPr>
          <w:i/>
          <w:iCs/>
        </w:rPr>
        <w:t>European Journal of Training and Development</w:t>
      </w:r>
      <w:r w:rsidRPr="00DF58D8">
        <w:t>, 43(7/8), 643-660.</w:t>
      </w:r>
    </w:p>
    <w:p w14:paraId="477CEC2B" w14:textId="77777777" w:rsidR="00DF58D8" w:rsidRPr="00DF58D8" w:rsidRDefault="00DF58D8" w:rsidP="00DF58D8">
      <w:pPr>
        <w:pStyle w:val="Newparagraph"/>
        <w:ind w:hanging="426"/>
      </w:pPr>
      <w:r w:rsidRPr="00DF58D8">
        <w:t xml:space="preserve">Smith, D. E. 2001. Texts and the ontology of organizations and institutions. </w:t>
      </w:r>
      <w:r w:rsidRPr="00DF58D8">
        <w:rPr>
          <w:i/>
          <w:iCs/>
        </w:rPr>
        <w:t>Studies in Cultures, Organizations and Societies</w:t>
      </w:r>
      <w:r w:rsidRPr="00DF58D8">
        <w:t xml:space="preserve">, </w:t>
      </w:r>
      <w:r w:rsidRPr="00DF58D8">
        <w:rPr>
          <w:i/>
          <w:iCs/>
        </w:rPr>
        <w:t>7</w:t>
      </w:r>
      <w:r w:rsidRPr="00DF58D8">
        <w:t>(2),159-198.</w:t>
      </w:r>
    </w:p>
    <w:p w14:paraId="1E7CFE79" w14:textId="77777777" w:rsidR="00DF58D8" w:rsidRPr="00DF58D8" w:rsidRDefault="00DF58D8" w:rsidP="00DF58D8">
      <w:pPr>
        <w:pStyle w:val="Newparagraph"/>
        <w:ind w:hanging="426"/>
      </w:pPr>
      <w:r w:rsidRPr="00DF58D8">
        <w:t>Zilli, C., Parsons, S., &amp; Kovshoff, H. (2020). Keys to engagement: A case study exploring the participation of autistic pupils in educational decision‐making at school. </w:t>
      </w:r>
      <w:r w:rsidRPr="00DF58D8">
        <w:rPr>
          <w:i/>
          <w:iCs/>
        </w:rPr>
        <w:t>British Journal of Educational Psychology</w:t>
      </w:r>
      <w:r w:rsidRPr="00DF58D8">
        <w:t>, </w:t>
      </w:r>
      <w:r w:rsidRPr="00DF58D8">
        <w:rPr>
          <w:i/>
          <w:iCs/>
        </w:rPr>
        <w:t>90</w:t>
      </w:r>
      <w:r w:rsidRPr="00DF58D8">
        <w:t>(3), 770-789.</w:t>
      </w:r>
    </w:p>
    <w:p w14:paraId="3C3B1B0F" w14:textId="77777777" w:rsidR="00DF58D8" w:rsidRPr="00DF58D8" w:rsidRDefault="00DF58D8" w:rsidP="00DF58D8">
      <w:pPr>
        <w:pStyle w:val="Newparagraph"/>
      </w:pPr>
    </w:p>
    <w:p w14:paraId="2348739B" w14:textId="5C69815C" w:rsidR="002F4C1F" w:rsidRDefault="002F4C1F" w:rsidP="0010504C">
      <w:pPr>
        <w:pStyle w:val="Newparagraph"/>
      </w:pPr>
      <w:r>
        <w:br w:type="page"/>
      </w:r>
    </w:p>
    <w:p w14:paraId="24645B85" w14:textId="3917C519" w:rsidR="0096698F" w:rsidRDefault="0096698F" w:rsidP="0096698F"/>
    <w:p w14:paraId="383094B9" w14:textId="77777777" w:rsidR="000035F1" w:rsidRPr="000035F1" w:rsidRDefault="000035F1" w:rsidP="000035F1">
      <w:r w:rsidRPr="000035F1">
        <w:rPr>
          <w:noProof/>
          <w:lang w:val="en-US" w:eastAsia="en-US"/>
        </w:rPr>
        <w:drawing>
          <wp:inline distT="0" distB="0" distL="0" distR="0" wp14:anchorId="655F8088" wp14:editId="1BD2C3A4">
            <wp:extent cx="5334000" cy="3707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 t="1184" r="1165"/>
                    <a:stretch/>
                  </pic:blipFill>
                  <pic:spPr bwMode="auto">
                    <a:xfrm>
                      <a:off x="0" y="0"/>
                      <a:ext cx="5334000" cy="37077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AC652B3" w14:textId="77777777" w:rsidR="000035F1" w:rsidRPr="000035F1" w:rsidRDefault="000035F1" w:rsidP="000035F1">
      <w:pPr>
        <w:jc w:val="center"/>
      </w:pPr>
      <w:r w:rsidRPr="000035F1">
        <w:rPr>
          <w:iCs/>
        </w:rPr>
        <w:t>Figure 1</w:t>
      </w:r>
      <w:r w:rsidRPr="000035F1">
        <w:t>: Thematic map showing three main themes and nine sub-themes</w:t>
      </w:r>
    </w:p>
    <w:p w14:paraId="5FF12A5E" w14:textId="41F353A1" w:rsidR="0096698F" w:rsidRDefault="0096698F" w:rsidP="0096698F"/>
    <w:p w14:paraId="4BD917F5" w14:textId="4110568A" w:rsidR="007F11B2" w:rsidRPr="007F11B2" w:rsidRDefault="007F11B2" w:rsidP="008B398C">
      <w:pPr>
        <w:spacing w:line="240" w:lineRule="auto"/>
      </w:pPr>
      <w:r>
        <w:br w:type="page"/>
      </w:r>
    </w:p>
    <w:p w14:paraId="66910D52" w14:textId="77777777" w:rsidR="00462CD8" w:rsidRPr="0096698F" w:rsidRDefault="00462CD8" w:rsidP="00763BDA"/>
    <w:sectPr w:rsidR="00462CD8" w:rsidRPr="0096698F" w:rsidSect="00074B81">
      <w:headerReference w:type="default" r:id="rId28"/>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6CF9" w14:textId="77777777" w:rsidR="009E6D33" w:rsidRDefault="009E6D33" w:rsidP="00AF2C92">
      <w:r>
        <w:separator/>
      </w:r>
    </w:p>
  </w:endnote>
  <w:endnote w:type="continuationSeparator" w:id="0">
    <w:p w14:paraId="0535A5B0" w14:textId="77777777" w:rsidR="009E6D33" w:rsidRDefault="009E6D3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EB0E" w14:textId="77777777" w:rsidR="009E6D33" w:rsidRDefault="009E6D33" w:rsidP="00AF2C92">
      <w:r>
        <w:separator/>
      </w:r>
    </w:p>
  </w:footnote>
  <w:footnote w:type="continuationSeparator" w:id="0">
    <w:p w14:paraId="1507A18D" w14:textId="77777777" w:rsidR="009E6D33" w:rsidRDefault="009E6D33" w:rsidP="00AF2C92">
      <w:r>
        <w:continuationSeparator/>
      </w:r>
    </w:p>
  </w:footnote>
  <w:footnote w:id="1">
    <w:p w14:paraId="013BAD1A" w14:textId="60553E82" w:rsidR="00A776FE" w:rsidRDefault="00A776FE" w:rsidP="00195FC9">
      <w:pPr>
        <w:pStyle w:val="FootnoteText"/>
      </w:pPr>
      <w:r>
        <w:rPr>
          <w:rStyle w:val="FootnoteReference"/>
        </w:rPr>
        <w:footnoteRef/>
      </w:r>
      <w:r>
        <w:t xml:space="preserve"> We avoid using ableist language to describe autism in line with the recommendations from Bottema-Beutel (2021).</w:t>
      </w:r>
    </w:p>
  </w:footnote>
  <w:footnote w:id="2">
    <w:p w14:paraId="638D4842" w14:textId="1A32A919" w:rsidR="00A776FE" w:rsidRPr="00233C41" w:rsidRDefault="00A776FE" w:rsidP="00233C41">
      <w:pPr>
        <w:pStyle w:val="FootnoteText"/>
      </w:pPr>
      <w:r>
        <w:rPr>
          <w:rStyle w:val="FootnoteReference"/>
        </w:rPr>
        <w:footnoteRef/>
      </w:r>
      <w:r>
        <w:t xml:space="preserve"> The PEP is a statutory and ‘…</w:t>
      </w:r>
      <w:r w:rsidRPr="00233C41">
        <w:t>evolving record of what needs to happen for looked-after children to enable them to make at least expected progress and fulfil their potential.</w:t>
      </w:r>
      <w:r>
        <w:t xml:space="preserve"> </w:t>
      </w:r>
      <w:r w:rsidRPr="00233C41">
        <w:t>The PEP should reflect the importance of a personalised approach to learning that meets the child’s identified educational needs, raises aspirations and builds life chances.</w:t>
      </w:r>
      <w:r>
        <w:t>’ (DfE, 2018; p.14)</w:t>
      </w:r>
      <w:r w:rsidRPr="00233C41">
        <w:t xml:space="preserve"> </w:t>
      </w:r>
    </w:p>
    <w:p w14:paraId="00E908C3" w14:textId="3E19EB23" w:rsidR="00A776FE" w:rsidRPr="00233C41" w:rsidRDefault="00A776FE" w:rsidP="00233C41">
      <w:pPr>
        <w:pStyle w:val="FootnoteText"/>
      </w:pPr>
      <w:r w:rsidRPr="00233C41">
        <w:t xml:space="preserve"> </w:t>
      </w:r>
    </w:p>
    <w:p w14:paraId="18BC605B" w14:textId="0701D7B1" w:rsidR="00A776FE" w:rsidRDefault="00A776FE" w:rsidP="00233C41">
      <w:pPr>
        <w:pStyle w:val="FootnoteText"/>
      </w:pPr>
    </w:p>
  </w:footnote>
  <w:footnote w:id="3">
    <w:p w14:paraId="410EB048" w14:textId="4CC63159" w:rsidR="00A776FE" w:rsidRDefault="00A776FE" w:rsidP="00233C41">
      <w:pPr>
        <w:pStyle w:val="FootnoteText"/>
      </w:pPr>
      <w:r>
        <w:rPr>
          <w:rStyle w:val="FootnoteReference"/>
        </w:rPr>
        <w:footnoteRef/>
      </w:r>
      <w:r>
        <w:t xml:space="preserve"> ‘</w:t>
      </w:r>
      <w:r w:rsidRPr="00BA48AE">
        <w:t>The Coventry Grid is an attempt to summarise the</w:t>
      </w:r>
      <w:r>
        <w:t xml:space="preserve"> </w:t>
      </w:r>
      <w:r w:rsidRPr="00BA48AE">
        <w:t>differences between the behaviour of children with</w:t>
      </w:r>
      <w:r>
        <w:t xml:space="preserve"> </w:t>
      </w:r>
      <w:r w:rsidRPr="00BA48AE">
        <w:t>Autistic</w:t>
      </w:r>
      <w:r>
        <w:t xml:space="preserve"> </w:t>
      </w:r>
      <w:r w:rsidRPr="00BA48AE">
        <w:t>Spectrum Disorder and those with significant attachment problems. It is based upon clinical work with children rather than research.</w:t>
      </w:r>
      <w:r>
        <w:t>’ (Moran, 2015;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072209"/>
      <w:docPartObj>
        <w:docPartGallery w:val="Page Numbers (Top of Page)"/>
        <w:docPartUnique/>
      </w:docPartObj>
    </w:sdtPr>
    <w:sdtEndPr>
      <w:rPr>
        <w:noProof/>
      </w:rPr>
    </w:sdtEndPr>
    <w:sdtContent>
      <w:p w14:paraId="0296685B" w14:textId="067BC947" w:rsidR="00A776FE" w:rsidRDefault="00A776FE">
        <w:pPr>
          <w:pStyle w:val="Header"/>
          <w:jc w:val="right"/>
        </w:pPr>
        <w:r>
          <w:fldChar w:fldCharType="begin"/>
        </w:r>
        <w:r>
          <w:instrText xml:space="preserve"> PAGE   \* MERGEFORMAT </w:instrText>
        </w:r>
        <w:r>
          <w:fldChar w:fldCharType="separate"/>
        </w:r>
        <w:r w:rsidR="00A32BFE">
          <w:rPr>
            <w:noProof/>
          </w:rPr>
          <w:t>4</w:t>
        </w:r>
        <w:r>
          <w:rPr>
            <w:noProof/>
          </w:rPr>
          <w:fldChar w:fldCharType="end"/>
        </w:r>
      </w:p>
    </w:sdtContent>
  </w:sdt>
  <w:p w14:paraId="78304E27" w14:textId="77777777" w:rsidR="00A776FE" w:rsidRDefault="00A7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855BE"/>
    <w:multiLevelType w:val="hybridMultilevel"/>
    <w:tmpl w:val="4AF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472342"/>
    <w:multiLevelType w:val="hybridMultilevel"/>
    <w:tmpl w:val="0310C82A"/>
    <w:lvl w:ilvl="0" w:tplc="AD5E89D2">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6"/>
  </w:num>
  <w:num w:numId="16">
    <w:abstractNumId w:val="18"/>
  </w:num>
  <w:num w:numId="17">
    <w:abstractNumId w:val="12"/>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5"/>
  </w:num>
  <w:num w:numId="30">
    <w:abstractNumId w:val="25"/>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28"/>
    <w:rsid w:val="0000064B"/>
    <w:rsid w:val="00001899"/>
    <w:rsid w:val="000035F1"/>
    <w:rsid w:val="00003F7F"/>
    <w:rsid w:val="000049AD"/>
    <w:rsid w:val="0000681B"/>
    <w:rsid w:val="000101CA"/>
    <w:rsid w:val="000133C0"/>
    <w:rsid w:val="00014C4E"/>
    <w:rsid w:val="00017107"/>
    <w:rsid w:val="000202E2"/>
    <w:rsid w:val="00022441"/>
    <w:rsid w:val="0002261E"/>
    <w:rsid w:val="00023F92"/>
    <w:rsid w:val="00024839"/>
    <w:rsid w:val="00025FF9"/>
    <w:rsid w:val="00026871"/>
    <w:rsid w:val="00037A98"/>
    <w:rsid w:val="000427FB"/>
    <w:rsid w:val="000430E2"/>
    <w:rsid w:val="0004455E"/>
    <w:rsid w:val="00047CB5"/>
    <w:rsid w:val="00051FAA"/>
    <w:rsid w:val="000572A9"/>
    <w:rsid w:val="00061325"/>
    <w:rsid w:val="00061FA8"/>
    <w:rsid w:val="000661EE"/>
    <w:rsid w:val="000733AC"/>
    <w:rsid w:val="00074B81"/>
    <w:rsid w:val="00074D22"/>
    <w:rsid w:val="00075081"/>
    <w:rsid w:val="0007528A"/>
    <w:rsid w:val="000804D0"/>
    <w:rsid w:val="000811AB"/>
    <w:rsid w:val="00083062"/>
    <w:rsid w:val="00083C5F"/>
    <w:rsid w:val="0009172C"/>
    <w:rsid w:val="000930EC"/>
    <w:rsid w:val="00095E61"/>
    <w:rsid w:val="000966C1"/>
    <w:rsid w:val="000970AC"/>
    <w:rsid w:val="000A1167"/>
    <w:rsid w:val="000A4428"/>
    <w:rsid w:val="000A49C9"/>
    <w:rsid w:val="000A6D40"/>
    <w:rsid w:val="000A7BC3"/>
    <w:rsid w:val="000B1661"/>
    <w:rsid w:val="000B1F0B"/>
    <w:rsid w:val="000B2942"/>
    <w:rsid w:val="000B2E88"/>
    <w:rsid w:val="000B4603"/>
    <w:rsid w:val="000C09BE"/>
    <w:rsid w:val="000C1380"/>
    <w:rsid w:val="000C1F38"/>
    <w:rsid w:val="000C285E"/>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1710"/>
    <w:rsid w:val="0010284E"/>
    <w:rsid w:val="00103122"/>
    <w:rsid w:val="0010336A"/>
    <w:rsid w:val="0010504C"/>
    <w:rsid w:val="001050F1"/>
    <w:rsid w:val="00105AEA"/>
    <w:rsid w:val="00106DAF"/>
    <w:rsid w:val="00107B06"/>
    <w:rsid w:val="001101F9"/>
    <w:rsid w:val="00110835"/>
    <w:rsid w:val="00114ABE"/>
    <w:rsid w:val="00116023"/>
    <w:rsid w:val="001251B6"/>
    <w:rsid w:val="00134A51"/>
    <w:rsid w:val="00140727"/>
    <w:rsid w:val="00157630"/>
    <w:rsid w:val="00160628"/>
    <w:rsid w:val="00161344"/>
    <w:rsid w:val="00161690"/>
    <w:rsid w:val="00162195"/>
    <w:rsid w:val="0016322A"/>
    <w:rsid w:val="00165A21"/>
    <w:rsid w:val="001705CE"/>
    <w:rsid w:val="00176D8D"/>
    <w:rsid w:val="0017714B"/>
    <w:rsid w:val="00180379"/>
    <w:rsid w:val="001804DF"/>
    <w:rsid w:val="0018088D"/>
    <w:rsid w:val="00181BDC"/>
    <w:rsid w:val="00181DB0"/>
    <w:rsid w:val="001829E3"/>
    <w:rsid w:val="001924C0"/>
    <w:rsid w:val="00195FC9"/>
    <w:rsid w:val="0019731E"/>
    <w:rsid w:val="001A09FE"/>
    <w:rsid w:val="001A3851"/>
    <w:rsid w:val="001A4600"/>
    <w:rsid w:val="001A505C"/>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48CD"/>
    <w:rsid w:val="001C5736"/>
    <w:rsid w:val="001D28FF"/>
    <w:rsid w:val="001D647F"/>
    <w:rsid w:val="001D6857"/>
    <w:rsid w:val="001E0572"/>
    <w:rsid w:val="001E0A67"/>
    <w:rsid w:val="001E1028"/>
    <w:rsid w:val="001E14E2"/>
    <w:rsid w:val="001E6302"/>
    <w:rsid w:val="001E7DCB"/>
    <w:rsid w:val="001F3411"/>
    <w:rsid w:val="001F4287"/>
    <w:rsid w:val="001F4DBA"/>
    <w:rsid w:val="0020015C"/>
    <w:rsid w:val="0020415E"/>
    <w:rsid w:val="00204EEA"/>
    <w:rsid w:val="00204FF4"/>
    <w:rsid w:val="0021056E"/>
    <w:rsid w:val="0021075D"/>
    <w:rsid w:val="0021165A"/>
    <w:rsid w:val="00211BC9"/>
    <w:rsid w:val="0021620C"/>
    <w:rsid w:val="00216E78"/>
    <w:rsid w:val="00217275"/>
    <w:rsid w:val="002211DD"/>
    <w:rsid w:val="00233C41"/>
    <w:rsid w:val="00235440"/>
    <w:rsid w:val="00236F4B"/>
    <w:rsid w:val="00242B0D"/>
    <w:rsid w:val="0024634B"/>
    <w:rsid w:val="002467C6"/>
    <w:rsid w:val="0024692A"/>
    <w:rsid w:val="00252BBA"/>
    <w:rsid w:val="00253123"/>
    <w:rsid w:val="00264001"/>
    <w:rsid w:val="00266354"/>
    <w:rsid w:val="00267A18"/>
    <w:rsid w:val="00273462"/>
    <w:rsid w:val="0027395B"/>
    <w:rsid w:val="00273BA5"/>
    <w:rsid w:val="00275854"/>
    <w:rsid w:val="002802A8"/>
    <w:rsid w:val="002809F0"/>
    <w:rsid w:val="0028372D"/>
    <w:rsid w:val="00283B41"/>
    <w:rsid w:val="00284FAD"/>
    <w:rsid w:val="00285F28"/>
    <w:rsid w:val="00286398"/>
    <w:rsid w:val="002A13A4"/>
    <w:rsid w:val="002A3C42"/>
    <w:rsid w:val="002A4187"/>
    <w:rsid w:val="002A5D75"/>
    <w:rsid w:val="002B1B1A"/>
    <w:rsid w:val="002B660F"/>
    <w:rsid w:val="002B7228"/>
    <w:rsid w:val="002B7C4A"/>
    <w:rsid w:val="002C53EE"/>
    <w:rsid w:val="002D24F7"/>
    <w:rsid w:val="002D2799"/>
    <w:rsid w:val="002D2CD7"/>
    <w:rsid w:val="002D2CFA"/>
    <w:rsid w:val="002D4DDC"/>
    <w:rsid w:val="002D4F75"/>
    <w:rsid w:val="002D6493"/>
    <w:rsid w:val="002D7AB6"/>
    <w:rsid w:val="002E06D0"/>
    <w:rsid w:val="002E3C27"/>
    <w:rsid w:val="002E403A"/>
    <w:rsid w:val="002E7F3A"/>
    <w:rsid w:val="002F4C1F"/>
    <w:rsid w:val="002F4EDB"/>
    <w:rsid w:val="002F6054"/>
    <w:rsid w:val="00310E13"/>
    <w:rsid w:val="00315713"/>
    <w:rsid w:val="0031686C"/>
    <w:rsid w:val="00316FE0"/>
    <w:rsid w:val="0032044B"/>
    <w:rsid w:val="003204D2"/>
    <w:rsid w:val="0032585D"/>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1029"/>
    <w:rsid w:val="0036340D"/>
    <w:rsid w:val="003634A5"/>
    <w:rsid w:val="00366117"/>
    <w:rsid w:val="00366868"/>
    <w:rsid w:val="00367506"/>
    <w:rsid w:val="00370085"/>
    <w:rsid w:val="003744A7"/>
    <w:rsid w:val="00376235"/>
    <w:rsid w:val="00381FB6"/>
    <w:rsid w:val="003836D3"/>
    <w:rsid w:val="00383A52"/>
    <w:rsid w:val="00391652"/>
    <w:rsid w:val="00391980"/>
    <w:rsid w:val="0039507F"/>
    <w:rsid w:val="003A1260"/>
    <w:rsid w:val="003A295F"/>
    <w:rsid w:val="003A3EDD"/>
    <w:rsid w:val="003A41DD"/>
    <w:rsid w:val="003A5385"/>
    <w:rsid w:val="003A6B26"/>
    <w:rsid w:val="003A7033"/>
    <w:rsid w:val="003B47FE"/>
    <w:rsid w:val="003B5673"/>
    <w:rsid w:val="003B6287"/>
    <w:rsid w:val="003B62C9"/>
    <w:rsid w:val="003C7176"/>
    <w:rsid w:val="003D0929"/>
    <w:rsid w:val="003D4729"/>
    <w:rsid w:val="003D7DD6"/>
    <w:rsid w:val="003E0D9B"/>
    <w:rsid w:val="003E1C09"/>
    <w:rsid w:val="003E5AAF"/>
    <w:rsid w:val="003E600D"/>
    <w:rsid w:val="003E64DF"/>
    <w:rsid w:val="003E6A5D"/>
    <w:rsid w:val="003E6FB2"/>
    <w:rsid w:val="003F193A"/>
    <w:rsid w:val="003F4207"/>
    <w:rsid w:val="003F5C46"/>
    <w:rsid w:val="003F772F"/>
    <w:rsid w:val="003F7CBB"/>
    <w:rsid w:val="003F7D34"/>
    <w:rsid w:val="00412C8E"/>
    <w:rsid w:val="0041518D"/>
    <w:rsid w:val="0042221D"/>
    <w:rsid w:val="00423D39"/>
    <w:rsid w:val="00424DD3"/>
    <w:rsid w:val="004269C5"/>
    <w:rsid w:val="00435939"/>
    <w:rsid w:val="00435C47"/>
    <w:rsid w:val="00437CC7"/>
    <w:rsid w:val="00442B9C"/>
    <w:rsid w:val="00445EFA"/>
    <w:rsid w:val="0044738A"/>
    <w:rsid w:val="004473D3"/>
    <w:rsid w:val="0045139A"/>
    <w:rsid w:val="00452231"/>
    <w:rsid w:val="00460C13"/>
    <w:rsid w:val="00462CD8"/>
    <w:rsid w:val="00463228"/>
    <w:rsid w:val="00463782"/>
    <w:rsid w:val="004667E0"/>
    <w:rsid w:val="0046760E"/>
    <w:rsid w:val="00470E10"/>
    <w:rsid w:val="00477A97"/>
    <w:rsid w:val="00481343"/>
    <w:rsid w:val="0048549E"/>
    <w:rsid w:val="00486059"/>
    <w:rsid w:val="004930C6"/>
    <w:rsid w:val="00493347"/>
    <w:rsid w:val="00496092"/>
    <w:rsid w:val="004A08DB"/>
    <w:rsid w:val="004A25D0"/>
    <w:rsid w:val="004A2D21"/>
    <w:rsid w:val="004A37E8"/>
    <w:rsid w:val="004A4A05"/>
    <w:rsid w:val="004A7549"/>
    <w:rsid w:val="004B09D4"/>
    <w:rsid w:val="004B2512"/>
    <w:rsid w:val="004B309D"/>
    <w:rsid w:val="004B330A"/>
    <w:rsid w:val="004B7C8E"/>
    <w:rsid w:val="004C3D3C"/>
    <w:rsid w:val="004C6110"/>
    <w:rsid w:val="004D0EDC"/>
    <w:rsid w:val="004D1220"/>
    <w:rsid w:val="004D14B3"/>
    <w:rsid w:val="004D1529"/>
    <w:rsid w:val="004D2253"/>
    <w:rsid w:val="004D39E1"/>
    <w:rsid w:val="004D5514"/>
    <w:rsid w:val="004D56C3"/>
    <w:rsid w:val="004E0338"/>
    <w:rsid w:val="004E3E67"/>
    <w:rsid w:val="004E4FF3"/>
    <w:rsid w:val="004E56A8"/>
    <w:rsid w:val="004F3B55"/>
    <w:rsid w:val="004F428E"/>
    <w:rsid w:val="004F4E46"/>
    <w:rsid w:val="004F6B7D"/>
    <w:rsid w:val="005015F6"/>
    <w:rsid w:val="005030C4"/>
    <w:rsid w:val="005031C5"/>
    <w:rsid w:val="00504FDC"/>
    <w:rsid w:val="0050525B"/>
    <w:rsid w:val="005120CC"/>
    <w:rsid w:val="00512B7B"/>
    <w:rsid w:val="0051385B"/>
    <w:rsid w:val="00514EA1"/>
    <w:rsid w:val="0051798B"/>
    <w:rsid w:val="0052065B"/>
    <w:rsid w:val="00521F5A"/>
    <w:rsid w:val="00522CE4"/>
    <w:rsid w:val="00524DA5"/>
    <w:rsid w:val="00525E06"/>
    <w:rsid w:val="00526454"/>
    <w:rsid w:val="00531823"/>
    <w:rsid w:val="00534ECC"/>
    <w:rsid w:val="0053720D"/>
    <w:rsid w:val="00540EF5"/>
    <w:rsid w:val="00541BF3"/>
    <w:rsid w:val="00541CD3"/>
    <w:rsid w:val="005476FA"/>
    <w:rsid w:val="00551873"/>
    <w:rsid w:val="00551980"/>
    <w:rsid w:val="00555732"/>
    <w:rsid w:val="0055595E"/>
    <w:rsid w:val="00557988"/>
    <w:rsid w:val="00562C49"/>
    <w:rsid w:val="00562DEF"/>
    <w:rsid w:val="0056321A"/>
    <w:rsid w:val="00563A35"/>
    <w:rsid w:val="00566596"/>
    <w:rsid w:val="005741E9"/>
    <w:rsid w:val="005748CF"/>
    <w:rsid w:val="00584270"/>
    <w:rsid w:val="00584738"/>
    <w:rsid w:val="00584CCF"/>
    <w:rsid w:val="005920B0"/>
    <w:rsid w:val="00592B3F"/>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4535"/>
    <w:rsid w:val="005E5B55"/>
    <w:rsid w:val="005E5E4A"/>
    <w:rsid w:val="005E693D"/>
    <w:rsid w:val="005E75BF"/>
    <w:rsid w:val="005F57BA"/>
    <w:rsid w:val="005F61E6"/>
    <w:rsid w:val="005F6C45"/>
    <w:rsid w:val="006017E5"/>
    <w:rsid w:val="00605A69"/>
    <w:rsid w:val="00606C54"/>
    <w:rsid w:val="0061097A"/>
    <w:rsid w:val="00614375"/>
    <w:rsid w:val="00615B0A"/>
    <w:rsid w:val="006168CF"/>
    <w:rsid w:val="0062011B"/>
    <w:rsid w:val="0062360D"/>
    <w:rsid w:val="006258FF"/>
    <w:rsid w:val="00626DE0"/>
    <w:rsid w:val="00630901"/>
    <w:rsid w:val="00631F8E"/>
    <w:rsid w:val="00634BBB"/>
    <w:rsid w:val="00636EE9"/>
    <w:rsid w:val="00640950"/>
    <w:rsid w:val="00641AE7"/>
    <w:rsid w:val="00642629"/>
    <w:rsid w:val="00642C6F"/>
    <w:rsid w:val="0064782B"/>
    <w:rsid w:val="0065293D"/>
    <w:rsid w:val="00653EFC"/>
    <w:rsid w:val="00654021"/>
    <w:rsid w:val="00661045"/>
    <w:rsid w:val="0066380E"/>
    <w:rsid w:val="0066626E"/>
    <w:rsid w:val="00666DA8"/>
    <w:rsid w:val="00671057"/>
    <w:rsid w:val="00675AAF"/>
    <w:rsid w:val="0068031A"/>
    <w:rsid w:val="00681B2F"/>
    <w:rsid w:val="0068335F"/>
    <w:rsid w:val="00687217"/>
    <w:rsid w:val="00691EF3"/>
    <w:rsid w:val="0069201E"/>
    <w:rsid w:val="00693302"/>
    <w:rsid w:val="0069640B"/>
    <w:rsid w:val="006A1B83"/>
    <w:rsid w:val="006A21CD"/>
    <w:rsid w:val="006A5918"/>
    <w:rsid w:val="006B21B2"/>
    <w:rsid w:val="006B4A4A"/>
    <w:rsid w:val="006B5600"/>
    <w:rsid w:val="006B6A52"/>
    <w:rsid w:val="006C19B2"/>
    <w:rsid w:val="006C4409"/>
    <w:rsid w:val="006C5BB8"/>
    <w:rsid w:val="006C6936"/>
    <w:rsid w:val="006C7B01"/>
    <w:rsid w:val="006D0FE8"/>
    <w:rsid w:val="006D4617"/>
    <w:rsid w:val="006D4B2B"/>
    <w:rsid w:val="006D4F3C"/>
    <w:rsid w:val="006D5C66"/>
    <w:rsid w:val="006D7002"/>
    <w:rsid w:val="006E1B3C"/>
    <w:rsid w:val="006E23FB"/>
    <w:rsid w:val="006E325A"/>
    <w:rsid w:val="006E33EC"/>
    <w:rsid w:val="006E3802"/>
    <w:rsid w:val="006E56DE"/>
    <w:rsid w:val="006E6C02"/>
    <w:rsid w:val="006E7E41"/>
    <w:rsid w:val="006F231A"/>
    <w:rsid w:val="006F3BBE"/>
    <w:rsid w:val="006F6B55"/>
    <w:rsid w:val="006F788D"/>
    <w:rsid w:val="006F78E1"/>
    <w:rsid w:val="00701072"/>
    <w:rsid w:val="00702054"/>
    <w:rsid w:val="007035A4"/>
    <w:rsid w:val="00711799"/>
    <w:rsid w:val="00712B78"/>
    <w:rsid w:val="0071393B"/>
    <w:rsid w:val="00713EE2"/>
    <w:rsid w:val="007177FC"/>
    <w:rsid w:val="00720C5E"/>
    <w:rsid w:val="00720FFC"/>
    <w:rsid w:val="00721701"/>
    <w:rsid w:val="0073001A"/>
    <w:rsid w:val="00731835"/>
    <w:rsid w:val="007341F8"/>
    <w:rsid w:val="00734372"/>
    <w:rsid w:val="00734EB8"/>
    <w:rsid w:val="00735F8B"/>
    <w:rsid w:val="0074090B"/>
    <w:rsid w:val="00742D1F"/>
    <w:rsid w:val="00743EBA"/>
    <w:rsid w:val="00744C8E"/>
    <w:rsid w:val="0074707E"/>
    <w:rsid w:val="007516DC"/>
    <w:rsid w:val="00752870"/>
    <w:rsid w:val="00752E58"/>
    <w:rsid w:val="00754B80"/>
    <w:rsid w:val="00761918"/>
    <w:rsid w:val="00762F03"/>
    <w:rsid w:val="00763BDA"/>
    <w:rsid w:val="0076413B"/>
    <w:rsid w:val="007648AE"/>
    <w:rsid w:val="00764BF8"/>
    <w:rsid w:val="0076514D"/>
    <w:rsid w:val="00773C2C"/>
    <w:rsid w:val="00773D59"/>
    <w:rsid w:val="00781003"/>
    <w:rsid w:val="007911FD"/>
    <w:rsid w:val="00793930"/>
    <w:rsid w:val="00793DD1"/>
    <w:rsid w:val="00794FEC"/>
    <w:rsid w:val="00797D3F"/>
    <w:rsid w:val="007A003E"/>
    <w:rsid w:val="007A0D74"/>
    <w:rsid w:val="007A1965"/>
    <w:rsid w:val="007A2ED1"/>
    <w:rsid w:val="007A4BE6"/>
    <w:rsid w:val="007B0DC6"/>
    <w:rsid w:val="007B0F8C"/>
    <w:rsid w:val="007B1094"/>
    <w:rsid w:val="007B124F"/>
    <w:rsid w:val="007B1762"/>
    <w:rsid w:val="007B3320"/>
    <w:rsid w:val="007C271D"/>
    <w:rsid w:val="007C301F"/>
    <w:rsid w:val="007C4540"/>
    <w:rsid w:val="007C65AF"/>
    <w:rsid w:val="007D135D"/>
    <w:rsid w:val="007D730F"/>
    <w:rsid w:val="007D7CD8"/>
    <w:rsid w:val="007E1F42"/>
    <w:rsid w:val="007E3AA7"/>
    <w:rsid w:val="007F11B2"/>
    <w:rsid w:val="007F737D"/>
    <w:rsid w:val="0080308E"/>
    <w:rsid w:val="00805303"/>
    <w:rsid w:val="00806705"/>
    <w:rsid w:val="00806738"/>
    <w:rsid w:val="00807DB4"/>
    <w:rsid w:val="0081792A"/>
    <w:rsid w:val="00817B47"/>
    <w:rsid w:val="008216D5"/>
    <w:rsid w:val="008249CE"/>
    <w:rsid w:val="00831A50"/>
    <w:rsid w:val="00831B3C"/>
    <w:rsid w:val="00831C89"/>
    <w:rsid w:val="00832114"/>
    <w:rsid w:val="00834C46"/>
    <w:rsid w:val="00836E6F"/>
    <w:rsid w:val="0084093E"/>
    <w:rsid w:val="00841CE1"/>
    <w:rsid w:val="00844CC3"/>
    <w:rsid w:val="008473D8"/>
    <w:rsid w:val="008528DC"/>
    <w:rsid w:val="00852B8C"/>
    <w:rsid w:val="00854981"/>
    <w:rsid w:val="008566C9"/>
    <w:rsid w:val="00864B2E"/>
    <w:rsid w:val="00865963"/>
    <w:rsid w:val="00870518"/>
    <w:rsid w:val="00871C1D"/>
    <w:rsid w:val="0087450E"/>
    <w:rsid w:val="00875A82"/>
    <w:rsid w:val="00876CA3"/>
    <w:rsid w:val="008772FE"/>
    <w:rsid w:val="008775F1"/>
    <w:rsid w:val="008821AE"/>
    <w:rsid w:val="00883D3A"/>
    <w:rsid w:val="008848A9"/>
    <w:rsid w:val="00884EDD"/>
    <w:rsid w:val="00884FDD"/>
    <w:rsid w:val="008854F7"/>
    <w:rsid w:val="00885A9D"/>
    <w:rsid w:val="008863B6"/>
    <w:rsid w:val="008929D2"/>
    <w:rsid w:val="00893636"/>
    <w:rsid w:val="00893B94"/>
    <w:rsid w:val="00896E9D"/>
    <w:rsid w:val="00896F11"/>
    <w:rsid w:val="008A1049"/>
    <w:rsid w:val="008A1C98"/>
    <w:rsid w:val="008A322D"/>
    <w:rsid w:val="008A4D72"/>
    <w:rsid w:val="008A6285"/>
    <w:rsid w:val="008A63B2"/>
    <w:rsid w:val="008B345D"/>
    <w:rsid w:val="008B398C"/>
    <w:rsid w:val="008C1FC2"/>
    <w:rsid w:val="008C2980"/>
    <w:rsid w:val="008C4DD6"/>
    <w:rsid w:val="008C5AFB"/>
    <w:rsid w:val="008D07FB"/>
    <w:rsid w:val="008D0C02"/>
    <w:rsid w:val="008D357D"/>
    <w:rsid w:val="008D35B6"/>
    <w:rsid w:val="008D3DC6"/>
    <w:rsid w:val="008D435A"/>
    <w:rsid w:val="008E134A"/>
    <w:rsid w:val="008E387B"/>
    <w:rsid w:val="008E5C4E"/>
    <w:rsid w:val="008E6087"/>
    <w:rsid w:val="008E758D"/>
    <w:rsid w:val="008F10A7"/>
    <w:rsid w:val="008F1728"/>
    <w:rsid w:val="008F1926"/>
    <w:rsid w:val="008F755D"/>
    <w:rsid w:val="008F7A39"/>
    <w:rsid w:val="009021E8"/>
    <w:rsid w:val="00904677"/>
    <w:rsid w:val="00904BCF"/>
    <w:rsid w:val="00905EE2"/>
    <w:rsid w:val="00911440"/>
    <w:rsid w:val="00911712"/>
    <w:rsid w:val="00911B27"/>
    <w:rsid w:val="00916437"/>
    <w:rsid w:val="009170BE"/>
    <w:rsid w:val="00920B55"/>
    <w:rsid w:val="0092406F"/>
    <w:rsid w:val="00925863"/>
    <w:rsid w:val="009262C9"/>
    <w:rsid w:val="00930EB9"/>
    <w:rsid w:val="00933DC7"/>
    <w:rsid w:val="009418F4"/>
    <w:rsid w:val="00942BBC"/>
    <w:rsid w:val="00944180"/>
    <w:rsid w:val="00944AA0"/>
    <w:rsid w:val="00947DA2"/>
    <w:rsid w:val="00951177"/>
    <w:rsid w:val="00962BD7"/>
    <w:rsid w:val="00964BDF"/>
    <w:rsid w:val="0096698F"/>
    <w:rsid w:val="009673E8"/>
    <w:rsid w:val="00974DB8"/>
    <w:rsid w:val="00980661"/>
    <w:rsid w:val="00980754"/>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27B4"/>
    <w:rsid w:val="009E3B07"/>
    <w:rsid w:val="009E51D1"/>
    <w:rsid w:val="009E5531"/>
    <w:rsid w:val="009E6D33"/>
    <w:rsid w:val="009F171E"/>
    <w:rsid w:val="009F3D2F"/>
    <w:rsid w:val="009F5D8E"/>
    <w:rsid w:val="009F7052"/>
    <w:rsid w:val="00A02668"/>
    <w:rsid w:val="00A02801"/>
    <w:rsid w:val="00A06A39"/>
    <w:rsid w:val="00A06ADC"/>
    <w:rsid w:val="00A07F58"/>
    <w:rsid w:val="00A113FD"/>
    <w:rsid w:val="00A131CB"/>
    <w:rsid w:val="00A14847"/>
    <w:rsid w:val="00A16D6D"/>
    <w:rsid w:val="00A21383"/>
    <w:rsid w:val="00A2199F"/>
    <w:rsid w:val="00A21B31"/>
    <w:rsid w:val="00A2360E"/>
    <w:rsid w:val="00A26E0C"/>
    <w:rsid w:val="00A32BFE"/>
    <w:rsid w:val="00A32FCB"/>
    <w:rsid w:val="00A34C25"/>
    <w:rsid w:val="00A3507D"/>
    <w:rsid w:val="00A3717A"/>
    <w:rsid w:val="00A4088C"/>
    <w:rsid w:val="00A411E1"/>
    <w:rsid w:val="00A432E6"/>
    <w:rsid w:val="00A4456B"/>
    <w:rsid w:val="00A448D4"/>
    <w:rsid w:val="00A452E0"/>
    <w:rsid w:val="00A506DF"/>
    <w:rsid w:val="00A51EA5"/>
    <w:rsid w:val="00A53742"/>
    <w:rsid w:val="00A557A1"/>
    <w:rsid w:val="00A63059"/>
    <w:rsid w:val="00A63AE3"/>
    <w:rsid w:val="00A651A4"/>
    <w:rsid w:val="00A71361"/>
    <w:rsid w:val="00A746E2"/>
    <w:rsid w:val="00A74B13"/>
    <w:rsid w:val="00A776FE"/>
    <w:rsid w:val="00A81FF2"/>
    <w:rsid w:val="00A83904"/>
    <w:rsid w:val="00A90A79"/>
    <w:rsid w:val="00A92FE4"/>
    <w:rsid w:val="00A96B30"/>
    <w:rsid w:val="00AA1AC8"/>
    <w:rsid w:val="00AA442D"/>
    <w:rsid w:val="00AA59B5"/>
    <w:rsid w:val="00AA7777"/>
    <w:rsid w:val="00AA7B84"/>
    <w:rsid w:val="00AC0B4C"/>
    <w:rsid w:val="00AC1164"/>
    <w:rsid w:val="00AC2296"/>
    <w:rsid w:val="00AC2754"/>
    <w:rsid w:val="00AC48B0"/>
    <w:rsid w:val="00AC4ACD"/>
    <w:rsid w:val="00AC5DFB"/>
    <w:rsid w:val="00AD13DC"/>
    <w:rsid w:val="00AD5C66"/>
    <w:rsid w:val="00AD6DE2"/>
    <w:rsid w:val="00AE0A40"/>
    <w:rsid w:val="00AE1ED4"/>
    <w:rsid w:val="00AE21E1"/>
    <w:rsid w:val="00AE2F8D"/>
    <w:rsid w:val="00AE3BAE"/>
    <w:rsid w:val="00AE6A21"/>
    <w:rsid w:val="00AF1C8F"/>
    <w:rsid w:val="00AF1F05"/>
    <w:rsid w:val="00AF2B68"/>
    <w:rsid w:val="00AF2C92"/>
    <w:rsid w:val="00AF3EC1"/>
    <w:rsid w:val="00AF5025"/>
    <w:rsid w:val="00AF519F"/>
    <w:rsid w:val="00AF5387"/>
    <w:rsid w:val="00AF55F5"/>
    <w:rsid w:val="00AF6053"/>
    <w:rsid w:val="00AF7E86"/>
    <w:rsid w:val="00B024B9"/>
    <w:rsid w:val="00B077FA"/>
    <w:rsid w:val="00B1140F"/>
    <w:rsid w:val="00B124B3"/>
    <w:rsid w:val="00B127D7"/>
    <w:rsid w:val="00B13B0C"/>
    <w:rsid w:val="00B14408"/>
    <w:rsid w:val="00B1453A"/>
    <w:rsid w:val="00B16A04"/>
    <w:rsid w:val="00B1736C"/>
    <w:rsid w:val="00B17F78"/>
    <w:rsid w:val="00B20F82"/>
    <w:rsid w:val="00B23811"/>
    <w:rsid w:val="00B25BD5"/>
    <w:rsid w:val="00B34079"/>
    <w:rsid w:val="00B34D2E"/>
    <w:rsid w:val="00B3793A"/>
    <w:rsid w:val="00B401BA"/>
    <w:rsid w:val="00B407E4"/>
    <w:rsid w:val="00B425B6"/>
    <w:rsid w:val="00B42A72"/>
    <w:rsid w:val="00B441AE"/>
    <w:rsid w:val="00B45A65"/>
    <w:rsid w:val="00B45F33"/>
    <w:rsid w:val="00B46D50"/>
    <w:rsid w:val="00B50623"/>
    <w:rsid w:val="00B53170"/>
    <w:rsid w:val="00B548B9"/>
    <w:rsid w:val="00B56DBE"/>
    <w:rsid w:val="00B62999"/>
    <w:rsid w:val="00B63BE3"/>
    <w:rsid w:val="00B64885"/>
    <w:rsid w:val="00B64FA3"/>
    <w:rsid w:val="00B66810"/>
    <w:rsid w:val="00B6741E"/>
    <w:rsid w:val="00B701E7"/>
    <w:rsid w:val="00B728A1"/>
    <w:rsid w:val="00B72BE3"/>
    <w:rsid w:val="00B73B80"/>
    <w:rsid w:val="00B75237"/>
    <w:rsid w:val="00B770C7"/>
    <w:rsid w:val="00B80F26"/>
    <w:rsid w:val="00B822BD"/>
    <w:rsid w:val="00B842F4"/>
    <w:rsid w:val="00B90E3A"/>
    <w:rsid w:val="00B91A7B"/>
    <w:rsid w:val="00B929DD"/>
    <w:rsid w:val="00B93AF6"/>
    <w:rsid w:val="00B95405"/>
    <w:rsid w:val="00B963F1"/>
    <w:rsid w:val="00B96C95"/>
    <w:rsid w:val="00BA020A"/>
    <w:rsid w:val="00BA0229"/>
    <w:rsid w:val="00BA48AE"/>
    <w:rsid w:val="00BB025A"/>
    <w:rsid w:val="00BB02A4"/>
    <w:rsid w:val="00BB1270"/>
    <w:rsid w:val="00BB1E44"/>
    <w:rsid w:val="00BB2819"/>
    <w:rsid w:val="00BB35A0"/>
    <w:rsid w:val="00BB3815"/>
    <w:rsid w:val="00BB43D6"/>
    <w:rsid w:val="00BB5267"/>
    <w:rsid w:val="00BB52B8"/>
    <w:rsid w:val="00BB59D8"/>
    <w:rsid w:val="00BB7E69"/>
    <w:rsid w:val="00BC0E51"/>
    <w:rsid w:val="00BC3C1F"/>
    <w:rsid w:val="00BC7CE7"/>
    <w:rsid w:val="00BD23C2"/>
    <w:rsid w:val="00BD295E"/>
    <w:rsid w:val="00BD4664"/>
    <w:rsid w:val="00BD599C"/>
    <w:rsid w:val="00BD7713"/>
    <w:rsid w:val="00BE1193"/>
    <w:rsid w:val="00BF4849"/>
    <w:rsid w:val="00BF4EA7"/>
    <w:rsid w:val="00BF6135"/>
    <w:rsid w:val="00BF6495"/>
    <w:rsid w:val="00BF6525"/>
    <w:rsid w:val="00C00EDB"/>
    <w:rsid w:val="00C02863"/>
    <w:rsid w:val="00C0383A"/>
    <w:rsid w:val="00C06646"/>
    <w:rsid w:val="00C067FF"/>
    <w:rsid w:val="00C12862"/>
    <w:rsid w:val="00C13D28"/>
    <w:rsid w:val="00C14585"/>
    <w:rsid w:val="00C165A0"/>
    <w:rsid w:val="00C16F4D"/>
    <w:rsid w:val="00C216CE"/>
    <w:rsid w:val="00C2184F"/>
    <w:rsid w:val="00C22A78"/>
    <w:rsid w:val="00C23C7E"/>
    <w:rsid w:val="00C246C5"/>
    <w:rsid w:val="00C25A82"/>
    <w:rsid w:val="00C30A2A"/>
    <w:rsid w:val="00C33993"/>
    <w:rsid w:val="00C4069E"/>
    <w:rsid w:val="00C4118F"/>
    <w:rsid w:val="00C41ADC"/>
    <w:rsid w:val="00C44149"/>
    <w:rsid w:val="00C44410"/>
    <w:rsid w:val="00C44A15"/>
    <w:rsid w:val="00C4630A"/>
    <w:rsid w:val="00C517CB"/>
    <w:rsid w:val="00C523F0"/>
    <w:rsid w:val="00C526D2"/>
    <w:rsid w:val="00C53A91"/>
    <w:rsid w:val="00C5794E"/>
    <w:rsid w:val="00C60968"/>
    <w:rsid w:val="00C63D39"/>
    <w:rsid w:val="00C63EDD"/>
    <w:rsid w:val="00C65B36"/>
    <w:rsid w:val="00C65ED3"/>
    <w:rsid w:val="00C65EE0"/>
    <w:rsid w:val="00C7292E"/>
    <w:rsid w:val="00C74E88"/>
    <w:rsid w:val="00C7797D"/>
    <w:rsid w:val="00C80924"/>
    <w:rsid w:val="00C8286B"/>
    <w:rsid w:val="00C947F8"/>
    <w:rsid w:val="00C9515F"/>
    <w:rsid w:val="00C963C5"/>
    <w:rsid w:val="00CA030C"/>
    <w:rsid w:val="00CA1007"/>
    <w:rsid w:val="00CA1F41"/>
    <w:rsid w:val="00CA32EE"/>
    <w:rsid w:val="00CA5771"/>
    <w:rsid w:val="00CA6A1A"/>
    <w:rsid w:val="00CB53C3"/>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CF737B"/>
    <w:rsid w:val="00D02E9D"/>
    <w:rsid w:val="00D03E18"/>
    <w:rsid w:val="00D10CB8"/>
    <w:rsid w:val="00D12806"/>
    <w:rsid w:val="00D12D44"/>
    <w:rsid w:val="00D15018"/>
    <w:rsid w:val="00D158AC"/>
    <w:rsid w:val="00D1694C"/>
    <w:rsid w:val="00D20F5E"/>
    <w:rsid w:val="00D23B76"/>
    <w:rsid w:val="00D24B4A"/>
    <w:rsid w:val="00D32740"/>
    <w:rsid w:val="00D34B18"/>
    <w:rsid w:val="00D34B6B"/>
    <w:rsid w:val="00D379A3"/>
    <w:rsid w:val="00D4402D"/>
    <w:rsid w:val="00D45FF3"/>
    <w:rsid w:val="00D502B5"/>
    <w:rsid w:val="00D512CF"/>
    <w:rsid w:val="00D528B9"/>
    <w:rsid w:val="00D53186"/>
    <w:rsid w:val="00D5487D"/>
    <w:rsid w:val="00D60140"/>
    <w:rsid w:val="00D6024A"/>
    <w:rsid w:val="00D608B5"/>
    <w:rsid w:val="00D64739"/>
    <w:rsid w:val="00D67C1D"/>
    <w:rsid w:val="00D7088D"/>
    <w:rsid w:val="00D71F99"/>
    <w:rsid w:val="00D72519"/>
    <w:rsid w:val="00D73CA4"/>
    <w:rsid w:val="00D73D71"/>
    <w:rsid w:val="00D74396"/>
    <w:rsid w:val="00D80284"/>
    <w:rsid w:val="00D81F71"/>
    <w:rsid w:val="00D848EC"/>
    <w:rsid w:val="00D8642D"/>
    <w:rsid w:val="00D86656"/>
    <w:rsid w:val="00D90A5E"/>
    <w:rsid w:val="00D91A68"/>
    <w:rsid w:val="00D95A68"/>
    <w:rsid w:val="00DA17C7"/>
    <w:rsid w:val="00DA6A9A"/>
    <w:rsid w:val="00DB1E15"/>
    <w:rsid w:val="00DB1EFD"/>
    <w:rsid w:val="00DB3EAF"/>
    <w:rsid w:val="00DB46C6"/>
    <w:rsid w:val="00DB6310"/>
    <w:rsid w:val="00DC3203"/>
    <w:rsid w:val="00DC3C99"/>
    <w:rsid w:val="00DC3DEE"/>
    <w:rsid w:val="00DC52F5"/>
    <w:rsid w:val="00DC5FD0"/>
    <w:rsid w:val="00DD0354"/>
    <w:rsid w:val="00DD27D7"/>
    <w:rsid w:val="00DD458C"/>
    <w:rsid w:val="00DD72E9"/>
    <w:rsid w:val="00DD7605"/>
    <w:rsid w:val="00DE2020"/>
    <w:rsid w:val="00DE3476"/>
    <w:rsid w:val="00DE7BEA"/>
    <w:rsid w:val="00DF58D8"/>
    <w:rsid w:val="00DF5B84"/>
    <w:rsid w:val="00DF6D5B"/>
    <w:rsid w:val="00DF771B"/>
    <w:rsid w:val="00DF7EE2"/>
    <w:rsid w:val="00E01BAA"/>
    <w:rsid w:val="00E0282A"/>
    <w:rsid w:val="00E02F9B"/>
    <w:rsid w:val="00E05077"/>
    <w:rsid w:val="00E07E14"/>
    <w:rsid w:val="00E144D4"/>
    <w:rsid w:val="00E14F94"/>
    <w:rsid w:val="00E17336"/>
    <w:rsid w:val="00E17D15"/>
    <w:rsid w:val="00E22B95"/>
    <w:rsid w:val="00E23BAF"/>
    <w:rsid w:val="00E30331"/>
    <w:rsid w:val="00E30BB8"/>
    <w:rsid w:val="00E31F9C"/>
    <w:rsid w:val="00E40488"/>
    <w:rsid w:val="00E50367"/>
    <w:rsid w:val="00E51ABA"/>
    <w:rsid w:val="00E524CB"/>
    <w:rsid w:val="00E54842"/>
    <w:rsid w:val="00E65456"/>
    <w:rsid w:val="00E65A91"/>
    <w:rsid w:val="00E66188"/>
    <w:rsid w:val="00E664FB"/>
    <w:rsid w:val="00E66BFC"/>
    <w:rsid w:val="00E672F0"/>
    <w:rsid w:val="00E70373"/>
    <w:rsid w:val="00E72E40"/>
    <w:rsid w:val="00E73096"/>
    <w:rsid w:val="00E73665"/>
    <w:rsid w:val="00E73999"/>
    <w:rsid w:val="00E73BDC"/>
    <w:rsid w:val="00E73E9E"/>
    <w:rsid w:val="00E7646E"/>
    <w:rsid w:val="00E81660"/>
    <w:rsid w:val="00E854FE"/>
    <w:rsid w:val="00E906CC"/>
    <w:rsid w:val="00E939A0"/>
    <w:rsid w:val="00E97E4E"/>
    <w:rsid w:val="00EA1CC2"/>
    <w:rsid w:val="00EA2D76"/>
    <w:rsid w:val="00EA4644"/>
    <w:rsid w:val="00EA5B49"/>
    <w:rsid w:val="00EA758A"/>
    <w:rsid w:val="00EB096F"/>
    <w:rsid w:val="00EB199F"/>
    <w:rsid w:val="00EB21A4"/>
    <w:rsid w:val="00EB27C4"/>
    <w:rsid w:val="00EB5387"/>
    <w:rsid w:val="00EB5C10"/>
    <w:rsid w:val="00EB6460"/>
    <w:rsid w:val="00EB7322"/>
    <w:rsid w:val="00EC0FE9"/>
    <w:rsid w:val="00EC1130"/>
    <w:rsid w:val="00EC198B"/>
    <w:rsid w:val="00EC426D"/>
    <w:rsid w:val="00EC571B"/>
    <w:rsid w:val="00EC57D7"/>
    <w:rsid w:val="00EC6385"/>
    <w:rsid w:val="00ED1DE9"/>
    <w:rsid w:val="00ED23D4"/>
    <w:rsid w:val="00ED5E0B"/>
    <w:rsid w:val="00EE37B6"/>
    <w:rsid w:val="00EF0F45"/>
    <w:rsid w:val="00EF102F"/>
    <w:rsid w:val="00EF5878"/>
    <w:rsid w:val="00EF7463"/>
    <w:rsid w:val="00EF7971"/>
    <w:rsid w:val="00F002EF"/>
    <w:rsid w:val="00F01EE9"/>
    <w:rsid w:val="00F02EF3"/>
    <w:rsid w:val="00F04900"/>
    <w:rsid w:val="00F065A4"/>
    <w:rsid w:val="00F126B9"/>
    <w:rsid w:val="00F12715"/>
    <w:rsid w:val="00F144D5"/>
    <w:rsid w:val="00F146F0"/>
    <w:rsid w:val="00F15039"/>
    <w:rsid w:val="00F20FF3"/>
    <w:rsid w:val="00F2190B"/>
    <w:rsid w:val="00F21AC2"/>
    <w:rsid w:val="00F228B5"/>
    <w:rsid w:val="00F2389C"/>
    <w:rsid w:val="00F25C67"/>
    <w:rsid w:val="00F30DFF"/>
    <w:rsid w:val="00F317AD"/>
    <w:rsid w:val="00F32B80"/>
    <w:rsid w:val="00F340EB"/>
    <w:rsid w:val="00F35285"/>
    <w:rsid w:val="00F35FC8"/>
    <w:rsid w:val="00F43B9D"/>
    <w:rsid w:val="00F44D5E"/>
    <w:rsid w:val="00F51F13"/>
    <w:rsid w:val="00F53056"/>
    <w:rsid w:val="00F53A35"/>
    <w:rsid w:val="00F54191"/>
    <w:rsid w:val="00F55A3D"/>
    <w:rsid w:val="00F5744B"/>
    <w:rsid w:val="00F61209"/>
    <w:rsid w:val="00F6239A"/>
    <w:rsid w:val="00F6259E"/>
    <w:rsid w:val="00F65DD4"/>
    <w:rsid w:val="00F672B2"/>
    <w:rsid w:val="00F7076F"/>
    <w:rsid w:val="00F7534B"/>
    <w:rsid w:val="00F82ACE"/>
    <w:rsid w:val="00F83973"/>
    <w:rsid w:val="00F85DB3"/>
    <w:rsid w:val="00F87FA3"/>
    <w:rsid w:val="00F93D8C"/>
    <w:rsid w:val="00FA3102"/>
    <w:rsid w:val="00FA48D4"/>
    <w:rsid w:val="00FA54FA"/>
    <w:rsid w:val="00FA6D39"/>
    <w:rsid w:val="00FB0BD7"/>
    <w:rsid w:val="00FB227E"/>
    <w:rsid w:val="00FB3D61"/>
    <w:rsid w:val="00FB44CE"/>
    <w:rsid w:val="00FB5009"/>
    <w:rsid w:val="00FB76AB"/>
    <w:rsid w:val="00FD03FE"/>
    <w:rsid w:val="00FD126E"/>
    <w:rsid w:val="00FD231B"/>
    <w:rsid w:val="00FD38C6"/>
    <w:rsid w:val="00FD3C36"/>
    <w:rsid w:val="00FD4D81"/>
    <w:rsid w:val="00FD7498"/>
    <w:rsid w:val="00FD7FB3"/>
    <w:rsid w:val="00FE4713"/>
    <w:rsid w:val="00FF1F44"/>
    <w:rsid w:val="00FF225E"/>
    <w:rsid w:val="00FF4C52"/>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B16A90"/>
  <w14:defaultImageDpi w14:val="330"/>
  <w15:docId w15:val="{843217AD-BC6E-014F-B1BF-C692A4BA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233C41"/>
    <w:pPr>
      <w:spacing w:line="276" w:lineRule="auto"/>
      <w:ind w:left="284" w:hanging="284"/>
    </w:pPr>
    <w:rPr>
      <w:sz w:val="20"/>
      <w:szCs w:val="18"/>
    </w:rPr>
  </w:style>
  <w:style w:type="character" w:customStyle="1" w:styleId="FootnoteTextChar">
    <w:name w:val="Footnote Text Char"/>
    <w:basedOn w:val="DefaultParagraphFont"/>
    <w:link w:val="FootnoteText"/>
    <w:rsid w:val="00233C41"/>
    <w:rPr>
      <w:szCs w:val="18"/>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8F1728"/>
    <w:rPr>
      <w:sz w:val="16"/>
      <w:szCs w:val="16"/>
    </w:rPr>
  </w:style>
  <w:style w:type="paragraph" w:styleId="CommentText">
    <w:name w:val="annotation text"/>
    <w:basedOn w:val="Normal"/>
    <w:link w:val="CommentTextChar"/>
    <w:uiPriority w:val="99"/>
    <w:semiHidden/>
    <w:unhideWhenUsed/>
    <w:rsid w:val="008F1728"/>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F1728"/>
    <w:rPr>
      <w:rFonts w:asciiTheme="minorHAnsi" w:eastAsiaTheme="minorHAnsi" w:hAnsiTheme="minorHAnsi" w:cstheme="minorBidi"/>
      <w:lang w:eastAsia="en-US"/>
    </w:rPr>
  </w:style>
  <w:style w:type="character" w:styleId="Hyperlink">
    <w:name w:val="Hyperlink"/>
    <w:basedOn w:val="DefaultParagraphFont"/>
    <w:uiPriority w:val="99"/>
    <w:unhideWhenUsed/>
    <w:rsid w:val="008F1728"/>
    <w:rPr>
      <w:color w:val="0563C1" w:themeColor="hyperlink"/>
      <w:u w:val="single"/>
    </w:rPr>
  </w:style>
  <w:style w:type="paragraph" w:styleId="BalloonText">
    <w:name w:val="Balloon Text"/>
    <w:basedOn w:val="Normal"/>
    <w:link w:val="BalloonTextChar"/>
    <w:semiHidden/>
    <w:unhideWhenUsed/>
    <w:rsid w:val="008F17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F172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E66BFC"/>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E66BFC"/>
    <w:rPr>
      <w:rFonts w:asciiTheme="minorHAnsi" w:eastAsiaTheme="minorHAnsi" w:hAnsiTheme="minorHAnsi" w:cstheme="minorBidi"/>
      <w:b/>
      <w:bCs/>
      <w:lang w:eastAsia="en-US"/>
    </w:rPr>
  </w:style>
  <w:style w:type="character" w:customStyle="1" w:styleId="UnresolvedMention1">
    <w:name w:val="Unresolved Mention1"/>
    <w:basedOn w:val="DefaultParagraphFont"/>
    <w:uiPriority w:val="99"/>
    <w:semiHidden/>
    <w:unhideWhenUsed/>
    <w:rsid w:val="006E7E41"/>
    <w:rPr>
      <w:color w:val="605E5C"/>
      <w:shd w:val="clear" w:color="auto" w:fill="E1DFDD"/>
    </w:rPr>
  </w:style>
  <w:style w:type="paragraph" w:styleId="ListParagraph">
    <w:name w:val="List Paragraph"/>
    <w:basedOn w:val="Normal"/>
    <w:uiPriority w:val="34"/>
    <w:qFormat/>
    <w:rsid w:val="0096698F"/>
    <w:pPr>
      <w:spacing w:before="200" w:line="360" w:lineRule="auto"/>
      <w:ind w:left="720"/>
      <w:contextualSpacing/>
    </w:pPr>
    <w:rPr>
      <w:rFonts w:ascii="Calibri" w:hAnsi="Calibri"/>
      <w:sz w:val="22"/>
      <w:szCs w:val="22"/>
      <w:lang w:eastAsia="zh-CN"/>
    </w:rPr>
  </w:style>
  <w:style w:type="paragraph" w:styleId="Revision">
    <w:name w:val="Revision"/>
    <w:hidden/>
    <w:semiHidden/>
    <w:rsid w:val="0081792A"/>
    <w:rPr>
      <w:sz w:val="24"/>
      <w:szCs w:val="24"/>
    </w:rPr>
  </w:style>
  <w:style w:type="character" w:styleId="FollowedHyperlink">
    <w:name w:val="FollowedHyperlink"/>
    <w:basedOn w:val="DefaultParagraphFont"/>
    <w:semiHidden/>
    <w:unhideWhenUsed/>
    <w:rsid w:val="00E76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8072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33125631">
      <w:bodyDiv w:val="1"/>
      <w:marLeft w:val="0"/>
      <w:marRight w:val="0"/>
      <w:marTop w:val="0"/>
      <w:marBottom w:val="0"/>
      <w:divBdr>
        <w:top w:val="none" w:sz="0" w:space="0" w:color="auto"/>
        <w:left w:val="none" w:sz="0" w:space="0" w:color="auto"/>
        <w:bottom w:val="none" w:sz="0" w:space="0" w:color="auto"/>
        <w:right w:val="none" w:sz="0" w:space="0" w:color="auto"/>
      </w:divBdr>
    </w:div>
    <w:div w:id="15730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42-4745" TargetMode="External"/><Relationship Id="rId13" Type="http://schemas.openxmlformats.org/officeDocument/2006/relationships/hyperlink" Target="https://assets.publishing.service.gov.uk/government/uploads/system/uploads/attachment_data/file/441643/Children_Act_Guidance_2015.pdf" TargetMode="External"/><Relationship Id="rId18" Type="http://schemas.openxmlformats.org/officeDocument/2006/relationships/hyperlink" Target="https://www.autismeducationtrust.org.uk/shop/good-autism-practice-resources/" TargetMode="External"/><Relationship Id="rId26" Type="http://schemas.openxmlformats.org/officeDocument/2006/relationships/hyperlink" Target="https://ora.ox.ac.uk/objects/uuid:49b64928-4808-4898-911c-30e8981b2ffb" TargetMode="External"/><Relationship Id="rId3" Type="http://schemas.openxmlformats.org/officeDocument/2006/relationships/styles" Target="styles.xml"/><Relationship Id="rId21" Type="http://schemas.openxmlformats.org/officeDocument/2006/relationships/hyperlink" Target="https://www2.oxfordshire.gov.uk/cms/sites/default/files/folders/documents/virtualschool/processesandforms/resourcesandpublications/CoventryGrid.pdf" TargetMode="External"/><Relationship Id="rId7" Type="http://schemas.openxmlformats.org/officeDocument/2006/relationships/endnotes" Target="endnotes.xml"/><Relationship Id="rId12" Type="http://schemas.openxmlformats.org/officeDocument/2006/relationships/hyperlink" Target="https://www.ambitiousaboutautism.org.uk/sites/default/files/resources-and-downloads/files/we-need-an-education-exclusions-report.pdf"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discovery.ucl.ac.uk/id/eprint/10021375/1/My_Life_at_School_OCC_UCLIOE.pdf"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84758/CLA_Outcomes_Main_Text_2019.pdf" TargetMode="External"/><Relationship Id="rId20" Type="http://schemas.openxmlformats.org/officeDocument/2006/relationships/hyperlink" Target="https://www.whatdotheyknow.com/request/list_of_virtual_schools_in_engla_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org.uk/sites/bps.org.uk/files/Policy%20-%20Files/BPS%20Code%20of%20Human%20Research%20Ethics.pdf" TargetMode="External"/><Relationship Id="rId24" Type="http://schemas.openxmlformats.org/officeDocument/2006/relationships/hyperlink" Target="https://doi.org/10.1080/00131911.2020.1816909"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50306/Children_looked_after_in_England_2019_Text.pdf" TargetMode="External"/><Relationship Id="rId23" Type="http://schemas.openxmlformats.org/officeDocument/2006/relationships/hyperlink" Target="https://www.base-uk.org/sites/default/files/knowledgebase/nas_tmi_employment_report_24pp_web.pdf" TargetMode="External"/><Relationship Id="rId28" Type="http://schemas.openxmlformats.org/officeDocument/2006/relationships/header" Target="header1.xml"/><Relationship Id="rId10" Type="http://schemas.openxmlformats.org/officeDocument/2006/relationships/hyperlink" Target="https://www.autism.org.uk/~/media/nas/documents/get-involved/held-back/appga-autism-and-education-report.ashx?la=en-gb" TargetMode="External"/><Relationship Id="rId19" Type="http://schemas.openxmlformats.org/officeDocument/2006/relationships/hyperlink" Target="https://www.gov.uk/government/uploads/system/uploads/attachment_data/file/585376/Lenehan_Review_Report.pdf" TargetMode="External"/><Relationship Id="rId4" Type="http://schemas.openxmlformats.org/officeDocument/2006/relationships/settings" Target="settings.xml"/><Relationship Id="rId9" Type="http://schemas.openxmlformats.org/officeDocument/2006/relationships/hyperlink" Target="https://orcid.org/0000-0001-6041-0376" TargetMode="External"/><Relationship Id="rId14"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2" Type="http://schemas.openxmlformats.org/officeDocument/2006/relationships/hyperlink" Target="https://navsh.org.uk/wp-content/uploads/2019/01/2019-01-13-VSch-Handbook-NAVSH-Board-edit-2E-final.pdf" TargetMode="External"/><Relationship Id="rId27" Type="http://schemas.openxmlformats.org/officeDocument/2006/relationships/image" Target="media/image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p1e10\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F3D8-EB17-184A-BC3D-4315A5FF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C:\Users\sjp1e10\AppData\Local\Temp\Temp1_TF_Template_Word_Windows_2016.zip\TF_Template_Word_Windows_2016.dotx</Template>
  <TotalTime>0</TotalTime>
  <Pages>35</Pages>
  <Words>8561</Words>
  <Characters>48801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Parsons S.J.</dc:creator>
  <cp:lastModifiedBy>Hanna Kovshoff</cp:lastModifiedBy>
  <cp:revision>2</cp:revision>
  <cp:lastPrinted>2021-07-01T10:08:00Z</cp:lastPrinted>
  <dcterms:created xsi:type="dcterms:W3CDTF">2022-01-15T17:22:00Z</dcterms:created>
  <dcterms:modified xsi:type="dcterms:W3CDTF">2022-01-15T17:22:00Z</dcterms:modified>
</cp:coreProperties>
</file>