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B0682" w14:textId="12FABECF" w:rsidR="00484164" w:rsidRPr="00DA015D" w:rsidRDefault="009F464A">
      <w:pPr>
        <w:rPr>
          <w:b/>
          <w:bCs/>
          <w:sz w:val="28"/>
          <w:szCs w:val="28"/>
        </w:rPr>
      </w:pPr>
      <w:r w:rsidRPr="00DA015D">
        <w:rPr>
          <w:b/>
          <w:bCs/>
          <w:sz w:val="28"/>
          <w:szCs w:val="28"/>
        </w:rPr>
        <w:t>DATA LINKAGE</w:t>
      </w:r>
      <w:r w:rsidR="001A59FF" w:rsidRPr="00DA015D">
        <w:rPr>
          <w:b/>
          <w:bCs/>
          <w:sz w:val="28"/>
          <w:szCs w:val="28"/>
        </w:rPr>
        <w:t xml:space="preserve"> FOR </w:t>
      </w:r>
      <w:r w:rsidR="00F22E2C">
        <w:rPr>
          <w:b/>
          <w:bCs/>
          <w:sz w:val="28"/>
          <w:szCs w:val="28"/>
        </w:rPr>
        <w:t xml:space="preserve">EARLY </w:t>
      </w:r>
      <w:r w:rsidR="001A59FF" w:rsidRPr="00DA015D">
        <w:rPr>
          <w:b/>
          <w:bCs/>
          <w:sz w:val="28"/>
          <w:szCs w:val="28"/>
        </w:rPr>
        <w:t>INTERVENTION</w:t>
      </w:r>
      <w:r w:rsidR="00423939">
        <w:rPr>
          <w:b/>
          <w:bCs/>
          <w:sz w:val="28"/>
          <w:szCs w:val="28"/>
        </w:rPr>
        <w:t xml:space="preserve"> IN THE UK</w:t>
      </w:r>
      <w:r w:rsidRPr="00DA015D">
        <w:rPr>
          <w:b/>
          <w:bCs/>
          <w:sz w:val="28"/>
          <w:szCs w:val="28"/>
        </w:rPr>
        <w:t>: PARENTAL SOCIAL LICENCE AND</w:t>
      </w:r>
      <w:r w:rsidR="007D7AF5" w:rsidRPr="00DA015D">
        <w:rPr>
          <w:b/>
          <w:bCs/>
          <w:sz w:val="28"/>
          <w:szCs w:val="28"/>
        </w:rPr>
        <w:t xml:space="preserve"> SOCIAL DIVISIONS</w:t>
      </w:r>
    </w:p>
    <w:p w14:paraId="78A37468" w14:textId="5AA8C4C2" w:rsidR="0097277F" w:rsidRDefault="0097277F" w:rsidP="0097277F"/>
    <w:p w14:paraId="17912962" w14:textId="77777777" w:rsidR="00F8281A" w:rsidRDefault="00F8281A" w:rsidP="0097277F"/>
    <w:p w14:paraId="27BBA487" w14:textId="0F371D91" w:rsidR="00F8281A" w:rsidRDefault="00F8281A" w:rsidP="0097277F">
      <w:r>
        <w:t xml:space="preserve">Rosalind Edwards, University of Southampton, UK – </w:t>
      </w:r>
      <w:hyperlink r:id="rId8" w:history="1">
        <w:r w:rsidRPr="00DD6BA0">
          <w:rPr>
            <w:rStyle w:val="Hyperlink"/>
          </w:rPr>
          <w:t>r.s.edwards@soton.ac.uk</w:t>
        </w:r>
      </w:hyperlink>
      <w:r>
        <w:t xml:space="preserve"> </w:t>
      </w:r>
      <w:r w:rsidRPr="00F8281A">
        <w:rPr>
          <w:i/>
          <w:iCs/>
        </w:rPr>
        <w:t>*corresponding author</w:t>
      </w:r>
    </w:p>
    <w:p w14:paraId="5075E9D0" w14:textId="4151B50C" w:rsidR="00F8281A" w:rsidRDefault="00F8281A" w:rsidP="0097277F">
      <w:r>
        <w:t xml:space="preserve">ORCID: </w:t>
      </w:r>
      <w:r w:rsidRPr="00281D07">
        <w:rPr>
          <w:rFonts w:cs="Tahoma"/>
          <w:color w:val="000000"/>
          <w:lang w:val="en-US" w:eastAsia="en-US"/>
        </w:rPr>
        <w:t>0000-0002-3512-9029</w:t>
      </w:r>
    </w:p>
    <w:p w14:paraId="4C59C63E" w14:textId="77777777" w:rsidR="00F8281A" w:rsidRDefault="00F8281A" w:rsidP="0097277F"/>
    <w:p w14:paraId="160EC4F6" w14:textId="3F3875E9" w:rsidR="00F8281A" w:rsidRDefault="00F8281A" w:rsidP="0097277F">
      <w:r>
        <w:t>Val Gillies, University of Westminster, UK</w:t>
      </w:r>
    </w:p>
    <w:p w14:paraId="74103632" w14:textId="37DB9FD2" w:rsidR="00F8281A" w:rsidRDefault="00F8281A" w:rsidP="0097277F">
      <w:r>
        <w:t>ORCID: 0000-0001-8125-0420</w:t>
      </w:r>
    </w:p>
    <w:p w14:paraId="3F05DE14" w14:textId="42B35D0A" w:rsidR="00F8281A" w:rsidRDefault="00F8281A" w:rsidP="0097277F"/>
    <w:p w14:paraId="76051E7F" w14:textId="5F85264D" w:rsidR="00F8281A" w:rsidRDefault="00F8281A" w:rsidP="0097277F">
      <w:r>
        <w:t>Sarah Gorin, University of Southampton, UK</w:t>
      </w:r>
    </w:p>
    <w:p w14:paraId="4B9E06DB" w14:textId="53914B01" w:rsidR="00F8281A" w:rsidRDefault="00F8281A" w:rsidP="0097277F">
      <w:r>
        <w:t>ORCID: 0000-0002-0721-3880</w:t>
      </w:r>
    </w:p>
    <w:p w14:paraId="2E76137A" w14:textId="02D5FBAD" w:rsidR="00F8281A" w:rsidRDefault="00F8281A" w:rsidP="0097277F"/>
    <w:p w14:paraId="42A623E8" w14:textId="77777777" w:rsidR="00F8281A" w:rsidRPr="00F8281A" w:rsidRDefault="00F8281A" w:rsidP="0097277F"/>
    <w:p w14:paraId="10E81F9C" w14:textId="7793243D" w:rsidR="0097277F" w:rsidRDefault="0097277F" w:rsidP="0097277F">
      <w:pPr>
        <w:rPr>
          <w:b/>
          <w:bCs/>
        </w:rPr>
      </w:pPr>
      <w:r w:rsidRPr="00982B38">
        <w:rPr>
          <w:b/>
          <w:bCs/>
        </w:rPr>
        <w:t xml:space="preserve">Abstract: </w:t>
      </w:r>
    </w:p>
    <w:p w14:paraId="62E23F1B" w14:textId="77777777" w:rsidR="00F8281A" w:rsidRPr="00982B38" w:rsidRDefault="00F8281A" w:rsidP="0097277F">
      <w:pPr>
        <w:rPr>
          <w:i/>
          <w:iCs/>
        </w:rPr>
      </w:pPr>
    </w:p>
    <w:p w14:paraId="78721ADE" w14:textId="554FF949" w:rsidR="00982B38" w:rsidRDefault="00934CDC" w:rsidP="00982B38">
      <w:r>
        <w:t xml:space="preserve">Electronic </w:t>
      </w:r>
      <w:r w:rsidR="00982B38">
        <w:t>link</w:t>
      </w:r>
      <w:r>
        <w:t>ing</w:t>
      </w:r>
      <w:r w:rsidR="00982B38">
        <w:t xml:space="preserve"> of public records and predictive analytics to identify families for preventive early intervention increasingly is </w:t>
      </w:r>
      <w:r>
        <w:t xml:space="preserve">promoted </w:t>
      </w:r>
      <w:r w:rsidR="00982B38">
        <w:t xml:space="preserve">by governments.  We use the concept of social licence to address questions of </w:t>
      </w:r>
      <w:r w:rsidR="00A04829">
        <w:t xml:space="preserve">social legitimacy, </w:t>
      </w:r>
      <w:r w:rsidR="00982B38">
        <w:t>agreement and trust in data linkage and analytics for parents of dependent children, who are the focus of early intervention initiatives in the UK.  We review data-</w:t>
      </w:r>
      <w:r w:rsidR="008D4FB6">
        <w:t>steered</w:t>
      </w:r>
      <w:r w:rsidR="00982B38">
        <w:t xml:space="preserve"> family policy </w:t>
      </w:r>
      <w:r>
        <w:t xml:space="preserve">and </w:t>
      </w:r>
      <w:r w:rsidR="001F7E6C">
        <w:t xml:space="preserve">early intervention </w:t>
      </w:r>
      <w:r w:rsidR="00982B38">
        <w:t xml:space="preserve">operational </w:t>
      </w:r>
      <w:r>
        <w:t xml:space="preserve">service </w:t>
      </w:r>
      <w:r w:rsidR="00982B38">
        <w:t>practices.  We draw on a consensus baseline analysis of data from a probability-based panel survey of parents</w:t>
      </w:r>
      <w:r w:rsidR="00A04829">
        <w:t xml:space="preserve">, to show that informed consent to data linkage and use is important to all parents, but there are social divisions of </w:t>
      </w:r>
      <w:r w:rsidR="00982B38">
        <w:t xml:space="preserve">knowledge, </w:t>
      </w:r>
      <w:proofErr w:type="gramStart"/>
      <w:r w:rsidR="00982B38">
        <w:t>agreement</w:t>
      </w:r>
      <w:proofErr w:type="gramEnd"/>
      <w:r w:rsidR="00982B38">
        <w:t xml:space="preserve"> and trust.  There is more </w:t>
      </w:r>
      <w:r w:rsidR="00982B38" w:rsidRPr="00D34E25">
        <w:t xml:space="preserve">social licence </w:t>
      </w:r>
      <w:r w:rsidR="00982B38">
        <w:t xml:space="preserve">for data linkage by services </w:t>
      </w:r>
      <w:r w:rsidR="00982B38" w:rsidRPr="00D34E25">
        <w:t xml:space="preserve">among parents in higher occupation, </w:t>
      </w:r>
      <w:proofErr w:type="gramStart"/>
      <w:r w:rsidR="00982B38" w:rsidRPr="00D34E25">
        <w:t>qualification</w:t>
      </w:r>
      <w:proofErr w:type="gramEnd"/>
      <w:r w:rsidR="00982B38" w:rsidRPr="00D34E25">
        <w:t xml:space="preserve"> and income groups, </w:t>
      </w:r>
      <w:r w:rsidR="00982B38">
        <w:t>than among</w:t>
      </w:r>
      <w:r w:rsidR="005B615D" w:rsidRPr="005B615D">
        <w:t xml:space="preserve"> </w:t>
      </w:r>
      <w:r w:rsidR="005B615D">
        <w:t>Black parents, lone parents, younger parents, and parents in larger households.  These</w:t>
      </w:r>
      <w:r w:rsidR="00982B38">
        <w:t xml:space="preserve"> </w:t>
      </w:r>
      <w:r w:rsidR="00982B38" w:rsidRPr="00D34E25">
        <w:t>marginalised groups of parents</w:t>
      </w:r>
      <w:r w:rsidR="005B615D">
        <w:t>, co</w:t>
      </w:r>
      <w:r w:rsidR="00982B38" w:rsidRPr="00D34E25">
        <w:t xml:space="preserve">llectively, are more likely to be the focus of identification for early intervention.  </w:t>
      </w:r>
      <w:r w:rsidR="00982B38">
        <w:t>We argue that government awareness-raising exercises</w:t>
      </w:r>
      <w:r w:rsidR="00982B38" w:rsidRPr="00095689">
        <w:rPr>
          <w:rFonts w:eastAsiaTheme="minorHAnsi" w:cs="Calibri"/>
        </w:rPr>
        <w:t xml:space="preserve"> </w:t>
      </w:r>
      <w:r w:rsidR="00982B38">
        <w:rPr>
          <w:rFonts w:eastAsiaTheme="minorHAnsi" w:cs="Calibri"/>
        </w:rPr>
        <w:t xml:space="preserve">about the merits of data linkage are likely </w:t>
      </w:r>
      <w:r w:rsidR="00982B38" w:rsidRPr="00D34E25">
        <w:t xml:space="preserve">to bolster </w:t>
      </w:r>
      <w:r w:rsidR="00982B38">
        <w:t xml:space="preserve">existing </w:t>
      </w:r>
      <w:r w:rsidR="00982B38" w:rsidRPr="00D34E25">
        <w:t xml:space="preserve">social licence among </w:t>
      </w:r>
      <w:r w:rsidR="00982B38">
        <w:t xml:space="preserve">advantaged </w:t>
      </w:r>
      <w:r w:rsidR="00982B38" w:rsidRPr="00D34E25">
        <w:t>parents while running the risk of further disengagement</w:t>
      </w:r>
      <w:r w:rsidR="00982B38">
        <w:t xml:space="preserve"> </w:t>
      </w:r>
      <w:r w:rsidR="00982B38" w:rsidRPr="00D34E25">
        <w:t xml:space="preserve">among </w:t>
      </w:r>
      <w:r w:rsidR="00982B38">
        <w:t>disadvantag</w:t>
      </w:r>
      <w:r w:rsidR="00982B38" w:rsidRPr="00D34E25">
        <w:t>ed groups</w:t>
      </w:r>
      <w:r w:rsidR="00A04829">
        <w:t xml:space="preserve">.  This is </w:t>
      </w:r>
      <w:r w:rsidR="00982B38">
        <w:t>especially where</w:t>
      </w:r>
      <w:r w:rsidR="00982B38" w:rsidRPr="00095689">
        <w:t xml:space="preserve"> </w:t>
      </w:r>
      <w:r w:rsidR="00982B38" w:rsidRPr="00254FD8">
        <w:t>inequalities</w:t>
      </w:r>
      <w:r w:rsidR="00982B38">
        <w:t xml:space="preserve"> and forecasting inaccuracies </w:t>
      </w:r>
      <w:r w:rsidR="00982B38" w:rsidRPr="00254FD8">
        <w:t xml:space="preserve">are </w:t>
      </w:r>
      <w:r w:rsidR="00982B38" w:rsidRPr="00226747">
        <w:t xml:space="preserve">encoded into </w:t>
      </w:r>
      <w:r w:rsidR="00982B38">
        <w:t xml:space="preserve">early intervention </w:t>
      </w:r>
      <w:r w:rsidR="00982B38" w:rsidRPr="00226747">
        <w:t>data gathering, linking and predictive practice</w:t>
      </w:r>
      <w:r w:rsidR="00982B38">
        <w:t>s</w:t>
      </w:r>
      <w:r w:rsidR="00A04829">
        <w:t>, with consequences for a cohesive and equal society</w:t>
      </w:r>
      <w:r w:rsidR="00982B38">
        <w:t xml:space="preserve">.  </w:t>
      </w:r>
    </w:p>
    <w:p w14:paraId="76B77868" w14:textId="063E7D6B" w:rsidR="00F8281A" w:rsidRDefault="00F8281A" w:rsidP="0097277F">
      <w:pPr>
        <w:rPr>
          <w:highlight w:val="red"/>
        </w:rPr>
      </w:pPr>
    </w:p>
    <w:p w14:paraId="265E26B3" w14:textId="77777777" w:rsidR="00F8281A" w:rsidRPr="0088410A" w:rsidRDefault="00F8281A" w:rsidP="0097277F">
      <w:pPr>
        <w:rPr>
          <w:highlight w:val="red"/>
        </w:rPr>
      </w:pPr>
    </w:p>
    <w:p w14:paraId="31B5BBDC" w14:textId="784CCD3B" w:rsidR="0097277F" w:rsidRPr="0097277F" w:rsidRDefault="0097277F" w:rsidP="0097277F">
      <w:pPr>
        <w:rPr>
          <w:i/>
          <w:iCs/>
        </w:rPr>
      </w:pPr>
      <w:r w:rsidRPr="0097277F">
        <w:rPr>
          <w:b/>
          <w:bCs/>
        </w:rPr>
        <w:t>Policy Significance Statement:</w:t>
      </w:r>
    </w:p>
    <w:p w14:paraId="7E3155D8" w14:textId="77777777" w:rsidR="00585900" w:rsidRPr="007236FB" w:rsidRDefault="00585900" w:rsidP="0097277F"/>
    <w:p w14:paraId="26A65201" w14:textId="647FF6D6" w:rsidR="00233009" w:rsidRPr="007236FB" w:rsidRDefault="00A5513B" w:rsidP="00233009">
      <w:bookmarkStart w:id="0" w:name="_Hlk67142933"/>
      <w:r>
        <w:t xml:space="preserve">Linking </w:t>
      </w:r>
      <w:r w:rsidR="006A1B4D" w:rsidRPr="007236FB">
        <w:t xml:space="preserve">of </w:t>
      </w:r>
      <w:r w:rsidR="009743AA">
        <w:t xml:space="preserve">administrative </w:t>
      </w:r>
      <w:r w:rsidR="0097277F" w:rsidRPr="007236FB">
        <w:t xml:space="preserve">records </w:t>
      </w:r>
      <w:r w:rsidR="00090C64">
        <w:t xml:space="preserve">and </w:t>
      </w:r>
      <w:r w:rsidR="00B03CA4">
        <w:t xml:space="preserve">predictive </w:t>
      </w:r>
      <w:r w:rsidR="00090C64">
        <w:t xml:space="preserve">analytics </w:t>
      </w:r>
      <w:r w:rsidR="0097277F" w:rsidRPr="007236FB">
        <w:t>to identify families for</w:t>
      </w:r>
      <w:r w:rsidR="00585900" w:rsidRPr="007236FB">
        <w:t xml:space="preserve"> </w:t>
      </w:r>
      <w:r w:rsidR="0097277F" w:rsidRPr="007236FB">
        <w:t>preventive</w:t>
      </w:r>
      <w:r w:rsidR="00585900" w:rsidRPr="007236FB">
        <w:t xml:space="preserve"> early</w:t>
      </w:r>
      <w:r w:rsidR="0097277F" w:rsidRPr="007236FB">
        <w:t xml:space="preserve"> intervention increasingly </w:t>
      </w:r>
      <w:r>
        <w:t xml:space="preserve">is </w:t>
      </w:r>
      <w:r w:rsidR="001F7E6C">
        <w:t xml:space="preserve">promoted </w:t>
      </w:r>
      <w:r w:rsidR="0097277F" w:rsidRPr="007236FB">
        <w:t xml:space="preserve">by governments.  </w:t>
      </w:r>
      <w:bookmarkStart w:id="1" w:name="_Hlk68614360"/>
      <w:bookmarkEnd w:id="0"/>
      <w:r w:rsidR="006A1B4D" w:rsidRPr="007236FB">
        <w:t>I</w:t>
      </w:r>
      <w:r w:rsidR="00233009" w:rsidRPr="007236FB">
        <w:t xml:space="preserve">nformed consent to use of their </w:t>
      </w:r>
      <w:r w:rsidR="009743AA">
        <w:t xml:space="preserve">data </w:t>
      </w:r>
      <w:r w:rsidR="00233009" w:rsidRPr="007236FB">
        <w:t xml:space="preserve">is important </w:t>
      </w:r>
      <w:r w:rsidR="00090C64">
        <w:t xml:space="preserve">to </w:t>
      </w:r>
      <w:r w:rsidR="00233009" w:rsidRPr="007236FB">
        <w:t xml:space="preserve">parents, </w:t>
      </w:r>
      <w:r w:rsidR="00233009" w:rsidRPr="007236FB">
        <w:rPr>
          <w:rFonts w:cstheme="minorHAnsi"/>
        </w:rPr>
        <w:t>and t</w:t>
      </w:r>
      <w:r w:rsidR="008D164E" w:rsidRPr="007236FB">
        <w:rPr>
          <w:rFonts w:cstheme="minorHAnsi"/>
        </w:rPr>
        <w:t xml:space="preserve">here is less </w:t>
      </w:r>
      <w:r w:rsidR="006A1B4D" w:rsidRPr="007236FB">
        <w:rPr>
          <w:rFonts w:cstheme="minorHAnsi"/>
        </w:rPr>
        <w:t xml:space="preserve">acceptance of </w:t>
      </w:r>
      <w:r w:rsidR="00233009" w:rsidRPr="007236FB">
        <w:rPr>
          <w:rFonts w:cstheme="minorHAnsi"/>
        </w:rPr>
        <w:t>public services using</w:t>
      </w:r>
      <w:r w:rsidR="008D164E" w:rsidRPr="007236FB">
        <w:rPr>
          <w:rFonts w:cstheme="minorHAnsi"/>
        </w:rPr>
        <w:t xml:space="preserve"> data linkage among marginalised social groups</w:t>
      </w:r>
      <w:r w:rsidR="00233009" w:rsidRPr="007236FB">
        <w:rPr>
          <w:rFonts w:cstheme="minorHAnsi"/>
        </w:rPr>
        <w:t xml:space="preserve">.  </w:t>
      </w:r>
      <w:r w:rsidR="008D164E" w:rsidRPr="007236FB">
        <w:t xml:space="preserve">Implementation of </w:t>
      </w:r>
      <w:r w:rsidR="006A1B4D" w:rsidRPr="007236FB">
        <w:t xml:space="preserve">operational data linkage </w:t>
      </w:r>
      <w:r w:rsidR="008D164E" w:rsidRPr="007236FB">
        <w:t xml:space="preserve">amongst services working with families has the potential to undermine social legitimacy and trust, with consequences for a cohesive and equal society.  </w:t>
      </w:r>
      <w:r w:rsidR="007236FB" w:rsidRPr="007236FB">
        <w:t xml:space="preserve">Addressing </w:t>
      </w:r>
      <w:r w:rsidR="00233009" w:rsidRPr="007236FB">
        <w:t xml:space="preserve">this through </w:t>
      </w:r>
      <w:r w:rsidR="000C050E">
        <w:t xml:space="preserve">explaining </w:t>
      </w:r>
      <w:r w:rsidR="00233009" w:rsidRPr="007236FB">
        <w:t xml:space="preserve">the merits of data linkage </w:t>
      </w:r>
      <w:r>
        <w:t>is likely to</w:t>
      </w:r>
      <w:r w:rsidR="00233009" w:rsidRPr="007236FB">
        <w:t xml:space="preserve"> bolster social licence among parents in higher occupation, </w:t>
      </w:r>
      <w:proofErr w:type="gramStart"/>
      <w:r w:rsidR="00233009" w:rsidRPr="007236FB">
        <w:t>qualification</w:t>
      </w:r>
      <w:proofErr w:type="gramEnd"/>
      <w:r w:rsidR="00233009" w:rsidRPr="007236FB">
        <w:t xml:space="preserve"> and income groups, while </w:t>
      </w:r>
      <w:r>
        <w:t xml:space="preserve">generating </w:t>
      </w:r>
      <w:r w:rsidR="00233009" w:rsidRPr="007236FB">
        <w:t>further disengagement and avoidance of public services among marginalised parents.</w:t>
      </w:r>
      <w:bookmarkEnd w:id="1"/>
      <w:r>
        <w:t xml:space="preserve">  </w:t>
      </w:r>
      <w:r w:rsidR="000C050E">
        <w:t>Rather, m</w:t>
      </w:r>
      <w:r>
        <w:t>eaningful dialogue</w:t>
      </w:r>
      <w:r w:rsidR="000C050E">
        <w:t xml:space="preserve"> </w:t>
      </w:r>
      <w:r>
        <w:t>that shapes the parameters of data linkage is required.</w:t>
      </w:r>
    </w:p>
    <w:p w14:paraId="7C4B9361" w14:textId="0F8FFC0A" w:rsidR="0097277F" w:rsidRDefault="0097277F"/>
    <w:p w14:paraId="21C4C3E8" w14:textId="77777777" w:rsidR="003423D5" w:rsidRDefault="003423D5"/>
    <w:p w14:paraId="18A098B8" w14:textId="41C9DD53" w:rsidR="00F8281A" w:rsidRDefault="00F8281A">
      <w:pPr>
        <w:rPr>
          <w:i/>
          <w:iCs/>
        </w:rPr>
      </w:pPr>
      <w:r w:rsidRPr="00982B38">
        <w:rPr>
          <w:b/>
          <w:bCs/>
          <w:i/>
          <w:iCs/>
        </w:rPr>
        <w:t>Keywords:</w:t>
      </w:r>
      <w:r>
        <w:rPr>
          <w:b/>
          <w:bCs/>
          <w:i/>
          <w:iCs/>
        </w:rPr>
        <w:t xml:space="preserve">  </w:t>
      </w:r>
      <w:r w:rsidRPr="00982B38">
        <w:rPr>
          <w:i/>
          <w:iCs/>
        </w:rPr>
        <w:t xml:space="preserve">early intervention, operational data linkage, </w:t>
      </w:r>
      <w:r>
        <w:rPr>
          <w:i/>
          <w:iCs/>
        </w:rPr>
        <w:t xml:space="preserve">parents, </w:t>
      </w:r>
      <w:r w:rsidRPr="00982B38">
        <w:rPr>
          <w:i/>
          <w:iCs/>
        </w:rPr>
        <w:t>predictive analytics, social divisions</w:t>
      </w:r>
      <w:r>
        <w:rPr>
          <w:i/>
          <w:iCs/>
        </w:rPr>
        <w:t xml:space="preserve">, </w:t>
      </w:r>
      <w:r w:rsidRPr="00982B38">
        <w:rPr>
          <w:i/>
          <w:iCs/>
        </w:rPr>
        <w:t>social licence</w:t>
      </w:r>
      <w:r>
        <w:rPr>
          <w:i/>
          <w:iCs/>
        </w:rPr>
        <w:t xml:space="preserve">  </w:t>
      </w:r>
      <w:r>
        <w:rPr>
          <w:i/>
          <w:iCs/>
        </w:rPr>
        <w:br w:type="page"/>
      </w:r>
    </w:p>
    <w:p w14:paraId="3B1C8221" w14:textId="77777777" w:rsidR="00F8281A" w:rsidRDefault="00F8281A" w:rsidP="00F8281A"/>
    <w:p w14:paraId="4CBAC31D" w14:textId="45199555" w:rsidR="00484164" w:rsidRPr="00484164" w:rsidRDefault="007D7AF5">
      <w:pPr>
        <w:rPr>
          <w:b/>
          <w:bCs/>
        </w:rPr>
      </w:pPr>
      <w:r w:rsidRPr="00484164">
        <w:rPr>
          <w:b/>
          <w:bCs/>
        </w:rPr>
        <w:t>Introduction</w:t>
      </w:r>
    </w:p>
    <w:p w14:paraId="19DC6B02" w14:textId="6A7E7D59" w:rsidR="00484164" w:rsidRDefault="00484164"/>
    <w:p w14:paraId="593B2FD3" w14:textId="37E93277" w:rsidR="00140432" w:rsidRDefault="00934CDC" w:rsidP="001B37AB">
      <w:r>
        <w:t>Electronic</w:t>
      </w:r>
      <w:r w:rsidR="00D2382A">
        <w:t xml:space="preserve"> linkage </w:t>
      </w:r>
      <w:r w:rsidR="00D2382A" w:rsidRPr="007236FB">
        <w:t xml:space="preserve">of public records </w:t>
      </w:r>
      <w:r w:rsidR="00D2382A">
        <w:t>and</w:t>
      </w:r>
      <w:r w:rsidR="00B919ED">
        <w:t xml:space="preserve"> predictive</w:t>
      </w:r>
      <w:r w:rsidR="00D2382A">
        <w:t xml:space="preserve"> analytics </w:t>
      </w:r>
      <w:r>
        <w:t xml:space="preserve">for the operational purpose of </w:t>
      </w:r>
      <w:r w:rsidR="00D2382A" w:rsidRPr="007236FB">
        <w:t>identify</w:t>
      </w:r>
      <w:r>
        <w:t>ing</w:t>
      </w:r>
      <w:r w:rsidR="00D2382A" w:rsidRPr="007236FB">
        <w:t xml:space="preserve"> families for preventive early intervention increasingly </w:t>
      </w:r>
      <w:r w:rsidR="00876221">
        <w:t xml:space="preserve">is </w:t>
      </w:r>
      <w:r>
        <w:t xml:space="preserve">promoted </w:t>
      </w:r>
      <w:r w:rsidR="00D2382A" w:rsidRPr="007236FB">
        <w:t>by governments</w:t>
      </w:r>
      <w:r w:rsidR="00D2382A">
        <w:t>,</w:t>
      </w:r>
      <w:r w:rsidR="00B919ED">
        <w:t xml:space="preserve"> part of </w:t>
      </w:r>
      <w:r w:rsidR="00862D06">
        <w:t xml:space="preserve">a </w:t>
      </w:r>
      <w:bookmarkStart w:id="2" w:name="_Hlk68706587"/>
      <w:r w:rsidR="00862D06">
        <w:t xml:space="preserve">transition to </w:t>
      </w:r>
      <w:r w:rsidR="00B919ED">
        <w:t>data-</w:t>
      </w:r>
      <w:r w:rsidR="00EF68AC">
        <w:t>steered</w:t>
      </w:r>
      <w:r w:rsidR="00B919ED">
        <w:t xml:space="preserve"> social policy</w:t>
      </w:r>
      <w:bookmarkEnd w:id="2"/>
      <w:r w:rsidR="00D2382A">
        <w:t xml:space="preserve"> in the UK and internationally</w:t>
      </w:r>
      <w:r w:rsidR="00D2382A" w:rsidRPr="007236FB">
        <w:t xml:space="preserve">.  </w:t>
      </w:r>
      <w:r w:rsidR="00A00E91">
        <w:t>Sharing and li</w:t>
      </w:r>
      <w:r w:rsidR="00D2382A">
        <w:t>nking the separate sources of nationally and locally held information held about citizens – health, education, social care, police, housing, immigration, taxation and social security records etc., and operationalising them through algorithmic data analytics, is championed as offering the possibility of improved and more efficient public service</w:t>
      </w:r>
      <w:r w:rsidR="00D3565B">
        <w:t xml:space="preserve"> delivery</w:t>
      </w:r>
      <w:r w:rsidR="00D2382A">
        <w:t xml:space="preserve">, </w:t>
      </w:r>
      <w:r w:rsidR="00D3565B">
        <w:t xml:space="preserve">and </w:t>
      </w:r>
      <w:r w:rsidR="00D2382A">
        <w:t>enabling predictive risk modelling to pre-empt problems</w:t>
      </w:r>
      <w:r w:rsidR="00DA5CA0">
        <w:t xml:space="preserve"> and improve outcomes (</w:t>
      </w:r>
      <w:r w:rsidR="00DA5CA0" w:rsidRPr="00AF67BF">
        <w:t xml:space="preserve">e.g. </w:t>
      </w:r>
      <w:r w:rsidR="00AF67BF">
        <w:t xml:space="preserve">NL </w:t>
      </w:r>
      <w:proofErr w:type="spellStart"/>
      <w:r w:rsidR="00AF67BF">
        <w:t>Digita</w:t>
      </w:r>
      <w:r w:rsidR="00327232">
        <w:t>a</w:t>
      </w:r>
      <w:r w:rsidR="00AF67BF">
        <w:t>l</w:t>
      </w:r>
      <w:proofErr w:type="spellEnd"/>
      <w:r w:rsidR="00AF67BF">
        <w:t xml:space="preserve"> Government, 2019; </w:t>
      </w:r>
      <w:r w:rsidR="006F3EFD">
        <w:t xml:space="preserve">Privy Council Office Canada, 2018; </w:t>
      </w:r>
      <w:r w:rsidR="00DA5CA0" w:rsidRPr="00AF67BF">
        <w:t>Stats NZ</w:t>
      </w:r>
      <w:r w:rsidR="00AF67BF">
        <w:t>,</w:t>
      </w:r>
      <w:r w:rsidR="00DA5CA0" w:rsidRPr="00AF67BF">
        <w:t xml:space="preserve"> 2018)</w:t>
      </w:r>
      <w:r w:rsidR="00D2382A" w:rsidRPr="00AF67BF">
        <w:t>.</w:t>
      </w:r>
      <w:r w:rsidR="00D2382A">
        <w:t xml:space="preserve">  </w:t>
      </w:r>
      <w:r w:rsidR="001E6A92">
        <w:t xml:space="preserve">The COVID-19 pandemic has </w:t>
      </w:r>
      <w:r w:rsidR="00A00E91">
        <w:t>accelerat</w:t>
      </w:r>
      <w:r w:rsidR="001E6A92">
        <w:t xml:space="preserve">ed this trend, notably boosting calls for services and agencies to share and join up their </w:t>
      </w:r>
      <w:proofErr w:type="gramStart"/>
      <w:r w:rsidR="001E6A92">
        <w:t>routinely-collected</w:t>
      </w:r>
      <w:proofErr w:type="gramEnd"/>
      <w:r w:rsidR="001E6A92">
        <w:t xml:space="preserve"> data</w:t>
      </w:r>
      <w:r w:rsidR="00140432">
        <w:t xml:space="preserve">.  </w:t>
      </w:r>
      <w:r w:rsidR="00B3376A">
        <w:t>This raises questions</w:t>
      </w:r>
      <w:r w:rsidR="00F50EB5">
        <w:t xml:space="preserve"> </w:t>
      </w:r>
      <w:r w:rsidR="00F50EB5">
        <w:rPr>
          <w:color w:val="FF0000"/>
        </w:rPr>
        <w:t xml:space="preserve">not just about </w:t>
      </w:r>
      <w:r w:rsidR="003B687D">
        <w:rPr>
          <w:color w:val="FF0000"/>
        </w:rPr>
        <w:t xml:space="preserve">service </w:t>
      </w:r>
      <w:r w:rsidR="00F50EB5">
        <w:rPr>
          <w:color w:val="FF0000"/>
        </w:rPr>
        <w:t>efficacy, but importantly</w:t>
      </w:r>
      <w:r w:rsidR="00B3376A">
        <w:t xml:space="preserve"> about the extent to which transitions to such data use </w:t>
      </w:r>
      <w:r w:rsidR="00B03CA4">
        <w:t xml:space="preserve">occur without a democratic mandate and </w:t>
      </w:r>
      <w:r w:rsidR="00B3376A">
        <w:t xml:space="preserve">transgress legal, ethical and data quality norms (van </w:t>
      </w:r>
      <w:proofErr w:type="spellStart"/>
      <w:r w:rsidR="00B3376A">
        <w:t>Zoonen</w:t>
      </w:r>
      <w:proofErr w:type="spellEnd"/>
      <w:r w:rsidR="00B3376A">
        <w:t xml:space="preserve">, 2020).  </w:t>
      </w:r>
      <w:r w:rsidR="00140432">
        <w:t>James Shaw and colleagues (2020) argue that data sharing, linkage and the application of analytics need to earn ‘social licence’ – that is the agreement and trust of citizens, for ‘COVID-era’ data initiatives</w:t>
      </w:r>
      <w:r w:rsidR="0052533E">
        <w:t xml:space="preserve">, </w:t>
      </w:r>
      <w:r w:rsidR="00A00E91">
        <w:t xml:space="preserve">and they </w:t>
      </w:r>
      <w:r w:rsidR="0052533E">
        <w:t>advis</w:t>
      </w:r>
      <w:r w:rsidR="00A00E91">
        <w:t>e</w:t>
      </w:r>
      <w:r w:rsidR="0052533E">
        <w:t xml:space="preserve"> the need for transparency and public involvement</w:t>
      </w:r>
      <w:r w:rsidR="00140432">
        <w:t xml:space="preserve">.  </w:t>
      </w:r>
      <w:r w:rsidR="008B7401">
        <w:t>Yet</w:t>
      </w:r>
      <w:r w:rsidR="001B37AB">
        <w:t xml:space="preserve">, as </w:t>
      </w:r>
      <w:proofErr w:type="spellStart"/>
      <w:r w:rsidR="001B37AB">
        <w:t>Liesbet</w:t>
      </w:r>
      <w:proofErr w:type="spellEnd"/>
      <w:r w:rsidR="001B37AB">
        <w:t xml:space="preserve"> van </w:t>
      </w:r>
      <w:proofErr w:type="spellStart"/>
      <w:r w:rsidR="001B37AB">
        <w:t>Zoonen</w:t>
      </w:r>
      <w:proofErr w:type="spellEnd"/>
      <w:r w:rsidR="001B37AB">
        <w:t xml:space="preserve"> argues,</w:t>
      </w:r>
      <w:r w:rsidR="008B7401">
        <w:t xml:space="preserve"> moves towards data-driven social policy largely take place out of political and social view</w:t>
      </w:r>
      <w:r w:rsidR="001B37AB">
        <w:t>.  Data linkage and predictive analytic practices are centred on top-down monitoring, containment, and control</w:t>
      </w:r>
      <w:r w:rsidR="00506C41">
        <w:t>: ‘</w:t>
      </w:r>
      <w:r w:rsidR="001B37AB">
        <w:t>Citizens in the system are subjected to those processes, as a group and</w:t>
      </w:r>
      <w:r w:rsidR="00506C41">
        <w:t xml:space="preserve"> </w:t>
      </w:r>
      <w:r w:rsidR="001B37AB">
        <w:t>sometimes individually, without knowing it</w:t>
      </w:r>
      <w:r w:rsidR="00506C41">
        <w:t>’</w:t>
      </w:r>
      <w:r w:rsidR="008B7401">
        <w:t xml:space="preserve"> (van </w:t>
      </w:r>
      <w:proofErr w:type="spellStart"/>
      <w:r w:rsidR="008B7401">
        <w:t>Zoonen</w:t>
      </w:r>
      <w:proofErr w:type="spellEnd"/>
      <w:r w:rsidR="008B7401">
        <w:t>, 2020</w:t>
      </w:r>
      <w:r w:rsidR="00506C41">
        <w:t>: e10-9</w:t>
      </w:r>
      <w:r w:rsidR="008B7401">
        <w:t xml:space="preserve">).  </w:t>
      </w:r>
      <w:r w:rsidR="008D4FB6">
        <w:t>This raises questions about power, social inequalities and whose interests are serviced with these practices.</w:t>
      </w:r>
    </w:p>
    <w:p w14:paraId="037DF7AA" w14:textId="1292EB29" w:rsidR="0052533E" w:rsidRDefault="0052533E"/>
    <w:p w14:paraId="236E891D" w14:textId="34686AAF" w:rsidR="000F28D9" w:rsidRDefault="0052533E" w:rsidP="00F50EB5">
      <w:pPr>
        <w:rPr>
          <w:rFonts w:eastAsiaTheme="minorHAnsi" w:cs="Calibri"/>
        </w:rPr>
      </w:pPr>
      <w:r>
        <w:t xml:space="preserve">In the </w:t>
      </w:r>
      <w:r w:rsidR="001E6A92">
        <w:t>UK</w:t>
      </w:r>
      <w:r>
        <w:t>, the Government</w:t>
      </w:r>
      <w:r w:rsidR="001E6A92">
        <w:t xml:space="preserve">’s National Data Strategy was updated at the end of 2020 to exhort public services to </w:t>
      </w:r>
      <w:r w:rsidR="00B03CA4">
        <w:t>share</w:t>
      </w:r>
      <w:r w:rsidR="001E6A92">
        <w:t xml:space="preserve"> their administrative records, citing the way that data linkage has been essential for public health responses during the </w:t>
      </w:r>
      <w:r w:rsidR="00F50EB5">
        <w:t xml:space="preserve">COVID-19 </w:t>
      </w:r>
      <w:r w:rsidR="001E6A92">
        <w:t>pandemic</w:t>
      </w:r>
      <w:r w:rsidR="00F50EB5">
        <w:t>, and how this situation has underlined the need for: ‘</w:t>
      </w:r>
      <w:r w:rsidR="008D08B5">
        <w:t>the presumption is that, with appropriate safeguards, data should be shared to drive better outcomes. (DDCMS</w:t>
      </w:r>
      <w:r w:rsidR="00F8281A">
        <w:t>,</w:t>
      </w:r>
      <w:r w:rsidR="008D08B5">
        <w:t xml:space="preserve"> 2020)</w:t>
      </w:r>
      <w:r w:rsidR="00F50EB5">
        <w:t xml:space="preserve">.  </w:t>
      </w:r>
      <w:r w:rsidR="008D08B5" w:rsidRPr="000F28D9">
        <w:rPr>
          <w:rFonts w:eastAsiaTheme="minorHAnsi" w:cs="Calibri"/>
        </w:rPr>
        <w:t>T</w:t>
      </w:r>
      <w:r w:rsidR="001A59FF" w:rsidRPr="000F28D9">
        <w:rPr>
          <w:rFonts w:eastAsiaTheme="minorHAnsi" w:cs="Calibri"/>
        </w:rPr>
        <w:t>he</w:t>
      </w:r>
      <w:r w:rsidR="008D08B5" w:rsidRPr="000F28D9">
        <w:rPr>
          <w:rFonts w:eastAsiaTheme="minorHAnsi" w:cs="Calibri"/>
        </w:rPr>
        <w:t xml:space="preserve"> House of Lords Select Committee on Public Services similarly </w:t>
      </w:r>
      <w:r w:rsidR="001A59FF" w:rsidRPr="000F28D9">
        <w:rPr>
          <w:rFonts w:eastAsiaTheme="minorHAnsi" w:cs="Calibri"/>
        </w:rPr>
        <w:t xml:space="preserve">has </w:t>
      </w:r>
      <w:r w:rsidR="00B3376A">
        <w:rPr>
          <w:rFonts w:eastAsiaTheme="minorHAnsi" w:cs="Calibri"/>
        </w:rPr>
        <w:t>emphasis</w:t>
      </w:r>
      <w:r w:rsidR="001A59FF" w:rsidRPr="000F28D9">
        <w:rPr>
          <w:rFonts w:eastAsiaTheme="minorHAnsi" w:cs="Calibri"/>
        </w:rPr>
        <w:t xml:space="preserve">ed </w:t>
      </w:r>
      <w:r w:rsidR="00B3376A">
        <w:rPr>
          <w:rFonts w:eastAsiaTheme="minorHAnsi" w:cs="Calibri"/>
        </w:rPr>
        <w:t>data sharing</w:t>
      </w:r>
      <w:r w:rsidR="001A59FF" w:rsidRPr="000F28D9">
        <w:rPr>
          <w:rFonts w:eastAsiaTheme="minorHAnsi" w:cs="Calibri"/>
        </w:rPr>
        <w:t xml:space="preserve"> for public services working with children and families specifically</w:t>
      </w:r>
      <w:r w:rsidR="000F28D9" w:rsidRPr="000F28D9">
        <w:rPr>
          <w:rFonts w:eastAsiaTheme="minorHAnsi" w:cs="Calibri"/>
        </w:rPr>
        <w:t xml:space="preserve">:  </w:t>
      </w:r>
    </w:p>
    <w:p w14:paraId="2B619583" w14:textId="341877D4" w:rsidR="008D08B5" w:rsidRDefault="000F28D9" w:rsidP="000F28D9">
      <w:pPr>
        <w:autoSpaceDE w:val="0"/>
        <w:autoSpaceDN w:val="0"/>
        <w:adjustRightInd w:val="0"/>
        <w:ind w:left="720"/>
        <w:rPr>
          <w:rFonts w:eastAsiaTheme="minorHAnsi" w:cs="Calibri"/>
        </w:rPr>
      </w:pPr>
      <w:r w:rsidRPr="000F28D9">
        <w:rPr>
          <w:rFonts w:cs="Plantin-Bold"/>
        </w:rPr>
        <w:t>We are concerned that agencies do not share the data that they need to support vulnerable children and to determine which children need their help.  The Government should issue new guidance on data</w:t>
      </w:r>
      <w:r>
        <w:rPr>
          <w:rFonts w:cs="Plantin-Bold"/>
        </w:rPr>
        <w:t>-</w:t>
      </w:r>
      <w:r w:rsidRPr="000F28D9">
        <w:rPr>
          <w:rFonts w:cs="Plantin-Bold"/>
        </w:rPr>
        <w:t>sharing powers and duties to protect vulnerable children, and, if necessary, introduce legislation to ensure that such data is shared.</w:t>
      </w:r>
      <w:r w:rsidR="008D08B5" w:rsidRPr="000F28D9">
        <w:rPr>
          <w:rFonts w:eastAsiaTheme="minorHAnsi" w:cs="Calibri"/>
        </w:rPr>
        <w:t xml:space="preserve"> (2020</w:t>
      </w:r>
      <w:r w:rsidRPr="000F28D9">
        <w:rPr>
          <w:rFonts w:eastAsiaTheme="minorHAnsi" w:cs="Calibri"/>
        </w:rPr>
        <w:t>: 43</w:t>
      </w:r>
      <w:r w:rsidR="008D08B5" w:rsidRPr="000F28D9">
        <w:rPr>
          <w:rFonts w:eastAsiaTheme="minorHAnsi" w:cs="Calibri"/>
        </w:rPr>
        <w:t>)</w:t>
      </w:r>
      <w:r w:rsidR="001A59FF" w:rsidRPr="000F28D9">
        <w:rPr>
          <w:rFonts w:eastAsiaTheme="minorHAnsi" w:cs="Calibri"/>
        </w:rPr>
        <w:t xml:space="preserve"> </w:t>
      </w:r>
    </w:p>
    <w:p w14:paraId="29B9C0F1" w14:textId="4F2EF7AB" w:rsidR="008D4FB6" w:rsidRPr="005D403A" w:rsidRDefault="008D4FB6" w:rsidP="008D4FB6">
      <w:pPr>
        <w:autoSpaceDE w:val="0"/>
        <w:autoSpaceDN w:val="0"/>
        <w:adjustRightInd w:val="0"/>
        <w:rPr>
          <w:rFonts w:eastAsiaTheme="minorHAnsi" w:cs="Calibri"/>
          <w:color w:val="C00000"/>
        </w:rPr>
      </w:pPr>
      <w:r>
        <w:rPr>
          <w:rFonts w:eastAsiaTheme="minorHAnsi" w:cs="Calibri"/>
        </w:rPr>
        <w:t xml:space="preserve">Yet, it is all </w:t>
      </w:r>
      <w:r w:rsidR="0090177A">
        <w:rPr>
          <w:rFonts w:eastAsiaTheme="minorHAnsi" w:cs="Calibri"/>
        </w:rPr>
        <w:t>families</w:t>
      </w:r>
      <w:r>
        <w:rPr>
          <w:rFonts w:eastAsiaTheme="minorHAnsi" w:cs="Calibri"/>
        </w:rPr>
        <w:t xml:space="preserve"> who are implicated in </w:t>
      </w:r>
      <w:r w:rsidR="0090177A">
        <w:rPr>
          <w:rFonts w:eastAsiaTheme="minorHAnsi" w:cs="Calibri"/>
        </w:rPr>
        <w:t xml:space="preserve">across-the-board </w:t>
      </w:r>
      <w:r>
        <w:rPr>
          <w:rFonts w:eastAsiaTheme="minorHAnsi" w:cs="Calibri"/>
        </w:rPr>
        <w:t xml:space="preserve">data sharing, data linking, and application of predictive modelling, not just </w:t>
      </w:r>
      <w:r w:rsidR="0090177A">
        <w:rPr>
          <w:rFonts w:eastAsiaTheme="minorHAnsi" w:cs="Calibri"/>
        </w:rPr>
        <w:t xml:space="preserve">the </w:t>
      </w:r>
      <w:r>
        <w:rPr>
          <w:rFonts w:eastAsiaTheme="minorHAnsi" w:cs="Calibri"/>
        </w:rPr>
        <w:t>families with ‘vulnerable children’.</w:t>
      </w:r>
      <w:r w:rsidR="00060E4F">
        <w:rPr>
          <w:rFonts w:eastAsiaTheme="minorHAnsi" w:cs="Calibri"/>
        </w:rPr>
        <w:t xml:space="preserve">  </w:t>
      </w:r>
      <w:r w:rsidR="005D403A" w:rsidRPr="005D403A">
        <w:rPr>
          <w:rFonts w:eastAsiaTheme="minorHAnsi" w:cs="Calibri"/>
          <w:color w:val="C00000"/>
        </w:rPr>
        <w:t>Population</w:t>
      </w:r>
      <w:r w:rsidR="005D403A">
        <w:rPr>
          <w:rFonts w:eastAsiaTheme="minorHAnsi" w:cs="Calibri"/>
          <w:color w:val="C00000"/>
        </w:rPr>
        <w:t xml:space="preserve"> level data comprises data from individual </w:t>
      </w:r>
      <w:proofErr w:type="gramStart"/>
      <w:r w:rsidR="005D403A">
        <w:rPr>
          <w:rFonts w:eastAsiaTheme="minorHAnsi" w:cs="Calibri"/>
          <w:color w:val="C00000"/>
        </w:rPr>
        <w:t>families</w:t>
      </w:r>
      <w:r w:rsidR="00F50EB5">
        <w:rPr>
          <w:rFonts w:eastAsiaTheme="minorHAnsi" w:cs="Calibri"/>
          <w:color w:val="C00000"/>
        </w:rPr>
        <w:t>;</w:t>
      </w:r>
      <w:proofErr w:type="gramEnd"/>
      <w:r w:rsidR="005D403A">
        <w:rPr>
          <w:rFonts w:eastAsiaTheme="minorHAnsi" w:cs="Calibri"/>
          <w:color w:val="C00000"/>
        </w:rPr>
        <w:t xml:space="preserve"> from all families</w:t>
      </w:r>
      <w:r w:rsidR="00F50EB5">
        <w:rPr>
          <w:rFonts w:eastAsiaTheme="minorHAnsi" w:cs="Calibri"/>
          <w:color w:val="C00000"/>
        </w:rPr>
        <w:t xml:space="preserve"> nationally or from all</w:t>
      </w:r>
      <w:r w:rsidR="005D403A">
        <w:rPr>
          <w:rFonts w:eastAsiaTheme="minorHAnsi" w:cs="Calibri"/>
          <w:color w:val="C00000"/>
        </w:rPr>
        <w:t xml:space="preserve"> living in a particular local authority area.  This data is linked together across different service</w:t>
      </w:r>
      <w:r w:rsidR="00557931">
        <w:rPr>
          <w:rFonts w:eastAsiaTheme="minorHAnsi" w:cs="Calibri"/>
          <w:color w:val="C00000"/>
        </w:rPr>
        <w:t xml:space="preserve"> source</w:t>
      </w:r>
      <w:r w:rsidR="005D403A">
        <w:rPr>
          <w:rFonts w:eastAsiaTheme="minorHAnsi" w:cs="Calibri"/>
          <w:color w:val="C00000"/>
        </w:rPr>
        <w:t xml:space="preserve">s at population level and subject to predictive analytics to </w:t>
      </w:r>
      <w:r w:rsidR="00B621B2">
        <w:rPr>
          <w:rFonts w:eastAsiaTheme="minorHAnsi" w:cs="Calibri"/>
          <w:color w:val="C00000"/>
        </w:rPr>
        <w:t xml:space="preserve">flag up </w:t>
      </w:r>
      <w:r w:rsidR="005D403A">
        <w:rPr>
          <w:rFonts w:eastAsiaTheme="minorHAnsi" w:cs="Calibri"/>
          <w:color w:val="C00000"/>
        </w:rPr>
        <w:t>individual families for preventive intervention.</w:t>
      </w:r>
    </w:p>
    <w:p w14:paraId="7BE7F2DC" w14:textId="77777777" w:rsidR="000F28D9" w:rsidRPr="000F28D9" w:rsidRDefault="000F28D9" w:rsidP="001A59FF">
      <w:pPr>
        <w:rPr>
          <w:rFonts w:eastAsiaTheme="minorHAnsi" w:cs="Calibri"/>
        </w:rPr>
      </w:pPr>
    </w:p>
    <w:p w14:paraId="0D465BE9" w14:textId="4F088A3E" w:rsidR="0062281C" w:rsidRDefault="0090177A" w:rsidP="0097461E">
      <w:pPr>
        <w:rPr>
          <w:rFonts w:eastAsiaTheme="minorHAnsi" w:cs="Calibri"/>
        </w:rPr>
      </w:pPr>
      <w:r>
        <w:rPr>
          <w:rFonts w:eastAsiaTheme="minorHAnsi" w:cs="Calibri"/>
        </w:rPr>
        <w:t>O</w:t>
      </w:r>
      <w:r w:rsidR="001A59FF" w:rsidRPr="000F28D9">
        <w:rPr>
          <w:rFonts w:eastAsiaTheme="minorHAnsi" w:cs="Calibri"/>
        </w:rPr>
        <w:t xml:space="preserve">ther lessons from the pandemic are the revelation of stark social </w:t>
      </w:r>
      <w:r w:rsidR="00621046">
        <w:rPr>
          <w:rFonts w:eastAsiaTheme="minorHAnsi" w:cs="Calibri"/>
        </w:rPr>
        <w:t xml:space="preserve">divisions </w:t>
      </w:r>
      <w:r w:rsidR="001A59FF" w:rsidRPr="000F28D9">
        <w:rPr>
          <w:rFonts w:eastAsiaTheme="minorHAnsi" w:cs="Calibri"/>
        </w:rPr>
        <w:t>and material inequalities</w:t>
      </w:r>
      <w:r w:rsidR="000F28D9" w:rsidRPr="000F28D9">
        <w:rPr>
          <w:rFonts w:eastAsiaTheme="minorHAnsi" w:cs="Calibri"/>
        </w:rPr>
        <w:t xml:space="preserve"> cutting across British society</w:t>
      </w:r>
      <w:r w:rsidR="001C6C56" w:rsidRPr="000F28D9">
        <w:rPr>
          <w:rFonts w:eastAsiaTheme="minorHAnsi" w:cs="Calibri"/>
        </w:rPr>
        <w:t xml:space="preserve"> (Johnson et al., 2021)</w:t>
      </w:r>
      <w:r w:rsidR="001A59FF" w:rsidRPr="000F28D9">
        <w:rPr>
          <w:rFonts w:eastAsiaTheme="minorHAnsi" w:cs="Calibri"/>
        </w:rPr>
        <w:t xml:space="preserve">, and </w:t>
      </w:r>
      <w:r w:rsidR="000F28D9" w:rsidRPr="000F28D9">
        <w:rPr>
          <w:rFonts w:eastAsiaTheme="minorHAnsi" w:cs="Calibri"/>
        </w:rPr>
        <w:t>a</w:t>
      </w:r>
      <w:r w:rsidR="001A59FF" w:rsidRPr="000F28D9">
        <w:rPr>
          <w:rFonts w:eastAsiaTheme="minorHAnsi" w:cs="Calibri"/>
        </w:rPr>
        <w:t xml:space="preserve"> lack of trust in public institutions among</w:t>
      </w:r>
      <w:r w:rsidR="005741A5" w:rsidRPr="000F28D9">
        <w:rPr>
          <w:rFonts w:eastAsiaTheme="minorHAnsi" w:cs="Calibri"/>
        </w:rPr>
        <w:t xml:space="preserve"> </w:t>
      </w:r>
      <w:r w:rsidR="001A59FF" w:rsidRPr="000F28D9">
        <w:rPr>
          <w:rFonts w:eastAsiaTheme="minorHAnsi" w:cs="Calibri"/>
        </w:rPr>
        <w:t>minority groups</w:t>
      </w:r>
      <w:r w:rsidR="005741A5" w:rsidRPr="000F28D9">
        <w:rPr>
          <w:rFonts w:eastAsiaTheme="minorHAnsi" w:cs="Calibri"/>
        </w:rPr>
        <w:t xml:space="preserve"> </w:t>
      </w:r>
      <w:r w:rsidR="009C78A7" w:rsidRPr="000F28D9">
        <w:rPr>
          <w:rFonts w:eastAsiaTheme="minorHAnsi" w:cs="Calibri"/>
        </w:rPr>
        <w:t>demonstrated</w:t>
      </w:r>
      <w:r w:rsidR="005741A5" w:rsidRPr="000F28D9">
        <w:rPr>
          <w:rFonts w:eastAsiaTheme="minorHAnsi" w:cs="Calibri"/>
        </w:rPr>
        <w:t xml:space="preserve"> in vaccine hesitancy, </w:t>
      </w:r>
      <w:r w:rsidR="000F0CF5" w:rsidRPr="000F28D9">
        <w:rPr>
          <w:rFonts w:eastAsiaTheme="minorHAnsi" w:cs="Calibri"/>
        </w:rPr>
        <w:t xml:space="preserve">including those with lower qualifications and income, and </w:t>
      </w:r>
      <w:r w:rsidR="005741A5" w:rsidRPr="000F28D9">
        <w:rPr>
          <w:rFonts w:eastAsiaTheme="minorHAnsi" w:cs="Calibri"/>
        </w:rPr>
        <w:t>especially among Black people (</w:t>
      </w:r>
      <w:r w:rsidR="000F0CF5" w:rsidRPr="000F28D9">
        <w:rPr>
          <w:rFonts w:eastAsiaTheme="minorHAnsi" w:cs="Calibri"/>
        </w:rPr>
        <w:t>Ansell et al., 2021; ONS 2021</w:t>
      </w:r>
      <w:r w:rsidR="005741A5" w:rsidRPr="000F28D9">
        <w:rPr>
          <w:rFonts w:eastAsiaTheme="minorHAnsi" w:cs="Calibri"/>
        </w:rPr>
        <w:t>)</w:t>
      </w:r>
      <w:r w:rsidR="000F28D9" w:rsidRPr="000F28D9">
        <w:rPr>
          <w:rFonts w:eastAsiaTheme="minorHAnsi" w:cs="Calibri"/>
        </w:rPr>
        <w:t xml:space="preserve">.  </w:t>
      </w:r>
      <w:r w:rsidR="0097461E">
        <w:rPr>
          <w:rFonts w:eastAsiaTheme="minorHAnsi" w:cs="Calibri"/>
        </w:rPr>
        <w:t>While supporting the improved flow of information</w:t>
      </w:r>
      <w:r w:rsidR="00F50EB5">
        <w:rPr>
          <w:rFonts w:eastAsiaTheme="minorHAnsi" w:cs="Calibri"/>
        </w:rPr>
        <w:t xml:space="preserve"> across </w:t>
      </w:r>
      <w:r w:rsidR="0097461E" w:rsidRPr="0097461E">
        <w:rPr>
          <w:rFonts w:eastAsiaTheme="minorHAnsi" w:cs="Calibri"/>
        </w:rPr>
        <w:t xml:space="preserve">government, the British Academy </w:t>
      </w:r>
      <w:r w:rsidR="00936805" w:rsidRPr="0097461E">
        <w:rPr>
          <w:rFonts w:eastAsiaTheme="minorHAnsi" w:cs="Calibri"/>
        </w:rPr>
        <w:t xml:space="preserve">notes </w:t>
      </w:r>
      <w:r w:rsidR="0097461E" w:rsidRPr="0097461E">
        <w:rPr>
          <w:rFonts w:eastAsiaTheme="minorHAnsi" w:cs="Calibri"/>
        </w:rPr>
        <w:t xml:space="preserve">potential </w:t>
      </w:r>
      <w:r w:rsidR="00773C7D">
        <w:rPr>
          <w:rFonts w:eastAsiaTheme="minorHAnsi" w:cs="Calibri"/>
        </w:rPr>
        <w:t xml:space="preserve">for the </w:t>
      </w:r>
      <w:r w:rsidR="0097461E" w:rsidRPr="0097461E">
        <w:rPr>
          <w:rFonts w:eastAsiaTheme="minorHAnsi" w:cs="Calibri"/>
        </w:rPr>
        <w:t xml:space="preserve">exacerbation of </w:t>
      </w:r>
      <w:r w:rsidR="00BE0C9A" w:rsidRPr="0097461E">
        <w:rPr>
          <w:rFonts w:eastAsiaTheme="minorHAnsi" w:cs="Calibri"/>
        </w:rPr>
        <w:t>low and unstable levels of trust</w:t>
      </w:r>
      <w:r w:rsidR="0097461E">
        <w:rPr>
          <w:rFonts w:eastAsiaTheme="minorHAnsi" w:cs="Calibri"/>
        </w:rPr>
        <w:t xml:space="preserve"> among disadvantaged groups</w:t>
      </w:r>
      <w:r w:rsidR="00773C7D">
        <w:rPr>
          <w:rFonts w:eastAsiaTheme="minorHAnsi" w:cs="Calibri"/>
        </w:rPr>
        <w:t xml:space="preserve"> and hence </w:t>
      </w:r>
      <w:r w:rsidR="00B03CA4">
        <w:rPr>
          <w:rFonts w:eastAsiaTheme="minorHAnsi" w:cs="Calibri"/>
        </w:rPr>
        <w:t xml:space="preserve">challenges for </w:t>
      </w:r>
      <w:r w:rsidR="00773C7D">
        <w:rPr>
          <w:rFonts w:eastAsiaTheme="minorHAnsi" w:cs="Calibri"/>
        </w:rPr>
        <w:t>social cohesion</w:t>
      </w:r>
      <w:r w:rsidR="0097461E">
        <w:rPr>
          <w:rFonts w:eastAsiaTheme="minorHAnsi" w:cs="Calibri"/>
        </w:rPr>
        <w:t xml:space="preserve">: </w:t>
      </w:r>
    </w:p>
    <w:p w14:paraId="4D778F43" w14:textId="79A7E450" w:rsidR="00BA4A67" w:rsidRPr="00C71584" w:rsidRDefault="00351DDE" w:rsidP="00C71584">
      <w:pPr>
        <w:autoSpaceDE w:val="0"/>
        <w:autoSpaceDN w:val="0"/>
        <w:adjustRightInd w:val="0"/>
        <w:ind w:left="720"/>
        <w:rPr>
          <w:rFonts w:eastAsiaTheme="minorHAnsi" w:cs="Calibri"/>
        </w:rPr>
      </w:pPr>
      <w:r w:rsidRPr="00C71584">
        <w:rPr>
          <w:rFonts w:cs="TiemposText-Regular"/>
        </w:rPr>
        <w:t>The steepest declines in perceptions of unity and solidarity have been in some (but</w:t>
      </w:r>
      <w:r w:rsidR="0097461E" w:rsidRPr="00C71584">
        <w:rPr>
          <w:rFonts w:cs="TiemposText-Regular"/>
        </w:rPr>
        <w:t xml:space="preserve"> </w:t>
      </w:r>
      <w:r w:rsidRPr="00C71584">
        <w:rPr>
          <w:rFonts w:cs="TiemposText-Regular"/>
        </w:rPr>
        <w:t>not all) of the most deprived communities, among key workers and in certain ethnic</w:t>
      </w:r>
      <w:r w:rsidR="0097461E" w:rsidRPr="00C71584">
        <w:rPr>
          <w:rFonts w:cs="TiemposText-Regular"/>
        </w:rPr>
        <w:t xml:space="preserve"> </w:t>
      </w:r>
      <w:r w:rsidRPr="00C71584">
        <w:rPr>
          <w:rFonts w:cs="TiemposText-Regular"/>
        </w:rPr>
        <w:t>minority groups</w:t>
      </w:r>
      <w:r w:rsidR="0097461E" w:rsidRPr="00C71584">
        <w:rPr>
          <w:rFonts w:cs="TiemposText-Regular"/>
        </w:rPr>
        <w:t xml:space="preserve"> </w:t>
      </w:r>
      <w:r w:rsidR="0097461E" w:rsidRPr="00C71584">
        <w:rPr>
          <w:rFonts w:cs="TiemposText-Regular"/>
        </w:rPr>
        <w:lastRenderedPageBreak/>
        <w:t xml:space="preserve">… </w:t>
      </w:r>
      <w:r w:rsidR="00BA4A67" w:rsidRPr="00C71584">
        <w:rPr>
          <w:rFonts w:cs="TiemposText-Regular"/>
        </w:rPr>
        <w:t>Reduced trust in national government</w:t>
      </w:r>
      <w:r w:rsidR="0097461E" w:rsidRPr="00C71584">
        <w:rPr>
          <w:rFonts w:cs="TiemposText-Regular"/>
        </w:rPr>
        <w:t xml:space="preserve"> </w:t>
      </w:r>
      <w:r w:rsidR="00BA4A67" w:rsidRPr="00C71584">
        <w:rPr>
          <w:rFonts w:cs="TiemposText-Regular"/>
        </w:rPr>
        <w:t xml:space="preserve">also leads to reduced societal trust, enabling division and the </w:t>
      </w:r>
      <w:proofErr w:type="gramStart"/>
      <w:r w:rsidR="00BA4A67" w:rsidRPr="00C71584">
        <w:rPr>
          <w:rFonts w:cs="TiemposText-Regular"/>
        </w:rPr>
        <w:t>targeting</w:t>
      </w:r>
      <w:proofErr w:type="gramEnd"/>
      <w:r w:rsidR="00BA4A67" w:rsidRPr="00C71584">
        <w:rPr>
          <w:rFonts w:cs="TiemposText-Regular"/>
        </w:rPr>
        <w:t xml:space="preserve"> or</w:t>
      </w:r>
      <w:r w:rsidR="00C71584">
        <w:rPr>
          <w:rFonts w:cs="TiemposText-Regular"/>
        </w:rPr>
        <w:t xml:space="preserve"> </w:t>
      </w:r>
      <w:r w:rsidR="00BA4A67" w:rsidRPr="00C71584">
        <w:rPr>
          <w:rFonts w:cs="TiemposText-Regular"/>
        </w:rPr>
        <w:t xml:space="preserve">scapegoating of particular groups. Thus, trust and cohesion are linked </w:t>
      </w:r>
      <w:r w:rsidR="0097461E" w:rsidRPr="00C71584">
        <w:rPr>
          <w:rFonts w:cs="TiemposText-Regular"/>
        </w:rPr>
        <w:t xml:space="preserve">… </w:t>
      </w:r>
      <w:r w:rsidR="00BA4A67" w:rsidRPr="00C71584">
        <w:rPr>
          <w:rFonts w:cs="TiemposText-Regular"/>
        </w:rPr>
        <w:t>There may also be questions about trust in</w:t>
      </w:r>
      <w:r w:rsidR="0097461E" w:rsidRPr="00C71584">
        <w:rPr>
          <w:rFonts w:cs="TiemposText-Regular"/>
        </w:rPr>
        <w:t xml:space="preserve"> </w:t>
      </w:r>
      <w:r w:rsidR="00BA4A67" w:rsidRPr="00C71584">
        <w:rPr>
          <w:rFonts w:cs="TiemposText-Regular"/>
        </w:rPr>
        <w:t>governments’ use of other measures, such as technology or data linkage</w:t>
      </w:r>
      <w:r w:rsidR="0097461E" w:rsidRPr="00C71584">
        <w:rPr>
          <w:rFonts w:cs="TiemposText-Regular"/>
        </w:rPr>
        <w:t xml:space="preserve"> </w:t>
      </w:r>
      <w:r w:rsidR="0097461E" w:rsidRPr="00C71584">
        <w:rPr>
          <w:rFonts w:eastAsiaTheme="minorHAnsi" w:cs="Calibri"/>
        </w:rPr>
        <w:t xml:space="preserve">(British Academy, 2021: 76, 128).  </w:t>
      </w:r>
    </w:p>
    <w:p w14:paraId="3BED7A50" w14:textId="77777777" w:rsidR="00C71584" w:rsidRDefault="00C71584" w:rsidP="001A59FF">
      <w:pPr>
        <w:rPr>
          <w:rFonts w:eastAsiaTheme="minorHAnsi" w:cs="Calibri"/>
        </w:rPr>
      </w:pPr>
    </w:p>
    <w:p w14:paraId="0AECE25C" w14:textId="46DABBC1" w:rsidR="00C93345" w:rsidRPr="00060E4F" w:rsidRDefault="00A00E91" w:rsidP="00C93345">
      <w:pPr>
        <w:rPr>
          <w:rFonts w:cs="Arial"/>
          <w:color w:val="C00000"/>
          <w:shd w:val="clear" w:color="auto" w:fill="FFFFFF"/>
        </w:rPr>
      </w:pPr>
      <w:r>
        <w:rPr>
          <w:rFonts w:eastAsiaTheme="minorHAnsi" w:cs="Calibri"/>
        </w:rPr>
        <w:t>Advocates of extensive joining up of public records to support operational service interventions often regard data and its collection as neutral</w:t>
      </w:r>
      <w:r w:rsidR="0090177A">
        <w:rPr>
          <w:rFonts w:eastAsiaTheme="minorHAnsi" w:cs="Calibri"/>
        </w:rPr>
        <w:t xml:space="preserve"> and objective</w:t>
      </w:r>
      <w:r>
        <w:rPr>
          <w:rFonts w:eastAsiaTheme="minorHAnsi" w:cs="Calibri"/>
        </w:rPr>
        <w:t xml:space="preserve">, without recognising how they can reflect </w:t>
      </w:r>
      <w:r w:rsidR="0090177A">
        <w:rPr>
          <w:rFonts w:eastAsiaTheme="minorHAnsi" w:cs="Calibri"/>
        </w:rPr>
        <w:t xml:space="preserve">discrimination </w:t>
      </w:r>
      <w:r>
        <w:rPr>
          <w:rFonts w:eastAsiaTheme="minorHAnsi" w:cs="Calibri"/>
        </w:rPr>
        <w:t>and intensify the social inequalities they capture</w:t>
      </w:r>
      <w:r w:rsidR="0090177A">
        <w:rPr>
          <w:rFonts w:eastAsiaTheme="minorHAnsi" w:cs="Calibri"/>
        </w:rPr>
        <w:t xml:space="preserve"> (Benjamin, 2019; Eubanks, 2018;</w:t>
      </w:r>
      <w:r w:rsidR="00F93100">
        <w:rPr>
          <w:rFonts w:eastAsiaTheme="minorHAnsi" w:cs="Calibri"/>
        </w:rPr>
        <w:t xml:space="preserve"> </w:t>
      </w:r>
      <w:r w:rsidR="0090177A" w:rsidRPr="00060E4F">
        <w:rPr>
          <w:rFonts w:eastAsiaTheme="minorHAnsi" w:cs="Calibri"/>
        </w:rPr>
        <w:t>Wachter-Boettcher, 2017).</w:t>
      </w:r>
      <w:r>
        <w:rPr>
          <w:rFonts w:eastAsiaTheme="minorHAnsi" w:cs="Calibri"/>
        </w:rPr>
        <w:t xml:space="preserve">  </w:t>
      </w:r>
      <w:r w:rsidR="00C93345" w:rsidRPr="00060E4F">
        <w:rPr>
          <w:color w:val="C00000"/>
        </w:rPr>
        <w:t xml:space="preserve">There is evidence that </w:t>
      </w:r>
      <w:bookmarkStart w:id="3" w:name="_Hlk68785853"/>
      <w:r w:rsidR="00C93345" w:rsidRPr="00060E4F">
        <w:rPr>
          <w:color w:val="C00000"/>
        </w:rPr>
        <w:t xml:space="preserve">inequalities are encoded into the data gathering, linking and predictive practices </w:t>
      </w:r>
      <w:bookmarkEnd w:id="3"/>
      <w:r w:rsidR="00C93345" w:rsidRPr="00060E4F">
        <w:rPr>
          <w:color w:val="C00000"/>
        </w:rPr>
        <w:t>that drive early intervention</w:t>
      </w:r>
      <w:r w:rsidR="00F93100">
        <w:rPr>
          <w:color w:val="C00000"/>
        </w:rPr>
        <w:t xml:space="preserve"> (Redden et al., 2020)</w:t>
      </w:r>
      <w:r w:rsidR="00C93345" w:rsidRPr="00060E4F">
        <w:rPr>
          <w:color w:val="C00000"/>
        </w:rPr>
        <w:t xml:space="preserve">.  The transition to data-steered social policy has subjected already marginalised groups to more disadvantage, with built-in discrimination in data bases.  There are bias and errors in the data sources that are merged, and in the design of data modelling and predictive analytics applied.  </w:t>
      </w:r>
      <w:proofErr w:type="gramStart"/>
      <w:r w:rsidR="00C93345" w:rsidRPr="00060E4F">
        <w:rPr>
          <w:color w:val="C00000"/>
        </w:rPr>
        <w:t>Particular sub-</w:t>
      </w:r>
      <w:proofErr w:type="gramEnd"/>
      <w:r w:rsidR="00C93345" w:rsidRPr="00060E4F">
        <w:rPr>
          <w:color w:val="C00000"/>
        </w:rPr>
        <w:t>groups of parents and families are disproportionately represented in social security, social care and criminal justice systems, leading to the encoding of existing social divisions of class, race and gender in their data sets.  In the UK, for example, predictive risk modelling used in child protection embeds an equation of socio-economic disadvantage with risk, discriminating against poor families (</w:t>
      </w:r>
      <w:proofErr w:type="spellStart"/>
      <w:r w:rsidR="00C93345" w:rsidRPr="00060E4F">
        <w:rPr>
          <w:color w:val="C00000"/>
        </w:rPr>
        <w:t>Vannier</w:t>
      </w:r>
      <w:proofErr w:type="spellEnd"/>
      <w:r w:rsidR="00C93345" w:rsidRPr="00060E4F">
        <w:rPr>
          <w:color w:val="C00000"/>
        </w:rPr>
        <w:t xml:space="preserve"> Ducasse, 2020), while attention has been drawn to the unsupported over-identification of young Black men in what amounts to digital racialised and gendered profiling in police databases that are shared with other agencies (Amnesty International United Kingdom Section, 2018; Wroe, 2021) </w:t>
      </w:r>
      <w:r w:rsidR="00C93345" w:rsidRPr="00060E4F">
        <w:rPr>
          <w:rFonts w:cs="Arial"/>
          <w:color w:val="C00000"/>
          <w:shd w:val="clear" w:color="auto" w:fill="FFFFFF"/>
        </w:rPr>
        <w:t xml:space="preserve">– an injustice that is repeated in data-driven social policy systems internationally (e.g. Benjamin 2019; Eubanks 2018, Keddell 2014; </w:t>
      </w:r>
      <w:r w:rsidR="00C93345" w:rsidRPr="00060E4F">
        <w:rPr>
          <w:rFonts w:cs="AdvTT2cba4af3.B"/>
          <w:color w:val="C00000"/>
        </w:rPr>
        <w:t xml:space="preserve">Wachter-Boettcher, </w:t>
      </w:r>
      <w:r w:rsidR="00C93345" w:rsidRPr="00060E4F">
        <w:rPr>
          <w:rFonts w:cs="AdvTT5843c571"/>
          <w:color w:val="C00000"/>
        </w:rPr>
        <w:t>2017)</w:t>
      </w:r>
      <w:r w:rsidR="00C93345" w:rsidRPr="00060E4F">
        <w:rPr>
          <w:rFonts w:cs="Arial"/>
          <w:color w:val="C00000"/>
          <w:shd w:val="clear" w:color="auto" w:fill="FFFFFF"/>
        </w:rPr>
        <w:t xml:space="preserve">.  </w:t>
      </w:r>
    </w:p>
    <w:p w14:paraId="2C01D74F" w14:textId="3CB49673" w:rsidR="00C93345" w:rsidRDefault="00C93345" w:rsidP="00BB33F9">
      <w:pPr>
        <w:rPr>
          <w:rFonts w:eastAsiaTheme="minorHAnsi" w:cs="Calibri"/>
        </w:rPr>
      </w:pPr>
    </w:p>
    <w:p w14:paraId="6787F62B" w14:textId="7F5607A9" w:rsidR="00BB33F9" w:rsidRDefault="000F28D9" w:rsidP="00BB33F9">
      <w:pPr>
        <w:rPr>
          <w:rFonts w:eastAsiaTheme="minorHAnsi" w:cs="Calibri"/>
        </w:rPr>
      </w:pPr>
      <w:r w:rsidRPr="000F28D9">
        <w:rPr>
          <w:rFonts w:eastAsiaTheme="minorHAnsi" w:cs="Calibri"/>
        </w:rPr>
        <w:t xml:space="preserve">In this article we </w:t>
      </w:r>
      <w:r w:rsidR="00F237F1">
        <w:rPr>
          <w:rFonts w:eastAsiaTheme="minorHAnsi" w:cs="Calibri"/>
        </w:rPr>
        <w:t xml:space="preserve">address </w:t>
      </w:r>
      <w:r w:rsidR="0097461E">
        <w:rPr>
          <w:rFonts w:eastAsiaTheme="minorHAnsi" w:cs="Calibri"/>
        </w:rPr>
        <w:t xml:space="preserve">questions </w:t>
      </w:r>
      <w:r w:rsidR="00BE0C9A">
        <w:rPr>
          <w:rFonts w:eastAsiaTheme="minorHAnsi" w:cs="Calibri"/>
        </w:rPr>
        <w:t>about</w:t>
      </w:r>
      <w:r w:rsidR="0097461E">
        <w:rPr>
          <w:rFonts w:eastAsiaTheme="minorHAnsi" w:cs="Calibri"/>
        </w:rPr>
        <w:t xml:space="preserve"> </w:t>
      </w:r>
      <w:r w:rsidR="00A94F64" w:rsidRPr="000F28D9">
        <w:rPr>
          <w:rFonts w:eastAsiaTheme="minorHAnsi" w:cs="Calibri"/>
        </w:rPr>
        <w:t>trust</w:t>
      </w:r>
      <w:r w:rsidR="00621046">
        <w:rPr>
          <w:rFonts w:eastAsiaTheme="minorHAnsi" w:cs="Calibri"/>
        </w:rPr>
        <w:t xml:space="preserve"> </w:t>
      </w:r>
      <w:r w:rsidR="00A94F64" w:rsidRPr="00B203F0">
        <w:rPr>
          <w:rFonts w:eastAsiaTheme="minorHAnsi" w:cs="Calibri"/>
        </w:rPr>
        <w:t xml:space="preserve">and social cohesion </w:t>
      </w:r>
      <w:r w:rsidR="0092756D">
        <w:rPr>
          <w:rFonts w:eastAsiaTheme="minorHAnsi" w:cs="Calibri"/>
        </w:rPr>
        <w:t>in</w:t>
      </w:r>
      <w:r w:rsidR="00A94F64" w:rsidRPr="00B203F0">
        <w:rPr>
          <w:rFonts w:eastAsiaTheme="minorHAnsi" w:cs="Calibri"/>
        </w:rPr>
        <w:t xml:space="preserve"> the push for more extensive data </w:t>
      </w:r>
      <w:r w:rsidR="00A94F64" w:rsidRPr="00622E18">
        <w:rPr>
          <w:rFonts w:eastAsiaTheme="minorHAnsi" w:cs="Calibri"/>
        </w:rPr>
        <w:t>linkage</w:t>
      </w:r>
      <w:r w:rsidR="00090D29">
        <w:rPr>
          <w:rFonts w:eastAsiaTheme="minorHAnsi" w:cs="Calibri"/>
        </w:rPr>
        <w:t xml:space="preserve"> for operational purposes</w:t>
      </w:r>
      <w:r w:rsidR="0092756D">
        <w:rPr>
          <w:rFonts w:eastAsiaTheme="minorHAnsi" w:cs="Calibri"/>
        </w:rPr>
        <w:t xml:space="preserve">. </w:t>
      </w:r>
      <w:r w:rsidR="00C71584" w:rsidRPr="00622E18">
        <w:rPr>
          <w:rFonts w:eastAsiaTheme="minorHAnsi" w:cs="Calibri"/>
        </w:rPr>
        <w:t xml:space="preserve"> </w:t>
      </w:r>
      <w:r w:rsidR="00B203F0" w:rsidRPr="00622E18">
        <w:t xml:space="preserve">What are the views of those directly affected: parents of dependent children, about what is acceptable or unacceptable in relation to </w:t>
      </w:r>
      <w:r w:rsidR="00477657" w:rsidRPr="00622E18">
        <w:t>information about them</w:t>
      </w:r>
      <w:r w:rsidR="00B203F0" w:rsidRPr="00622E18">
        <w:t xml:space="preserve">?  </w:t>
      </w:r>
      <w:r w:rsidR="00477657" w:rsidRPr="00622E18">
        <w:rPr>
          <w:rFonts w:eastAsiaTheme="minorHAnsi" w:cs="Calibri"/>
          <w:shd w:val="clear" w:color="auto" w:fill="FFFFFF"/>
        </w:rPr>
        <w:t>How far does use of data linkage</w:t>
      </w:r>
      <w:r w:rsidR="0092756D">
        <w:rPr>
          <w:rFonts w:eastAsiaTheme="minorHAnsi" w:cs="Calibri"/>
          <w:shd w:val="clear" w:color="auto" w:fill="FFFFFF"/>
        </w:rPr>
        <w:t xml:space="preserve"> </w:t>
      </w:r>
      <w:r w:rsidR="00477657" w:rsidRPr="00622E18">
        <w:rPr>
          <w:rFonts w:eastAsiaTheme="minorHAnsi" w:cs="Calibri"/>
          <w:shd w:val="clear" w:color="auto" w:fill="FFFFFF"/>
        </w:rPr>
        <w:t xml:space="preserve">and predictive analytic </w:t>
      </w:r>
      <w:r w:rsidR="00F50EB5">
        <w:rPr>
          <w:rFonts w:eastAsiaTheme="minorHAnsi" w:cs="Calibri"/>
          <w:shd w:val="clear" w:color="auto" w:fill="FFFFFF"/>
        </w:rPr>
        <w:t xml:space="preserve">for </w:t>
      </w:r>
      <w:r w:rsidR="0092756D">
        <w:rPr>
          <w:rFonts w:eastAsiaTheme="minorHAnsi" w:cs="Calibri"/>
          <w:shd w:val="clear" w:color="auto" w:fill="FFFFFF"/>
        </w:rPr>
        <w:t xml:space="preserve">operational </w:t>
      </w:r>
      <w:r w:rsidR="00477657" w:rsidRPr="00622E18">
        <w:rPr>
          <w:rFonts w:eastAsiaTheme="minorHAnsi" w:cs="Calibri"/>
          <w:shd w:val="clear" w:color="auto" w:fill="FFFFFF"/>
        </w:rPr>
        <w:t>service intervention lie within social acceptance norms</w:t>
      </w:r>
      <w:r w:rsidR="00621046">
        <w:rPr>
          <w:rFonts w:eastAsiaTheme="minorHAnsi" w:cs="Calibri"/>
          <w:shd w:val="clear" w:color="auto" w:fill="FFFFFF"/>
        </w:rPr>
        <w:t xml:space="preserve">? </w:t>
      </w:r>
      <w:r w:rsidR="0092756D">
        <w:rPr>
          <w:rFonts w:eastAsiaTheme="minorHAnsi" w:cs="Calibri"/>
          <w:shd w:val="clear" w:color="auto" w:fill="FFFFFF"/>
        </w:rPr>
        <w:t xml:space="preserve"> </w:t>
      </w:r>
      <w:r w:rsidR="00621046">
        <w:rPr>
          <w:rFonts w:eastAsiaTheme="minorHAnsi" w:cs="Calibri"/>
          <w:shd w:val="clear" w:color="auto" w:fill="FFFFFF"/>
        </w:rPr>
        <w:t>A</w:t>
      </w:r>
      <w:r w:rsidR="00477657" w:rsidRPr="00622E18">
        <w:rPr>
          <w:rFonts w:eastAsiaTheme="minorHAnsi" w:cs="Calibri"/>
          <w:shd w:val="clear" w:color="auto" w:fill="FFFFFF"/>
        </w:rPr>
        <w:t xml:space="preserve">nd </w:t>
      </w:r>
      <w:r w:rsidR="00621046">
        <w:rPr>
          <w:rFonts w:eastAsiaTheme="minorHAnsi" w:cs="Calibri"/>
          <w:shd w:val="clear" w:color="auto" w:fill="FFFFFF"/>
        </w:rPr>
        <w:t xml:space="preserve">is </w:t>
      </w:r>
      <w:r w:rsidR="00477657" w:rsidRPr="00622E18">
        <w:rPr>
          <w:rFonts w:eastAsiaTheme="minorHAnsi" w:cs="Calibri"/>
          <w:shd w:val="clear" w:color="auto" w:fill="FFFFFF"/>
        </w:rPr>
        <w:t>the extent of trust in their use by services</w:t>
      </w:r>
      <w:r w:rsidR="00621046">
        <w:rPr>
          <w:rFonts w:eastAsiaTheme="minorHAnsi" w:cs="Calibri"/>
          <w:shd w:val="clear" w:color="auto" w:fill="FFFFFF"/>
        </w:rPr>
        <w:t xml:space="preserve"> shaped by parents’ social location, by social divisions</w:t>
      </w:r>
      <w:r w:rsidR="00477657" w:rsidRPr="00622E18">
        <w:rPr>
          <w:rFonts w:eastAsiaTheme="minorHAnsi" w:cs="Calibri"/>
          <w:shd w:val="clear" w:color="auto" w:fill="FFFFFF"/>
        </w:rPr>
        <w:t xml:space="preserve">?  </w:t>
      </w:r>
    </w:p>
    <w:p w14:paraId="06F0B3E2" w14:textId="77777777" w:rsidR="00BB33F9" w:rsidRDefault="00BB33F9" w:rsidP="00BB33F9">
      <w:pPr>
        <w:rPr>
          <w:rFonts w:eastAsiaTheme="minorHAnsi" w:cs="Calibri"/>
        </w:rPr>
      </w:pPr>
    </w:p>
    <w:p w14:paraId="4EE977E4" w14:textId="6E05C65D" w:rsidR="00BB33F9" w:rsidRDefault="00BB33F9" w:rsidP="00BB33F9">
      <w:r>
        <w:t xml:space="preserve">We begin with a discussion of the interlocking of early intervention initiatives in families and the use of data-driven operational practices in the UK, whereby government seeks to pre-empt dysfunctional parenting and poor outcomes for children by linking together administrative records from public services and subjecting them to predictive risk modelling to identify and target families.  We </w:t>
      </w:r>
      <w:r w:rsidR="001632BA">
        <w:t xml:space="preserve">then </w:t>
      </w:r>
      <w:r>
        <w:t xml:space="preserve">outline the </w:t>
      </w:r>
      <w:r w:rsidR="001632BA">
        <w:t xml:space="preserve">concept </w:t>
      </w:r>
      <w:r>
        <w:t xml:space="preserve">of social licence as a framing for our survey investigation of parents of dependent children before moving on to consider </w:t>
      </w:r>
      <w:r w:rsidR="00621046">
        <w:t>how transparency is regarded as a policy solution to embedding trust in the process</w:t>
      </w:r>
      <w:r w:rsidR="00793092">
        <w:t>, and</w:t>
      </w:r>
      <w:r w:rsidR="00621046">
        <w:t xml:space="preserve"> </w:t>
      </w:r>
      <w:r w:rsidR="00793092">
        <w:t>parents’ views about the joining together of administrative records.</w:t>
      </w:r>
    </w:p>
    <w:p w14:paraId="7D1500C2" w14:textId="77777777" w:rsidR="00484164" w:rsidRDefault="00484164"/>
    <w:p w14:paraId="386C3FA4" w14:textId="38DC1D9C" w:rsidR="007D7AF5" w:rsidRPr="00484164" w:rsidRDefault="00B15A02">
      <w:pPr>
        <w:rPr>
          <w:b/>
          <w:bCs/>
        </w:rPr>
      </w:pPr>
      <w:r>
        <w:rPr>
          <w:b/>
          <w:bCs/>
        </w:rPr>
        <w:t>D</w:t>
      </w:r>
      <w:r w:rsidR="00484164">
        <w:rPr>
          <w:b/>
          <w:bCs/>
        </w:rPr>
        <w:t>ata linkage</w:t>
      </w:r>
      <w:r>
        <w:rPr>
          <w:b/>
          <w:bCs/>
        </w:rPr>
        <w:t xml:space="preserve"> for early intervention</w:t>
      </w:r>
      <w:r w:rsidR="00484164">
        <w:rPr>
          <w:b/>
          <w:bCs/>
        </w:rPr>
        <w:t xml:space="preserve"> in the UK</w:t>
      </w:r>
      <w:r w:rsidR="0092756D">
        <w:rPr>
          <w:b/>
          <w:bCs/>
        </w:rPr>
        <w:t xml:space="preserve"> </w:t>
      </w:r>
    </w:p>
    <w:p w14:paraId="73D5F82F" w14:textId="03F61FE2" w:rsidR="0097277F" w:rsidRDefault="0097277F"/>
    <w:p w14:paraId="68B85A4E" w14:textId="0C2EC87A" w:rsidR="00B03CA4" w:rsidRDefault="00491201">
      <w:r>
        <w:t xml:space="preserve">The way that parents bring up their children is a longstanding social </w:t>
      </w:r>
      <w:r w:rsidR="0009637F">
        <w:t xml:space="preserve">policy </w:t>
      </w:r>
      <w:r>
        <w:t>concern, identified as a cause of and solution to the state of the nation</w:t>
      </w:r>
      <w:r w:rsidR="002D689B">
        <w:t>, and as a driver of</w:t>
      </w:r>
      <w:r w:rsidR="00B22D19">
        <w:t xml:space="preserve"> social cohesion</w:t>
      </w:r>
      <w:r>
        <w:t xml:space="preserve">. </w:t>
      </w:r>
      <w:r w:rsidR="002D689B">
        <w:t xml:space="preserve"> </w:t>
      </w:r>
      <w:r>
        <w:t>Over past decades this focus has intensified</w:t>
      </w:r>
      <w:r w:rsidR="001632BA">
        <w:t xml:space="preserve"> and shifted</w:t>
      </w:r>
      <w:r>
        <w:t>, from</w:t>
      </w:r>
      <w:r w:rsidR="005D73B5">
        <w:t xml:space="preserve"> implementing</w:t>
      </w:r>
      <w:r>
        <w:t xml:space="preserve"> support</w:t>
      </w:r>
      <w:r w:rsidR="00B22D19">
        <w:t xml:space="preserve"> for all</w:t>
      </w:r>
      <w:r w:rsidR="00F237F1">
        <w:t xml:space="preserve"> parents</w:t>
      </w:r>
      <w:r w:rsidR="00B22D19">
        <w:t xml:space="preserve"> in transmitting acceptable values to their children,</w:t>
      </w:r>
      <w:r>
        <w:t xml:space="preserve"> towards </w:t>
      </w:r>
      <w:r w:rsidR="00B22D19">
        <w:t xml:space="preserve">a focus on </w:t>
      </w:r>
      <w:r w:rsidR="006F7885">
        <w:t>children and families</w:t>
      </w:r>
      <w:r w:rsidR="00B22D19">
        <w:t xml:space="preserve"> </w:t>
      </w:r>
      <w:r w:rsidR="006F7885">
        <w:t xml:space="preserve">at risk, </w:t>
      </w:r>
      <w:r w:rsidR="00B22D19">
        <w:t xml:space="preserve">and </w:t>
      </w:r>
      <w:r>
        <w:t>early intervention</w:t>
      </w:r>
      <w:r w:rsidR="00B22D19">
        <w:t xml:space="preserve"> in particular families’ lifestyles and behaviour</w:t>
      </w:r>
      <w:r w:rsidR="00DB55B4">
        <w:t xml:space="preserve">.  Early intervention aims to pre-empt rather than react; to </w:t>
      </w:r>
      <w:r w:rsidR="00B22D19">
        <w:t xml:space="preserve">prevent </w:t>
      </w:r>
      <w:r w:rsidR="00E923E4">
        <w:t xml:space="preserve">any risk of </w:t>
      </w:r>
      <w:r w:rsidR="00DB55B4">
        <w:t>social, educational</w:t>
      </w:r>
      <w:r w:rsidR="00B03CA4">
        <w:t>, health</w:t>
      </w:r>
      <w:r w:rsidR="00DB55B4">
        <w:t xml:space="preserve"> and behaviour deficiencies t</w:t>
      </w:r>
      <w:r w:rsidR="00B22D19">
        <w:t>hat</w:t>
      </w:r>
      <w:r w:rsidR="00665B9D">
        <w:t>, it is asserted,</w:t>
      </w:r>
      <w:r w:rsidR="00B22D19">
        <w:t xml:space="preserve"> might otherwise occur at some point in the future</w:t>
      </w:r>
      <w:r w:rsidR="00962966">
        <w:t xml:space="preserve">, or at least address them early on </w:t>
      </w:r>
      <w:r w:rsidR="00962966" w:rsidRPr="00BB2B64">
        <w:t>when they occur to prevent them escalating</w:t>
      </w:r>
      <w:r w:rsidR="00DB55B4" w:rsidRPr="00BB2B64">
        <w:t xml:space="preserve"> </w:t>
      </w:r>
      <w:r w:rsidR="00B03CA4" w:rsidRPr="00BB2B64">
        <w:t>(</w:t>
      </w:r>
      <w:r w:rsidR="00450155" w:rsidRPr="00BB2B64">
        <w:t>Edwards and Gillies, 2004; Gillies et al., 2017</w:t>
      </w:r>
      <w:r w:rsidR="00B03CA4" w:rsidRPr="00BB2B64">
        <w:t xml:space="preserve">).  </w:t>
      </w:r>
      <w:r w:rsidR="00E923E4" w:rsidRPr="00BB2B64">
        <w:t>For</w:t>
      </w:r>
      <w:r w:rsidR="00E923E4" w:rsidRPr="00450155">
        <w:t xml:space="preserve"> </w:t>
      </w:r>
      <w:r w:rsidR="00E923E4">
        <w:t>example, the UK’s Early Intervention Foundation</w:t>
      </w:r>
      <w:r w:rsidR="00F237F1">
        <w:t xml:space="preserve"> was</w:t>
      </w:r>
      <w:r w:rsidR="000D1DEC">
        <w:t xml:space="preserve"> established by government in 20</w:t>
      </w:r>
      <w:r w:rsidR="00962966">
        <w:t>13</w:t>
      </w:r>
      <w:r w:rsidR="000D1DEC">
        <w:t xml:space="preserve"> to </w:t>
      </w:r>
      <w:r w:rsidR="000D1DEC">
        <w:lastRenderedPageBreak/>
        <w:t xml:space="preserve">‘champion and support the use of effective early intervention to improve the lives of children and </w:t>
      </w:r>
      <w:r w:rsidR="000D1DEC" w:rsidRPr="001C3A6C">
        <w:t>young people at risk of experiencing poor outcomes’</w:t>
      </w:r>
      <w:r w:rsidR="00423939" w:rsidRPr="001C3A6C">
        <w:rPr>
          <w:rStyle w:val="FootnoteReference"/>
        </w:rPr>
        <w:footnoteReference w:id="1"/>
      </w:r>
      <w:r w:rsidR="003113A6" w:rsidRPr="001C3A6C">
        <w:t xml:space="preserve">.  Their focus on evaluating </w:t>
      </w:r>
      <w:r w:rsidR="00A7301D">
        <w:t xml:space="preserve">various </w:t>
      </w:r>
      <w:r w:rsidR="003113A6" w:rsidRPr="001C3A6C">
        <w:t>parenting skills delivery packages has</w:t>
      </w:r>
      <w:r w:rsidR="0092756D" w:rsidRPr="001C3A6C">
        <w:t xml:space="preserve"> more recently </w:t>
      </w:r>
      <w:r w:rsidR="003113A6" w:rsidRPr="001C3A6C">
        <w:t xml:space="preserve">been augmented by </w:t>
      </w:r>
      <w:r w:rsidR="0092756D" w:rsidRPr="001C3A6C">
        <w:t xml:space="preserve">attention to the potential of administrative data </w:t>
      </w:r>
      <w:r w:rsidR="009C5AA5">
        <w:t>for</w:t>
      </w:r>
      <w:r w:rsidR="0092756D" w:rsidRPr="001C3A6C">
        <w:t xml:space="preserve"> </w:t>
      </w:r>
      <w:proofErr w:type="spellStart"/>
      <w:r w:rsidR="009C5AA5">
        <w:t>targetting</w:t>
      </w:r>
      <w:proofErr w:type="spellEnd"/>
      <w:r w:rsidR="009C5AA5">
        <w:t xml:space="preserve"> and tracking early intervention</w:t>
      </w:r>
      <w:r w:rsidR="0092756D" w:rsidRPr="001C3A6C">
        <w:t xml:space="preserve"> (</w:t>
      </w:r>
      <w:r w:rsidR="003113A6" w:rsidRPr="001C3A6C">
        <w:t>Scourfield et al., 2019)</w:t>
      </w:r>
      <w:r w:rsidR="000D1DEC" w:rsidRPr="001C3A6C">
        <w:t>.</w:t>
      </w:r>
      <w:r w:rsidR="000D1DEC">
        <w:t xml:space="preserve">  </w:t>
      </w:r>
      <w:r w:rsidR="00B03CA4">
        <w:t xml:space="preserve">Such </w:t>
      </w:r>
      <w:r w:rsidR="0032176B">
        <w:t xml:space="preserve">data-driven </w:t>
      </w:r>
      <w:r w:rsidR="00665B9D">
        <w:t xml:space="preserve">family </w:t>
      </w:r>
      <w:r w:rsidR="007950FA">
        <w:t>policy</w:t>
      </w:r>
      <w:r w:rsidR="00665B9D">
        <w:t xml:space="preserve"> </w:t>
      </w:r>
      <w:r w:rsidR="00B03CA4">
        <w:t xml:space="preserve">initiatives are legitimated </w:t>
      </w:r>
      <w:r w:rsidR="00665B9D">
        <w:t>by what Sue White and David Wastell (2017) refer to as ‘prevention science’, a</w:t>
      </w:r>
      <w:r w:rsidR="0009637F">
        <w:t xml:space="preserve"> </w:t>
      </w:r>
      <w:r w:rsidR="00665B9D">
        <w:t xml:space="preserve">mix of </w:t>
      </w:r>
      <w:r w:rsidR="0009637F">
        <w:t xml:space="preserve">technological, </w:t>
      </w:r>
      <w:proofErr w:type="gramStart"/>
      <w:r w:rsidR="0009637F">
        <w:t>biological</w:t>
      </w:r>
      <w:proofErr w:type="gramEnd"/>
      <w:r w:rsidR="0009637F">
        <w:t xml:space="preserve"> and </w:t>
      </w:r>
      <w:r w:rsidR="004F3429">
        <w:t xml:space="preserve">behavioural </w:t>
      </w:r>
      <w:r w:rsidR="00665B9D">
        <w:t>science</w:t>
      </w:r>
      <w:r w:rsidR="0009637F">
        <w:t>s</w:t>
      </w:r>
      <w:r w:rsidR="00665B9D">
        <w:t xml:space="preserve"> and morality that is fuelling a </w:t>
      </w:r>
      <w:r w:rsidR="004F3429">
        <w:t xml:space="preserve">realignment of </w:t>
      </w:r>
      <w:r w:rsidR="00665B9D">
        <w:t>the relationship between families, the state and professions without open debate.</w:t>
      </w:r>
      <w:r w:rsidR="001C3A6C">
        <w:t xml:space="preserve">  </w:t>
      </w:r>
      <w:proofErr w:type="gramStart"/>
      <w:r w:rsidR="001C3A6C">
        <w:t>Indeed</w:t>
      </w:r>
      <w:proofErr w:type="gramEnd"/>
      <w:r w:rsidR="001C3A6C">
        <w:t xml:space="preserve"> there are concerns that mass data collection and automated analysis have become a governance end</w:t>
      </w:r>
      <w:r w:rsidR="003437C7">
        <w:t xml:space="preserve"> in itself,</w:t>
      </w:r>
      <w:r w:rsidR="001C3A6C">
        <w:t xml:space="preserve"> for top down monitoring and control (</w:t>
      </w:r>
      <w:r w:rsidR="00DE4584">
        <w:t>Dencik et al</w:t>
      </w:r>
      <w:r w:rsidR="00366A0E">
        <w:t>.</w:t>
      </w:r>
      <w:r w:rsidR="00DE4584">
        <w:t xml:space="preserve">, 2019; </w:t>
      </w:r>
      <w:r w:rsidR="001C3A6C">
        <w:t xml:space="preserve">van </w:t>
      </w:r>
      <w:proofErr w:type="spellStart"/>
      <w:r w:rsidR="001C3A6C">
        <w:t>Zoonen</w:t>
      </w:r>
      <w:proofErr w:type="spellEnd"/>
      <w:r w:rsidR="001C3A6C">
        <w:t>, 2020).</w:t>
      </w:r>
      <w:r w:rsidR="00037E23">
        <w:t xml:space="preserve">  </w:t>
      </w:r>
      <w:r w:rsidR="00037E23" w:rsidRPr="00037E23">
        <w:rPr>
          <w:color w:val="FF0000"/>
        </w:rPr>
        <w:t>It is as if</w:t>
      </w:r>
      <w:proofErr w:type="gramStart"/>
      <w:r w:rsidR="00037E23">
        <w:rPr>
          <w:color w:val="FF0000"/>
        </w:rPr>
        <w:t>, in itself,</w:t>
      </w:r>
      <w:r w:rsidR="00037E23" w:rsidRPr="00037E23">
        <w:rPr>
          <w:color w:val="FF0000"/>
        </w:rPr>
        <w:t xml:space="preserve"> collecting</w:t>
      </w:r>
      <w:proofErr w:type="gramEnd"/>
      <w:r w:rsidR="00037E23" w:rsidRPr="00037E23">
        <w:rPr>
          <w:color w:val="FF0000"/>
        </w:rPr>
        <w:t xml:space="preserve"> </w:t>
      </w:r>
      <w:r w:rsidR="00037E23">
        <w:rPr>
          <w:color w:val="FF0000"/>
        </w:rPr>
        <w:t xml:space="preserve">more information </w:t>
      </w:r>
      <w:r w:rsidR="00037E23" w:rsidRPr="00037E23">
        <w:rPr>
          <w:color w:val="FF0000"/>
        </w:rPr>
        <w:t xml:space="preserve">and merging data is </w:t>
      </w:r>
      <w:r w:rsidR="00037E23">
        <w:rPr>
          <w:color w:val="FF0000"/>
        </w:rPr>
        <w:t>the</w:t>
      </w:r>
      <w:r w:rsidR="00037E23" w:rsidRPr="00037E23">
        <w:rPr>
          <w:color w:val="FF0000"/>
        </w:rPr>
        <w:t xml:space="preserve"> solution to social problems.  </w:t>
      </w:r>
    </w:p>
    <w:p w14:paraId="32C33227" w14:textId="77777777" w:rsidR="000D1DEC" w:rsidRDefault="000D1DEC" w:rsidP="000D1DEC"/>
    <w:p w14:paraId="21992AE9" w14:textId="2BB73510" w:rsidR="009B3926" w:rsidRDefault="000D1DEC" w:rsidP="00192D61">
      <w:pPr>
        <w:rPr>
          <w:rFonts w:cstheme="minorHAnsi"/>
          <w:shd w:val="clear" w:color="auto" w:fill="FFFFFF"/>
        </w:rPr>
      </w:pPr>
      <w:r>
        <w:t xml:space="preserve">What goes on in families </w:t>
      </w:r>
      <w:r w:rsidR="001C3A6C">
        <w:t xml:space="preserve">has </w:t>
      </w:r>
      <w:r w:rsidR="00375F4D">
        <w:t xml:space="preserve">become </w:t>
      </w:r>
      <w:r>
        <w:t xml:space="preserve">keyed </w:t>
      </w:r>
      <w:r w:rsidR="00375F4D">
        <w:t xml:space="preserve">into a wider </w:t>
      </w:r>
      <w:r w:rsidR="009E4BF4">
        <w:t xml:space="preserve">endeavour of </w:t>
      </w:r>
      <w:r w:rsidR="00375F4D">
        <w:t xml:space="preserve">governance </w:t>
      </w:r>
      <w:r w:rsidR="009E4BF4">
        <w:t xml:space="preserve">with and </w:t>
      </w:r>
      <w:r w:rsidR="00375F4D">
        <w:t xml:space="preserve">through </w:t>
      </w:r>
      <w:r>
        <w:t>data.  In addition to</w:t>
      </w:r>
      <w:r w:rsidR="001632BA">
        <w:t xml:space="preserve"> UK</w:t>
      </w:r>
      <w:r>
        <w:t xml:space="preserve"> government exhortations to </w:t>
      </w:r>
      <w:r w:rsidR="00962966">
        <w:t>link administrative records noted in</w:t>
      </w:r>
      <w:r w:rsidR="00C046EE">
        <w:t xml:space="preserve"> our</w:t>
      </w:r>
      <w:r w:rsidR="00962966">
        <w:t xml:space="preserve"> Introduction, the Early Intervention Foundation </w:t>
      </w:r>
      <w:r w:rsidR="00B27161">
        <w:t>calls for local authorities to set up</w:t>
      </w:r>
      <w:r w:rsidR="001632BA">
        <w:t xml:space="preserve"> information-sharing</w:t>
      </w:r>
      <w:r w:rsidR="00B27161">
        <w:t xml:space="preserve"> ‘assessment hubs’: ‘It is essential that data is shared between health services and the local authority at population </w:t>
      </w:r>
      <w:r w:rsidR="00566521">
        <w:t xml:space="preserve">level </w:t>
      </w:r>
      <w:r w:rsidR="00B27161">
        <w:t xml:space="preserve">and, where necessary, at an individual level to ensure that families who </w:t>
      </w:r>
      <w:r w:rsidR="00B27161" w:rsidRPr="002F3205">
        <w:t>need servi</w:t>
      </w:r>
      <w:r w:rsidR="00E152E8" w:rsidRPr="002F3205">
        <w:t>c</w:t>
      </w:r>
      <w:r w:rsidR="00B27161" w:rsidRPr="002F3205">
        <w:t xml:space="preserve">es </w:t>
      </w:r>
      <w:proofErr w:type="gramStart"/>
      <w:r w:rsidR="00B27161" w:rsidRPr="002F3205">
        <w:t>are</w:t>
      </w:r>
      <w:proofErr w:type="gramEnd"/>
      <w:r w:rsidR="00B27161" w:rsidRPr="002F3205">
        <w:t xml:space="preserve"> offered them</w:t>
      </w:r>
      <w:r w:rsidR="00E152E8" w:rsidRPr="002F3205">
        <w:t xml:space="preserve">’ </w:t>
      </w:r>
      <w:r w:rsidR="00B27161" w:rsidRPr="002F3205">
        <w:rPr>
          <w:rFonts w:cstheme="minorHAnsi"/>
          <w:shd w:val="clear" w:color="auto" w:fill="FFFFFF"/>
        </w:rPr>
        <w:t xml:space="preserve">(Messenger </w:t>
      </w:r>
      <w:r w:rsidR="00366A0E">
        <w:rPr>
          <w:rFonts w:cstheme="minorHAnsi"/>
          <w:shd w:val="clear" w:color="auto" w:fill="FFFFFF"/>
        </w:rPr>
        <w:t>&amp;</w:t>
      </w:r>
      <w:r w:rsidR="00B27161" w:rsidRPr="002F3205">
        <w:rPr>
          <w:rFonts w:cstheme="minorHAnsi"/>
          <w:shd w:val="clear" w:color="auto" w:fill="FFFFFF"/>
        </w:rPr>
        <w:t xml:space="preserve"> Molloy, 2014</w:t>
      </w:r>
      <w:r w:rsidR="00E152E8" w:rsidRPr="002F3205">
        <w:rPr>
          <w:rFonts w:cstheme="minorHAnsi"/>
          <w:shd w:val="clear" w:color="auto" w:fill="FFFFFF"/>
        </w:rPr>
        <w:t>: 7</w:t>
      </w:r>
      <w:r w:rsidR="00B27161" w:rsidRPr="002F3205">
        <w:rPr>
          <w:rFonts w:cstheme="minorHAnsi"/>
          <w:shd w:val="clear" w:color="auto" w:fill="FFFFFF"/>
        </w:rPr>
        <w:t>)</w:t>
      </w:r>
      <w:r w:rsidR="00E152E8" w:rsidRPr="002F3205">
        <w:rPr>
          <w:rFonts w:cstheme="minorHAnsi"/>
          <w:shd w:val="clear" w:color="auto" w:fill="FFFFFF"/>
        </w:rPr>
        <w:t xml:space="preserve">.  </w:t>
      </w:r>
      <w:r w:rsidR="005A45F5" w:rsidRPr="00EF56F4">
        <w:rPr>
          <w:rFonts w:cstheme="minorHAnsi"/>
          <w:shd w:val="clear" w:color="auto" w:fill="FFFFFF"/>
        </w:rPr>
        <w:t xml:space="preserve">At the time of writing there are plans for local authority ‘family hubs’ and digital ‘red books’ containing information about babies from birth </w:t>
      </w:r>
      <w:r w:rsidR="005A45F5" w:rsidRPr="00486971">
        <w:rPr>
          <w:rFonts w:cstheme="minorHAnsi"/>
          <w:shd w:val="clear" w:color="auto" w:fill="FFFFFF"/>
        </w:rPr>
        <w:t xml:space="preserve">that can be used to identify parents deemed to need support (DHSC, 2021).  </w:t>
      </w:r>
      <w:r w:rsidR="00486971" w:rsidRPr="00486971">
        <w:rPr>
          <w:rFonts w:cstheme="minorHAnsi"/>
          <w:shd w:val="clear" w:color="auto" w:fill="FFFFFF"/>
        </w:rPr>
        <w:t>Central government</w:t>
      </w:r>
      <w:r w:rsidR="00486971">
        <w:rPr>
          <w:rFonts w:cstheme="minorHAnsi"/>
          <w:shd w:val="clear" w:color="auto" w:fill="FFFFFF"/>
        </w:rPr>
        <w:t xml:space="preserve"> </w:t>
      </w:r>
      <w:r w:rsidR="00486971" w:rsidRPr="00486971">
        <w:rPr>
          <w:rFonts w:cstheme="minorHAnsi"/>
          <w:shd w:val="clear" w:color="auto" w:fill="FFFFFF"/>
        </w:rPr>
        <w:t>has initiated a Local Data Accelerator Fund for Children and Families (MHCLG, 2021</w:t>
      </w:r>
      <w:r w:rsidR="0084361E">
        <w:rPr>
          <w:rFonts w:cstheme="minorHAnsi"/>
          <w:shd w:val="clear" w:color="auto" w:fill="FFFFFF"/>
        </w:rPr>
        <w:t>a</w:t>
      </w:r>
      <w:r w:rsidR="00486971" w:rsidRPr="00486971">
        <w:rPr>
          <w:rFonts w:cstheme="minorHAnsi"/>
          <w:shd w:val="clear" w:color="auto" w:fill="FFFFFF"/>
        </w:rPr>
        <w:t>)</w:t>
      </w:r>
      <w:r w:rsidR="00486971">
        <w:rPr>
          <w:rFonts w:cstheme="minorHAnsi"/>
          <w:shd w:val="clear" w:color="auto" w:fill="FFFFFF"/>
        </w:rPr>
        <w:t>, where local authorities can bid for funding for data sharing and matching projects that support identification of families for ‘earlier intervention before risk escalates’ (MH</w:t>
      </w:r>
      <w:r w:rsidR="00747586">
        <w:rPr>
          <w:rFonts w:cstheme="minorHAnsi"/>
          <w:shd w:val="clear" w:color="auto" w:fill="FFFFFF"/>
        </w:rPr>
        <w:t>C</w:t>
      </w:r>
      <w:r w:rsidR="00486971">
        <w:rPr>
          <w:rFonts w:cstheme="minorHAnsi"/>
          <w:shd w:val="clear" w:color="auto" w:fill="FFFFFF"/>
        </w:rPr>
        <w:t>LG, 2021: 7)</w:t>
      </w:r>
      <w:r w:rsidR="009C5AA5">
        <w:rPr>
          <w:rFonts w:cstheme="minorHAnsi"/>
          <w:shd w:val="clear" w:color="auto" w:fill="FFFFFF"/>
        </w:rPr>
        <w:t xml:space="preserve">.  The </w:t>
      </w:r>
      <w:r w:rsidR="00871001">
        <w:rPr>
          <w:rFonts w:cstheme="minorHAnsi"/>
          <w:shd w:val="clear" w:color="auto" w:fill="FFFFFF"/>
        </w:rPr>
        <w:t>p</w:t>
      </w:r>
      <w:r w:rsidR="009C5AA5">
        <w:rPr>
          <w:rFonts w:cstheme="minorHAnsi"/>
          <w:shd w:val="clear" w:color="auto" w:fill="FFFFFF"/>
        </w:rPr>
        <w:t xml:space="preserve">rospectus for the </w:t>
      </w:r>
      <w:r w:rsidR="000C5B34">
        <w:rPr>
          <w:rFonts w:cstheme="minorHAnsi"/>
          <w:shd w:val="clear" w:color="auto" w:fill="FFFFFF"/>
        </w:rPr>
        <w:t>F</w:t>
      </w:r>
      <w:r w:rsidR="009C5AA5">
        <w:rPr>
          <w:rFonts w:cstheme="minorHAnsi"/>
          <w:shd w:val="clear" w:color="auto" w:fill="FFFFFF"/>
        </w:rPr>
        <w:t>und provides the examples of Liverpool City Council combining 35 feeds of data from children’s social services, schools, the criminal justice system, health and benefits data in order to identify those who could benefit from early intervention, and Bristol City Council Insight team</w:t>
      </w:r>
      <w:r w:rsidR="00A7301D">
        <w:rPr>
          <w:rFonts w:cstheme="minorHAnsi"/>
          <w:shd w:val="clear" w:color="auto" w:fill="FFFFFF"/>
        </w:rPr>
        <w:t>’</w:t>
      </w:r>
      <w:r w:rsidR="009C5AA5">
        <w:rPr>
          <w:rFonts w:cstheme="minorHAnsi"/>
          <w:shd w:val="clear" w:color="auto" w:fill="FFFFFF"/>
        </w:rPr>
        <w:t>s establishment of a multiagency data ’warehouse’ as an analytic hub to help predict children at risk</w:t>
      </w:r>
      <w:r w:rsidR="00781043">
        <w:rPr>
          <w:rFonts w:cstheme="minorHAnsi"/>
          <w:shd w:val="clear" w:color="auto" w:fill="FFFFFF"/>
        </w:rPr>
        <w:t xml:space="preserve"> of criminal or sexual exploitation, becoming NEET (not in education, employment or training), </w:t>
      </w:r>
      <w:r w:rsidR="00D4053F">
        <w:rPr>
          <w:rFonts w:cstheme="minorHAnsi"/>
          <w:shd w:val="clear" w:color="auto" w:fill="FFFFFF"/>
        </w:rPr>
        <w:t>or</w:t>
      </w:r>
      <w:r w:rsidR="00781043">
        <w:rPr>
          <w:rFonts w:cstheme="minorHAnsi"/>
          <w:shd w:val="clear" w:color="auto" w:fill="FFFFFF"/>
        </w:rPr>
        <w:t xml:space="preserve"> being a victim or perpetrator of serious violence (p.8).  </w:t>
      </w:r>
    </w:p>
    <w:p w14:paraId="614AD908" w14:textId="77777777" w:rsidR="009C5AA5" w:rsidRDefault="009C5AA5" w:rsidP="00192D61">
      <w:pPr>
        <w:rPr>
          <w:rFonts w:cstheme="minorHAnsi"/>
          <w:shd w:val="clear" w:color="auto" w:fill="FFFFFF"/>
        </w:rPr>
      </w:pPr>
    </w:p>
    <w:p w14:paraId="08C8E6EB" w14:textId="28F93CDE" w:rsidR="00192D61" w:rsidRPr="002F3205" w:rsidRDefault="00A7301D" w:rsidP="00192D61">
      <w:r>
        <w:rPr>
          <w:rFonts w:cstheme="minorHAnsi"/>
          <w:shd w:val="clear" w:color="auto" w:fill="FFFFFF"/>
        </w:rPr>
        <w:t xml:space="preserve">Like Liverpool and Bristol, </w:t>
      </w:r>
      <w:proofErr w:type="gramStart"/>
      <w:r>
        <w:rPr>
          <w:rFonts w:cstheme="minorHAnsi"/>
          <w:shd w:val="clear" w:color="auto" w:fill="FFFFFF"/>
        </w:rPr>
        <w:t>a</w:t>
      </w:r>
      <w:r w:rsidR="00E152E8" w:rsidRPr="002F3205">
        <w:rPr>
          <w:rFonts w:cstheme="minorHAnsi"/>
          <w:shd w:val="clear" w:color="auto" w:fill="FFFFFF"/>
        </w:rPr>
        <w:t xml:space="preserve"> </w:t>
      </w:r>
      <w:r w:rsidR="00192D61" w:rsidRPr="002F3205">
        <w:t>number of</w:t>
      </w:r>
      <w:proofErr w:type="gramEnd"/>
      <w:r w:rsidR="00192D61" w:rsidRPr="002F3205">
        <w:t xml:space="preserve"> local</w:t>
      </w:r>
      <w:r w:rsidR="00E152E8" w:rsidRPr="002F3205">
        <w:t xml:space="preserve"> authorities</w:t>
      </w:r>
      <w:r w:rsidR="00192D61" w:rsidRPr="002F3205">
        <w:t xml:space="preserve"> </w:t>
      </w:r>
      <w:r w:rsidR="00E152E8" w:rsidRPr="002F3205">
        <w:t xml:space="preserve">have </w:t>
      </w:r>
      <w:r w:rsidR="00E152E8" w:rsidRPr="002F3205">
        <w:rPr>
          <w:rFonts w:cs="Calibri"/>
        </w:rPr>
        <w:t xml:space="preserve">embarked upon linking up sets of administrative and other data in order to identify </w:t>
      </w:r>
      <w:r w:rsidR="00375F4D">
        <w:rPr>
          <w:rFonts w:cs="Calibri"/>
        </w:rPr>
        <w:t xml:space="preserve">‘high risk’ </w:t>
      </w:r>
      <w:r w:rsidR="00E152E8" w:rsidRPr="002F3205">
        <w:rPr>
          <w:rFonts w:cs="Calibri"/>
        </w:rPr>
        <w:t xml:space="preserve">families for forms of local authority provided or contracted </w:t>
      </w:r>
      <w:r w:rsidR="00255435">
        <w:rPr>
          <w:rFonts w:cs="Calibri"/>
        </w:rPr>
        <w:t xml:space="preserve">early </w:t>
      </w:r>
      <w:r w:rsidR="00E152E8" w:rsidRPr="002F3205">
        <w:rPr>
          <w:rFonts w:cs="Calibri"/>
        </w:rPr>
        <w:t>intervention in the way that parents bring up their children</w:t>
      </w:r>
      <w:r w:rsidR="00255435">
        <w:rPr>
          <w:rFonts w:cs="Calibri"/>
        </w:rPr>
        <w:t xml:space="preserve"> </w:t>
      </w:r>
      <w:r w:rsidR="00192D61" w:rsidRPr="002F3205">
        <w:t xml:space="preserve">(McIntyre </w:t>
      </w:r>
      <w:r w:rsidR="00366A0E">
        <w:t>&amp;</w:t>
      </w:r>
      <w:r w:rsidR="00192D61" w:rsidRPr="002F3205">
        <w:t xml:space="preserve"> </w:t>
      </w:r>
      <w:proofErr w:type="spellStart"/>
      <w:r w:rsidR="00192D61" w:rsidRPr="002F3205">
        <w:t>Pegg</w:t>
      </w:r>
      <w:proofErr w:type="spellEnd"/>
      <w:r w:rsidR="00192D61" w:rsidRPr="002F3205">
        <w:t>, 2018)</w:t>
      </w:r>
      <w:r w:rsidR="00255435">
        <w:t xml:space="preserve">.  There is </w:t>
      </w:r>
      <w:r w:rsidR="00747586">
        <w:t xml:space="preserve">some </w:t>
      </w:r>
      <w:r w:rsidR="00255435">
        <w:t>evidence</w:t>
      </w:r>
      <w:r w:rsidR="00747586">
        <w:t xml:space="preserve"> </w:t>
      </w:r>
      <w:r w:rsidR="0032176B">
        <w:t xml:space="preserve">however, </w:t>
      </w:r>
      <w:r w:rsidR="00747586">
        <w:t>that</w:t>
      </w:r>
      <w:r w:rsidR="00255435">
        <w:t xml:space="preserve"> </w:t>
      </w:r>
      <w:proofErr w:type="gramStart"/>
      <w:r w:rsidR="00EB28A3">
        <w:t xml:space="preserve">the majority </w:t>
      </w:r>
      <w:r w:rsidR="00D4053F">
        <w:t>of</w:t>
      </w:r>
      <w:proofErr w:type="gramEnd"/>
      <w:r w:rsidR="00D4053F">
        <w:t xml:space="preserve"> authorities </w:t>
      </w:r>
      <w:r w:rsidR="00EB28A3">
        <w:t xml:space="preserve">only have </w:t>
      </w:r>
      <w:r w:rsidR="00747586">
        <w:t xml:space="preserve">‘basic’ data matching software or the </w:t>
      </w:r>
      <w:r w:rsidR="00EB28A3">
        <w:t xml:space="preserve">‘building blocks’ of data </w:t>
      </w:r>
      <w:r w:rsidR="00747586">
        <w:t>linkage and analytics</w:t>
      </w:r>
      <w:r>
        <w:t xml:space="preserve"> rather than more ‘mature’, advanced systems</w:t>
      </w:r>
      <w:r w:rsidR="00747586">
        <w:t xml:space="preserve"> (</w:t>
      </w:r>
      <w:r w:rsidR="00747586">
        <w:rPr>
          <w:rFonts w:cstheme="minorHAnsi"/>
          <w:shd w:val="clear" w:color="auto" w:fill="FFFFFF"/>
        </w:rPr>
        <w:t>MHCLG, 2021</w:t>
      </w:r>
      <w:r w:rsidR="0084361E">
        <w:rPr>
          <w:rFonts w:cstheme="minorHAnsi"/>
          <w:shd w:val="clear" w:color="auto" w:fill="FFFFFF"/>
        </w:rPr>
        <w:t>a</w:t>
      </w:r>
      <w:r w:rsidR="00747586">
        <w:rPr>
          <w:rFonts w:cstheme="minorHAnsi"/>
          <w:shd w:val="clear" w:color="auto" w:fill="FFFFFF"/>
        </w:rPr>
        <w:t>: 7)</w:t>
      </w:r>
      <w:r>
        <w:rPr>
          <w:rFonts w:cstheme="minorHAnsi"/>
          <w:shd w:val="clear" w:color="auto" w:fill="FFFFFF"/>
        </w:rPr>
        <w:t>.  I</w:t>
      </w:r>
      <w:r w:rsidR="00747586">
        <w:rPr>
          <w:rFonts w:cstheme="minorHAnsi"/>
          <w:shd w:val="clear" w:color="auto" w:fill="FFFFFF"/>
        </w:rPr>
        <w:t xml:space="preserve">t </w:t>
      </w:r>
      <w:r w:rsidR="00BA1FB8">
        <w:rPr>
          <w:rFonts w:cstheme="minorHAnsi"/>
          <w:shd w:val="clear" w:color="auto" w:fill="FFFFFF"/>
        </w:rPr>
        <w:t xml:space="preserve">is </w:t>
      </w:r>
      <w:r w:rsidR="002F3205" w:rsidRPr="002F3205">
        <w:t xml:space="preserve">impossible to discuss this with any accuracy </w:t>
      </w:r>
      <w:r>
        <w:t xml:space="preserve">however, </w:t>
      </w:r>
      <w:r w:rsidR="002F3205" w:rsidRPr="002F3205">
        <w:t>since there is no</w:t>
      </w:r>
      <w:r w:rsidR="00DD3398">
        <w:t xml:space="preserve"> central</w:t>
      </w:r>
      <w:r w:rsidR="002F3205" w:rsidRPr="002F3205">
        <w:t xml:space="preserve"> record </w:t>
      </w:r>
      <w:r w:rsidR="00DD3398">
        <w:t>available</w:t>
      </w:r>
      <w:r w:rsidR="002F3205" w:rsidRPr="002F3205">
        <w:t xml:space="preserve"> of which local authorities are doing what when it comes</w:t>
      </w:r>
      <w:r w:rsidR="007672E5">
        <w:t xml:space="preserve"> </w:t>
      </w:r>
      <w:r w:rsidR="002F3205" w:rsidRPr="002F3205">
        <w:t xml:space="preserve">data sharing, </w:t>
      </w:r>
      <w:r w:rsidR="007672E5">
        <w:t xml:space="preserve">operational </w:t>
      </w:r>
      <w:r w:rsidR="002F3205" w:rsidRPr="002F3205">
        <w:t>linking</w:t>
      </w:r>
      <w:r w:rsidR="00090D29">
        <w:t xml:space="preserve"> and matching,</w:t>
      </w:r>
      <w:r w:rsidR="002F3205" w:rsidRPr="002F3205">
        <w:t xml:space="preserve"> and predictive analytics in the family</w:t>
      </w:r>
      <w:r w:rsidR="007950FA">
        <w:t xml:space="preserve"> policy </w:t>
      </w:r>
      <w:r w:rsidR="002F3205" w:rsidRPr="002F3205">
        <w:t xml:space="preserve">field, and indeed no shared vocabulary between local authorities about what they are doing.  </w:t>
      </w:r>
    </w:p>
    <w:p w14:paraId="360765C7" w14:textId="5743D0A4" w:rsidR="002F3205" w:rsidRDefault="002F3205" w:rsidP="00192D61"/>
    <w:p w14:paraId="6CFC7945" w14:textId="107C24B6" w:rsidR="00AB3C83" w:rsidRDefault="00BA1FB8" w:rsidP="002F3205">
      <w:r>
        <w:t xml:space="preserve">Local authority interest in multi-agency data sharing and linking </w:t>
      </w:r>
      <w:r w:rsidR="00DD7378">
        <w:t xml:space="preserve">to identify and intervene </w:t>
      </w:r>
      <w:r>
        <w:t xml:space="preserve">was heralded by the Troubled Families </w:t>
      </w:r>
      <w:r w:rsidR="0084361E">
        <w:t>p</w:t>
      </w:r>
      <w:r>
        <w:t>rogramme</w:t>
      </w:r>
      <w:r w:rsidR="0084361E">
        <w:t>,</w:t>
      </w:r>
      <w:r w:rsidR="00DD7378">
        <w:t xml:space="preserve"> </w:t>
      </w:r>
      <w:r w:rsidR="0084361E">
        <w:t>reborn as Supporting Families in its latest phase (MHCLG</w:t>
      </w:r>
      <w:r w:rsidR="00366A0E">
        <w:t>,</w:t>
      </w:r>
      <w:r w:rsidR="0084361E">
        <w:t xml:space="preserve"> 2021b)</w:t>
      </w:r>
      <w:r w:rsidR="00DD7378">
        <w:t xml:space="preserve">.  The </w:t>
      </w:r>
      <w:r w:rsidR="00A0283F" w:rsidRPr="003B1CBB">
        <w:t xml:space="preserve">Troubled Families </w:t>
      </w:r>
      <w:r w:rsidR="00DD7378">
        <w:t>p</w:t>
      </w:r>
      <w:r w:rsidR="00A0283F" w:rsidRPr="003B1CBB">
        <w:t>rogramme</w:t>
      </w:r>
      <w:r w:rsidR="00A451CC" w:rsidRPr="003B1CBB">
        <w:t xml:space="preserve"> was</w:t>
      </w:r>
      <w:r w:rsidR="00A0283F" w:rsidRPr="003B1CBB">
        <w:t xml:space="preserve"> </w:t>
      </w:r>
      <w:r w:rsidR="00A76BB5" w:rsidRPr="003B1CBB">
        <w:t>set up</w:t>
      </w:r>
      <w:r w:rsidR="005F6A5C" w:rsidRPr="003B1CBB">
        <w:t xml:space="preserve"> by central government</w:t>
      </w:r>
      <w:r w:rsidR="00A76BB5" w:rsidRPr="003B1CBB">
        <w:t xml:space="preserve"> to </w:t>
      </w:r>
      <w:r w:rsidR="00D13359" w:rsidRPr="003B1CBB">
        <w:t xml:space="preserve">intensively intervene </w:t>
      </w:r>
      <w:r w:rsidR="000E37B2">
        <w:t xml:space="preserve">in </w:t>
      </w:r>
      <w:r w:rsidR="00D13359" w:rsidRPr="003B1CBB">
        <w:t xml:space="preserve">families who </w:t>
      </w:r>
      <w:r w:rsidR="00A451CC" w:rsidRPr="003B1CBB">
        <w:t xml:space="preserve">meet </w:t>
      </w:r>
      <w:r w:rsidR="00D13359" w:rsidRPr="003B1CBB">
        <w:t xml:space="preserve">a combination of specified </w:t>
      </w:r>
      <w:r w:rsidR="00A870FC" w:rsidRPr="003B1CBB">
        <w:t>criteria</w:t>
      </w:r>
      <w:r w:rsidR="00D13359" w:rsidRPr="003B1CBB">
        <w:t xml:space="preserve"> that are treated as evidence of their </w:t>
      </w:r>
      <w:r w:rsidR="000E37B2">
        <w:t>current or</w:t>
      </w:r>
      <w:r w:rsidR="00FA2C38">
        <w:t xml:space="preserve"> future</w:t>
      </w:r>
      <w:r w:rsidR="000E37B2">
        <w:t xml:space="preserve"> </w:t>
      </w:r>
      <w:r w:rsidR="00DD3398">
        <w:t xml:space="preserve">risk of </w:t>
      </w:r>
      <w:r w:rsidR="00D13359" w:rsidRPr="003B1CBB">
        <w:t>dysfunctionality</w:t>
      </w:r>
      <w:r w:rsidR="00A0283F" w:rsidRPr="003B1CBB">
        <w:t xml:space="preserve"> </w:t>
      </w:r>
      <w:r w:rsidR="008C3207" w:rsidRPr="003B1CBB">
        <w:t>(Crossley</w:t>
      </w:r>
      <w:r w:rsidR="00A870FC" w:rsidRPr="003B1CBB">
        <w:t>,</w:t>
      </w:r>
      <w:r w:rsidR="008C3207" w:rsidRPr="003B1CBB">
        <w:t xml:space="preserve"> 2018)</w:t>
      </w:r>
      <w:r w:rsidR="005F6A5C" w:rsidRPr="003B1CBB">
        <w:t xml:space="preserve">.  Local authorities are encouraged to identify families </w:t>
      </w:r>
      <w:r w:rsidR="00DD7378">
        <w:t>as part of the</w:t>
      </w:r>
      <w:r w:rsidR="005F6A5C" w:rsidRPr="003B1CBB">
        <w:t xml:space="preserve"> </w:t>
      </w:r>
      <w:r w:rsidR="00DD7378">
        <w:t>p</w:t>
      </w:r>
      <w:r w:rsidR="005F6A5C" w:rsidRPr="003B1CBB">
        <w:t xml:space="preserve">rogramme </w:t>
      </w:r>
      <w:r w:rsidR="00DD7378">
        <w:t xml:space="preserve">because </w:t>
      </w:r>
      <w:r w:rsidR="005F6A5C" w:rsidRPr="003B1CBB">
        <w:t>is run on a Payment by Results basis</w:t>
      </w:r>
      <w:r w:rsidR="00A451CC" w:rsidRPr="003B1CBB">
        <w:t xml:space="preserve"> </w:t>
      </w:r>
      <w:r w:rsidR="005F6A5C" w:rsidRPr="003B1CBB">
        <w:t xml:space="preserve">– an attractive prospect </w:t>
      </w:r>
      <w:r w:rsidR="00A451CC" w:rsidRPr="003B1CBB">
        <w:t xml:space="preserve">for cash-strapped local authorities </w:t>
      </w:r>
      <w:r w:rsidR="005F6A5C" w:rsidRPr="003B1CBB">
        <w:t xml:space="preserve">in the context of austerity.  The </w:t>
      </w:r>
      <w:r w:rsidR="002B6D3D" w:rsidRPr="003B1CBB">
        <w:lastRenderedPageBreak/>
        <w:t>s</w:t>
      </w:r>
      <w:r w:rsidR="00DD7378">
        <w:t>uggest</w:t>
      </w:r>
      <w:r w:rsidR="002B6D3D" w:rsidRPr="003B1CBB">
        <w:t xml:space="preserve">ed </w:t>
      </w:r>
      <w:r w:rsidR="005F6A5C" w:rsidRPr="003B1CBB">
        <w:t xml:space="preserve">criteria for the </w:t>
      </w:r>
      <w:r w:rsidR="00AB3C83">
        <w:t xml:space="preserve">Troubled Families </w:t>
      </w:r>
      <w:r w:rsidR="00DD7378">
        <w:t>p</w:t>
      </w:r>
      <w:r w:rsidR="005F6A5C" w:rsidRPr="003B1CBB">
        <w:t xml:space="preserve">rogramme </w:t>
      </w:r>
      <w:r w:rsidR="00DD7378">
        <w:t xml:space="preserve">range widely </w:t>
      </w:r>
      <w:r w:rsidR="005F6A5C" w:rsidRPr="003B1CBB">
        <w:t xml:space="preserve">across the domains of </w:t>
      </w:r>
      <w:r w:rsidR="00A451CC" w:rsidRPr="003B1CBB">
        <w:t>social security</w:t>
      </w:r>
      <w:r w:rsidR="002B6D3D" w:rsidRPr="003B1CBB">
        <w:t xml:space="preserve">, housing, education, health, social </w:t>
      </w:r>
      <w:r w:rsidR="00A451CC" w:rsidRPr="003B1CBB">
        <w:t>services, police</w:t>
      </w:r>
      <w:r w:rsidR="003B1CBB" w:rsidRPr="003B1CBB">
        <w:t xml:space="preserve"> and criminal justice,</w:t>
      </w:r>
      <w:r w:rsidR="00A451CC" w:rsidRPr="003B1CBB">
        <w:t xml:space="preserve"> </w:t>
      </w:r>
      <w:r w:rsidR="002B6D3D" w:rsidRPr="003B1CBB">
        <w:t xml:space="preserve">and other </w:t>
      </w:r>
      <w:r w:rsidR="00A451CC" w:rsidRPr="003B1CBB">
        <w:t>public provision</w:t>
      </w:r>
      <w:r w:rsidR="002B6D3D" w:rsidRPr="003B1CBB">
        <w:t>s</w:t>
      </w:r>
      <w:r w:rsidR="00DD7378">
        <w:t xml:space="preserve"> </w:t>
      </w:r>
      <w:r w:rsidR="00AB3C83" w:rsidRPr="0007242B">
        <w:rPr>
          <w:rFonts w:cs="Aparajita"/>
        </w:rPr>
        <w:t>(MHCLG</w:t>
      </w:r>
      <w:r w:rsidR="00AB3C83">
        <w:rPr>
          <w:rFonts w:cs="Aparajita"/>
        </w:rPr>
        <w:t>,</w:t>
      </w:r>
      <w:r w:rsidR="00AB3C83" w:rsidRPr="0007242B">
        <w:rPr>
          <w:rFonts w:cs="Aparajita"/>
        </w:rPr>
        <w:t xml:space="preserve"> 2020)</w:t>
      </w:r>
      <w:r w:rsidR="00D4053F">
        <w:t>, and under the Supporting Families version</w:t>
      </w:r>
      <w:r w:rsidR="0032176B">
        <w:t xml:space="preserve"> of the programme</w:t>
      </w:r>
      <w:r w:rsidR="00D4053F">
        <w:t xml:space="preserve"> the emphasis is</w:t>
      </w:r>
      <w:r w:rsidR="007D3853">
        <w:t xml:space="preserve"> on ‘building stronger data’, posed as part of a ‘moral mission’ to support </w:t>
      </w:r>
      <w:r w:rsidR="00E10D4D">
        <w:t>‘</w:t>
      </w:r>
      <w:r w:rsidR="007D3853">
        <w:t>vulnerable</w:t>
      </w:r>
      <w:r w:rsidR="00E10D4D">
        <w:t>’</w:t>
      </w:r>
      <w:r w:rsidR="007D3853">
        <w:t xml:space="preserve"> families (MHCLG, 2021b).</w:t>
      </w:r>
    </w:p>
    <w:p w14:paraId="28847F62" w14:textId="77777777" w:rsidR="00AB3C83" w:rsidRPr="00B203F0" w:rsidRDefault="00AB3C83" w:rsidP="002F3205"/>
    <w:p w14:paraId="3A9B5E32" w14:textId="11479ECE" w:rsidR="00652BB9" w:rsidRPr="009A07B5" w:rsidRDefault="007672E5" w:rsidP="00652BB9">
      <w:r w:rsidRPr="009A07B5">
        <w:t xml:space="preserve">The integration and analysis of administrative records </w:t>
      </w:r>
      <w:r w:rsidR="00AB3C83" w:rsidRPr="009A07B5">
        <w:t xml:space="preserve">for </w:t>
      </w:r>
      <w:r w:rsidR="00752ED9">
        <w:t xml:space="preserve">extracting </w:t>
      </w:r>
      <w:r w:rsidR="00AB3C83" w:rsidRPr="009A07B5">
        <w:t>profiles based on whole populations</w:t>
      </w:r>
      <w:r w:rsidR="00752ED9">
        <w:t>,</w:t>
      </w:r>
      <w:r w:rsidR="00AB3C83" w:rsidRPr="009A07B5">
        <w:t xml:space="preserve"> and </w:t>
      </w:r>
      <w:r w:rsidR="00752ED9">
        <w:t xml:space="preserve">for </w:t>
      </w:r>
      <w:r w:rsidR="00AB3C83" w:rsidRPr="009A07B5">
        <w:t xml:space="preserve">predictive analysis </w:t>
      </w:r>
      <w:r w:rsidR="00652BB9" w:rsidRPr="009A07B5">
        <w:t xml:space="preserve">flagging </w:t>
      </w:r>
      <w:r w:rsidR="00DD7378">
        <w:t xml:space="preserve">up </w:t>
      </w:r>
      <w:proofErr w:type="gramStart"/>
      <w:r w:rsidR="00AB3C83" w:rsidRPr="009A07B5">
        <w:t>particular families</w:t>
      </w:r>
      <w:proofErr w:type="gramEnd"/>
      <w:r w:rsidR="00752ED9">
        <w:t>,</w:t>
      </w:r>
      <w:r w:rsidR="00652BB9" w:rsidRPr="009A07B5">
        <w:t xml:space="preserve"> may be carried out in-house by the public sector</w:t>
      </w:r>
      <w:r w:rsidR="00752ED9">
        <w:t>.  M</w:t>
      </w:r>
      <w:r w:rsidR="00652BB9" w:rsidRPr="009A07B5">
        <w:t>ore often</w:t>
      </w:r>
      <w:r w:rsidR="00752ED9">
        <w:t>,</w:t>
      </w:r>
      <w:r w:rsidR="00652BB9" w:rsidRPr="009A07B5">
        <w:t xml:space="preserve"> there is a range of different </w:t>
      </w:r>
      <w:r w:rsidR="000E37B2">
        <w:t xml:space="preserve">types and </w:t>
      </w:r>
      <w:r w:rsidR="00652BB9" w:rsidRPr="009A07B5">
        <w:t xml:space="preserve">extents of involvement of </w:t>
      </w:r>
      <w:bookmarkStart w:id="4" w:name="_Hlk68520480"/>
      <w:r w:rsidR="00652BB9" w:rsidRPr="009A07B5">
        <w:t>commercial data analytic companies (Redden et al.</w:t>
      </w:r>
      <w:r w:rsidR="007E65F8">
        <w:t>,</w:t>
      </w:r>
      <w:r w:rsidR="00652BB9" w:rsidRPr="009A07B5">
        <w:t xml:space="preserve"> 2020) in creating and operating </w:t>
      </w:r>
      <w:r w:rsidRPr="009A07B5">
        <w:t>the data hubs</w:t>
      </w:r>
      <w:r w:rsidR="000E37B2">
        <w:t>, data</w:t>
      </w:r>
      <w:r w:rsidR="009A07B5">
        <w:t xml:space="preserve"> linkage</w:t>
      </w:r>
      <w:r w:rsidR="00652BB9" w:rsidRPr="009A07B5">
        <w:t xml:space="preserve">, </w:t>
      </w:r>
      <w:r w:rsidRPr="009A07B5">
        <w:t>algorithmic analytics</w:t>
      </w:r>
      <w:r w:rsidR="00BA1FB8">
        <w:t xml:space="preserve">, etc. </w:t>
      </w:r>
      <w:r w:rsidR="009A07B5">
        <w:t>in the social policy domain</w:t>
      </w:r>
      <w:r w:rsidRPr="009A07B5">
        <w:t xml:space="preserve">.  </w:t>
      </w:r>
      <w:bookmarkEnd w:id="4"/>
      <w:r w:rsidR="00DD3398">
        <w:t>As we noted above</w:t>
      </w:r>
      <w:r w:rsidR="00427513">
        <w:t xml:space="preserve"> though</w:t>
      </w:r>
      <w:r w:rsidR="00DD3398">
        <w:t>, t</w:t>
      </w:r>
      <w:r w:rsidR="00A76BB5" w:rsidRPr="009A07B5">
        <w:t>here is no easily accessible means, such as a public register, for parents to find out what is happening with their own data.  What little public consultation there has been about sharing and linkage of administrative records has usually focused on anonymised data for research purposes, and</w:t>
      </w:r>
      <w:r w:rsidR="000E37B2">
        <w:t>/or</w:t>
      </w:r>
      <w:r w:rsidR="00A76BB5" w:rsidRPr="009A07B5">
        <w:t xml:space="preserve"> involved </w:t>
      </w:r>
      <w:r w:rsidR="00B203F0" w:rsidRPr="009A07B5">
        <w:t xml:space="preserve">general population </w:t>
      </w:r>
      <w:r w:rsidR="00A76BB5" w:rsidRPr="009A07B5">
        <w:t>focus group discussio</w:t>
      </w:r>
      <w:r w:rsidR="009A07B5" w:rsidRPr="009A07B5">
        <w:t>n</w:t>
      </w:r>
      <w:r w:rsidR="001E123E">
        <w:t xml:space="preserve"> (</w:t>
      </w:r>
      <w:proofErr w:type="gramStart"/>
      <w:r w:rsidR="001E123E">
        <w:t>e.g.</w:t>
      </w:r>
      <w:proofErr w:type="gramEnd"/>
      <w:r w:rsidR="001E123E">
        <w:t xml:space="preserve"> </w:t>
      </w:r>
      <w:r w:rsidR="00627CD0">
        <w:t xml:space="preserve">Moody </w:t>
      </w:r>
      <w:r w:rsidR="00366A0E">
        <w:t>&amp;</w:t>
      </w:r>
      <w:r w:rsidR="00627CD0">
        <w:t xml:space="preserve"> Lugg, 2017; </w:t>
      </w:r>
      <w:proofErr w:type="spellStart"/>
      <w:r w:rsidR="001E123E">
        <w:t>NatCen</w:t>
      </w:r>
      <w:proofErr w:type="spellEnd"/>
      <w:r w:rsidR="001E123E">
        <w:t>, 2018)</w:t>
      </w:r>
      <w:r w:rsidR="00A76BB5" w:rsidRPr="009A07B5">
        <w:t xml:space="preserve">.  </w:t>
      </w:r>
      <w:r w:rsidR="00B203F0" w:rsidRPr="009A07B5">
        <w:t xml:space="preserve">All parents are stakeholders in the use of administrative records for data linkage and predictive analytics for </w:t>
      </w:r>
      <w:proofErr w:type="spellStart"/>
      <w:r w:rsidR="00B203F0" w:rsidRPr="009A07B5">
        <w:t>targetting</w:t>
      </w:r>
      <w:proofErr w:type="spellEnd"/>
      <w:r w:rsidR="00B203F0" w:rsidRPr="009A07B5">
        <w:t xml:space="preserve"> service intervention</w:t>
      </w:r>
      <w:r w:rsidR="009A07B5">
        <w:t xml:space="preserve">, but they appear to have played no part in </w:t>
      </w:r>
      <w:r w:rsidR="000E37B2">
        <w:t xml:space="preserve">assessments of </w:t>
      </w:r>
      <w:r w:rsidR="00A22F48">
        <w:t xml:space="preserve">the legitimacy of </w:t>
      </w:r>
      <w:r w:rsidR="009A07B5">
        <w:t>the</w:t>
      </w:r>
      <w:r w:rsidR="00C46A50">
        <w:t xml:space="preserve"> </w:t>
      </w:r>
      <w:r w:rsidR="009A07B5">
        <w:t>application of data techniques</w:t>
      </w:r>
      <w:r w:rsidR="00A22F48">
        <w:t xml:space="preserve"> to information about them and their families</w:t>
      </w:r>
      <w:r w:rsidR="00B203F0" w:rsidRPr="009A07B5">
        <w:t xml:space="preserve">. </w:t>
      </w:r>
      <w:r w:rsidR="00652BB9" w:rsidRPr="009A07B5">
        <w:t xml:space="preserve">The integration and outsourcing </w:t>
      </w:r>
      <w:r w:rsidR="00090D29">
        <w:t xml:space="preserve">of </w:t>
      </w:r>
      <w:r w:rsidR="00652BB9" w:rsidRPr="009A07B5">
        <w:t>operational practices</w:t>
      </w:r>
      <w:r w:rsidR="009A07B5" w:rsidRPr="009A07B5">
        <w:t xml:space="preserve"> involved</w:t>
      </w:r>
      <w:r w:rsidR="000E37B2">
        <w:t xml:space="preserve"> in early intervention</w:t>
      </w:r>
      <w:r w:rsidR="00652BB9" w:rsidRPr="009A07B5">
        <w:t xml:space="preserve"> lie outside of automatic social acceptance norms, social </w:t>
      </w:r>
      <w:proofErr w:type="gramStart"/>
      <w:r w:rsidR="00652BB9" w:rsidRPr="009A07B5">
        <w:t>trust</w:t>
      </w:r>
      <w:proofErr w:type="gramEnd"/>
      <w:r w:rsidR="00652BB9" w:rsidRPr="009A07B5">
        <w:t xml:space="preserve"> and consensus, so social licence for them needs to be ascertained.</w:t>
      </w:r>
    </w:p>
    <w:p w14:paraId="43B5BAAC" w14:textId="77777777" w:rsidR="00627CD0" w:rsidRDefault="00627CD0"/>
    <w:p w14:paraId="3FB9FB27" w14:textId="0C340BCF" w:rsidR="007D7AF5" w:rsidRPr="00484164" w:rsidRDefault="007D7AF5">
      <w:pPr>
        <w:rPr>
          <w:b/>
          <w:bCs/>
        </w:rPr>
      </w:pPr>
      <w:r w:rsidRPr="00484164">
        <w:rPr>
          <w:b/>
          <w:bCs/>
        </w:rPr>
        <w:t>Social licence</w:t>
      </w:r>
    </w:p>
    <w:p w14:paraId="647BDBAE" w14:textId="12515B93" w:rsidR="007D7AF5" w:rsidRDefault="007D7AF5"/>
    <w:p w14:paraId="5632DDBC" w14:textId="281F86F1" w:rsidR="00137AD9" w:rsidRPr="00671701" w:rsidRDefault="002B449D">
      <w:r>
        <w:t xml:space="preserve">Considerations of </w:t>
      </w:r>
      <w:r w:rsidR="00137AD9">
        <w:t>data linkage and predictive analytics</w:t>
      </w:r>
      <w:r w:rsidR="006E41AC">
        <w:t xml:space="preserve"> </w:t>
      </w:r>
      <w:r w:rsidR="00AC7CCD">
        <w:t xml:space="preserve">for </w:t>
      </w:r>
      <w:r w:rsidR="006E41AC">
        <w:t xml:space="preserve">operational service intervention </w:t>
      </w:r>
      <w:r w:rsidR="00137AD9">
        <w:t>have been turning to the concept of social licence in</w:t>
      </w:r>
      <w:r w:rsidR="00C12EF4">
        <w:t xml:space="preserve"> a context where</w:t>
      </w:r>
      <w:r w:rsidR="00D273F0">
        <w:t xml:space="preserve"> there is concern </w:t>
      </w:r>
      <w:r w:rsidR="001C343D">
        <w:t xml:space="preserve">internationally and nationally, </w:t>
      </w:r>
      <w:r w:rsidR="00D273F0">
        <w:t xml:space="preserve">about the existence and sustenance of trust for </w:t>
      </w:r>
      <w:r w:rsidR="006E41AC">
        <w:t xml:space="preserve">these practices </w:t>
      </w:r>
      <w:r w:rsidR="00796FA2">
        <w:t>(</w:t>
      </w:r>
      <w:proofErr w:type="gramStart"/>
      <w:r w:rsidR="00796FA2">
        <w:t>e.g.</w:t>
      </w:r>
      <w:proofErr w:type="gramEnd"/>
      <w:r w:rsidR="00AF08FB">
        <w:t xml:space="preserve"> Caldicot, 2016; </w:t>
      </w:r>
      <w:r w:rsidR="001C343D">
        <w:t xml:space="preserve">Leonard, 2018; </w:t>
      </w:r>
      <w:r w:rsidR="00796FA2" w:rsidRPr="001C343D">
        <w:t>World Economic Forum, 2018</w:t>
      </w:r>
      <w:r w:rsidR="00796FA2">
        <w:t>)</w:t>
      </w:r>
      <w:r w:rsidR="00137AD9">
        <w:t xml:space="preserve">.  </w:t>
      </w:r>
      <w:r w:rsidR="00796FA2">
        <w:t>The</w:t>
      </w:r>
      <w:r w:rsidR="00683EDE">
        <w:t xml:space="preserve"> </w:t>
      </w:r>
      <w:r w:rsidR="00C46A50">
        <w:t xml:space="preserve">concept’s </w:t>
      </w:r>
      <w:r w:rsidR="00683EDE">
        <w:t>growing traction is eviden</w:t>
      </w:r>
      <w:r w:rsidR="00CB089C">
        <w:t>t</w:t>
      </w:r>
      <w:r w:rsidR="00FE2018">
        <w:t xml:space="preserve">, notably in New Zealand, </w:t>
      </w:r>
      <w:r w:rsidR="00683EDE">
        <w:t>f</w:t>
      </w:r>
      <w:r w:rsidR="0091681F">
        <w:t xml:space="preserve">or example, </w:t>
      </w:r>
      <w:r w:rsidR="00FE2018">
        <w:t xml:space="preserve">in discussion of plans for data sharing between sectors (Data Futures Partnership, 2017) and </w:t>
      </w:r>
      <w:r w:rsidR="003E2B81">
        <w:t>Statistics New Zealand’s Integrated Data Infrastructure (Gulliver et al., 2018)</w:t>
      </w:r>
      <w:r w:rsidR="007C2860">
        <w:t xml:space="preserve">, </w:t>
      </w:r>
      <w:r w:rsidR="00FE2018">
        <w:t>but also</w:t>
      </w:r>
      <w:r w:rsidR="006E41AC">
        <w:t xml:space="preserve"> concerning</w:t>
      </w:r>
      <w:r w:rsidR="00FE2018">
        <w:t xml:space="preserve"> </w:t>
      </w:r>
      <w:r w:rsidR="001C343D">
        <w:t>data linkage</w:t>
      </w:r>
      <w:r w:rsidR="006E41AC">
        <w:t xml:space="preserve"> and automated intelligence</w:t>
      </w:r>
      <w:r w:rsidR="001C343D">
        <w:t xml:space="preserve"> in </w:t>
      </w:r>
      <w:r w:rsidR="00DD6B59" w:rsidRPr="00671701">
        <w:t>Canada (</w:t>
      </w:r>
      <w:proofErr w:type="spellStart"/>
      <w:r w:rsidR="00DD6B59" w:rsidRPr="00671701">
        <w:t>Paprica</w:t>
      </w:r>
      <w:proofErr w:type="spellEnd"/>
      <w:r w:rsidR="00DD6B59" w:rsidRPr="00671701">
        <w:t xml:space="preserve"> et al., 2019)</w:t>
      </w:r>
      <w:r w:rsidR="00FE2018" w:rsidRPr="00671701">
        <w:t xml:space="preserve"> and Australia (Leonard</w:t>
      </w:r>
      <w:r w:rsidR="00366A0E">
        <w:t>,</w:t>
      </w:r>
      <w:r w:rsidR="00FE2018" w:rsidRPr="00671701">
        <w:t xml:space="preserve"> </w:t>
      </w:r>
      <w:r w:rsidR="001C343D" w:rsidRPr="00671701">
        <w:t xml:space="preserve">2018).  </w:t>
      </w:r>
      <w:r w:rsidR="00FE2018" w:rsidRPr="00671701">
        <w:t>In the UK</w:t>
      </w:r>
      <w:r w:rsidR="006E41AC" w:rsidRPr="00671701">
        <w:t xml:space="preserve"> as the focus of our discussion here</w:t>
      </w:r>
      <w:r w:rsidR="00FE2018" w:rsidRPr="00671701">
        <w:t>, t</w:t>
      </w:r>
      <w:r w:rsidR="00683EDE" w:rsidRPr="00671701">
        <w:t xml:space="preserve">he Office for Statistics Regulation </w:t>
      </w:r>
      <w:r w:rsidR="00671701" w:rsidRPr="00671701">
        <w:t>(</w:t>
      </w:r>
      <w:r w:rsidR="00683EDE" w:rsidRPr="00671701">
        <w:t>2018</w:t>
      </w:r>
      <w:r w:rsidR="00671701" w:rsidRPr="00671701">
        <w:t>: 14) asserts</w:t>
      </w:r>
      <w:r>
        <w:t>:</w:t>
      </w:r>
      <w:r w:rsidR="00683EDE" w:rsidRPr="00671701">
        <w:t xml:space="preserve"> </w:t>
      </w:r>
    </w:p>
    <w:p w14:paraId="7C5546DD" w14:textId="478109EF" w:rsidR="00DD6B59" w:rsidRPr="00671701" w:rsidRDefault="00671701" w:rsidP="00671701">
      <w:pPr>
        <w:ind w:left="720"/>
      </w:pPr>
      <w:r w:rsidRPr="00671701">
        <w:rPr>
          <w:color w:val="000000"/>
        </w:rPr>
        <w:t>Proactively seeking to build and maintain social licence around data use should, in the long-term, also help to increase public understanding of the benefits and risks of data sharing and linking. The public will then be in a better position to engage in debates about new proposals for data use, and to judge the consequences of breaches, if they occur, either with government data or that held by private bodies.</w:t>
      </w:r>
    </w:p>
    <w:p w14:paraId="4D9425F5" w14:textId="77777777" w:rsidR="00671701" w:rsidRPr="00671701" w:rsidRDefault="00671701"/>
    <w:p w14:paraId="2820CA2C" w14:textId="59EA891D" w:rsidR="00F54AD0" w:rsidRDefault="00F54AD0">
      <w:r>
        <w:t xml:space="preserve">The concept of social licence </w:t>
      </w:r>
      <w:bookmarkStart w:id="5" w:name="_Hlk67827860"/>
      <w:r>
        <w:t xml:space="preserve">concerns social </w:t>
      </w:r>
      <w:r w:rsidR="00246E15">
        <w:t xml:space="preserve">legitimacy and </w:t>
      </w:r>
      <w:r>
        <w:t>acceptance of practices that lie outside general norms.</w:t>
      </w:r>
      <w:bookmarkEnd w:id="5"/>
      <w:r>
        <w:t xml:space="preserve">  It draws attention to the issue that </w:t>
      </w:r>
      <w:r w:rsidR="00A01466">
        <w:t xml:space="preserve">formal </w:t>
      </w:r>
      <w:r>
        <w:t>legal authority to share and link data does not automatically comm</w:t>
      </w:r>
      <w:r w:rsidR="00A01466">
        <w:t>a</w:t>
      </w:r>
      <w:r>
        <w:t>nd social trust and consensus.  For example, Pa</w:t>
      </w:r>
      <w:r w:rsidR="004B5842">
        <w:t xml:space="preserve">m </w:t>
      </w:r>
      <w:r>
        <w:t>Carter and colleagues (2015) drew on the concept of social licence to explain</w:t>
      </w:r>
      <w:r w:rsidR="001748DB">
        <w:t xml:space="preserve"> </w:t>
      </w:r>
      <w:r w:rsidR="00A01466">
        <w:t>public concern about the</w:t>
      </w:r>
      <w:r w:rsidR="001748DB">
        <w:t xml:space="preserve"> UK</w:t>
      </w:r>
      <w:r w:rsidR="00A01466">
        <w:t xml:space="preserve"> ‘</w:t>
      </w:r>
      <w:proofErr w:type="spellStart"/>
      <w:r w:rsidR="00A01466">
        <w:t>care.data</w:t>
      </w:r>
      <w:proofErr w:type="spellEnd"/>
      <w:r w:rsidR="00A01466">
        <w:t>’ initiative</w:t>
      </w:r>
      <w:r w:rsidR="00683EDE">
        <w:t>,</w:t>
      </w:r>
      <w:r w:rsidR="00A01466">
        <w:t xml:space="preserve"> involving </w:t>
      </w:r>
      <w:r w:rsidR="004B5842">
        <w:t>the shari</w:t>
      </w:r>
      <w:r w:rsidR="00A01466">
        <w:t xml:space="preserve">ng of </w:t>
      </w:r>
      <w:r w:rsidR="00295A64">
        <w:t xml:space="preserve">personal </w:t>
      </w:r>
      <w:r w:rsidR="00A01466">
        <w:t xml:space="preserve">medical records for </w:t>
      </w:r>
      <w:r w:rsidR="00DC33F7">
        <w:t xml:space="preserve">secondary </w:t>
      </w:r>
      <w:r w:rsidR="00A01466">
        <w:t>purposes</w:t>
      </w:r>
      <w:r w:rsidR="00403279">
        <w:t>. They argued</w:t>
      </w:r>
      <w:r w:rsidR="004B5842">
        <w:t xml:space="preserve"> that th</w:t>
      </w:r>
      <w:r w:rsidR="00683EDE">
        <w:t>e lack of public social licence</w:t>
      </w:r>
      <w:r w:rsidR="004B5842">
        <w:t xml:space="preserve"> </w:t>
      </w:r>
      <w:r w:rsidR="00403279">
        <w:t xml:space="preserve">for the initiative </w:t>
      </w:r>
      <w:r w:rsidR="004B5842">
        <w:t xml:space="preserve">was related to </w:t>
      </w:r>
      <w:r w:rsidR="00683EDE">
        <w:t xml:space="preserve">poor </w:t>
      </w:r>
      <w:r w:rsidR="00246E15">
        <w:t xml:space="preserve">provision of </w:t>
      </w:r>
      <w:r w:rsidR="004B5842">
        <w:t>trust</w:t>
      </w:r>
      <w:r w:rsidR="00246E15">
        <w:t>worthy information</w:t>
      </w:r>
      <w:r w:rsidR="004B5842">
        <w:t>,</w:t>
      </w:r>
      <w:r w:rsidR="00246E15">
        <w:t xml:space="preserve"> the</w:t>
      </w:r>
      <w:r w:rsidR="004B5842">
        <w:t xml:space="preserve"> rupturing of </w:t>
      </w:r>
      <w:r w:rsidR="00246E15">
        <w:t xml:space="preserve">normative </w:t>
      </w:r>
      <w:r w:rsidR="004B5842">
        <w:t xml:space="preserve">GP-patient relations, and </w:t>
      </w:r>
      <w:r w:rsidR="00246E15">
        <w:t xml:space="preserve">little evidence of any </w:t>
      </w:r>
      <w:r w:rsidR="004B5842">
        <w:t>public good.</w:t>
      </w:r>
      <w:r w:rsidR="00CD45F1">
        <w:t xml:space="preserve"> </w:t>
      </w:r>
      <w:r w:rsidR="00AC7CCD">
        <w:t xml:space="preserve"> </w:t>
      </w:r>
      <w:r w:rsidR="00DC33F7">
        <w:t>Similar social licence points have been made about public backlash</w:t>
      </w:r>
      <w:r w:rsidR="006D10C4">
        <w:t>es</w:t>
      </w:r>
      <w:r w:rsidR="00DC33F7">
        <w:t xml:space="preserve"> over Australian Bureau of Census plans to link </w:t>
      </w:r>
      <w:proofErr w:type="gramStart"/>
      <w:r w:rsidR="00DC33F7">
        <w:t>individually-identified</w:t>
      </w:r>
      <w:proofErr w:type="gramEnd"/>
      <w:r w:rsidR="00DC33F7">
        <w:t xml:space="preserve"> data </w:t>
      </w:r>
      <w:r w:rsidR="006D10C4">
        <w:t xml:space="preserve">with other public </w:t>
      </w:r>
      <w:r w:rsidR="00DC33F7">
        <w:t>records (Easton</w:t>
      </w:r>
      <w:r w:rsidR="00366A0E">
        <w:t>,</w:t>
      </w:r>
      <w:r w:rsidR="00DC33F7">
        <w:t xml:space="preserve"> 2017)</w:t>
      </w:r>
      <w:r w:rsidR="006D10C4">
        <w:t>, and US health care organisation plans to share data with Google</w:t>
      </w:r>
      <w:r w:rsidR="00CD2F23">
        <w:t xml:space="preserve"> for advanced analytics</w:t>
      </w:r>
      <w:r w:rsidR="006D10C4">
        <w:t xml:space="preserve"> (Wachter </w:t>
      </w:r>
      <w:r w:rsidR="00366A0E">
        <w:t>&amp;</w:t>
      </w:r>
      <w:r w:rsidR="006D10C4">
        <w:t xml:space="preserve"> Cassell, 2020).</w:t>
      </w:r>
      <w:r w:rsidR="00DC33F7">
        <w:t xml:space="preserve">  </w:t>
      </w:r>
      <w:r w:rsidR="00CD45F1">
        <w:t>Legal licence is not necessarily a foundation for social licence.</w:t>
      </w:r>
    </w:p>
    <w:p w14:paraId="099D5F99" w14:textId="77777777" w:rsidR="00F54AD0" w:rsidRDefault="00F54AD0"/>
    <w:p w14:paraId="22A0B3B2" w14:textId="763376A4" w:rsidR="00137AD9" w:rsidRDefault="00854AC9">
      <w:r>
        <w:t>Crucially, s</w:t>
      </w:r>
      <w:r w:rsidR="00137AD9">
        <w:t xml:space="preserve">ocial licence as a conceptual approach treats </w:t>
      </w:r>
      <w:r w:rsidR="006A5175">
        <w:t xml:space="preserve">broad </w:t>
      </w:r>
      <w:r w:rsidR="00137AD9">
        <w:t>acceptance of legitimacy and the trust that sustains it as relational, emerging from situated perceptions and understandings</w:t>
      </w:r>
      <w:r w:rsidR="00EB2786">
        <w:t xml:space="preserve">. </w:t>
      </w:r>
      <w:r w:rsidR="007950FA">
        <w:t xml:space="preserve"> </w:t>
      </w:r>
      <w:r w:rsidR="00855DA1">
        <w:t xml:space="preserve">As such, it is </w:t>
      </w:r>
      <w:r w:rsidR="007950FA">
        <w:t xml:space="preserve">a dynamic process. </w:t>
      </w:r>
      <w:r w:rsidR="00EB2786">
        <w:t xml:space="preserve"> </w:t>
      </w:r>
      <w:r w:rsidR="001748DB">
        <w:t>The focus on a consensus of social approval</w:t>
      </w:r>
      <w:r w:rsidR="00683EDE">
        <w:t xml:space="preserve"> draws on sociological theorising about the relationship between professionals and society</w:t>
      </w:r>
      <w:r w:rsidR="00DA5CA0">
        <w:t xml:space="preserve">.  </w:t>
      </w:r>
      <w:r w:rsidR="00427513">
        <w:t xml:space="preserve">Notably, Everett </w:t>
      </w:r>
      <w:r w:rsidR="00DA5CA0">
        <w:t xml:space="preserve">Hughes </w:t>
      </w:r>
      <w:r w:rsidR="00427513">
        <w:t xml:space="preserve">(1958) </w:t>
      </w:r>
      <w:r w:rsidR="00DA5CA0">
        <w:t xml:space="preserve">conceptualised </w:t>
      </w:r>
      <w:r w:rsidR="00295A64">
        <w:t>professional group</w:t>
      </w:r>
      <w:r w:rsidR="00DA5CA0">
        <w:t>s as</w:t>
      </w:r>
      <w:r w:rsidR="00295A64">
        <w:t xml:space="preserve"> socially licenced to carry out </w:t>
      </w:r>
      <w:proofErr w:type="gramStart"/>
      <w:r w:rsidR="00295A64">
        <w:t>particular activities</w:t>
      </w:r>
      <w:proofErr w:type="gramEnd"/>
      <w:r w:rsidR="00403279">
        <w:t>;</w:t>
      </w:r>
      <w:r w:rsidR="00295A64">
        <w:t xml:space="preserve"> </w:t>
      </w:r>
      <w:r w:rsidR="00DA5CA0">
        <w:t xml:space="preserve">that is, </w:t>
      </w:r>
      <w:r w:rsidR="006A5175">
        <w:t xml:space="preserve">the public </w:t>
      </w:r>
      <w:r w:rsidR="00DA5CA0">
        <w:t xml:space="preserve">affords permission to professions to adopt practices </w:t>
      </w:r>
      <w:r w:rsidR="006A5175">
        <w:t xml:space="preserve">that </w:t>
      </w:r>
      <w:r w:rsidR="003423D5">
        <w:t xml:space="preserve">lie </w:t>
      </w:r>
      <w:r w:rsidR="00615125">
        <w:t xml:space="preserve">beyond </w:t>
      </w:r>
      <w:r w:rsidR="00CB089C">
        <w:t xml:space="preserve">normative </w:t>
      </w:r>
      <w:r w:rsidR="00DA5CA0">
        <w:t>convention</w:t>
      </w:r>
      <w:r w:rsidR="00615125">
        <w:t>s</w:t>
      </w:r>
      <w:r w:rsidR="00DA5CA0">
        <w:t xml:space="preserve"> without incurring any social sanction</w:t>
      </w:r>
      <w:r w:rsidR="006A5175">
        <w:t xml:space="preserve">.  Another source of the concept of social licence is the </w:t>
      </w:r>
      <w:r w:rsidR="00683EDE">
        <w:t>examination of corporate responsibility in extraction industries</w:t>
      </w:r>
      <w:r w:rsidR="00DA5CA0">
        <w:t>, where the environment or communities may be harmed by their activities</w:t>
      </w:r>
      <w:r w:rsidR="00683EDE">
        <w:t xml:space="preserve"> (</w:t>
      </w:r>
      <w:proofErr w:type="gramStart"/>
      <w:r w:rsidR="00683EDE">
        <w:t>e.g.</w:t>
      </w:r>
      <w:proofErr w:type="gramEnd"/>
      <w:r w:rsidR="00683EDE">
        <w:t xml:space="preserve"> </w:t>
      </w:r>
      <w:r w:rsidR="00683EDE" w:rsidRPr="006E41AC">
        <w:t xml:space="preserve">Thomson </w:t>
      </w:r>
      <w:r w:rsidR="00366A0E">
        <w:t>&amp;</w:t>
      </w:r>
      <w:r w:rsidR="00683EDE" w:rsidRPr="006E41AC">
        <w:t xml:space="preserve"> </w:t>
      </w:r>
      <w:proofErr w:type="spellStart"/>
      <w:r w:rsidR="00683EDE" w:rsidRPr="006E41AC">
        <w:t>Boutilier</w:t>
      </w:r>
      <w:proofErr w:type="spellEnd"/>
      <w:r w:rsidR="00683EDE" w:rsidRPr="006E41AC">
        <w:t>, 2011)</w:t>
      </w:r>
      <w:r w:rsidR="00DA5CA0">
        <w:t xml:space="preserve">.  In this field there is a </w:t>
      </w:r>
      <w:r w:rsidR="00CB089C">
        <w:t>strand of</w:t>
      </w:r>
      <w:r w:rsidR="00DA5CA0">
        <w:t xml:space="preserve"> </w:t>
      </w:r>
      <w:r w:rsidR="00CB089C">
        <w:t xml:space="preserve">literature that </w:t>
      </w:r>
      <w:r w:rsidR="00295A64">
        <w:t xml:space="preserve">stresses </w:t>
      </w:r>
      <w:r w:rsidR="00683EDE">
        <w:t xml:space="preserve">the need to build and maintain </w:t>
      </w:r>
      <w:r w:rsidR="00796FA2">
        <w:t xml:space="preserve">a consensus of </w:t>
      </w:r>
      <w:r w:rsidR="00683EDE">
        <w:t xml:space="preserve">social licence among </w:t>
      </w:r>
      <w:r w:rsidR="00DD6B59">
        <w:t xml:space="preserve">relevant stakeholders, especially </w:t>
      </w:r>
      <w:r w:rsidR="00683EDE">
        <w:t xml:space="preserve">the </w:t>
      </w:r>
      <w:proofErr w:type="gramStart"/>
      <w:r w:rsidR="00683EDE">
        <w:t>particular population</w:t>
      </w:r>
      <w:proofErr w:type="gramEnd"/>
      <w:r w:rsidR="00683EDE">
        <w:t xml:space="preserve"> affected</w:t>
      </w:r>
      <w:r w:rsidR="00DD6B59">
        <w:t>,</w:t>
      </w:r>
      <w:r w:rsidR="001748DB">
        <w:t xml:space="preserve"> even if operating within the law</w:t>
      </w:r>
      <w:r w:rsidR="00683EDE">
        <w:t xml:space="preserve">.  </w:t>
      </w:r>
      <w:r w:rsidR="001748DB">
        <w:t xml:space="preserve">Social licence, then, points to the need for agencies undertaking activities that could </w:t>
      </w:r>
      <w:r w:rsidR="00CD45F1">
        <w:t>give rise to</w:t>
      </w:r>
      <w:r w:rsidR="001748DB">
        <w:t xml:space="preserve"> public concern and controversy to go further than compliance with legal requirements, to </w:t>
      </w:r>
      <w:r w:rsidR="00403279">
        <w:t>make</w:t>
      </w:r>
      <w:r>
        <w:t xml:space="preserve"> ongoing</w:t>
      </w:r>
      <w:r w:rsidR="00403279">
        <w:t xml:space="preserve"> efforts to </w:t>
      </w:r>
      <w:r w:rsidR="001748DB">
        <w:t xml:space="preserve">secure </w:t>
      </w:r>
      <w:r w:rsidR="00CD45F1">
        <w:t xml:space="preserve">and maintain </w:t>
      </w:r>
      <w:r w:rsidR="001748DB">
        <w:t>social licence.</w:t>
      </w:r>
    </w:p>
    <w:p w14:paraId="4E2C3E0E" w14:textId="24CD0EA9" w:rsidR="00683EDE" w:rsidRDefault="00683EDE"/>
    <w:p w14:paraId="70CF4992" w14:textId="35F5FC92" w:rsidR="00683EDE" w:rsidRPr="007B24DF" w:rsidRDefault="00683EDE">
      <w:pPr>
        <w:rPr>
          <w:color w:val="C00000"/>
        </w:rPr>
      </w:pPr>
      <w:r>
        <w:t>In the context</w:t>
      </w:r>
      <w:r w:rsidR="009A1225">
        <w:t>s</w:t>
      </w:r>
      <w:r>
        <w:t xml:space="preserve"> of emphasis on data linkage and analytics in the </w:t>
      </w:r>
      <w:r w:rsidR="009A1225">
        <w:t>field of family policy and early intervention, and concern about the existence and sustenance of trust and ethical practice, we undertook an investigation of social licence among the population implicated: parents of dependent children</w:t>
      </w:r>
      <w:r w:rsidR="009A1225" w:rsidRPr="007B24DF">
        <w:rPr>
          <w:color w:val="C00000"/>
        </w:rPr>
        <w:t>.</w:t>
      </w:r>
      <w:r w:rsidR="007B24DF" w:rsidRPr="007B24DF">
        <w:rPr>
          <w:color w:val="C00000"/>
        </w:rPr>
        <w:t xml:space="preserve">  If policymakers and service providers are to begin to engage </w:t>
      </w:r>
      <w:r w:rsidR="007B24DF">
        <w:rPr>
          <w:color w:val="C00000"/>
        </w:rPr>
        <w:t xml:space="preserve">with </w:t>
      </w:r>
      <w:r w:rsidR="007B24DF" w:rsidRPr="007B24DF">
        <w:rPr>
          <w:color w:val="C00000"/>
        </w:rPr>
        <w:t xml:space="preserve">social licence </w:t>
      </w:r>
      <w:r w:rsidR="007B24DF">
        <w:rPr>
          <w:color w:val="C00000"/>
        </w:rPr>
        <w:t xml:space="preserve">as a dynamic </w:t>
      </w:r>
      <w:r w:rsidR="007B24DF" w:rsidRPr="007B24DF">
        <w:rPr>
          <w:color w:val="C00000"/>
        </w:rPr>
        <w:t xml:space="preserve">process, there needs to be some knowledge of the bases from which they are starting.  If social licence already exists and </w:t>
      </w:r>
      <w:r w:rsidR="00855DA1">
        <w:rPr>
          <w:color w:val="C00000"/>
        </w:rPr>
        <w:t>engagement</w:t>
      </w:r>
      <w:r w:rsidR="007B24DF" w:rsidRPr="007B24DF">
        <w:rPr>
          <w:color w:val="C00000"/>
        </w:rPr>
        <w:t xml:space="preserve"> is directed towards maintaining it, then that will </w:t>
      </w:r>
      <w:r w:rsidR="007B24DF">
        <w:rPr>
          <w:color w:val="C00000"/>
        </w:rPr>
        <w:t xml:space="preserve">involve </w:t>
      </w:r>
      <w:r w:rsidR="007B24DF" w:rsidRPr="007B24DF">
        <w:rPr>
          <w:color w:val="C00000"/>
        </w:rPr>
        <w:t xml:space="preserve">a different sort of dialogue </w:t>
      </w:r>
      <w:r w:rsidR="007B24DF">
        <w:rPr>
          <w:color w:val="C00000"/>
        </w:rPr>
        <w:t xml:space="preserve">with stakeholders </w:t>
      </w:r>
      <w:r w:rsidR="007B24DF" w:rsidRPr="007B24DF">
        <w:rPr>
          <w:color w:val="C00000"/>
        </w:rPr>
        <w:t xml:space="preserve">than understanding where it does not exist and needs to be built.  Relatedly, </w:t>
      </w:r>
      <w:r w:rsidR="00855DA1">
        <w:rPr>
          <w:color w:val="C00000"/>
        </w:rPr>
        <w:t xml:space="preserve">dialogue </w:t>
      </w:r>
      <w:r w:rsidR="007B24DF" w:rsidRPr="007B24DF">
        <w:rPr>
          <w:color w:val="C00000"/>
        </w:rPr>
        <w:t xml:space="preserve">with those most likely to be implicated in a policy action may look very different from </w:t>
      </w:r>
      <w:r w:rsidR="00855DA1">
        <w:rPr>
          <w:color w:val="C00000"/>
        </w:rPr>
        <w:t>engagement</w:t>
      </w:r>
      <w:r w:rsidR="007B24DF" w:rsidRPr="007B24DF">
        <w:rPr>
          <w:color w:val="C00000"/>
        </w:rPr>
        <w:t xml:space="preserve"> with those who are least likely to be.  Alternatively, the social licence knowledge base may mean that policymakers and service providers understand that </w:t>
      </w:r>
      <w:r w:rsidR="007B24DF">
        <w:rPr>
          <w:color w:val="C00000"/>
        </w:rPr>
        <w:t>a</w:t>
      </w:r>
      <w:r w:rsidR="007B24DF" w:rsidRPr="007B24DF">
        <w:rPr>
          <w:color w:val="C00000"/>
        </w:rPr>
        <w:t xml:space="preserve"> policy action should not be pursued because</w:t>
      </w:r>
      <w:r w:rsidR="007B24DF">
        <w:rPr>
          <w:color w:val="C00000"/>
        </w:rPr>
        <w:t xml:space="preserve"> of unintended cons</w:t>
      </w:r>
      <w:r w:rsidR="00A45103">
        <w:rPr>
          <w:color w:val="C00000"/>
        </w:rPr>
        <w:t>e</w:t>
      </w:r>
      <w:r w:rsidR="007B24DF">
        <w:rPr>
          <w:color w:val="C00000"/>
        </w:rPr>
        <w:t>quences</w:t>
      </w:r>
      <w:r w:rsidR="007B24DF" w:rsidRPr="007B24DF">
        <w:rPr>
          <w:color w:val="C00000"/>
        </w:rPr>
        <w:t xml:space="preserve">.  </w:t>
      </w:r>
    </w:p>
    <w:p w14:paraId="7FEEEF99" w14:textId="4720B27E" w:rsidR="007D7AF5" w:rsidRDefault="007D7AF5"/>
    <w:p w14:paraId="776FA562" w14:textId="46E2F864" w:rsidR="007D7AF5" w:rsidRPr="00484164" w:rsidRDefault="007D7AF5">
      <w:pPr>
        <w:rPr>
          <w:b/>
          <w:bCs/>
        </w:rPr>
      </w:pPr>
      <w:r w:rsidRPr="00484164">
        <w:rPr>
          <w:b/>
          <w:bCs/>
        </w:rPr>
        <w:t>Our survey</w:t>
      </w:r>
    </w:p>
    <w:p w14:paraId="1C38B8BB" w14:textId="77777777" w:rsidR="00585900" w:rsidRPr="00EC6BD8" w:rsidRDefault="00585900" w:rsidP="0097277F">
      <w:pPr>
        <w:rPr>
          <w:rFonts w:eastAsiaTheme="minorHAnsi" w:cs="Calibri"/>
        </w:rPr>
      </w:pPr>
    </w:p>
    <w:p w14:paraId="5B3F74B7" w14:textId="0858323E" w:rsidR="00CF21E9" w:rsidRDefault="0097277F" w:rsidP="00585900">
      <w:pPr>
        <w:rPr>
          <w:rFonts w:cstheme="minorHAnsi"/>
        </w:rPr>
      </w:pPr>
      <w:r w:rsidRPr="00EC6BD8">
        <w:rPr>
          <w:rFonts w:eastAsiaTheme="minorHAnsi" w:cs="Calibri"/>
        </w:rPr>
        <w:t>Our</w:t>
      </w:r>
      <w:r w:rsidR="004B61B2" w:rsidRPr="00EC6BD8">
        <w:rPr>
          <w:rFonts w:eastAsiaTheme="minorHAnsi" w:cs="Calibri"/>
        </w:rPr>
        <w:t xml:space="preserve"> </w:t>
      </w:r>
      <w:r w:rsidR="00450155">
        <w:rPr>
          <w:rFonts w:eastAsiaTheme="minorHAnsi" w:cs="Calibri"/>
        </w:rPr>
        <w:t xml:space="preserve">Parental Social Licence for Data Linkage for Service Intervention </w:t>
      </w:r>
      <w:r w:rsidR="002F37B3" w:rsidRPr="002F37B3">
        <w:rPr>
          <w:rFonts w:eastAsiaTheme="minorHAnsi" w:cs="Calibri"/>
        </w:rPr>
        <w:t>project</w:t>
      </w:r>
      <w:r w:rsidRPr="00EC6BD8">
        <w:rPr>
          <w:rFonts w:eastAsiaTheme="minorHAnsi" w:cs="Calibri"/>
          <w:i/>
          <w:iCs/>
          <w:vertAlign w:val="superscript"/>
        </w:rPr>
        <w:footnoteReference w:id="2"/>
      </w:r>
      <w:r w:rsidRPr="00EC6BD8">
        <w:rPr>
          <w:rFonts w:eastAsiaTheme="minorHAnsi" w:cs="Calibri"/>
        </w:rPr>
        <w:t xml:space="preserve"> </w:t>
      </w:r>
      <w:r w:rsidR="00477657" w:rsidRPr="00EC6BD8">
        <w:rPr>
          <w:rFonts w:eastAsiaTheme="minorHAnsi" w:cs="Calibri"/>
        </w:rPr>
        <w:t>investigates the dyn</w:t>
      </w:r>
      <w:r w:rsidR="00622E18" w:rsidRPr="00EC6BD8">
        <w:rPr>
          <w:rFonts w:eastAsiaTheme="minorHAnsi" w:cs="Calibri"/>
        </w:rPr>
        <w:t>a</w:t>
      </w:r>
      <w:r w:rsidR="00477657" w:rsidRPr="00EC6BD8">
        <w:rPr>
          <w:rFonts w:eastAsiaTheme="minorHAnsi" w:cs="Calibri"/>
        </w:rPr>
        <w:t>mics of social licence and trust for the operational use of data linkage and predictive analyt</w:t>
      </w:r>
      <w:r w:rsidR="00622E18" w:rsidRPr="00EC6BD8">
        <w:rPr>
          <w:rFonts w:eastAsiaTheme="minorHAnsi" w:cs="Calibri"/>
        </w:rPr>
        <w:t>ic</w:t>
      </w:r>
      <w:r w:rsidR="00477657" w:rsidRPr="00EC6BD8">
        <w:rPr>
          <w:rFonts w:eastAsiaTheme="minorHAnsi" w:cs="Calibri"/>
        </w:rPr>
        <w:t xml:space="preserve">s to identify families for service intervention. </w:t>
      </w:r>
      <w:r w:rsidR="00622E18" w:rsidRPr="00EC6BD8">
        <w:rPr>
          <w:rFonts w:eastAsiaTheme="minorHAnsi" w:cs="Calibri"/>
        </w:rPr>
        <w:t xml:space="preserve"> </w:t>
      </w:r>
      <w:r w:rsidR="00477657" w:rsidRPr="00EC6BD8">
        <w:rPr>
          <w:rFonts w:eastAsiaTheme="minorHAnsi" w:cs="Calibri"/>
        </w:rPr>
        <w:t xml:space="preserve">It </w:t>
      </w:r>
      <w:r w:rsidR="00622E18" w:rsidRPr="00EC6BD8">
        <w:rPr>
          <w:rFonts w:eastAsiaTheme="minorHAnsi" w:cs="Calibri"/>
        </w:rPr>
        <w:t>aims to</w:t>
      </w:r>
      <w:r w:rsidRPr="00EC6BD8">
        <w:rPr>
          <w:rFonts w:eastAsiaTheme="minorHAnsi" w:cs="Calibri"/>
        </w:rPr>
        <w:t xml:space="preserve"> p</w:t>
      </w:r>
      <w:r w:rsidRPr="00EC6BD8">
        <w:rPr>
          <w:rFonts w:eastAsiaTheme="minorHAnsi" w:cs="Calibri"/>
          <w:shd w:val="clear" w:color="auto" w:fill="FFFFFF"/>
        </w:rPr>
        <w:t>rovid</w:t>
      </w:r>
      <w:r w:rsidR="00622E18" w:rsidRPr="00EC6BD8">
        <w:rPr>
          <w:rFonts w:eastAsiaTheme="minorHAnsi" w:cs="Calibri"/>
          <w:shd w:val="clear" w:color="auto" w:fill="FFFFFF"/>
        </w:rPr>
        <w:t>e</w:t>
      </w:r>
      <w:r w:rsidRPr="00EC6BD8">
        <w:rPr>
          <w:rFonts w:eastAsiaTheme="minorHAnsi" w:cs="Calibri"/>
          <w:shd w:val="clear" w:color="auto" w:fill="FFFFFF"/>
        </w:rPr>
        <w:t xml:space="preserve"> a</w:t>
      </w:r>
      <w:r w:rsidR="00855DA1">
        <w:rPr>
          <w:rFonts w:eastAsiaTheme="minorHAnsi" w:cs="Calibri"/>
          <w:shd w:val="clear" w:color="auto" w:fill="FFFFFF"/>
        </w:rPr>
        <w:t>n</w:t>
      </w:r>
      <w:r w:rsidRPr="00EC6BD8">
        <w:rPr>
          <w:rFonts w:eastAsiaTheme="minorHAnsi" w:cs="Calibri"/>
          <w:shd w:val="clear" w:color="auto" w:fill="FFFFFF"/>
        </w:rPr>
        <w:t xml:space="preserve"> understanding </w:t>
      </w:r>
      <w:r w:rsidR="004B61B2" w:rsidRPr="00EC6BD8">
        <w:rPr>
          <w:rFonts w:cs="Helvetica"/>
          <w:shd w:val="clear" w:color="auto" w:fill="FFFFFF"/>
        </w:rPr>
        <w:t xml:space="preserve">of social licence </w:t>
      </w:r>
      <w:r w:rsidR="00122A6B">
        <w:rPr>
          <w:rFonts w:cs="Helvetica"/>
          <w:shd w:val="clear" w:color="auto" w:fill="FFFFFF"/>
        </w:rPr>
        <w:t xml:space="preserve">for these data practices </w:t>
      </w:r>
      <w:r w:rsidR="004B61B2" w:rsidRPr="00EC6BD8">
        <w:rPr>
          <w:rFonts w:cs="Helvetica"/>
          <w:shd w:val="clear" w:color="auto" w:fill="FFFFFF"/>
        </w:rPr>
        <w:t xml:space="preserve">among </w:t>
      </w:r>
      <w:r w:rsidR="00122A6B">
        <w:rPr>
          <w:rFonts w:cs="Helvetica"/>
          <w:shd w:val="clear" w:color="auto" w:fill="FFFFFF"/>
        </w:rPr>
        <w:t xml:space="preserve">those implicated: </w:t>
      </w:r>
      <w:r w:rsidR="004B61B2" w:rsidRPr="00EC6BD8">
        <w:rPr>
          <w:rFonts w:cs="Helvetica"/>
          <w:shd w:val="clear" w:color="auto" w:fill="FFFFFF"/>
        </w:rPr>
        <w:t>parents of dependent children</w:t>
      </w:r>
      <w:r w:rsidR="00122A6B">
        <w:rPr>
          <w:rFonts w:cs="Helvetica"/>
          <w:shd w:val="clear" w:color="auto" w:fill="FFFFFF"/>
        </w:rPr>
        <w:t xml:space="preserve"> (&lt;16 years)</w:t>
      </w:r>
      <w:r w:rsidR="004B61B2" w:rsidRPr="00EC6BD8">
        <w:rPr>
          <w:rFonts w:cs="Helvetica"/>
          <w:shd w:val="clear" w:color="auto" w:fill="FFFFFF"/>
        </w:rPr>
        <w:t xml:space="preserve">. </w:t>
      </w:r>
      <w:r w:rsidR="00122A6B">
        <w:rPr>
          <w:rFonts w:cs="Helvetica"/>
          <w:shd w:val="clear" w:color="auto" w:fill="FFFFFF"/>
        </w:rPr>
        <w:t xml:space="preserve"> </w:t>
      </w:r>
      <w:r w:rsidR="00622E18" w:rsidRPr="00EC6BD8">
        <w:rPr>
          <w:rFonts w:eastAsiaTheme="minorHAnsi" w:cs="Calibri"/>
        </w:rPr>
        <w:t>A</w:t>
      </w:r>
      <w:r w:rsidRPr="00EC6BD8">
        <w:rPr>
          <w:rFonts w:eastAsiaTheme="minorHAnsi" w:cs="Calibri"/>
        </w:rPr>
        <w:t xml:space="preserve">s </w:t>
      </w:r>
      <w:r w:rsidRPr="00EC6BD8">
        <w:rPr>
          <w:rFonts w:eastAsiaTheme="minorHAnsi" w:cs="Calibri"/>
          <w:shd w:val="clear" w:color="auto" w:fill="FFFFFF"/>
        </w:rPr>
        <w:t xml:space="preserve">part of our </w:t>
      </w:r>
      <w:proofErr w:type="gramStart"/>
      <w:r w:rsidRPr="00EC6BD8">
        <w:rPr>
          <w:rFonts w:eastAsiaTheme="minorHAnsi" w:cs="Calibri"/>
          <w:shd w:val="clear" w:color="auto" w:fill="FFFFFF"/>
        </w:rPr>
        <w:t>research</w:t>
      </w:r>
      <w:proofErr w:type="gramEnd"/>
      <w:r w:rsidRPr="00EC6BD8">
        <w:rPr>
          <w:rFonts w:eastAsiaTheme="minorHAnsi" w:cs="Calibri"/>
          <w:shd w:val="clear" w:color="auto" w:fill="FFFFFF"/>
        </w:rPr>
        <w:t xml:space="preserve"> </w:t>
      </w:r>
      <w:r w:rsidR="00622E18" w:rsidRPr="00EC6BD8">
        <w:rPr>
          <w:rFonts w:eastAsiaTheme="minorHAnsi" w:cs="Calibri"/>
          <w:shd w:val="clear" w:color="auto" w:fill="FFFFFF"/>
        </w:rPr>
        <w:t xml:space="preserve">we commissioned </w:t>
      </w:r>
      <w:r w:rsidR="0059668B">
        <w:t xml:space="preserve">from </w:t>
      </w:r>
      <w:proofErr w:type="spellStart"/>
      <w:r w:rsidR="0059668B">
        <w:t>NatCen</w:t>
      </w:r>
      <w:proofErr w:type="spellEnd"/>
      <w:r w:rsidR="00585900" w:rsidRPr="00EC6BD8">
        <w:t xml:space="preserve"> </w:t>
      </w:r>
      <w:r w:rsidR="0059668B">
        <w:t xml:space="preserve">an </w:t>
      </w:r>
      <w:r w:rsidR="00585900" w:rsidRPr="00EC6BD8">
        <w:t>online and telephone probability-based panel survey</w:t>
      </w:r>
      <w:r w:rsidR="00926B6A">
        <w:t>, designed to be representative</w:t>
      </w:r>
      <w:r w:rsidR="00585900" w:rsidRPr="00EC6BD8">
        <w:t xml:space="preserve"> of </w:t>
      </w:r>
      <w:r w:rsidR="00122A6B">
        <w:t xml:space="preserve">parents </w:t>
      </w:r>
      <w:r w:rsidR="00585900" w:rsidRPr="00EC6BD8">
        <w:t>across the UK</w:t>
      </w:r>
      <w:r w:rsidR="00926B6A">
        <w:t xml:space="preserve">, </w:t>
      </w:r>
      <w:r w:rsidR="00122A6B" w:rsidRPr="00EC6BD8">
        <w:rPr>
          <w:rFonts w:cstheme="minorHAnsi"/>
        </w:rPr>
        <w:t xml:space="preserve">to </w:t>
      </w:r>
      <w:r w:rsidR="00122A6B">
        <w:rPr>
          <w:rFonts w:cstheme="minorHAnsi"/>
        </w:rPr>
        <w:t>gain an understanding about what</w:t>
      </w:r>
      <w:r w:rsidR="00CF21E9">
        <w:rPr>
          <w:rFonts w:cstheme="minorHAnsi"/>
        </w:rPr>
        <w:t xml:space="preserve"> parents</w:t>
      </w:r>
      <w:r w:rsidR="00122A6B">
        <w:rPr>
          <w:rFonts w:cstheme="minorHAnsi"/>
        </w:rPr>
        <w:t xml:space="preserve"> deem to be acceptable or unacceptable</w:t>
      </w:r>
      <w:r w:rsidR="00CF21E9">
        <w:rPr>
          <w:rFonts w:cstheme="minorHAnsi"/>
        </w:rPr>
        <w:t xml:space="preserve"> in relation to data linkage and analytics, and to </w:t>
      </w:r>
      <w:r w:rsidR="00122A6B" w:rsidRPr="00EC6BD8">
        <w:rPr>
          <w:rFonts w:cstheme="minorHAnsi"/>
        </w:rPr>
        <w:t>assess if there is any discernible consensus</w:t>
      </w:r>
      <w:r w:rsidR="00122A6B">
        <w:rPr>
          <w:rFonts w:cstheme="minorHAnsi"/>
        </w:rPr>
        <w:t xml:space="preserve"> indicating </w:t>
      </w:r>
      <w:r w:rsidR="00585900" w:rsidRPr="00EC6BD8">
        <w:rPr>
          <w:rFonts w:cstheme="minorHAnsi"/>
        </w:rPr>
        <w:t>parental social licence</w:t>
      </w:r>
      <w:r w:rsidR="00CF21E9">
        <w:rPr>
          <w:rFonts w:cstheme="minorHAnsi"/>
        </w:rPr>
        <w:t>.  T</w:t>
      </w:r>
      <w:r w:rsidR="00622E18" w:rsidRPr="00EC6BD8">
        <w:rPr>
          <w:rFonts w:cstheme="minorHAnsi"/>
        </w:rPr>
        <w:t xml:space="preserve">his </w:t>
      </w:r>
      <w:r w:rsidR="00427513">
        <w:rPr>
          <w:rFonts w:cstheme="minorHAnsi"/>
        </w:rPr>
        <w:t xml:space="preserve">is </w:t>
      </w:r>
      <w:r w:rsidR="00622E18" w:rsidRPr="00EC6BD8">
        <w:rPr>
          <w:rFonts w:cstheme="minorHAnsi"/>
        </w:rPr>
        <w:t>the source of the data that we draw on in this article</w:t>
      </w:r>
      <w:r w:rsidR="0088529C">
        <w:rPr>
          <w:rFonts w:cstheme="minorHAnsi"/>
        </w:rPr>
        <w:t>, specifically relating to the elements that addressed early intervention</w:t>
      </w:r>
      <w:r w:rsidR="00622E18" w:rsidRPr="00EC6BD8">
        <w:rPr>
          <w:rFonts w:cstheme="minorHAnsi"/>
        </w:rPr>
        <w:t>.</w:t>
      </w:r>
      <w:r w:rsidR="00122A6B">
        <w:rPr>
          <w:rFonts w:cstheme="minorHAnsi"/>
        </w:rPr>
        <w:t xml:space="preserve">  </w:t>
      </w:r>
    </w:p>
    <w:p w14:paraId="396E50A0" w14:textId="6DFFFCD6" w:rsidR="00BD52E9" w:rsidRDefault="00BD52E9" w:rsidP="00585900">
      <w:pPr>
        <w:rPr>
          <w:rFonts w:cstheme="minorHAnsi"/>
        </w:rPr>
      </w:pPr>
    </w:p>
    <w:p w14:paraId="0CD77870" w14:textId="38292144" w:rsidR="00BD52E9" w:rsidRPr="00BD52E9" w:rsidRDefault="00BD52E9" w:rsidP="00BD52E9">
      <w:pPr>
        <w:rPr>
          <w:rFonts w:cstheme="minorHAnsi"/>
          <w:color w:val="FF0000"/>
        </w:rPr>
      </w:pPr>
      <w:r w:rsidRPr="00BD52E9">
        <w:rPr>
          <w:color w:val="FF0000"/>
        </w:rPr>
        <w:t xml:space="preserve">The </w:t>
      </w:r>
      <w:proofErr w:type="spellStart"/>
      <w:r w:rsidRPr="00BD52E9">
        <w:rPr>
          <w:color w:val="FF0000"/>
        </w:rPr>
        <w:t>NatCen</w:t>
      </w:r>
      <w:proofErr w:type="spellEnd"/>
      <w:r w:rsidRPr="00BD52E9">
        <w:rPr>
          <w:color w:val="FF0000"/>
        </w:rPr>
        <w:t xml:space="preserve"> panel is recruited from the British Social Attitudes survey, a </w:t>
      </w:r>
      <w:proofErr w:type="gramStart"/>
      <w:r w:rsidRPr="00BD52E9">
        <w:rPr>
          <w:color w:val="FF0000"/>
        </w:rPr>
        <w:t>high quality</w:t>
      </w:r>
      <w:proofErr w:type="gramEnd"/>
      <w:r w:rsidRPr="00BD52E9">
        <w:rPr>
          <w:color w:val="FF0000"/>
        </w:rPr>
        <w:t xml:space="preserve"> random probability-based face</w:t>
      </w:r>
      <w:r w:rsidR="0059668B">
        <w:rPr>
          <w:color w:val="FF0000"/>
        </w:rPr>
        <w:t>-</w:t>
      </w:r>
      <w:r w:rsidRPr="00BD52E9">
        <w:rPr>
          <w:color w:val="FF0000"/>
        </w:rPr>
        <w:t>to</w:t>
      </w:r>
      <w:r w:rsidR="0059668B">
        <w:rPr>
          <w:color w:val="FF0000"/>
        </w:rPr>
        <w:t>-</w:t>
      </w:r>
      <w:r w:rsidRPr="00BD52E9">
        <w:rPr>
          <w:color w:val="FF0000"/>
        </w:rPr>
        <w:t xml:space="preserve">face survey.  The research panel is designed to be representative of the population and produce reliable estimates of opinions.  It employs a sequential mixed mode fieldwork design, and weights for non-response.  Full details about the methodology of </w:t>
      </w:r>
      <w:proofErr w:type="spellStart"/>
      <w:r w:rsidRPr="00BD52E9">
        <w:rPr>
          <w:color w:val="FF0000"/>
        </w:rPr>
        <w:t>NatCen’s</w:t>
      </w:r>
      <w:proofErr w:type="spellEnd"/>
      <w:r w:rsidRPr="00BD52E9">
        <w:rPr>
          <w:color w:val="FF0000"/>
        </w:rPr>
        <w:t xml:space="preserve"> probability-based research panel are available at: </w:t>
      </w:r>
      <w:hyperlink r:id="rId9" w:history="1">
        <w:r w:rsidRPr="00BD52E9">
          <w:rPr>
            <w:rStyle w:val="Hyperlink"/>
            <w:rFonts w:eastAsiaTheme="minorHAnsi"/>
            <w:color w:val="FF0000"/>
          </w:rPr>
          <w:t>https://www.natcen.ac.uk/media/1484228/Developing-the-NatCen-Panel-V2.pdf</w:t>
        </w:r>
      </w:hyperlink>
      <w:r w:rsidRPr="00BD52E9">
        <w:rPr>
          <w:color w:val="FF0000"/>
        </w:rPr>
        <w:t xml:space="preserve">.  Questions for our data linkage survey were piloted through an online </w:t>
      </w:r>
      <w:proofErr w:type="gramStart"/>
      <w:r w:rsidRPr="00BD52E9">
        <w:rPr>
          <w:color w:val="FF0000"/>
        </w:rPr>
        <w:t>parents</w:t>
      </w:r>
      <w:proofErr w:type="gramEnd"/>
      <w:r w:rsidRPr="00BD52E9">
        <w:rPr>
          <w:color w:val="FF0000"/>
        </w:rPr>
        <w:t xml:space="preserve"> group initially, updated through analysis of subsequent government, corporate, advocacy and media </w:t>
      </w:r>
      <w:r w:rsidRPr="00BD52E9">
        <w:rPr>
          <w:color w:val="FF0000"/>
        </w:rPr>
        <w:lastRenderedPageBreak/>
        <w:t xml:space="preserve">publications, and refined in discussion with </w:t>
      </w:r>
      <w:proofErr w:type="spellStart"/>
      <w:r w:rsidRPr="00BD52E9">
        <w:rPr>
          <w:color w:val="FF0000"/>
        </w:rPr>
        <w:t>NatCen</w:t>
      </w:r>
      <w:proofErr w:type="spellEnd"/>
      <w:r w:rsidRPr="00BD52E9">
        <w:rPr>
          <w:color w:val="FF0000"/>
        </w:rPr>
        <w:t>.  Randomisation of statement sets within questions and flipping of answer option order was used to counter mode effects.</w:t>
      </w:r>
    </w:p>
    <w:p w14:paraId="7ED38398" w14:textId="2B1B33A9" w:rsidR="00CF21E9" w:rsidRPr="0075408D" w:rsidRDefault="00CF21E9" w:rsidP="00585900">
      <w:pPr>
        <w:rPr>
          <w:rFonts w:cstheme="minorHAnsi"/>
        </w:rPr>
      </w:pPr>
    </w:p>
    <w:p w14:paraId="05D3D24D" w14:textId="78D71FCA" w:rsidR="00122A6B" w:rsidRPr="00F11FAC" w:rsidRDefault="00122A6B" w:rsidP="00122A6B">
      <w:r w:rsidRPr="00F11FAC">
        <w:rPr>
          <w:rFonts w:cstheme="minorHAnsi"/>
        </w:rPr>
        <w:t xml:space="preserve">The questions asked in the </w:t>
      </w:r>
      <w:r w:rsidR="00CF21E9" w:rsidRPr="00F11FAC">
        <w:rPr>
          <w:rFonts w:cstheme="minorHAnsi"/>
        </w:rPr>
        <w:t xml:space="preserve">‘attitudes to joining data’ </w:t>
      </w:r>
      <w:r w:rsidRPr="00F11FAC">
        <w:rPr>
          <w:rFonts w:cstheme="minorHAnsi"/>
        </w:rPr>
        <w:t xml:space="preserve">survey </w:t>
      </w:r>
      <w:r w:rsidR="00CF21E9" w:rsidRPr="00F11FAC">
        <w:rPr>
          <w:rFonts w:cstheme="minorHAnsi"/>
        </w:rPr>
        <w:t>covered in principle views on a</w:t>
      </w:r>
      <w:r w:rsidR="00566521">
        <w:rPr>
          <w:rFonts w:cstheme="minorHAnsi"/>
        </w:rPr>
        <w:t xml:space="preserve"> </w:t>
      </w:r>
      <w:r w:rsidR="00CF21E9" w:rsidRPr="00F11FAC">
        <w:rPr>
          <w:rFonts w:cstheme="minorHAnsi"/>
        </w:rPr>
        <w:t>range of aspects of data linkage and analytics</w:t>
      </w:r>
      <w:r w:rsidR="00090D29">
        <w:rPr>
          <w:rFonts w:cstheme="minorHAnsi"/>
        </w:rPr>
        <w:t xml:space="preserve"> for operational purposes</w:t>
      </w:r>
      <w:r w:rsidR="00CF21E9" w:rsidRPr="00F11FAC">
        <w:rPr>
          <w:rFonts w:cstheme="minorHAnsi"/>
        </w:rPr>
        <w:t xml:space="preserve">.  </w:t>
      </w:r>
      <w:r w:rsidR="00F11FAC">
        <w:rPr>
          <w:rFonts w:cstheme="minorHAnsi"/>
        </w:rPr>
        <w:t>W</w:t>
      </w:r>
      <w:r w:rsidR="00CF21E9" w:rsidRPr="00F11FAC">
        <w:rPr>
          <w:rFonts w:cstheme="minorHAnsi"/>
        </w:rPr>
        <w:t xml:space="preserve">e asked about awareness of the collection and linking of administrative records, </w:t>
      </w:r>
      <w:r w:rsidR="00B13893" w:rsidRPr="00F11FAC">
        <w:rPr>
          <w:rFonts w:cstheme="minorHAnsi"/>
        </w:rPr>
        <w:t xml:space="preserve">assessments of a range of </w:t>
      </w:r>
      <w:r w:rsidR="0088529C">
        <w:rPr>
          <w:rFonts w:cstheme="minorHAnsi"/>
        </w:rPr>
        <w:t xml:space="preserve">early intervention </w:t>
      </w:r>
      <w:r w:rsidR="00B13893" w:rsidRPr="00F11FAC">
        <w:rPr>
          <w:rFonts w:cstheme="minorHAnsi"/>
        </w:rPr>
        <w:t xml:space="preserve">rationales </w:t>
      </w:r>
      <w:r w:rsidR="00CF21E9" w:rsidRPr="00F11FAC">
        <w:rPr>
          <w:rFonts w:cstheme="minorHAnsi"/>
        </w:rPr>
        <w:t>for data linkage</w:t>
      </w:r>
      <w:r w:rsidR="00B13893" w:rsidRPr="00F11FAC">
        <w:rPr>
          <w:rFonts w:cstheme="minorHAnsi"/>
        </w:rPr>
        <w:t xml:space="preserve"> and analytics</w:t>
      </w:r>
      <w:r w:rsidR="00CF21E9" w:rsidRPr="00F11FAC">
        <w:rPr>
          <w:rFonts w:cstheme="minorHAnsi"/>
        </w:rPr>
        <w:t xml:space="preserve">, </w:t>
      </w:r>
      <w:r w:rsidR="00B13893" w:rsidRPr="00F11FAC">
        <w:rPr>
          <w:rFonts w:cstheme="minorHAnsi"/>
        </w:rPr>
        <w:t xml:space="preserve">and acceptance of and trust in various bodies and services to undertake linkage of different types of information.  </w:t>
      </w:r>
      <w:r w:rsidR="00B13893" w:rsidRPr="00F11FAC">
        <w:t>The rationale</w:t>
      </w:r>
      <w:r w:rsidR="00BD52E9">
        <w:t xml:space="preserve"> statements </w:t>
      </w:r>
      <w:r w:rsidR="00BD52E9" w:rsidRPr="00BD52E9">
        <w:rPr>
          <w:color w:val="FF0000"/>
        </w:rPr>
        <w:t>(</w:t>
      </w:r>
      <w:proofErr w:type="gramStart"/>
      <w:r w:rsidR="00BD52E9" w:rsidRPr="00BD52E9">
        <w:rPr>
          <w:color w:val="FF0000"/>
        </w:rPr>
        <w:t>e.g.</w:t>
      </w:r>
      <w:proofErr w:type="gramEnd"/>
      <w:r w:rsidR="00BD52E9" w:rsidRPr="00BD52E9">
        <w:rPr>
          <w:color w:val="FF0000"/>
        </w:rPr>
        <w:t xml:space="preserve"> reasons for linkage, reasons for trust or lack of it)</w:t>
      </w:r>
      <w:r w:rsidR="00B13893" w:rsidRPr="00BD52E9">
        <w:rPr>
          <w:color w:val="FF0000"/>
        </w:rPr>
        <w:t xml:space="preserve"> were </w:t>
      </w:r>
      <w:r w:rsidR="00BD52E9" w:rsidRPr="00BD52E9">
        <w:rPr>
          <w:color w:val="FF0000"/>
        </w:rPr>
        <w:t xml:space="preserve">drawn from </w:t>
      </w:r>
      <w:r w:rsidR="00B13893" w:rsidRPr="00BD52E9">
        <w:rPr>
          <w:color w:val="FF0000"/>
        </w:rPr>
        <w:t xml:space="preserve">our </w:t>
      </w:r>
      <w:r w:rsidR="00BD52E9" w:rsidRPr="00BD52E9">
        <w:rPr>
          <w:color w:val="FF0000"/>
        </w:rPr>
        <w:t xml:space="preserve">discourse </w:t>
      </w:r>
      <w:r w:rsidR="00B13893" w:rsidRPr="00F11FAC">
        <w:t xml:space="preserve">analysis of </w:t>
      </w:r>
      <w:r w:rsidR="00BD52E9">
        <w:t xml:space="preserve">the </w:t>
      </w:r>
      <w:r w:rsidR="00B13893" w:rsidRPr="00F11FAC">
        <w:t>contents of reports and online materials from national and</w:t>
      </w:r>
      <w:r w:rsidR="00F11FAC" w:rsidRPr="00F11FAC">
        <w:t xml:space="preserve"> </w:t>
      </w:r>
      <w:r w:rsidR="00B13893" w:rsidRPr="00F11FAC">
        <w:t xml:space="preserve">local government, data analytic </w:t>
      </w:r>
      <w:r w:rsidR="00F11FAC" w:rsidRPr="00F11FAC">
        <w:t xml:space="preserve">companies, charities </w:t>
      </w:r>
      <w:r w:rsidR="00F11FAC" w:rsidRPr="00EA24BC">
        <w:t>and advocacy groups, and mainstream media</w:t>
      </w:r>
      <w:r w:rsidR="0088529C" w:rsidRPr="00EA24BC">
        <w:t xml:space="preserve"> that related to early intervention</w:t>
      </w:r>
      <w:r w:rsidR="00F11FAC" w:rsidRPr="00EA24BC">
        <w:t xml:space="preserve"> (</w:t>
      </w:r>
      <w:r w:rsidR="00BD52E9" w:rsidRPr="00EA24BC">
        <w:rPr>
          <w:color w:val="FF0000"/>
        </w:rPr>
        <w:t>see</w:t>
      </w:r>
      <w:r w:rsidR="00450155" w:rsidRPr="00EA24BC">
        <w:rPr>
          <w:color w:val="FF0000"/>
        </w:rPr>
        <w:t xml:space="preserve"> Edwards et al.,</w:t>
      </w:r>
      <w:r w:rsidR="00450155">
        <w:rPr>
          <w:color w:val="FF0000"/>
        </w:rPr>
        <w:t xml:space="preserve"> 2021</w:t>
      </w:r>
      <w:r w:rsidR="00F11FAC" w:rsidRPr="00375F4D">
        <w:t>)</w:t>
      </w:r>
      <w:r w:rsidR="00F11FAC" w:rsidRPr="00F11FAC">
        <w:t>.</w:t>
      </w:r>
    </w:p>
    <w:p w14:paraId="11D1FB51" w14:textId="495ABCEF" w:rsidR="00622E18" w:rsidRPr="00C3577A" w:rsidRDefault="00622E18" w:rsidP="00585900">
      <w:pPr>
        <w:rPr>
          <w:rFonts w:cstheme="minorHAnsi"/>
        </w:rPr>
      </w:pPr>
    </w:p>
    <w:p w14:paraId="59D02EE7" w14:textId="4F9B412A" w:rsidR="0075408D" w:rsidRPr="0075408D" w:rsidRDefault="0075408D" w:rsidP="0075408D">
      <w:pPr>
        <w:rPr>
          <w:color w:val="FF0000"/>
        </w:rPr>
      </w:pPr>
      <w:r w:rsidRPr="0075408D">
        <w:rPr>
          <w:color w:val="FF0000"/>
        </w:rPr>
        <w:t>Explanation of data linkage was treated as a process throughout the survey.  It began with a</w:t>
      </w:r>
      <w:r w:rsidR="00E30A9A">
        <w:rPr>
          <w:color w:val="FF0000"/>
        </w:rPr>
        <w:t xml:space="preserve"> description </w:t>
      </w:r>
      <w:r w:rsidRPr="0075408D">
        <w:rPr>
          <w:color w:val="FF0000"/>
        </w:rPr>
        <w:t xml:space="preserve">of administrative records as information collected by government departments and public service providers about people who use their </w:t>
      </w:r>
      <w:proofErr w:type="gramStart"/>
      <w:r w:rsidRPr="0075408D">
        <w:rPr>
          <w:color w:val="FF0000"/>
        </w:rPr>
        <w:t>services</w:t>
      </w:r>
      <w:r w:rsidR="00F853A5">
        <w:rPr>
          <w:color w:val="FF0000"/>
        </w:rPr>
        <w:t>,</w:t>
      </w:r>
      <w:r w:rsidRPr="0075408D">
        <w:rPr>
          <w:color w:val="FF0000"/>
        </w:rPr>
        <w:t xml:space="preserve"> and</w:t>
      </w:r>
      <w:proofErr w:type="gramEnd"/>
      <w:r w:rsidRPr="0075408D">
        <w:rPr>
          <w:color w:val="FF0000"/>
        </w:rPr>
        <w:t xml:space="preserve"> provided example</w:t>
      </w:r>
      <w:r w:rsidR="00F853A5">
        <w:rPr>
          <w:color w:val="FF0000"/>
        </w:rPr>
        <w:t>s</w:t>
      </w:r>
      <w:r w:rsidRPr="0075408D">
        <w:rPr>
          <w:color w:val="FF0000"/>
        </w:rPr>
        <w:t>.  Examples of data linkage and analytics drawn from our report and online materials analysis (</w:t>
      </w:r>
      <w:r w:rsidR="00450155">
        <w:rPr>
          <w:color w:val="FF0000"/>
        </w:rPr>
        <w:t>Edwards et all, 2021</w:t>
      </w:r>
      <w:r w:rsidRPr="0075408D">
        <w:rPr>
          <w:color w:val="FF0000"/>
        </w:rPr>
        <w:t>) were provided as the survey progressed, including short vignettes about a local council wanting to support parenting skills, a social worker judging whether a family needs further investigation, and a police authority wanting to prevent crime and antisocial behaviour.  For the most part we used a Likert scale for responses, apart from responses to questions about awareness which were dichotomous.</w:t>
      </w:r>
    </w:p>
    <w:p w14:paraId="22A434E1" w14:textId="77777777" w:rsidR="0075408D" w:rsidRPr="0075408D" w:rsidRDefault="0075408D" w:rsidP="0075408D">
      <w:pPr>
        <w:rPr>
          <w:rFonts w:cstheme="minorHAnsi"/>
        </w:rPr>
      </w:pPr>
    </w:p>
    <w:p w14:paraId="376D40A4" w14:textId="41BBA2F6" w:rsidR="00FB35D6" w:rsidRPr="00C3577A" w:rsidRDefault="00585900" w:rsidP="00FB35D6">
      <w:r w:rsidRPr="00926B6A">
        <w:t xml:space="preserve">The </w:t>
      </w:r>
      <w:r w:rsidR="00926B6A" w:rsidRPr="00926B6A">
        <w:t xml:space="preserve">probability-based </w:t>
      </w:r>
      <w:r w:rsidRPr="00926B6A">
        <w:t>sample consisted of 843 parents, of whom</w:t>
      </w:r>
      <w:r w:rsidR="00F11FAC" w:rsidRPr="00926B6A">
        <w:t xml:space="preserve"> </w:t>
      </w:r>
      <w:r w:rsidRPr="00926B6A">
        <w:t>57</w:t>
      </w:r>
      <w:r w:rsidR="00F11FAC" w:rsidRPr="00926B6A">
        <w:t xml:space="preserve"> per cent</w:t>
      </w:r>
      <w:r w:rsidRPr="00926B6A">
        <w:t xml:space="preserve"> were mothers</w:t>
      </w:r>
      <w:r w:rsidR="00F11FAC" w:rsidRPr="00926B6A">
        <w:t xml:space="preserve"> and 43 per cent fathers.</w:t>
      </w:r>
      <w:r w:rsidR="00F11FAC" w:rsidRPr="00C3577A">
        <w:t xml:space="preserve">  </w:t>
      </w:r>
      <w:r w:rsidR="00EF56F4" w:rsidRPr="00C3577A">
        <w:t xml:space="preserve">Looking at the various </w:t>
      </w:r>
      <w:r w:rsidR="00431945" w:rsidRPr="00C3577A">
        <w:t xml:space="preserve">household types that parents lived in, the majority were families of two parents with children, at 74.5 per cent.  </w:t>
      </w:r>
      <w:r w:rsidR="002F37B3">
        <w:t>Eleven</w:t>
      </w:r>
      <w:r w:rsidR="00431945" w:rsidRPr="00C3577A">
        <w:t xml:space="preserve"> per cent were lone parents and </w:t>
      </w:r>
      <w:r w:rsidR="00EF56F4" w:rsidRPr="00C3577A">
        <w:t xml:space="preserve">24 per cent of the parents lived in households comprising </w:t>
      </w:r>
      <w:r w:rsidR="002F37B3">
        <w:t>five</w:t>
      </w:r>
      <w:r w:rsidR="00EF56F4" w:rsidRPr="00C3577A">
        <w:t xml:space="preserve"> or more people.</w:t>
      </w:r>
      <w:r w:rsidR="00C3577A" w:rsidRPr="00C3577A">
        <w:t xml:space="preserve">  Twelve per cent of the sample were younger parents, aged between 18 and 29 years.  Turning to indicators of social class such as occupation, </w:t>
      </w:r>
      <w:proofErr w:type="gramStart"/>
      <w:r w:rsidR="00C3577A" w:rsidRPr="00C3577A">
        <w:t>education</w:t>
      </w:r>
      <w:proofErr w:type="gramEnd"/>
      <w:r w:rsidR="00C3577A" w:rsidRPr="00C3577A">
        <w:t xml:space="preserve"> and income, </w:t>
      </w:r>
      <w:r w:rsidRPr="00C3577A">
        <w:t>44</w:t>
      </w:r>
      <w:r w:rsidR="00EF56F4" w:rsidRPr="00C3577A">
        <w:t xml:space="preserve"> per cent of </w:t>
      </w:r>
      <w:r w:rsidR="00C3577A" w:rsidRPr="00C3577A">
        <w:t xml:space="preserve">the </w:t>
      </w:r>
      <w:r w:rsidR="00EF56F4" w:rsidRPr="00C3577A">
        <w:t>parents</w:t>
      </w:r>
      <w:r w:rsidRPr="00C3577A">
        <w:t xml:space="preserve"> were in managerial and professional occupations</w:t>
      </w:r>
      <w:r w:rsidR="00431945" w:rsidRPr="00C3577A">
        <w:t xml:space="preserve"> and 50 per cent were educated to degree level or above</w:t>
      </w:r>
      <w:r w:rsidR="00C3577A" w:rsidRPr="00C3577A">
        <w:t>, w</w:t>
      </w:r>
      <w:r w:rsidR="00EF56F4" w:rsidRPr="00C3577A">
        <w:t xml:space="preserve">hile 38.5 percent were in lower </w:t>
      </w:r>
      <w:r w:rsidR="0034669C">
        <w:t xml:space="preserve">semi-routine </w:t>
      </w:r>
      <w:r w:rsidR="00EF56F4" w:rsidRPr="00C3577A">
        <w:t>and routine occupations</w:t>
      </w:r>
      <w:r w:rsidR="00431945" w:rsidRPr="00C3577A">
        <w:t xml:space="preserve"> and 10 per cent had no qualifications.  </w:t>
      </w:r>
      <w:proofErr w:type="gramStart"/>
      <w:r w:rsidR="00431945" w:rsidRPr="00C3577A">
        <w:t>The majority of</w:t>
      </w:r>
      <w:proofErr w:type="gramEnd"/>
      <w:r w:rsidR="00431945" w:rsidRPr="00C3577A">
        <w:t xml:space="preserve"> parents, 65 per cent, earned £3700 per month or under</w:t>
      </w:r>
      <w:r w:rsidR="00C3577A" w:rsidRPr="00C3577A">
        <w:t xml:space="preserve">, with 60 per cent of the sample owning their homes, while the remainder rented, split between local authority/housing association or privately.  Ethnically, </w:t>
      </w:r>
      <w:r w:rsidR="00FB35D6" w:rsidRPr="00C3577A">
        <w:t>73</w:t>
      </w:r>
      <w:r w:rsidR="00D32555">
        <w:t xml:space="preserve"> per cent</w:t>
      </w:r>
      <w:r w:rsidR="00FB35D6" w:rsidRPr="00C3577A">
        <w:t xml:space="preserve"> </w:t>
      </w:r>
      <w:r w:rsidR="00431945" w:rsidRPr="00C3577A">
        <w:t xml:space="preserve">of parents </w:t>
      </w:r>
      <w:r w:rsidR="00FB35D6" w:rsidRPr="00C3577A">
        <w:t xml:space="preserve">were White British, </w:t>
      </w:r>
      <w:r w:rsidR="00431945" w:rsidRPr="00C3577A">
        <w:t xml:space="preserve">with </w:t>
      </w:r>
      <w:r w:rsidR="00C3577A" w:rsidRPr="00C3577A">
        <w:t xml:space="preserve">19 </w:t>
      </w:r>
      <w:r w:rsidR="00FB35D6" w:rsidRPr="00C3577A">
        <w:t>per cent of our sample from minority ethnic groups</w:t>
      </w:r>
      <w:r w:rsidR="00C3577A" w:rsidRPr="00C3577A">
        <w:t xml:space="preserve">, </w:t>
      </w:r>
      <w:r w:rsidR="00D32555">
        <w:t>five</w:t>
      </w:r>
      <w:r w:rsidR="00FB35D6" w:rsidRPr="00C3577A">
        <w:t xml:space="preserve"> per cent of whom were Black. Th</w:t>
      </w:r>
      <w:r w:rsidR="00627CD0">
        <w:t>ese social divisions among the overall sample of parents</w:t>
      </w:r>
      <w:r w:rsidR="00FB35D6" w:rsidRPr="00C3577A">
        <w:t xml:space="preserve"> obviously involve small numbers and so care must be taken here, but as will be clear from our discussion below, the profiles of the extension of </w:t>
      </w:r>
      <w:r w:rsidR="00E30A9A">
        <w:t xml:space="preserve">(lack of) </w:t>
      </w:r>
      <w:r w:rsidR="00FB35D6" w:rsidRPr="00C3577A">
        <w:t xml:space="preserve">social licence for operational data linkage among </w:t>
      </w:r>
      <w:r w:rsidR="00C3577A" w:rsidRPr="00C3577A">
        <w:t>Black and other</w:t>
      </w:r>
      <w:r w:rsidR="00FB35D6" w:rsidRPr="00C3577A">
        <w:t xml:space="preserve"> marginalised groups of parents stand out.</w:t>
      </w:r>
    </w:p>
    <w:p w14:paraId="69BB95F3" w14:textId="77777777" w:rsidR="00FB35D6" w:rsidRPr="00C3577A" w:rsidRDefault="00FB35D6">
      <w:pPr>
        <w:rPr>
          <w:rFonts w:cstheme="minorHAnsi"/>
        </w:rPr>
      </w:pPr>
    </w:p>
    <w:p w14:paraId="09B78757" w14:textId="4B6D1600" w:rsidR="00622E18" w:rsidRDefault="00FB35D6" w:rsidP="00622E18">
      <w:r w:rsidRPr="00AA4F05">
        <w:rPr>
          <w:rFonts w:cstheme="minorHAnsi"/>
        </w:rPr>
        <w:t xml:space="preserve">The concept of social licence </w:t>
      </w:r>
      <w:r w:rsidRPr="00AA4F05">
        <w:t xml:space="preserve">concerns social legitimacy </w:t>
      </w:r>
      <w:r w:rsidR="00AA4F05" w:rsidRPr="00AA4F05">
        <w:t xml:space="preserve">and approval </w:t>
      </w:r>
      <w:r w:rsidRPr="00AA4F05">
        <w:t>of practices that lie outside general norms</w:t>
      </w:r>
      <w:r w:rsidR="00AA4F05" w:rsidRPr="00AA4F05">
        <w:t xml:space="preserve"> of what is acceptable</w:t>
      </w:r>
      <w:r w:rsidRPr="00AA4F05">
        <w:t xml:space="preserve">, as discussed above </w:t>
      </w:r>
      <w:r w:rsidR="00AA4F05" w:rsidRPr="00AA4F05">
        <w:t>–</w:t>
      </w:r>
      <w:r w:rsidRPr="00AA4F05">
        <w:t xml:space="preserve"> </w:t>
      </w:r>
      <w:r w:rsidR="00AA4F05" w:rsidRPr="00AA4F05">
        <w:t xml:space="preserve">a </w:t>
      </w:r>
      <w:r w:rsidRPr="00AA4F05">
        <w:t>consensus of social a</w:t>
      </w:r>
      <w:r w:rsidR="00AA4F05" w:rsidRPr="00AA4F05">
        <w:t>greement giving social licence</w:t>
      </w:r>
      <w:r w:rsidRPr="00AA4F05">
        <w:t xml:space="preserve">.  </w:t>
      </w:r>
      <w:r w:rsidR="00AA4F05" w:rsidRPr="00AA4F05">
        <w:t xml:space="preserve">This raises the question of what level of agreement constitutes a consensus?  A consensus is something more than a simple majority.  In line with our conceptual approach, we adopted the consensus baseline </w:t>
      </w:r>
      <w:r w:rsidR="00427513">
        <w:t xml:space="preserve">for </w:t>
      </w:r>
      <w:r w:rsidR="00AA4F05" w:rsidRPr="00AA4F05">
        <w:t>analysing our survey data, in which we took</w:t>
      </w:r>
      <w:r w:rsidR="00622E18" w:rsidRPr="00AA4F05">
        <w:t xml:space="preserve"> account of the number of response choices available to a question </w:t>
      </w:r>
      <w:proofErr w:type="gramStart"/>
      <w:r w:rsidR="00622E18" w:rsidRPr="00AA4F05">
        <w:t>in order to</w:t>
      </w:r>
      <w:proofErr w:type="gramEnd"/>
      <w:r w:rsidR="00622E18" w:rsidRPr="00AA4F05">
        <w:t xml:space="preserve"> determine what constitutes a social </w:t>
      </w:r>
      <w:r w:rsidR="00622E18" w:rsidRPr="007D5E18">
        <w:t>licence consensus</w:t>
      </w:r>
      <w:r w:rsidR="00AA4F05" w:rsidRPr="007D5E18">
        <w:t xml:space="preserve"> (see Finch </w:t>
      </w:r>
      <w:r w:rsidR="00366A0E" w:rsidRPr="007D5E18">
        <w:t>&amp;</w:t>
      </w:r>
      <w:r w:rsidR="00AA4F05" w:rsidRPr="007D5E18">
        <w:t xml:space="preserve"> Mason</w:t>
      </w:r>
      <w:r w:rsidR="00003208" w:rsidRPr="007D5E18">
        <w:t>,</w:t>
      </w:r>
      <w:r w:rsidR="00AA4F05" w:rsidRPr="007D5E18">
        <w:t xml:space="preserve"> 1991; </w:t>
      </w:r>
      <w:r w:rsidR="00450155" w:rsidRPr="007D5E18">
        <w:t>Edwards and Gillies, 2004</w:t>
      </w:r>
      <w:r w:rsidR="00003208" w:rsidRPr="007D5E18">
        <w:t>)</w:t>
      </w:r>
      <w:r w:rsidR="00AA4F05" w:rsidRPr="007D5E18">
        <w:t xml:space="preserve">.  </w:t>
      </w:r>
      <w:r w:rsidR="00003208" w:rsidRPr="007D5E18">
        <w:t>Fo</w:t>
      </w:r>
      <w:r w:rsidR="00622E18" w:rsidRPr="007D5E18">
        <w:t>r a two</w:t>
      </w:r>
      <w:r w:rsidR="00627CD0" w:rsidRPr="007D5E18">
        <w:t>-</w:t>
      </w:r>
      <w:r w:rsidR="00622E18" w:rsidRPr="007D5E18">
        <w:t>response</w:t>
      </w:r>
      <w:r w:rsidR="00622E18" w:rsidRPr="00AA4F05">
        <w:t xml:space="preserve"> options question, rather than more than 50</w:t>
      </w:r>
      <w:r w:rsidR="00D32555">
        <w:t xml:space="preserve"> per cent</w:t>
      </w:r>
      <w:r w:rsidR="00622E18" w:rsidRPr="00AA4F05">
        <w:t xml:space="preserve"> being taken as a consensus, if one of the options gathers half as many responses again: 75</w:t>
      </w:r>
      <w:r w:rsidR="00D32555">
        <w:t xml:space="preserve"> per cent</w:t>
      </w:r>
      <w:r w:rsidR="00622E18" w:rsidRPr="00AA4F05">
        <w:t xml:space="preserve">, then </w:t>
      </w:r>
      <w:r w:rsidR="00E213BD">
        <w:rPr>
          <w:color w:val="FF0000"/>
        </w:rPr>
        <w:t>where this was a positive response</w:t>
      </w:r>
      <w:r w:rsidR="00E822D4">
        <w:rPr>
          <w:color w:val="FF0000"/>
        </w:rPr>
        <w:t xml:space="preserve"> to data linkage and predictive </w:t>
      </w:r>
      <w:proofErr w:type="gramStart"/>
      <w:r w:rsidR="00E822D4">
        <w:rPr>
          <w:color w:val="FF0000"/>
        </w:rPr>
        <w:t>analytics</w:t>
      </w:r>
      <w:proofErr w:type="gramEnd"/>
      <w:r w:rsidR="00E213BD">
        <w:rPr>
          <w:color w:val="FF0000"/>
        </w:rPr>
        <w:t xml:space="preserve"> </w:t>
      </w:r>
      <w:r w:rsidR="00003208">
        <w:t xml:space="preserve">we took that to </w:t>
      </w:r>
      <w:r w:rsidR="00622E18" w:rsidRPr="00AA4F05">
        <w:t xml:space="preserve">represent a widespread </w:t>
      </w:r>
      <w:r w:rsidR="00E213BD">
        <w:rPr>
          <w:color w:val="FF0000"/>
        </w:rPr>
        <w:t xml:space="preserve">granting of </w:t>
      </w:r>
      <w:r w:rsidR="00622E18" w:rsidRPr="00AA4F05">
        <w:t>social licence</w:t>
      </w:r>
      <w:r w:rsidR="00003208">
        <w:t xml:space="preserve">.  For a three-option question, we took </w:t>
      </w:r>
      <w:r w:rsidR="00E213BD" w:rsidRPr="00E213BD">
        <w:rPr>
          <w:color w:val="FF0000"/>
        </w:rPr>
        <w:t>a</w:t>
      </w:r>
      <w:r w:rsidR="00E213BD">
        <w:t xml:space="preserve"> </w:t>
      </w:r>
      <w:r w:rsidR="00622E18" w:rsidRPr="00AA4F05">
        <w:t>50</w:t>
      </w:r>
      <w:r w:rsidR="00D32555">
        <w:t xml:space="preserve"> per cent</w:t>
      </w:r>
      <w:r w:rsidR="00E213BD">
        <w:t xml:space="preserve"> </w:t>
      </w:r>
      <w:r w:rsidR="00E213BD">
        <w:rPr>
          <w:color w:val="FF0000"/>
        </w:rPr>
        <w:t xml:space="preserve">or greater </w:t>
      </w:r>
      <w:r w:rsidR="00E213BD" w:rsidRPr="00E213BD">
        <w:rPr>
          <w:color w:val="FF0000"/>
        </w:rPr>
        <w:t>positive response</w:t>
      </w:r>
      <w:r w:rsidR="00622E18" w:rsidRPr="00E213BD">
        <w:rPr>
          <w:color w:val="FF0000"/>
        </w:rPr>
        <w:t xml:space="preserve"> </w:t>
      </w:r>
      <w:r w:rsidR="00003208">
        <w:t xml:space="preserve">as indicative </w:t>
      </w:r>
      <w:r w:rsidR="00003208">
        <w:lastRenderedPageBreak/>
        <w:t>of social licence</w:t>
      </w:r>
      <w:r w:rsidR="00622E18" w:rsidRPr="00AA4F05">
        <w:t xml:space="preserve">.  </w:t>
      </w:r>
      <w:r w:rsidR="00003208">
        <w:t xml:space="preserve">We conducted the consensus baseline analysis at the level of the sample of parents as a whole, </w:t>
      </w:r>
      <w:proofErr w:type="gramStart"/>
      <w:r w:rsidR="00003208">
        <w:t>and also</w:t>
      </w:r>
      <w:proofErr w:type="gramEnd"/>
      <w:r w:rsidR="00003208">
        <w:t xml:space="preserve"> </w:t>
      </w:r>
      <w:r w:rsidR="00E8710F">
        <w:t xml:space="preserve">looked within this, to </w:t>
      </w:r>
      <w:r w:rsidR="00003208">
        <w:t xml:space="preserve">sub-population groups of parents (family types, social class indicators, ethnic groups) to see if they may or may not reach </w:t>
      </w:r>
      <w:r w:rsidR="00D45BC7">
        <w:t xml:space="preserve">a </w:t>
      </w:r>
      <w:r w:rsidR="00003208">
        <w:t xml:space="preserve">consensus baseline </w:t>
      </w:r>
      <w:r w:rsidR="00D45BC7">
        <w:t xml:space="preserve">for granting social licence </w:t>
      </w:r>
      <w:r w:rsidR="00003208">
        <w:t>at a</w:t>
      </w:r>
      <w:r w:rsidR="00D45BC7">
        <w:t xml:space="preserve">n appreciably </w:t>
      </w:r>
      <w:r w:rsidR="00003208">
        <w:t>higher or lower level than the rest.</w:t>
      </w:r>
    </w:p>
    <w:p w14:paraId="48656ABF" w14:textId="75BCEEA3" w:rsidR="00003208" w:rsidRDefault="00003208" w:rsidP="00622E18"/>
    <w:p w14:paraId="3926B294" w14:textId="39FF530D" w:rsidR="007D7AF5" w:rsidRPr="00484164" w:rsidRDefault="007D7AF5">
      <w:pPr>
        <w:rPr>
          <w:b/>
          <w:bCs/>
        </w:rPr>
      </w:pPr>
      <w:r w:rsidRPr="00484164">
        <w:rPr>
          <w:b/>
          <w:bCs/>
        </w:rPr>
        <w:t>Transparency about data linkage</w:t>
      </w:r>
    </w:p>
    <w:p w14:paraId="343443D5" w14:textId="6CF349F9" w:rsidR="00FA3B48" w:rsidRPr="00037632" w:rsidRDefault="00FA3B48" w:rsidP="0097277F">
      <w:pPr>
        <w:rPr>
          <w:rFonts w:eastAsiaTheme="minorHAnsi" w:cs="Calibri"/>
        </w:rPr>
      </w:pPr>
    </w:p>
    <w:p w14:paraId="1013E6B5" w14:textId="7F0FE2EE" w:rsidR="0034669C" w:rsidRDefault="00037632" w:rsidP="00A1207D">
      <w:pPr>
        <w:rPr>
          <w:rFonts w:eastAsiaTheme="minorHAnsi" w:cs="Calibri"/>
        </w:rPr>
      </w:pPr>
      <w:r>
        <w:rPr>
          <w:rFonts w:eastAsiaTheme="minorHAnsi" w:cs="Calibri"/>
        </w:rPr>
        <w:t xml:space="preserve">Openness, </w:t>
      </w:r>
      <w:proofErr w:type="gramStart"/>
      <w:r>
        <w:rPr>
          <w:rFonts w:eastAsiaTheme="minorHAnsi" w:cs="Calibri"/>
        </w:rPr>
        <w:t>accountability</w:t>
      </w:r>
      <w:proofErr w:type="gramEnd"/>
      <w:r>
        <w:rPr>
          <w:rFonts w:eastAsiaTheme="minorHAnsi" w:cs="Calibri"/>
        </w:rPr>
        <w:t xml:space="preserve"> and transparency has emerged as a theme in </w:t>
      </w:r>
      <w:r w:rsidR="00BA3C1C">
        <w:rPr>
          <w:rFonts w:eastAsiaTheme="minorHAnsi" w:cs="Calibri"/>
        </w:rPr>
        <w:t xml:space="preserve">government-commissioned </w:t>
      </w:r>
      <w:r>
        <w:rPr>
          <w:rFonts w:eastAsiaTheme="minorHAnsi" w:cs="Calibri"/>
        </w:rPr>
        <w:t xml:space="preserve">reports on the use of data linkage and algorithmic analyses.  </w:t>
      </w:r>
      <w:r w:rsidR="00E93CDD">
        <w:rPr>
          <w:rFonts w:eastAsiaTheme="minorHAnsi" w:cs="Calibri"/>
        </w:rPr>
        <w:t xml:space="preserve">For the most part, this theme is centred on openness between services in sharing data and accountability as </w:t>
      </w:r>
      <w:r w:rsidR="00627CD0">
        <w:rPr>
          <w:rFonts w:eastAsiaTheme="minorHAnsi" w:cs="Calibri"/>
        </w:rPr>
        <w:t xml:space="preserve">legal </w:t>
      </w:r>
      <w:r w:rsidR="00E93CDD">
        <w:rPr>
          <w:rFonts w:eastAsiaTheme="minorHAnsi" w:cs="Calibri"/>
        </w:rPr>
        <w:t xml:space="preserve">compliance   </w:t>
      </w:r>
      <w:proofErr w:type="gramStart"/>
      <w:r w:rsidR="00E93CDD">
        <w:rPr>
          <w:rFonts w:eastAsiaTheme="minorHAnsi" w:cs="Calibri"/>
        </w:rPr>
        <w:t>But</w:t>
      </w:r>
      <w:proofErr w:type="gramEnd"/>
      <w:r w:rsidR="00E93CDD">
        <w:rPr>
          <w:rFonts w:eastAsiaTheme="minorHAnsi" w:cs="Calibri"/>
        </w:rPr>
        <w:t xml:space="preserve"> </w:t>
      </w:r>
      <w:r w:rsidR="00BA3C1C">
        <w:rPr>
          <w:rFonts w:eastAsiaTheme="minorHAnsi" w:cs="Calibri"/>
        </w:rPr>
        <w:t xml:space="preserve">there is some equation of transparency </w:t>
      </w:r>
      <w:r w:rsidR="00E30A9A">
        <w:rPr>
          <w:rFonts w:eastAsiaTheme="minorHAnsi" w:cs="Calibri"/>
        </w:rPr>
        <w:t>with</w:t>
      </w:r>
      <w:r w:rsidR="00BA3C1C">
        <w:rPr>
          <w:rFonts w:eastAsiaTheme="minorHAnsi" w:cs="Calibri"/>
        </w:rPr>
        <w:t xml:space="preserve"> </w:t>
      </w:r>
      <w:r w:rsidR="00E93CDD">
        <w:rPr>
          <w:rFonts w:eastAsiaTheme="minorHAnsi" w:cs="Calibri"/>
        </w:rPr>
        <w:t>p</w:t>
      </w:r>
      <w:r w:rsidR="003D5F7A">
        <w:rPr>
          <w:rFonts w:eastAsiaTheme="minorHAnsi" w:cs="Calibri"/>
        </w:rPr>
        <w:t>ublic trust, with recommendations that people should be told about what is happening to their data</w:t>
      </w:r>
      <w:r w:rsidR="004D1558">
        <w:rPr>
          <w:rFonts w:eastAsiaTheme="minorHAnsi" w:cs="Calibri"/>
        </w:rPr>
        <w:t xml:space="preserve"> and how it is used</w:t>
      </w:r>
      <w:r w:rsidR="003D5F7A">
        <w:rPr>
          <w:rFonts w:eastAsiaTheme="minorHAnsi" w:cs="Calibri"/>
        </w:rPr>
        <w:t xml:space="preserve"> (e.g. </w:t>
      </w:r>
      <w:r w:rsidR="003D5F7A" w:rsidRPr="00BA3C1C">
        <w:rPr>
          <w:rFonts w:eastAsiaTheme="minorHAnsi" w:cs="Calibri"/>
        </w:rPr>
        <w:t>Information Commissioner’s Office, 2020</w:t>
      </w:r>
      <w:r w:rsidR="003D5F7A">
        <w:rPr>
          <w:rFonts w:eastAsiaTheme="minorHAnsi" w:cs="Calibri"/>
        </w:rPr>
        <w:t>; Centre for Data Ethics and Innovation</w:t>
      </w:r>
      <w:r w:rsidR="00E93CDD">
        <w:rPr>
          <w:rFonts w:eastAsiaTheme="minorHAnsi" w:cs="Calibri"/>
        </w:rPr>
        <w:t>, 2020</w:t>
      </w:r>
      <w:r w:rsidR="003D5F7A">
        <w:rPr>
          <w:rFonts w:eastAsiaTheme="minorHAnsi" w:cs="Calibri"/>
        </w:rPr>
        <w:t>)</w:t>
      </w:r>
      <w:r w:rsidR="00E93CDD">
        <w:rPr>
          <w:rFonts w:eastAsiaTheme="minorHAnsi" w:cs="Calibri"/>
        </w:rPr>
        <w:t xml:space="preserve">.  </w:t>
      </w:r>
      <w:r w:rsidR="00991D43">
        <w:rPr>
          <w:rFonts w:eastAsiaTheme="minorHAnsi" w:cs="Calibri"/>
        </w:rPr>
        <w:t xml:space="preserve">The UK government’s Centre for Data Ethics and Innovation, for example, asserts that transparency in the use of algorithms will build public trust and recommends informing people about the process of developing and using algorithms.  </w:t>
      </w:r>
      <w:r w:rsidR="003D5F7A">
        <w:rPr>
          <w:rFonts w:eastAsiaTheme="minorHAnsi" w:cs="Calibri"/>
        </w:rPr>
        <w:t xml:space="preserve">This is transparency of a certain kind, akin to lifting the lid off a black box so that the public may look inside but not touch.  </w:t>
      </w:r>
      <w:r w:rsidR="004C5423">
        <w:rPr>
          <w:rFonts w:eastAsiaTheme="minorHAnsi" w:cs="Calibri"/>
        </w:rPr>
        <w:t>Consent on the part of those concerned to sharing and linking of their data is not a feature</w:t>
      </w:r>
      <w:r w:rsidR="00E93CDD">
        <w:rPr>
          <w:rFonts w:eastAsiaTheme="minorHAnsi" w:cs="Calibri"/>
        </w:rPr>
        <w:t xml:space="preserve">.  </w:t>
      </w:r>
      <w:r w:rsidR="00BA3C1C" w:rsidRPr="00BA3C1C">
        <w:rPr>
          <w:rFonts w:eastAsiaTheme="minorHAnsi" w:cs="Calibri"/>
        </w:rPr>
        <w:t>Yet informed consent to</w:t>
      </w:r>
      <w:r w:rsidR="00E30A9A">
        <w:rPr>
          <w:rFonts w:eastAsiaTheme="minorHAnsi" w:cs="Calibri"/>
        </w:rPr>
        <w:t xml:space="preserve"> operational</w:t>
      </w:r>
      <w:r w:rsidR="00BA3C1C" w:rsidRPr="00BA3C1C">
        <w:rPr>
          <w:rFonts w:eastAsiaTheme="minorHAnsi" w:cs="Calibri"/>
        </w:rPr>
        <w:t xml:space="preserve"> use of their family administrative records is important for parents of dependent children.  </w:t>
      </w:r>
    </w:p>
    <w:p w14:paraId="4AE87624" w14:textId="77777777" w:rsidR="0034669C" w:rsidRPr="006606E6" w:rsidRDefault="0034669C" w:rsidP="00A1207D">
      <w:pPr>
        <w:rPr>
          <w:rFonts w:eastAsiaTheme="minorHAnsi" w:cs="Calibri"/>
        </w:rPr>
      </w:pPr>
    </w:p>
    <w:p w14:paraId="62A8CF13" w14:textId="7685507A" w:rsidR="002C7806" w:rsidRDefault="00A1207D" w:rsidP="00A1207D">
      <w:pPr>
        <w:rPr>
          <w:rFonts w:cstheme="minorHAnsi"/>
        </w:rPr>
      </w:pPr>
      <w:proofErr w:type="gramStart"/>
      <w:r w:rsidRPr="006606E6">
        <w:rPr>
          <w:rFonts w:cstheme="minorHAnsi"/>
        </w:rPr>
        <w:t>A majority of</w:t>
      </w:r>
      <w:proofErr w:type="gramEnd"/>
      <w:r w:rsidRPr="006606E6">
        <w:rPr>
          <w:rFonts w:cstheme="minorHAnsi"/>
        </w:rPr>
        <w:t xml:space="preserve"> the parents surveyed for our research said that were aware that administrative records are collected and digitally stored by government departments and public service providers (72 per cent), but only just over half knew that digital administrative records from different sources can be joined together to find out more about individual families (53 per cent).  </w:t>
      </w:r>
      <w:r w:rsidR="0034669C" w:rsidRPr="006606E6">
        <w:rPr>
          <w:rFonts w:cstheme="minorHAnsi"/>
        </w:rPr>
        <w:t xml:space="preserve">There were gradients here by ethnicity and social class indicators for both awareness of digital records and data linkage.  Black and Black British parents were more aware than their White British counterparts, and parents with higher occupations, </w:t>
      </w:r>
      <w:proofErr w:type="gramStart"/>
      <w:r w:rsidR="0034669C" w:rsidRPr="006606E6">
        <w:rPr>
          <w:rFonts w:cstheme="minorHAnsi"/>
        </w:rPr>
        <w:t>education</w:t>
      </w:r>
      <w:proofErr w:type="gramEnd"/>
      <w:r w:rsidR="0034669C" w:rsidRPr="006606E6">
        <w:rPr>
          <w:rFonts w:cstheme="minorHAnsi"/>
        </w:rPr>
        <w:t xml:space="preserve"> and income more aware than other parents (see Table 1)</w:t>
      </w:r>
      <w:r w:rsidR="006606E6">
        <w:rPr>
          <w:rFonts w:cstheme="minorHAnsi"/>
        </w:rPr>
        <w:t xml:space="preserve">.  </w:t>
      </w:r>
    </w:p>
    <w:p w14:paraId="736D445E" w14:textId="41E4ACAE" w:rsidR="0009116F" w:rsidRDefault="0009116F" w:rsidP="00A1207D">
      <w:pPr>
        <w:rPr>
          <w:rFonts w:cstheme="minorHAnsi"/>
        </w:rPr>
      </w:pPr>
    </w:p>
    <w:p w14:paraId="7CC163A7" w14:textId="16A59A85" w:rsidR="0009116F" w:rsidRDefault="0009116F" w:rsidP="00A1207D">
      <w:pPr>
        <w:rPr>
          <w:rFonts w:cstheme="minorHAnsi"/>
        </w:rPr>
      </w:pPr>
      <w:r>
        <w:rPr>
          <w:rFonts w:cstheme="minorHAnsi"/>
        </w:rPr>
        <w:t>INSERT TABLE 1 HERE</w:t>
      </w:r>
    </w:p>
    <w:p w14:paraId="79A6585D" w14:textId="77777777" w:rsidR="002C7806" w:rsidRDefault="002C7806" w:rsidP="00A1207D">
      <w:pPr>
        <w:rPr>
          <w:rFonts w:cstheme="minorHAnsi"/>
        </w:rPr>
      </w:pPr>
    </w:p>
    <w:p w14:paraId="02299067" w14:textId="24EE87CD" w:rsidR="006675BF" w:rsidRPr="006675BF" w:rsidRDefault="006675BF" w:rsidP="006675BF">
      <w:pPr>
        <w:rPr>
          <w:rFonts w:cstheme="minorHAnsi"/>
        </w:rPr>
      </w:pPr>
      <w:r w:rsidRPr="006675BF">
        <w:rPr>
          <w:rFonts w:eastAsiaTheme="minorHAnsi" w:cs="Calibri"/>
        </w:rPr>
        <w:t xml:space="preserve">There was </w:t>
      </w:r>
      <w:r w:rsidRPr="006675BF">
        <w:rPr>
          <w:rFonts w:cstheme="minorHAnsi"/>
        </w:rPr>
        <w:t>consensus among the parents that families generally do not know or understand how their administrative records are used, with 60 per cent making this judgement (with a consensus threshold of 50</w:t>
      </w:r>
      <w:r w:rsidR="00D32555">
        <w:rPr>
          <w:rFonts w:cstheme="minorHAnsi"/>
        </w:rPr>
        <w:t xml:space="preserve"> per cent</w:t>
      </w:r>
      <w:r w:rsidRPr="006675BF">
        <w:rPr>
          <w:rFonts w:cstheme="minorHAnsi"/>
        </w:rPr>
        <w:t xml:space="preserve">).  There was overwhelming agreement that Government should publicise </w:t>
      </w:r>
      <w:r w:rsidR="00CF5600">
        <w:rPr>
          <w:rFonts w:cstheme="minorHAnsi"/>
        </w:rPr>
        <w:t>that they are joining together administrative records about families, and how they use that information</w:t>
      </w:r>
      <w:r w:rsidRPr="006675BF">
        <w:rPr>
          <w:rFonts w:cstheme="minorHAnsi"/>
        </w:rPr>
        <w:t xml:space="preserve"> (81</w:t>
      </w:r>
      <w:r w:rsidR="004D1558">
        <w:rPr>
          <w:rFonts w:cstheme="minorHAnsi"/>
        </w:rPr>
        <w:t xml:space="preserve"> per cent</w:t>
      </w:r>
      <w:r w:rsidRPr="006675BF">
        <w:rPr>
          <w:rFonts w:cstheme="minorHAnsi"/>
        </w:rPr>
        <w:t xml:space="preserve"> with a consensus threshold of 50</w:t>
      </w:r>
      <w:r w:rsidR="004D1558">
        <w:rPr>
          <w:rFonts w:cstheme="minorHAnsi"/>
        </w:rPr>
        <w:t xml:space="preserve"> per cent</w:t>
      </w:r>
      <w:r w:rsidRPr="006675BF">
        <w:rPr>
          <w:rFonts w:cstheme="minorHAnsi"/>
        </w:rPr>
        <w:t xml:space="preserve">).  But going further than ideas about transparency engendering trust, there was also consensus that parents need to be asked permission for administrative records about their family to be </w:t>
      </w:r>
      <w:r>
        <w:rPr>
          <w:rFonts w:cstheme="minorHAnsi"/>
        </w:rPr>
        <w:t>join</w:t>
      </w:r>
      <w:r w:rsidRPr="006675BF">
        <w:rPr>
          <w:rFonts w:cstheme="minorHAnsi"/>
        </w:rPr>
        <w:t>ed together (60</w:t>
      </w:r>
      <w:r w:rsidR="004D1558">
        <w:rPr>
          <w:rFonts w:cstheme="minorHAnsi"/>
        </w:rPr>
        <w:t xml:space="preserve"> per cent</w:t>
      </w:r>
      <w:r w:rsidRPr="006675BF">
        <w:rPr>
          <w:rFonts w:cstheme="minorHAnsi"/>
        </w:rPr>
        <w:t xml:space="preserve"> with a consensus threshold of 50</w:t>
      </w:r>
      <w:r w:rsidR="004D1558">
        <w:rPr>
          <w:rFonts w:cstheme="minorHAnsi"/>
        </w:rPr>
        <w:t xml:space="preserve"> per cent</w:t>
      </w:r>
      <w:r w:rsidRPr="006675BF">
        <w:rPr>
          <w:rFonts w:cstheme="minorHAnsi"/>
        </w:rPr>
        <w:t>).  Some marginalised groups of parents had an even stronger consensus about th</w:t>
      </w:r>
      <w:r>
        <w:rPr>
          <w:rFonts w:cstheme="minorHAnsi"/>
        </w:rPr>
        <w:t xml:space="preserve">e need for parents to give </w:t>
      </w:r>
      <w:r w:rsidR="00CF5600">
        <w:rPr>
          <w:rFonts w:cstheme="minorHAnsi"/>
        </w:rPr>
        <w:t>consen</w:t>
      </w:r>
      <w:r>
        <w:rPr>
          <w:rFonts w:cstheme="minorHAnsi"/>
        </w:rPr>
        <w:t>t to data linkage</w:t>
      </w:r>
      <w:r w:rsidRPr="006675BF">
        <w:rPr>
          <w:rFonts w:cstheme="minorHAnsi"/>
        </w:rPr>
        <w:t xml:space="preserve">, </w:t>
      </w:r>
      <w:r>
        <w:rPr>
          <w:rFonts w:cstheme="minorHAnsi"/>
        </w:rPr>
        <w:t xml:space="preserve">notably </w:t>
      </w:r>
      <w:r w:rsidRPr="006675BF">
        <w:rPr>
          <w:rFonts w:cstheme="minorHAnsi"/>
        </w:rPr>
        <w:t xml:space="preserve">Black </w:t>
      </w:r>
      <w:proofErr w:type="gramStart"/>
      <w:r w:rsidRPr="006675BF">
        <w:rPr>
          <w:rFonts w:cstheme="minorHAnsi"/>
        </w:rPr>
        <w:t>parents</w:t>
      </w:r>
      <w:proofErr w:type="gramEnd"/>
      <w:r w:rsidRPr="006675BF">
        <w:rPr>
          <w:rFonts w:cstheme="minorHAnsi"/>
        </w:rPr>
        <w:t xml:space="preserve"> and lone parents (each at 66</w:t>
      </w:r>
      <w:r w:rsidR="004D1558">
        <w:rPr>
          <w:rFonts w:cstheme="minorHAnsi"/>
        </w:rPr>
        <w:t xml:space="preserve"> per cent</w:t>
      </w:r>
      <w:r w:rsidRPr="006675BF">
        <w:rPr>
          <w:rFonts w:cstheme="minorHAnsi"/>
        </w:rPr>
        <w:t>).</w:t>
      </w:r>
    </w:p>
    <w:p w14:paraId="0F956CFA" w14:textId="77777777" w:rsidR="006675BF" w:rsidRDefault="006675BF" w:rsidP="006675BF">
      <w:pPr>
        <w:rPr>
          <w:rFonts w:cstheme="minorHAnsi"/>
        </w:rPr>
      </w:pPr>
    </w:p>
    <w:p w14:paraId="6212B7D7" w14:textId="38A7A79A" w:rsidR="00585900" w:rsidRPr="006675BF" w:rsidRDefault="006675BF" w:rsidP="00585900">
      <w:pPr>
        <w:rPr>
          <w:rFonts w:cstheme="minorHAnsi"/>
        </w:rPr>
      </w:pPr>
      <w:r>
        <w:rPr>
          <w:rFonts w:cstheme="minorHAnsi"/>
        </w:rPr>
        <w:t xml:space="preserve">The </w:t>
      </w:r>
      <w:r w:rsidR="00716706">
        <w:rPr>
          <w:rFonts w:cstheme="minorHAnsi"/>
        </w:rPr>
        <w:t xml:space="preserve">hopeful </w:t>
      </w:r>
      <w:r w:rsidR="004F5809">
        <w:rPr>
          <w:rFonts w:cstheme="minorHAnsi"/>
        </w:rPr>
        <w:t>notion</w:t>
      </w:r>
      <w:r w:rsidR="004D1558">
        <w:rPr>
          <w:rFonts w:cstheme="minorHAnsi"/>
        </w:rPr>
        <w:t xml:space="preserve"> in reports,</w:t>
      </w:r>
      <w:r w:rsidR="004F5809">
        <w:rPr>
          <w:rFonts w:cstheme="minorHAnsi"/>
        </w:rPr>
        <w:t xml:space="preserve"> that </w:t>
      </w:r>
      <w:r>
        <w:rPr>
          <w:rFonts w:cstheme="minorHAnsi"/>
        </w:rPr>
        <w:t>openness and transparency as awareness</w:t>
      </w:r>
      <w:r w:rsidR="004F5809">
        <w:rPr>
          <w:rFonts w:cstheme="minorHAnsi"/>
        </w:rPr>
        <w:t xml:space="preserve"> will </w:t>
      </w:r>
      <w:r>
        <w:rPr>
          <w:rFonts w:cstheme="minorHAnsi"/>
        </w:rPr>
        <w:t xml:space="preserve">engender </w:t>
      </w:r>
      <w:r w:rsidR="004F5809">
        <w:rPr>
          <w:rFonts w:cstheme="minorHAnsi"/>
        </w:rPr>
        <w:t xml:space="preserve">public </w:t>
      </w:r>
      <w:r>
        <w:rPr>
          <w:rFonts w:cstheme="minorHAnsi"/>
        </w:rPr>
        <w:t>trust</w:t>
      </w:r>
      <w:r w:rsidR="004D1558">
        <w:rPr>
          <w:rFonts w:cstheme="minorHAnsi"/>
        </w:rPr>
        <w:t>,</w:t>
      </w:r>
      <w:r>
        <w:rPr>
          <w:rFonts w:cstheme="minorHAnsi"/>
        </w:rPr>
        <w:t xml:space="preserve"> is not so simple when it comes to parents of dependent children</w:t>
      </w:r>
      <w:r w:rsidR="00962E85">
        <w:rPr>
          <w:rFonts w:cstheme="minorHAnsi"/>
        </w:rPr>
        <w:t xml:space="preserve"> (or indeed more widely Kennedy et al., 2020)</w:t>
      </w:r>
      <w:r>
        <w:rPr>
          <w:rFonts w:cstheme="minorHAnsi"/>
        </w:rPr>
        <w:t xml:space="preserve">.  </w:t>
      </w:r>
      <w:r w:rsidRPr="006675BF">
        <w:rPr>
          <w:rFonts w:cstheme="minorHAnsi"/>
        </w:rPr>
        <w:t xml:space="preserve">There are </w:t>
      </w:r>
      <w:r w:rsidR="004D1558">
        <w:rPr>
          <w:rFonts w:cstheme="minorHAnsi"/>
        </w:rPr>
        <w:t xml:space="preserve">social divisions </w:t>
      </w:r>
      <w:r w:rsidRPr="006675BF">
        <w:rPr>
          <w:rFonts w:cstheme="minorHAnsi"/>
        </w:rPr>
        <w:t xml:space="preserve">between </w:t>
      </w:r>
      <w:r w:rsidR="004D1558">
        <w:rPr>
          <w:rFonts w:cstheme="minorHAnsi"/>
        </w:rPr>
        <w:t xml:space="preserve">the assessments of </w:t>
      </w:r>
      <w:r w:rsidRPr="006675BF">
        <w:rPr>
          <w:rFonts w:cstheme="minorHAnsi"/>
        </w:rPr>
        <w:t xml:space="preserve">groups of parents, </w:t>
      </w:r>
      <w:r w:rsidR="00585900" w:rsidRPr="006675BF">
        <w:rPr>
          <w:rFonts w:cstheme="minorHAnsi"/>
        </w:rPr>
        <w:t>which raises issues about the implications of data linkage for social legitimacy and trust</w:t>
      </w:r>
      <w:r w:rsidRPr="006675BF">
        <w:rPr>
          <w:rFonts w:cstheme="minorHAnsi"/>
        </w:rPr>
        <w:t xml:space="preserve"> among the parents who are most likely to be subject to early intervention.</w:t>
      </w:r>
    </w:p>
    <w:p w14:paraId="1B7D15DC" w14:textId="28BC6979" w:rsidR="003D5F7A" w:rsidRPr="006675BF" w:rsidRDefault="003D5F7A" w:rsidP="00585900">
      <w:pPr>
        <w:rPr>
          <w:rFonts w:cstheme="minorHAnsi"/>
        </w:rPr>
      </w:pPr>
    </w:p>
    <w:p w14:paraId="71952FB0" w14:textId="19737974" w:rsidR="007D7AF5" w:rsidRPr="00484164" w:rsidRDefault="007D7AF5">
      <w:pPr>
        <w:rPr>
          <w:b/>
          <w:bCs/>
        </w:rPr>
      </w:pPr>
      <w:r w:rsidRPr="00484164">
        <w:rPr>
          <w:b/>
          <w:bCs/>
        </w:rPr>
        <w:t>Data linkage</w:t>
      </w:r>
      <w:r w:rsidR="0088529C">
        <w:rPr>
          <w:b/>
          <w:bCs/>
        </w:rPr>
        <w:t xml:space="preserve"> for early intervention</w:t>
      </w:r>
      <w:r w:rsidRPr="00484164">
        <w:rPr>
          <w:b/>
          <w:bCs/>
        </w:rPr>
        <w:t xml:space="preserve"> and social divisions</w:t>
      </w:r>
    </w:p>
    <w:p w14:paraId="7FF23B19" w14:textId="7AE8AEEC" w:rsidR="00A03E4F" w:rsidRPr="009D3233" w:rsidRDefault="00A03E4F" w:rsidP="0097277F">
      <w:pPr>
        <w:rPr>
          <w:rFonts w:eastAsiaTheme="minorHAnsi" w:cs="Calibri"/>
        </w:rPr>
      </w:pPr>
    </w:p>
    <w:p w14:paraId="17A517B9" w14:textId="11076C6A" w:rsidR="00BB2380" w:rsidRDefault="009D3233" w:rsidP="00BB2380">
      <w:pPr>
        <w:rPr>
          <w:rFonts w:eastAsiaTheme="minorHAnsi" w:cs="Calibri"/>
        </w:rPr>
      </w:pPr>
      <w:r>
        <w:rPr>
          <w:rFonts w:eastAsiaTheme="minorHAnsi" w:cs="Calibri"/>
        </w:rPr>
        <w:lastRenderedPageBreak/>
        <w:t>Data linkage and predictive analytics</w:t>
      </w:r>
      <w:r w:rsidR="0009116F">
        <w:rPr>
          <w:rFonts w:eastAsiaTheme="minorHAnsi" w:cs="Calibri"/>
        </w:rPr>
        <w:t xml:space="preserve"> for early intervention</w:t>
      </w:r>
      <w:r>
        <w:rPr>
          <w:rFonts w:eastAsiaTheme="minorHAnsi" w:cs="Calibri"/>
        </w:rPr>
        <w:t xml:space="preserve"> are promoted in</w:t>
      </w:r>
      <w:r w:rsidRPr="009D3233">
        <w:t xml:space="preserve"> </w:t>
      </w:r>
      <w:r w:rsidRPr="00F11FAC">
        <w:t xml:space="preserve">reports and online materials from national and local government, </w:t>
      </w:r>
      <w:r w:rsidR="008A282D">
        <w:t xml:space="preserve">and </w:t>
      </w:r>
      <w:r w:rsidRPr="00F11FAC">
        <w:t xml:space="preserve">data analytic companies, </w:t>
      </w:r>
      <w:r w:rsidR="008A282D">
        <w:t xml:space="preserve">and other supportive bodies, </w:t>
      </w:r>
      <w:r>
        <w:rPr>
          <w:rFonts w:eastAsiaTheme="minorHAnsi" w:cs="Calibri"/>
        </w:rPr>
        <w:t>as</w:t>
      </w:r>
      <w:r w:rsidR="00327BA9">
        <w:rPr>
          <w:rFonts w:eastAsiaTheme="minorHAnsi" w:cs="Calibri"/>
        </w:rPr>
        <w:t>:</w:t>
      </w:r>
      <w:r>
        <w:rPr>
          <w:rFonts w:eastAsiaTheme="minorHAnsi" w:cs="Calibri"/>
        </w:rPr>
        <w:t xml:space="preserve"> delivering powerful </w:t>
      </w:r>
      <w:r w:rsidR="00327BA9">
        <w:rPr>
          <w:rFonts w:eastAsiaTheme="minorHAnsi" w:cs="Calibri"/>
        </w:rPr>
        <w:t xml:space="preserve">control of superior knowledge in the hands of local authorities; </w:t>
      </w:r>
      <w:r>
        <w:rPr>
          <w:rFonts w:eastAsiaTheme="minorHAnsi" w:cs="Calibri"/>
        </w:rPr>
        <w:t xml:space="preserve"> timeliness</w:t>
      </w:r>
      <w:r w:rsidR="00327BA9">
        <w:rPr>
          <w:rFonts w:eastAsiaTheme="minorHAnsi" w:cs="Calibri"/>
        </w:rPr>
        <w:t xml:space="preserve">, especially through incoming ‘real time’ data about families allowing for quick ‘early warning’ risk prevention; </w:t>
      </w:r>
      <w:r>
        <w:rPr>
          <w:rFonts w:eastAsiaTheme="minorHAnsi" w:cs="Calibri"/>
        </w:rPr>
        <w:t>and economic efficiency</w:t>
      </w:r>
      <w:r w:rsidR="00327BA9">
        <w:rPr>
          <w:rFonts w:eastAsiaTheme="minorHAnsi" w:cs="Calibri"/>
        </w:rPr>
        <w:t xml:space="preserve">, optimising existing resources and making savings through prevention rather than crisis management </w:t>
      </w:r>
      <w:r>
        <w:rPr>
          <w:rFonts w:eastAsiaTheme="minorHAnsi" w:cs="Calibri"/>
        </w:rPr>
        <w:t>(</w:t>
      </w:r>
      <w:r w:rsidR="00BD52E9" w:rsidRPr="00BD52E9">
        <w:rPr>
          <w:rFonts w:eastAsiaTheme="minorHAnsi" w:cs="Calibri"/>
          <w:color w:val="FF0000"/>
        </w:rPr>
        <w:t>see discourse analysis in</w:t>
      </w:r>
      <w:r w:rsidR="00450155">
        <w:rPr>
          <w:rFonts w:eastAsiaTheme="minorHAnsi" w:cs="Calibri"/>
          <w:color w:val="FF0000"/>
        </w:rPr>
        <w:t xml:space="preserve"> Edwards et al., 2021</w:t>
      </w:r>
      <w:r>
        <w:rPr>
          <w:rFonts w:eastAsiaTheme="minorHAnsi" w:cs="Calibri"/>
        </w:rPr>
        <w:t>)</w:t>
      </w:r>
      <w:r w:rsidR="00A8668D">
        <w:rPr>
          <w:rFonts w:eastAsiaTheme="minorHAnsi" w:cs="Calibri"/>
        </w:rPr>
        <w:t xml:space="preserve">.  </w:t>
      </w:r>
      <w:r w:rsidR="00B0325D">
        <w:rPr>
          <w:rFonts w:eastAsiaTheme="minorHAnsi" w:cs="Calibri"/>
        </w:rPr>
        <w:t xml:space="preserve">These rationales for undertaking data linkage and risk modelling are driven by </w:t>
      </w:r>
      <w:r w:rsidR="004D1558">
        <w:rPr>
          <w:rFonts w:eastAsiaTheme="minorHAnsi" w:cs="Calibri"/>
        </w:rPr>
        <w:t>austerity-</w:t>
      </w:r>
      <w:r w:rsidR="00B0325D">
        <w:rPr>
          <w:rFonts w:eastAsiaTheme="minorHAnsi" w:cs="Calibri"/>
        </w:rPr>
        <w:t>tightened finances</w:t>
      </w:r>
      <w:r w:rsidR="00BB2380">
        <w:rPr>
          <w:rFonts w:eastAsiaTheme="minorHAnsi" w:cs="Calibri"/>
        </w:rPr>
        <w:t>,</w:t>
      </w:r>
      <w:r w:rsidR="00B0325D">
        <w:rPr>
          <w:rFonts w:eastAsiaTheme="minorHAnsi" w:cs="Calibri"/>
        </w:rPr>
        <w:t xml:space="preserve"> by prevention science as the answer to straightened services</w:t>
      </w:r>
      <w:r w:rsidR="00BB2380">
        <w:rPr>
          <w:rFonts w:eastAsiaTheme="minorHAnsi" w:cs="Calibri"/>
        </w:rPr>
        <w:t>, and by political and public concerns about child protection and abuse (</w:t>
      </w:r>
      <w:proofErr w:type="spellStart"/>
      <w:r w:rsidR="00BB2380">
        <w:rPr>
          <w:rFonts w:eastAsiaTheme="minorHAnsi" w:cs="Calibri"/>
        </w:rPr>
        <w:t>Jupp</w:t>
      </w:r>
      <w:proofErr w:type="spellEnd"/>
      <w:r w:rsidR="00BB2380">
        <w:rPr>
          <w:rFonts w:eastAsiaTheme="minorHAnsi" w:cs="Calibri"/>
        </w:rPr>
        <w:t>, 201</w:t>
      </w:r>
      <w:r w:rsidR="005205EF">
        <w:rPr>
          <w:rFonts w:eastAsiaTheme="minorHAnsi" w:cs="Calibri"/>
        </w:rPr>
        <w:t>7</w:t>
      </w:r>
      <w:r w:rsidR="00BB2380">
        <w:rPr>
          <w:rFonts w:eastAsiaTheme="minorHAnsi" w:cs="Calibri"/>
        </w:rPr>
        <w:t>)</w:t>
      </w:r>
      <w:r w:rsidR="00B0325D">
        <w:rPr>
          <w:rFonts w:eastAsiaTheme="minorHAnsi" w:cs="Calibri"/>
        </w:rPr>
        <w:t xml:space="preserve">.  </w:t>
      </w:r>
      <w:r w:rsidR="00BB2380">
        <w:rPr>
          <w:rFonts w:eastAsiaTheme="minorHAnsi" w:cs="Calibri"/>
        </w:rPr>
        <w:t xml:space="preserve">Under these conditions, </w:t>
      </w:r>
      <w:r w:rsidR="001A6EC1">
        <w:rPr>
          <w:rFonts w:eastAsiaTheme="minorHAnsi" w:cs="Calibri"/>
        </w:rPr>
        <w:t xml:space="preserve">rather than providing universal support services for families, </w:t>
      </w:r>
      <w:r w:rsidR="00BB2380">
        <w:rPr>
          <w:rFonts w:eastAsiaTheme="minorHAnsi" w:cs="Calibri"/>
        </w:rPr>
        <w:t>p</w:t>
      </w:r>
      <w:r w:rsidR="00B0325D">
        <w:rPr>
          <w:rFonts w:eastAsiaTheme="minorHAnsi" w:cs="Calibri"/>
        </w:rPr>
        <w:t>ublic services providers</w:t>
      </w:r>
      <w:r w:rsidR="001A6EC1">
        <w:rPr>
          <w:rFonts w:eastAsiaTheme="minorHAnsi" w:cs="Calibri"/>
        </w:rPr>
        <w:t xml:space="preserve"> aim to</w:t>
      </w:r>
      <w:r w:rsidR="00B0325D">
        <w:rPr>
          <w:rFonts w:eastAsiaTheme="minorHAnsi" w:cs="Calibri"/>
        </w:rPr>
        <w:t xml:space="preserve"> </w:t>
      </w:r>
      <w:r w:rsidR="001A6EC1">
        <w:rPr>
          <w:rFonts w:eastAsiaTheme="minorHAnsi" w:cs="Calibri"/>
        </w:rPr>
        <w:t>t</w:t>
      </w:r>
      <w:r w:rsidR="00BB2380">
        <w:rPr>
          <w:rFonts w:eastAsiaTheme="minorHAnsi" w:cs="Calibri"/>
        </w:rPr>
        <w:t xml:space="preserve">arget </w:t>
      </w:r>
      <w:r w:rsidR="004D1558">
        <w:rPr>
          <w:rFonts w:eastAsiaTheme="minorHAnsi" w:cs="Calibri"/>
        </w:rPr>
        <w:t xml:space="preserve">specific </w:t>
      </w:r>
      <w:r w:rsidR="00BB2380">
        <w:rPr>
          <w:rFonts w:eastAsiaTheme="minorHAnsi" w:cs="Calibri"/>
        </w:rPr>
        <w:t xml:space="preserve">families that </w:t>
      </w:r>
      <w:r w:rsidR="004D1558">
        <w:rPr>
          <w:rFonts w:eastAsiaTheme="minorHAnsi" w:cs="Calibri"/>
        </w:rPr>
        <w:t xml:space="preserve">they judge </w:t>
      </w:r>
      <w:r w:rsidR="00BB2380">
        <w:rPr>
          <w:rFonts w:eastAsiaTheme="minorHAnsi" w:cs="Calibri"/>
        </w:rPr>
        <w:t>may face and cause difficulties</w:t>
      </w:r>
      <w:r w:rsidR="004D1558">
        <w:rPr>
          <w:rFonts w:eastAsiaTheme="minorHAnsi" w:cs="Calibri"/>
        </w:rPr>
        <w:t>,</w:t>
      </w:r>
      <w:r w:rsidR="00BB2380">
        <w:rPr>
          <w:rFonts w:eastAsiaTheme="minorHAnsi" w:cs="Calibri"/>
        </w:rPr>
        <w:t xml:space="preserve"> with dedicated early interventions to prevent the risk of problems embedding </w:t>
      </w:r>
      <w:r w:rsidR="00BB2380" w:rsidRPr="007E62CA">
        <w:rPr>
          <w:rFonts w:eastAsiaTheme="minorHAnsi" w:cs="Calibri"/>
        </w:rPr>
        <w:t xml:space="preserve">themselves, and </w:t>
      </w:r>
      <w:r w:rsidR="001A6EC1" w:rsidRPr="007E62CA">
        <w:rPr>
          <w:rFonts w:eastAsiaTheme="minorHAnsi" w:cs="Calibri"/>
        </w:rPr>
        <w:t xml:space="preserve">thus </w:t>
      </w:r>
      <w:r w:rsidR="00BB2380" w:rsidRPr="007E62CA">
        <w:rPr>
          <w:rFonts w:eastAsiaTheme="minorHAnsi" w:cs="Calibri"/>
        </w:rPr>
        <w:t>to constrain costs.</w:t>
      </w:r>
      <w:r w:rsidR="00BB2380">
        <w:rPr>
          <w:rFonts w:eastAsiaTheme="minorHAnsi" w:cs="Calibri"/>
        </w:rPr>
        <w:t xml:space="preserve">  </w:t>
      </w:r>
    </w:p>
    <w:p w14:paraId="5BAD4B8D" w14:textId="77777777" w:rsidR="001549E1" w:rsidRDefault="001549E1" w:rsidP="0097277F">
      <w:pPr>
        <w:rPr>
          <w:rFonts w:eastAsiaTheme="minorHAnsi" w:cs="Calibri"/>
        </w:rPr>
      </w:pPr>
    </w:p>
    <w:p w14:paraId="65F86D91" w14:textId="08D734BB" w:rsidR="00E95284" w:rsidRDefault="00327BA9" w:rsidP="0097277F">
      <w:pPr>
        <w:rPr>
          <w:rFonts w:eastAsiaTheme="minorHAnsi" w:cs="Calibri"/>
        </w:rPr>
      </w:pPr>
      <w:r>
        <w:rPr>
          <w:rFonts w:eastAsiaTheme="minorHAnsi" w:cs="Calibri"/>
        </w:rPr>
        <w:t>Our survey</w:t>
      </w:r>
      <w:r w:rsidR="00A8668D">
        <w:rPr>
          <w:rFonts w:eastAsiaTheme="minorHAnsi" w:cs="Calibri"/>
        </w:rPr>
        <w:t xml:space="preserve"> put a series of </w:t>
      </w:r>
      <w:r w:rsidR="004D1558">
        <w:rPr>
          <w:rFonts w:eastAsiaTheme="minorHAnsi" w:cs="Calibri"/>
        </w:rPr>
        <w:t xml:space="preserve">dominant </w:t>
      </w:r>
      <w:r w:rsidR="00A8668D">
        <w:rPr>
          <w:rFonts w:eastAsiaTheme="minorHAnsi" w:cs="Calibri"/>
        </w:rPr>
        <w:t>rationales about the benefits of joining together administrative records for early intervention</w:t>
      </w:r>
      <w:r>
        <w:rPr>
          <w:rFonts w:eastAsiaTheme="minorHAnsi" w:cs="Calibri"/>
        </w:rPr>
        <w:t xml:space="preserve"> to parents</w:t>
      </w:r>
      <w:r w:rsidR="002F2B24">
        <w:rPr>
          <w:rFonts w:eastAsiaTheme="minorHAnsi" w:cs="Calibri"/>
        </w:rPr>
        <w:t>, drawing on our analysis of reports and online materials about data linkage and family services</w:t>
      </w:r>
      <w:r w:rsidR="00BF2B14">
        <w:rPr>
          <w:rFonts w:eastAsiaTheme="minorHAnsi" w:cs="Calibri"/>
        </w:rPr>
        <w:t xml:space="preserve"> </w:t>
      </w:r>
      <w:r w:rsidR="00BF2B14" w:rsidRPr="00BF2B14">
        <w:rPr>
          <w:rFonts w:eastAsiaTheme="minorHAnsi" w:cs="Calibri"/>
          <w:color w:val="FF0000"/>
        </w:rPr>
        <w:t xml:space="preserve">(see </w:t>
      </w:r>
      <w:r w:rsidR="00450155">
        <w:rPr>
          <w:rFonts w:eastAsiaTheme="minorHAnsi" w:cs="Calibri"/>
          <w:color w:val="FF0000"/>
        </w:rPr>
        <w:t>Edwards et al., 2021</w:t>
      </w:r>
      <w:r w:rsidR="00BF2B14">
        <w:rPr>
          <w:rFonts w:eastAsiaTheme="minorHAnsi" w:cs="Calibri"/>
        </w:rPr>
        <w:t>)</w:t>
      </w:r>
      <w:r w:rsidR="002F2B24">
        <w:rPr>
          <w:rFonts w:eastAsiaTheme="minorHAnsi" w:cs="Calibri"/>
        </w:rPr>
        <w:t xml:space="preserve">.  </w:t>
      </w:r>
      <w:r>
        <w:rPr>
          <w:rFonts w:eastAsiaTheme="minorHAnsi" w:cs="Calibri"/>
        </w:rPr>
        <w:t>We asked about</w:t>
      </w:r>
      <w:r w:rsidR="005C7508">
        <w:rPr>
          <w:rFonts w:eastAsiaTheme="minorHAnsi" w:cs="Calibri"/>
        </w:rPr>
        <w:t xml:space="preserve"> the extent to which they thought that it was acceptable or unacceptable, respectively, </w:t>
      </w:r>
      <w:proofErr w:type="gramStart"/>
      <w:r w:rsidR="00A65CC9">
        <w:rPr>
          <w:rFonts w:eastAsiaTheme="minorHAnsi" w:cs="Calibri"/>
        </w:rPr>
        <w:t>to</w:t>
      </w:r>
      <w:r w:rsidR="002F2B24">
        <w:rPr>
          <w:rFonts w:eastAsiaTheme="minorHAnsi" w:cs="Calibri"/>
        </w:rPr>
        <w:t>:</w:t>
      </w:r>
      <w:proofErr w:type="gramEnd"/>
      <w:r w:rsidR="00A65CC9">
        <w:rPr>
          <w:rFonts w:eastAsiaTheme="minorHAnsi" w:cs="Calibri"/>
        </w:rPr>
        <w:t xml:space="preserve"> </w:t>
      </w:r>
      <w:r w:rsidR="002F2B24">
        <w:rPr>
          <w:rFonts w:eastAsiaTheme="minorHAnsi" w:cs="Calibri"/>
        </w:rPr>
        <w:t>identify families that might need support whether or not they have asked for it; save time and money by preventing family problems before they developed; promot</w:t>
      </w:r>
      <w:r w:rsidR="004D1558">
        <w:rPr>
          <w:rFonts w:eastAsiaTheme="minorHAnsi" w:cs="Calibri"/>
        </w:rPr>
        <w:t>e</w:t>
      </w:r>
      <w:r w:rsidR="002F2B24">
        <w:rPr>
          <w:rFonts w:eastAsiaTheme="minorHAnsi" w:cs="Calibri"/>
        </w:rPr>
        <w:t xml:space="preserve"> efficiency by targeting services at families that have been identified as needing support; and identify families where children could be at risk of abuse to intervene and prevent it happening.</w:t>
      </w:r>
      <w:r w:rsidR="00D82392">
        <w:rPr>
          <w:rFonts w:eastAsiaTheme="minorHAnsi" w:cs="Calibri"/>
        </w:rPr>
        <w:t xml:space="preserve">  </w:t>
      </w:r>
      <w:r w:rsidR="002F2B24">
        <w:rPr>
          <w:rFonts w:eastAsiaTheme="minorHAnsi" w:cs="Calibri"/>
        </w:rPr>
        <w:t>At this abstract, overa</w:t>
      </w:r>
      <w:r w:rsidR="004D1558">
        <w:rPr>
          <w:rFonts w:eastAsiaTheme="minorHAnsi" w:cs="Calibri"/>
        </w:rPr>
        <w:t>rching</w:t>
      </w:r>
      <w:r w:rsidR="002F2B24">
        <w:rPr>
          <w:rFonts w:eastAsiaTheme="minorHAnsi" w:cs="Calibri"/>
        </w:rPr>
        <w:t xml:space="preserve"> rationales level, the parents surveyed</w:t>
      </w:r>
      <w:r w:rsidR="001C476D">
        <w:rPr>
          <w:rFonts w:eastAsiaTheme="minorHAnsi" w:cs="Calibri"/>
        </w:rPr>
        <w:t xml:space="preserve"> granted social licence for </w:t>
      </w:r>
      <w:r w:rsidR="002F2B24">
        <w:rPr>
          <w:rFonts w:eastAsiaTheme="minorHAnsi" w:cs="Calibri"/>
        </w:rPr>
        <w:t>joining together administrative records</w:t>
      </w:r>
      <w:r w:rsidR="001C476D">
        <w:rPr>
          <w:rFonts w:eastAsiaTheme="minorHAnsi" w:cs="Calibri"/>
        </w:rPr>
        <w:t xml:space="preserve"> for early intervention</w:t>
      </w:r>
      <w:r w:rsidR="002F2B24">
        <w:rPr>
          <w:rFonts w:eastAsiaTheme="minorHAnsi" w:cs="Calibri"/>
        </w:rPr>
        <w:t>, but the</w:t>
      </w:r>
      <w:r w:rsidR="00AC57BF">
        <w:rPr>
          <w:rFonts w:eastAsiaTheme="minorHAnsi" w:cs="Calibri"/>
        </w:rPr>
        <w:t>y</w:t>
      </w:r>
      <w:r w:rsidR="002F2B24">
        <w:rPr>
          <w:rFonts w:eastAsiaTheme="minorHAnsi" w:cs="Calibri"/>
        </w:rPr>
        <w:t xml:space="preserve"> were more circumspect when considering the specifics of trusting </w:t>
      </w:r>
      <w:proofErr w:type="gramStart"/>
      <w:r w:rsidR="002F2B24">
        <w:rPr>
          <w:rFonts w:eastAsiaTheme="minorHAnsi" w:cs="Calibri"/>
        </w:rPr>
        <w:t>particular public</w:t>
      </w:r>
      <w:proofErr w:type="gramEnd"/>
      <w:r w:rsidR="002F2B24">
        <w:rPr>
          <w:rFonts w:eastAsiaTheme="minorHAnsi" w:cs="Calibri"/>
        </w:rPr>
        <w:t xml:space="preserve"> services to do this</w:t>
      </w:r>
      <w:r w:rsidR="00AC57BF">
        <w:rPr>
          <w:rFonts w:eastAsiaTheme="minorHAnsi" w:cs="Calibri"/>
        </w:rPr>
        <w:t>, and private sector involvement in the process</w:t>
      </w:r>
      <w:r w:rsidR="002F2B24">
        <w:rPr>
          <w:rFonts w:eastAsiaTheme="minorHAnsi" w:cs="Calibri"/>
        </w:rPr>
        <w:t xml:space="preserve">. </w:t>
      </w:r>
      <w:r w:rsidR="00E95284">
        <w:rPr>
          <w:rFonts w:eastAsiaTheme="minorHAnsi" w:cs="Calibri"/>
        </w:rPr>
        <w:t xml:space="preserve"> </w:t>
      </w:r>
    </w:p>
    <w:p w14:paraId="6873417B" w14:textId="77777777" w:rsidR="00E95284" w:rsidRPr="00750BCF" w:rsidRDefault="00E95284" w:rsidP="0097277F">
      <w:pPr>
        <w:rPr>
          <w:rFonts w:eastAsiaTheme="minorHAnsi" w:cs="Calibri"/>
        </w:rPr>
      </w:pPr>
    </w:p>
    <w:p w14:paraId="55101CF4" w14:textId="55D24191" w:rsidR="00670C84" w:rsidRDefault="001C476D" w:rsidP="00670C84">
      <w:r w:rsidRPr="00750BCF">
        <w:t xml:space="preserve">Among parents </w:t>
      </w:r>
      <w:proofErr w:type="gramStart"/>
      <w:r w:rsidRPr="00750BCF">
        <w:t>as a whole in</w:t>
      </w:r>
      <w:proofErr w:type="gramEnd"/>
      <w:r w:rsidRPr="00750BCF">
        <w:t xml:space="preserve"> the sample t</w:t>
      </w:r>
      <w:r w:rsidRPr="00750BCF">
        <w:rPr>
          <w:rFonts w:cstheme="minorHAnsi"/>
        </w:rPr>
        <w:t>here was a consensus for joining families’ administrative records</w:t>
      </w:r>
      <w:r w:rsidRPr="00750BCF">
        <w:rPr>
          <w:rFonts w:cstheme="minorHAnsi"/>
          <w:b/>
          <w:bCs/>
        </w:rPr>
        <w:t xml:space="preserve"> </w:t>
      </w:r>
      <w:r w:rsidRPr="00750BCF">
        <w:rPr>
          <w:rFonts w:cstheme="minorHAnsi"/>
        </w:rPr>
        <w:t>to enable early intervention</w:t>
      </w:r>
      <w:r w:rsidR="00750BCF" w:rsidRPr="00750BCF">
        <w:rPr>
          <w:rFonts w:cstheme="minorHAnsi"/>
        </w:rPr>
        <w:t xml:space="preserve"> at a general level, with the level of agreement representing social licence.  </w:t>
      </w:r>
      <w:r w:rsidR="00750BCF">
        <w:rPr>
          <w:rFonts w:cstheme="minorHAnsi"/>
        </w:rPr>
        <w:t>As Table 2 shows, i</w:t>
      </w:r>
      <w:r w:rsidR="00750BCF" w:rsidRPr="00750BCF">
        <w:rPr>
          <w:rFonts w:eastAsiaTheme="minorHAnsi" w:cs="Calibri"/>
        </w:rPr>
        <w:t xml:space="preserve">dentifying families that might need support, catching problems early on, efficiently targeting services, and identifying risk of child abuse, etc., </w:t>
      </w:r>
      <w:proofErr w:type="gramStart"/>
      <w:r w:rsidR="00750BCF" w:rsidRPr="00750BCF">
        <w:rPr>
          <w:rFonts w:eastAsiaTheme="minorHAnsi" w:cs="Calibri"/>
        </w:rPr>
        <w:t>were seen as</w:t>
      </w:r>
      <w:proofErr w:type="gramEnd"/>
      <w:r w:rsidR="00750BCF" w:rsidRPr="00750BCF">
        <w:rPr>
          <w:rFonts w:eastAsiaTheme="minorHAnsi" w:cs="Calibri"/>
        </w:rPr>
        <w:t xml:space="preserve"> acceptable reasons for joining together administrative records, with over 80 per cent of parents agreeing (with a consensus baseline of 50 per cent).  </w:t>
      </w:r>
      <w:r w:rsidR="00E95284" w:rsidRPr="00750BCF">
        <w:rPr>
          <w:rFonts w:cstheme="minorHAnsi"/>
        </w:rPr>
        <w:t>It is important to note, however, that</w:t>
      </w:r>
      <w:r w:rsidR="00750BCF">
        <w:rPr>
          <w:rFonts w:cstheme="minorHAnsi"/>
        </w:rPr>
        <w:t xml:space="preserve">, although still representing social licence, the levels of agreeing are </w:t>
      </w:r>
      <w:r w:rsidR="00670C84">
        <w:rPr>
          <w:rFonts w:cstheme="minorHAnsi"/>
        </w:rPr>
        <w:t xml:space="preserve">uneven </w:t>
      </w:r>
      <w:r w:rsidR="00E95284" w:rsidRPr="00750BCF">
        <w:rPr>
          <w:rFonts w:cstheme="minorHAnsi"/>
        </w:rPr>
        <w:t>between different social groups of parents</w:t>
      </w:r>
      <w:r w:rsidR="00750BCF">
        <w:rPr>
          <w:rFonts w:cstheme="minorHAnsi"/>
        </w:rPr>
        <w:t xml:space="preserve"> (Table 2)</w:t>
      </w:r>
      <w:r w:rsidR="00E95284" w:rsidRPr="00750BCF">
        <w:rPr>
          <w:rFonts w:cstheme="minorHAnsi"/>
        </w:rPr>
        <w:t>.</w:t>
      </w:r>
      <w:r w:rsidR="00750BCF">
        <w:rPr>
          <w:rFonts w:cstheme="minorHAnsi"/>
        </w:rPr>
        <w:t xml:space="preserve">  </w:t>
      </w:r>
      <w:proofErr w:type="gramStart"/>
      <w:r w:rsidR="00670C84">
        <w:t>In particular, it</w:t>
      </w:r>
      <w:proofErr w:type="gramEnd"/>
      <w:r w:rsidR="00670C84">
        <w:t xml:space="preserve"> is variably lower among lone parents and younger parents in the sample, and consistently lower among Black parents, especially for identification and targeting of families.  </w:t>
      </w:r>
    </w:p>
    <w:p w14:paraId="1DEF96FA" w14:textId="77777777" w:rsidR="00670C84" w:rsidRDefault="00670C84" w:rsidP="00670C84"/>
    <w:p w14:paraId="0B7FC260" w14:textId="77777777" w:rsidR="00670C84" w:rsidRDefault="00670C84" w:rsidP="00670C84">
      <w:r>
        <w:t>INSERT TABLE 2 HERE</w:t>
      </w:r>
    </w:p>
    <w:p w14:paraId="3F509047" w14:textId="77777777" w:rsidR="00670C84" w:rsidRPr="0080135E" w:rsidRDefault="00670C84" w:rsidP="00670C84"/>
    <w:p w14:paraId="1211BF5B" w14:textId="6D3364C0" w:rsidR="00A7603C" w:rsidRPr="0080135E" w:rsidRDefault="00670C84" w:rsidP="00A7603C">
      <w:r w:rsidRPr="0080135E">
        <w:rPr>
          <w:rFonts w:eastAsiaTheme="minorHAnsi" w:cs="Calibri"/>
        </w:rPr>
        <w:t xml:space="preserve">The </w:t>
      </w:r>
      <w:r w:rsidR="00D73C08" w:rsidRPr="0080135E">
        <w:rPr>
          <w:rFonts w:eastAsiaTheme="minorHAnsi" w:cs="Calibri"/>
        </w:rPr>
        <w:t xml:space="preserve">picture for the </w:t>
      </w:r>
      <w:r w:rsidRPr="0080135E">
        <w:rPr>
          <w:rFonts w:eastAsiaTheme="minorHAnsi" w:cs="Calibri"/>
        </w:rPr>
        <w:t xml:space="preserve">granting of social licence changes when it comes to considering the use of data linkage by specific public services.  We asked parents </w:t>
      </w:r>
      <w:r w:rsidR="00D73C08" w:rsidRPr="0080135E">
        <w:rPr>
          <w:rFonts w:eastAsiaTheme="minorHAnsi" w:cs="Calibri"/>
        </w:rPr>
        <w:t xml:space="preserve">about </w:t>
      </w:r>
      <w:proofErr w:type="gramStart"/>
      <w:r w:rsidR="00D73C08" w:rsidRPr="0080135E">
        <w:rPr>
          <w:rFonts w:eastAsiaTheme="minorHAnsi" w:cs="Calibri"/>
        </w:rPr>
        <w:t>whether or not</w:t>
      </w:r>
      <w:proofErr w:type="gramEnd"/>
      <w:r w:rsidR="00D73C08" w:rsidRPr="0080135E">
        <w:rPr>
          <w:rFonts w:eastAsiaTheme="minorHAnsi" w:cs="Calibri"/>
        </w:rPr>
        <w:t xml:space="preserve"> they </w:t>
      </w:r>
      <w:r w:rsidR="00A46AC0" w:rsidRPr="0080135E">
        <w:rPr>
          <w:rFonts w:eastAsiaTheme="minorHAnsi" w:cs="Calibri"/>
        </w:rPr>
        <w:t>t</w:t>
      </w:r>
      <w:r w:rsidR="00D73C08" w:rsidRPr="0080135E">
        <w:rPr>
          <w:rFonts w:eastAsiaTheme="minorHAnsi" w:cs="Calibri"/>
        </w:rPr>
        <w:t xml:space="preserve">rusted particular organisations to join together administrative records to identify families </w:t>
      </w:r>
      <w:r w:rsidR="00B920AD">
        <w:rPr>
          <w:rFonts w:eastAsiaTheme="minorHAnsi" w:cs="Calibri"/>
        </w:rPr>
        <w:t xml:space="preserve">for </w:t>
      </w:r>
      <w:proofErr w:type="spellStart"/>
      <w:r w:rsidR="00D73C08" w:rsidRPr="0080135E">
        <w:rPr>
          <w:rFonts w:eastAsiaTheme="minorHAnsi" w:cs="Calibri"/>
        </w:rPr>
        <w:t>target</w:t>
      </w:r>
      <w:r w:rsidR="00B920AD">
        <w:rPr>
          <w:rFonts w:eastAsiaTheme="minorHAnsi" w:cs="Calibri"/>
        </w:rPr>
        <w:t>ted</w:t>
      </w:r>
      <w:proofErr w:type="spellEnd"/>
      <w:r w:rsidR="00D73C08" w:rsidRPr="0080135E">
        <w:rPr>
          <w:rFonts w:eastAsiaTheme="minorHAnsi" w:cs="Calibri"/>
        </w:rPr>
        <w:t xml:space="preserve"> public services.  Trust is an important element of social licence</w:t>
      </w:r>
      <w:r w:rsidR="00926B6A">
        <w:rPr>
          <w:rFonts w:eastAsiaTheme="minorHAnsi" w:cs="Calibri"/>
        </w:rPr>
        <w:t>.  It is</w:t>
      </w:r>
      <w:r w:rsidR="00D73C08" w:rsidRPr="0080135E">
        <w:rPr>
          <w:rFonts w:eastAsiaTheme="minorHAnsi" w:cs="Calibri"/>
        </w:rPr>
        <w:t xml:space="preserve"> bound up with considerations of </w:t>
      </w:r>
      <w:r w:rsidR="00A46AC0" w:rsidRPr="0080135E">
        <w:rPr>
          <w:rFonts w:eastAsiaTheme="minorHAnsi" w:cs="Calibri"/>
        </w:rPr>
        <w:t xml:space="preserve">information </w:t>
      </w:r>
      <w:r w:rsidR="00D73C08" w:rsidRPr="0080135E">
        <w:rPr>
          <w:rFonts w:eastAsiaTheme="minorHAnsi" w:cs="Calibri"/>
        </w:rPr>
        <w:t xml:space="preserve">being used in </w:t>
      </w:r>
      <w:r w:rsidR="0080135E" w:rsidRPr="0080135E">
        <w:rPr>
          <w:rFonts w:eastAsiaTheme="minorHAnsi" w:cs="Calibri"/>
        </w:rPr>
        <w:t xml:space="preserve">legitimate and </w:t>
      </w:r>
      <w:proofErr w:type="spellStart"/>
      <w:r w:rsidR="00D73C08" w:rsidRPr="0080135E">
        <w:rPr>
          <w:rFonts w:eastAsiaTheme="minorHAnsi" w:cs="Calibri"/>
        </w:rPr>
        <w:t>fair ways</w:t>
      </w:r>
      <w:proofErr w:type="spellEnd"/>
      <w:r w:rsidR="00D73C08" w:rsidRPr="0080135E">
        <w:rPr>
          <w:rFonts w:eastAsiaTheme="minorHAnsi" w:cs="Calibri"/>
        </w:rPr>
        <w:t xml:space="preserve"> by agencies</w:t>
      </w:r>
      <w:r w:rsidR="00A46AC0" w:rsidRPr="0080135E">
        <w:rPr>
          <w:rFonts w:eastAsiaTheme="minorHAnsi" w:cs="Calibri"/>
        </w:rPr>
        <w:t xml:space="preserve">.  As Peter Leonard </w:t>
      </w:r>
      <w:r w:rsidR="0080135E" w:rsidRPr="0080135E">
        <w:rPr>
          <w:rFonts w:eastAsiaTheme="minorHAnsi" w:cs="Calibri"/>
        </w:rPr>
        <w:t xml:space="preserve">(2018) </w:t>
      </w:r>
      <w:r w:rsidR="00A46AC0" w:rsidRPr="0080135E">
        <w:rPr>
          <w:rFonts w:eastAsiaTheme="minorHAnsi" w:cs="Calibri"/>
        </w:rPr>
        <w:t>points out, different social groups are likely to see the relationship between trust and fairness in different ways.</w:t>
      </w:r>
      <w:r w:rsidR="0080135E" w:rsidRPr="0080135E">
        <w:rPr>
          <w:rFonts w:eastAsiaTheme="minorHAnsi" w:cs="Calibri"/>
        </w:rPr>
        <w:t xml:space="preserve"> </w:t>
      </w:r>
      <w:r w:rsidR="00D4700A">
        <w:rPr>
          <w:rFonts w:eastAsiaTheme="minorHAnsi" w:cs="Calibri"/>
        </w:rPr>
        <w:t xml:space="preserve"> This is because they are not all positioned in the same way in society and thus in relation to intervention services, which are targeted at </w:t>
      </w:r>
      <w:proofErr w:type="gramStart"/>
      <w:r w:rsidR="00D4700A">
        <w:rPr>
          <w:rFonts w:eastAsiaTheme="minorHAnsi" w:cs="Calibri"/>
        </w:rPr>
        <w:t>particular types</w:t>
      </w:r>
      <w:proofErr w:type="gramEnd"/>
      <w:r w:rsidR="00D4700A">
        <w:rPr>
          <w:rFonts w:eastAsiaTheme="minorHAnsi" w:cs="Calibri"/>
        </w:rPr>
        <w:t xml:space="preserve"> of families. </w:t>
      </w:r>
      <w:r w:rsidR="0080135E" w:rsidRPr="0080135E">
        <w:rPr>
          <w:rFonts w:eastAsiaTheme="minorHAnsi" w:cs="Calibri"/>
        </w:rPr>
        <w:t xml:space="preserve"> </w:t>
      </w:r>
      <w:r w:rsidR="006747A9" w:rsidRPr="006747A9">
        <w:rPr>
          <w:rFonts w:eastAsiaTheme="minorHAnsi" w:cs="Calibri"/>
          <w:color w:val="FF0000"/>
        </w:rPr>
        <w:t xml:space="preserve">This forms part of the wider </w:t>
      </w:r>
      <w:r w:rsidR="003B687D">
        <w:rPr>
          <w:rFonts w:eastAsiaTheme="minorHAnsi" w:cs="Calibri"/>
          <w:color w:val="FF0000"/>
        </w:rPr>
        <w:t xml:space="preserve">collective </w:t>
      </w:r>
      <w:r w:rsidR="006747A9" w:rsidRPr="006747A9">
        <w:rPr>
          <w:rFonts w:eastAsiaTheme="minorHAnsi" w:cs="Calibri"/>
          <w:color w:val="FF0000"/>
        </w:rPr>
        <w:t>contextual dynamics with which parents’ granting o</w:t>
      </w:r>
      <w:r w:rsidR="00E822D4">
        <w:rPr>
          <w:rFonts w:eastAsiaTheme="minorHAnsi" w:cs="Calibri"/>
          <w:color w:val="FF0000"/>
        </w:rPr>
        <w:t>r</w:t>
      </w:r>
      <w:r w:rsidR="006747A9" w:rsidRPr="006747A9">
        <w:rPr>
          <w:rFonts w:eastAsiaTheme="minorHAnsi" w:cs="Calibri"/>
          <w:color w:val="FF0000"/>
        </w:rPr>
        <w:t xml:space="preserve"> withholding of social licence for data linkage and predictive analytics articulates.  </w:t>
      </w:r>
      <w:r w:rsidR="0080135E" w:rsidRPr="0080135E">
        <w:rPr>
          <w:rFonts w:eastAsiaTheme="minorHAnsi" w:cs="Calibri"/>
        </w:rPr>
        <w:t>Indeed, w</w:t>
      </w:r>
      <w:bookmarkStart w:id="6" w:name="_Hlk65755102"/>
      <w:r w:rsidR="00A7603C" w:rsidRPr="0080135E">
        <w:t xml:space="preserve">hile parents may grant social licence for joining families’ administrative records to enable early intervention in a generalised sense, when it comes to considering the use of data linkage by specific public services </w:t>
      </w:r>
      <w:r w:rsidR="00A7603C" w:rsidRPr="0080135E">
        <w:rPr>
          <w:rFonts w:cstheme="minorHAnsi"/>
        </w:rPr>
        <w:t xml:space="preserve">there are differences between </w:t>
      </w:r>
      <w:r w:rsidR="0080135E" w:rsidRPr="0080135E">
        <w:rPr>
          <w:rFonts w:cstheme="minorHAnsi"/>
        </w:rPr>
        <w:t xml:space="preserve">the </w:t>
      </w:r>
      <w:r w:rsidR="00A7603C" w:rsidRPr="0080135E">
        <w:rPr>
          <w:rFonts w:cstheme="minorHAnsi"/>
        </w:rPr>
        <w:lastRenderedPageBreak/>
        <w:t>services</w:t>
      </w:r>
      <w:r w:rsidR="0080135E" w:rsidRPr="0080135E">
        <w:rPr>
          <w:rFonts w:cstheme="minorHAnsi"/>
        </w:rPr>
        <w:t xml:space="preserve"> concerned</w:t>
      </w:r>
      <w:r w:rsidR="00A7603C" w:rsidRPr="0080135E">
        <w:rPr>
          <w:rFonts w:cstheme="minorHAnsi"/>
        </w:rPr>
        <w:t xml:space="preserve"> in </w:t>
      </w:r>
      <w:proofErr w:type="gramStart"/>
      <w:r w:rsidR="00A7603C" w:rsidRPr="0080135E">
        <w:rPr>
          <w:rFonts w:cstheme="minorHAnsi"/>
        </w:rPr>
        <w:t>whether or not</w:t>
      </w:r>
      <w:proofErr w:type="gramEnd"/>
      <w:r w:rsidR="0080135E" w:rsidRPr="0080135E">
        <w:rPr>
          <w:rFonts w:cstheme="minorHAnsi"/>
        </w:rPr>
        <w:t xml:space="preserve"> they extend</w:t>
      </w:r>
      <w:r w:rsidR="00A7603C" w:rsidRPr="0080135E">
        <w:rPr>
          <w:rFonts w:cstheme="minorHAnsi"/>
        </w:rPr>
        <w:t xml:space="preserve"> trust</w:t>
      </w:r>
      <w:bookmarkEnd w:id="6"/>
      <w:r w:rsidR="0080135E" w:rsidRPr="0080135E">
        <w:rPr>
          <w:rFonts w:cstheme="minorHAnsi"/>
        </w:rPr>
        <w:t xml:space="preserve">, and importantly </w:t>
      </w:r>
      <w:r w:rsidR="00A7603C" w:rsidRPr="0080135E">
        <w:rPr>
          <w:rFonts w:cstheme="minorHAnsi"/>
        </w:rPr>
        <w:t xml:space="preserve">any trust and legitimacy extended is variable between different social groups of parents.  </w:t>
      </w:r>
    </w:p>
    <w:p w14:paraId="295478C9" w14:textId="77777777" w:rsidR="00E95284" w:rsidRPr="0080135E" w:rsidRDefault="00E95284" w:rsidP="0097277F">
      <w:pPr>
        <w:rPr>
          <w:rFonts w:eastAsiaTheme="minorHAnsi" w:cs="Calibri"/>
        </w:rPr>
      </w:pPr>
    </w:p>
    <w:p w14:paraId="3B03E249" w14:textId="77777777" w:rsidR="0080135E" w:rsidRDefault="0080135E" w:rsidP="0080135E">
      <w:r>
        <w:t>INSERT TABLE 3 HERE</w:t>
      </w:r>
    </w:p>
    <w:p w14:paraId="1F0CD9CC" w14:textId="77777777" w:rsidR="0080135E" w:rsidRDefault="0080135E" w:rsidP="0080135E"/>
    <w:p w14:paraId="7A3B0812" w14:textId="0C4AB4E4" w:rsidR="00656786" w:rsidRDefault="00DE63D0" w:rsidP="00234AD1">
      <w:pPr>
        <w:rPr>
          <w:rFonts w:cstheme="minorHAnsi"/>
        </w:rPr>
      </w:pPr>
      <w:r>
        <w:rPr>
          <w:rFonts w:eastAsiaTheme="minorHAnsi" w:cstheme="minorHAnsi"/>
        </w:rPr>
        <w:t xml:space="preserve">Looking at Table 3, </w:t>
      </w:r>
      <w:r w:rsidR="0097277F" w:rsidRPr="0080135E">
        <w:rPr>
          <w:rFonts w:eastAsiaTheme="minorHAnsi" w:cstheme="minorHAnsi"/>
        </w:rPr>
        <w:t xml:space="preserve">around half of parents overall said they trusted </w:t>
      </w:r>
      <w:r w:rsidR="0080135E" w:rsidRPr="0080135E">
        <w:rPr>
          <w:rFonts w:cstheme="minorHAnsi"/>
        </w:rPr>
        <w:t xml:space="preserve">children’s social work teams, local council education services, early years services, police and criminal justice, or immigration </w:t>
      </w:r>
      <w:r w:rsidR="0097277F" w:rsidRPr="0080135E">
        <w:rPr>
          <w:rFonts w:eastAsiaTheme="minorHAnsi" w:cstheme="minorHAnsi"/>
        </w:rPr>
        <w:t xml:space="preserve">services to </w:t>
      </w:r>
      <w:proofErr w:type="gramStart"/>
      <w:r w:rsidR="0097277F" w:rsidRPr="0080135E">
        <w:rPr>
          <w:rFonts w:eastAsiaTheme="minorHAnsi" w:cstheme="minorHAnsi"/>
        </w:rPr>
        <w:t>join together</w:t>
      </w:r>
      <w:proofErr w:type="gramEnd"/>
      <w:r w:rsidR="0097277F" w:rsidRPr="0080135E">
        <w:rPr>
          <w:rFonts w:eastAsiaTheme="minorHAnsi" w:cstheme="minorHAnsi"/>
        </w:rPr>
        <w:t xml:space="preserve"> administrative records</w:t>
      </w:r>
      <w:r w:rsidR="0080135E">
        <w:rPr>
          <w:rFonts w:eastAsiaTheme="minorHAnsi" w:cstheme="minorHAnsi"/>
        </w:rPr>
        <w:t xml:space="preserve"> for targeting families, with only social work and early years services (just) achieving </w:t>
      </w:r>
      <w:r>
        <w:rPr>
          <w:rFonts w:eastAsiaTheme="minorHAnsi" w:cstheme="minorHAnsi"/>
        </w:rPr>
        <w:t>the</w:t>
      </w:r>
      <w:r w:rsidR="0080135E">
        <w:rPr>
          <w:rFonts w:eastAsiaTheme="minorHAnsi" w:cstheme="minorHAnsi"/>
        </w:rPr>
        <w:t xml:space="preserve"> social licence </w:t>
      </w:r>
      <w:r>
        <w:rPr>
          <w:rFonts w:eastAsiaTheme="minorHAnsi" w:cstheme="minorHAnsi"/>
        </w:rPr>
        <w:t>consensus baseline of 50 per cent or above</w:t>
      </w:r>
      <w:r w:rsidR="0080135E">
        <w:rPr>
          <w:rFonts w:eastAsiaTheme="minorHAnsi" w:cstheme="minorHAnsi"/>
        </w:rPr>
        <w:t xml:space="preserve">.  For </w:t>
      </w:r>
      <w:r>
        <w:rPr>
          <w:rFonts w:eastAsiaTheme="minorHAnsi" w:cstheme="minorHAnsi"/>
        </w:rPr>
        <w:t xml:space="preserve">the </w:t>
      </w:r>
      <w:r w:rsidR="0080135E">
        <w:rPr>
          <w:rFonts w:eastAsiaTheme="minorHAnsi" w:cstheme="minorHAnsi"/>
        </w:rPr>
        <w:t>other services, there was no social licence for data linkage</w:t>
      </w:r>
      <w:r w:rsidR="0097277F" w:rsidRPr="0080135E">
        <w:rPr>
          <w:rFonts w:eastAsiaTheme="minorHAnsi" w:cstheme="minorHAnsi"/>
        </w:rPr>
        <w:t xml:space="preserve">.  </w:t>
      </w:r>
      <w:r w:rsidR="0080135E">
        <w:rPr>
          <w:rFonts w:eastAsiaTheme="minorHAnsi" w:cstheme="minorHAnsi"/>
        </w:rPr>
        <w:t>Looking deeper into th</w:t>
      </w:r>
      <w:r>
        <w:rPr>
          <w:rFonts w:eastAsiaTheme="minorHAnsi" w:cstheme="minorHAnsi"/>
        </w:rPr>
        <w:t xml:space="preserve">e patterning of </w:t>
      </w:r>
      <w:r w:rsidRPr="00234AD1">
        <w:rPr>
          <w:rFonts w:eastAsiaTheme="minorHAnsi" w:cstheme="minorHAnsi"/>
        </w:rPr>
        <w:t xml:space="preserve">this, </w:t>
      </w:r>
      <w:r w:rsidR="0097277F" w:rsidRPr="00234AD1">
        <w:rPr>
          <w:rFonts w:eastAsiaTheme="minorHAnsi" w:cs="Calibri"/>
          <w:shd w:val="clear" w:color="auto" w:fill="FFFFFF"/>
        </w:rPr>
        <w:t xml:space="preserve">trust in services to </w:t>
      </w:r>
      <w:proofErr w:type="gramStart"/>
      <w:r w:rsidR="0097277F" w:rsidRPr="00234AD1">
        <w:rPr>
          <w:rFonts w:eastAsiaTheme="minorHAnsi" w:cs="Calibri"/>
          <w:shd w:val="clear" w:color="auto" w:fill="FFFFFF"/>
        </w:rPr>
        <w:t>join together</w:t>
      </w:r>
      <w:proofErr w:type="gramEnd"/>
      <w:r w:rsidR="0097277F" w:rsidRPr="00234AD1">
        <w:rPr>
          <w:rFonts w:eastAsiaTheme="minorHAnsi" w:cs="Calibri"/>
          <w:shd w:val="clear" w:color="auto" w:fill="FFFFFF"/>
        </w:rPr>
        <w:t xml:space="preserve"> </w:t>
      </w:r>
      <w:r w:rsidRPr="00234AD1">
        <w:rPr>
          <w:rFonts w:eastAsiaTheme="minorHAnsi" w:cs="Calibri"/>
          <w:shd w:val="clear" w:color="auto" w:fill="FFFFFF"/>
        </w:rPr>
        <w:t xml:space="preserve">information mirrored the overall </w:t>
      </w:r>
      <w:r w:rsidR="00234AD1" w:rsidRPr="00234AD1">
        <w:rPr>
          <w:rFonts w:eastAsiaTheme="minorHAnsi" w:cs="Calibri"/>
          <w:shd w:val="clear" w:color="auto" w:fill="FFFFFF"/>
        </w:rPr>
        <w:t xml:space="preserve">constrained social licence </w:t>
      </w:r>
      <w:r w:rsidRPr="00234AD1">
        <w:rPr>
          <w:rFonts w:eastAsiaTheme="minorHAnsi" w:cs="Calibri"/>
          <w:shd w:val="clear" w:color="auto" w:fill="FFFFFF"/>
        </w:rPr>
        <w:t>pattern</w:t>
      </w:r>
      <w:bookmarkStart w:id="7" w:name="_Hlk65754942"/>
      <w:r w:rsidRPr="00234AD1">
        <w:rPr>
          <w:rFonts w:eastAsiaTheme="minorHAnsi" w:cs="Calibri"/>
          <w:shd w:val="clear" w:color="auto" w:fill="FFFFFF"/>
        </w:rPr>
        <w:t xml:space="preserve"> among </w:t>
      </w:r>
      <w:r w:rsidR="0097277F" w:rsidRPr="00234AD1">
        <w:rPr>
          <w:rFonts w:eastAsiaTheme="minorHAnsi" w:cstheme="minorHAnsi"/>
        </w:rPr>
        <w:t xml:space="preserve">parents who </w:t>
      </w:r>
      <w:r w:rsidRPr="00234AD1">
        <w:rPr>
          <w:rFonts w:eastAsiaTheme="minorHAnsi" w:cstheme="minorHAnsi"/>
        </w:rPr>
        <w:t>we</w:t>
      </w:r>
      <w:r w:rsidR="0097277F" w:rsidRPr="00234AD1">
        <w:rPr>
          <w:rFonts w:eastAsiaTheme="minorHAnsi" w:cstheme="minorHAnsi"/>
        </w:rPr>
        <w:t xml:space="preserve">re in managerial and professional occupations, </w:t>
      </w:r>
      <w:r w:rsidRPr="00234AD1">
        <w:rPr>
          <w:rFonts w:eastAsiaTheme="minorHAnsi" w:cstheme="minorHAnsi"/>
        </w:rPr>
        <w:t xml:space="preserve">and </w:t>
      </w:r>
      <w:r w:rsidR="0097277F" w:rsidRPr="00234AD1">
        <w:rPr>
          <w:rFonts w:eastAsiaTheme="minorHAnsi" w:cstheme="minorHAnsi"/>
        </w:rPr>
        <w:t>ha</w:t>
      </w:r>
      <w:r w:rsidRPr="00234AD1">
        <w:rPr>
          <w:rFonts w:eastAsiaTheme="minorHAnsi" w:cstheme="minorHAnsi"/>
        </w:rPr>
        <w:t>d</w:t>
      </w:r>
      <w:r w:rsidR="0097277F" w:rsidRPr="00234AD1">
        <w:rPr>
          <w:rFonts w:eastAsiaTheme="minorHAnsi" w:cstheme="minorHAnsi"/>
        </w:rPr>
        <w:t xml:space="preserve"> higher levels of qualifications and higher incomes</w:t>
      </w:r>
      <w:bookmarkEnd w:id="7"/>
      <w:r w:rsidRPr="00234AD1">
        <w:rPr>
          <w:rFonts w:eastAsiaTheme="minorHAnsi" w:cstheme="minorHAnsi"/>
        </w:rPr>
        <w:t xml:space="preserve">, but </w:t>
      </w:r>
      <w:bookmarkStart w:id="8" w:name="_Hlk65755065"/>
      <w:r w:rsidR="00234AD1" w:rsidRPr="00234AD1">
        <w:rPr>
          <w:rFonts w:eastAsiaTheme="minorHAnsi" w:cstheme="minorHAnsi"/>
        </w:rPr>
        <w:t>t</w:t>
      </w:r>
      <w:r w:rsidR="00234AD1" w:rsidRPr="00234AD1">
        <w:rPr>
          <w:rFonts w:cstheme="minorHAnsi"/>
        </w:rPr>
        <w:t xml:space="preserve">here was even less likely to be a social licence consensus for data linkage </w:t>
      </w:r>
      <w:r w:rsidR="0042427D">
        <w:rPr>
          <w:rFonts w:cstheme="minorHAnsi"/>
        </w:rPr>
        <w:t xml:space="preserve">for operational purposes </w:t>
      </w:r>
      <w:r w:rsidR="00234AD1" w:rsidRPr="00234AD1">
        <w:rPr>
          <w:rFonts w:cstheme="minorHAnsi"/>
        </w:rPr>
        <w:t>among marginalised social groups of parents</w:t>
      </w:r>
      <w:bookmarkEnd w:id="8"/>
      <w:r w:rsidR="00234AD1" w:rsidRPr="00234AD1">
        <w:rPr>
          <w:rFonts w:cstheme="minorHAnsi"/>
        </w:rPr>
        <w:t xml:space="preserve">.  </w:t>
      </w:r>
    </w:p>
    <w:p w14:paraId="4673C043" w14:textId="77777777" w:rsidR="00656786" w:rsidRDefault="00656786" w:rsidP="00234AD1">
      <w:pPr>
        <w:rPr>
          <w:rFonts w:cstheme="minorHAnsi"/>
        </w:rPr>
      </w:pPr>
    </w:p>
    <w:p w14:paraId="6F138E34" w14:textId="48E075FC" w:rsidR="00234AD1" w:rsidRPr="00234AD1" w:rsidRDefault="00234AD1" w:rsidP="00234AD1">
      <w:pPr>
        <w:rPr>
          <w:rFonts w:cstheme="minorHAnsi"/>
        </w:rPr>
      </w:pPr>
      <w:proofErr w:type="gramStart"/>
      <w:r w:rsidRPr="00234AD1">
        <w:t xml:space="preserve">In particular, </w:t>
      </w:r>
      <w:r w:rsidRPr="00234AD1">
        <w:rPr>
          <w:rFonts w:cstheme="minorHAnsi"/>
        </w:rPr>
        <w:t>Black</w:t>
      </w:r>
      <w:proofErr w:type="gramEnd"/>
      <w:r w:rsidRPr="00234AD1">
        <w:rPr>
          <w:rFonts w:cstheme="minorHAnsi"/>
        </w:rPr>
        <w:t xml:space="preserve"> parents do not hold a consensus of trust in any public services concerning their use of data linkage, especially not police and criminal justice and immigration services where trust drops to under a third (28 and 24 per cent respectively).  These concerning figures likely reflect the far lower levels of confidence that Black people in Britain have in the police in comparison with White and Asian counterparts (ONS, 2020)</w:t>
      </w:r>
      <w:r w:rsidR="006747A9">
        <w:rPr>
          <w:rFonts w:cstheme="minorHAnsi"/>
        </w:rPr>
        <w:t xml:space="preserve"> </w:t>
      </w:r>
      <w:r w:rsidR="006747A9" w:rsidRPr="006747A9">
        <w:rPr>
          <w:rFonts w:cstheme="minorHAnsi"/>
          <w:color w:val="FF0000"/>
        </w:rPr>
        <w:t>– another feature of the wider contextual dynamics for social licence</w:t>
      </w:r>
      <w:r w:rsidRPr="00234AD1">
        <w:rPr>
          <w:rFonts w:cstheme="minorHAnsi"/>
        </w:rPr>
        <w:t xml:space="preserve">.  But </w:t>
      </w:r>
      <w:proofErr w:type="gramStart"/>
      <w:r w:rsidRPr="00234AD1">
        <w:rPr>
          <w:rFonts w:cstheme="minorHAnsi"/>
        </w:rPr>
        <w:t>specifically</w:t>
      </w:r>
      <w:proofErr w:type="gramEnd"/>
      <w:r w:rsidRPr="00234AD1">
        <w:rPr>
          <w:rFonts w:cstheme="minorHAnsi"/>
        </w:rPr>
        <w:t xml:space="preserve"> in relation to data linkage, the Black parents also held an overwhelming consensus that information collected about services users is not always accurate</w:t>
      </w:r>
      <w:r w:rsidR="00861C62">
        <w:rPr>
          <w:rFonts w:cstheme="minorHAnsi"/>
        </w:rPr>
        <w:t xml:space="preserve">, with </w:t>
      </w:r>
      <w:r w:rsidRPr="00234AD1">
        <w:rPr>
          <w:rFonts w:cstheme="minorHAnsi"/>
        </w:rPr>
        <w:t>79 per cent</w:t>
      </w:r>
      <w:r w:rsidR="00861C62">
        <w:rPr>
          <w:rFonts w:cstheme="minorHAnsi"/>
        </w:rPr>
        <w:t xml:space="preserve"> disagreeing with the statement that joined together administrative records provide factual and unbiased information for delivering services.  They also judged</w:t>
      </w:r>
      <w:r w:rsidRPr="00234AD1">
        <w:rPr>
          <w:rFonts w:cstheme="minorHAnsi"/>
        </w:rPr>
        <w:t xml:space="preserve"> that data linkage </w:t>
      </w:r>
      <w:r w:rsidR="00861C62">
        <w:rPr>
          <w:rFonts w:cstheme="minorHAnsi"/>
        </w:rPr>
        <w:t>l</w:t>
      </w:r>
      <w:r w:rsidRPr="00234AD1">
        <w:rPr>
          <w:rFonts w:cstheme="minorHAnsi"/>
        </w:rPr>
        <w:t>ead</w:t>
      </w:r>
      <w:r w:rsidR="00861C62">
        <w:rPr>
          <w:rFonts w:cstheme="minorHAnsi"/>
        </w:rPr>
        <w:t>s</w:t>
      </w:r>
      <w:r w:rsidRPr="00234AD1">
        <w:rPr>
          <w:rFonts w:cstheme="minorHAnsi"/>
        </w:rPr>
        <w:t xml:space="preserve"> to discrimination against some families (57 per cent</w:t>
      </w:r>
      <w:r w:rsidR="00861C62">
        <w:rPr>
          <w:rFonts w:cstheme="minorHAnsi"/>
        </w:rPr>
        <w:t xml:space="preserve"> agreed</w:t>
      </w:r>
      <w:r w:rsidRPr="00234AD1">
        <w:rPr>
          <w:rFonts w:cstheme="minorHAnsi"/>
        </w:rPr>
        <w:t xml:space="preserve">), and that </w:t>
      </w:r>
      <w:r w:rsidR="00861C62">
        <w:rPr>
          <w:rFonts w:cstheme="minorHAnsi"/>
        </w:rPr>
        <w:t xml:space="preserve">using families’ administrative records may discourage them from accessing services </w:t>
      </w:r>
      <w:r w:rsidRPr="00234AD1">
        <w:rPr>
          <w:rFonts w:cstheme="minorHAnsi"/>
        </w:rPr>
        <w:t>when they need them (62 per cent</w:t>
      </w:r>
      <w:r w:rsidR="00861C62">
        <w:rPr>
          <w:rFonts w:cstheme="minorHAnsi"/>
        </w:rPr>
        <w:t xml:space="preserve"> agreed</w:t>
      </w:r>
      <w:r w:rsidRPr="00234AD1">
        <w:rPr>
          <w:rFonts w:cstheme="minorHAnsi"/>
        </w:rPr>
        <w:t>).  Clearly, there is no social licence for data linkage for early intervention among Black parents.</w:t>
      </w:r>
    </w:p>
    <w:p w14:paraId="5C435B52" w14:textId="77777777" w:rsidR="00234AD1" w:rsidRPr="00861C62" w:rsidRDefault="00234AD1" w:rsidP="00234AD1">
      <w:pPr>
        <w:rPr>
          <w:rFonts w:cstheme="minorHAnsi"/>
        </w:rPr>
      </w:pPr>
    </w:p>
    <w:p w14:paraId="1F135180" w14:textId="609B656E" w:rsidR="00234AD1" w:rsidRPr="0043031F" w:rsidRDefault="00234AD1" w:rsidP="00234AD1">
      <w:pPr>
        <w:rPr>
          <w:rFonts w:cstheme="minorHAnsi"/>
        </w:rPr>
      </w:pPr>
      <w:r w:rsidRPr="00861C62">
        <w:rPr>
          <w:rFonts w:cstheme="minorHAnsi"/>
        </w:rPr>
        <w:t>Other marginalised social groups of parents d</w:t>
      </w:r>
      <w:r w:rsidR="008D75B4" w:rsidRPr="00861C62">
        <w:rPr>
          <w:rFonts w:cstheme="minorHAnsi"/>
        </w:rPr>
        <w:t>id</w:t>
      </w:r>
      <w:r w:rsidRPr="00861C62">
        <w:rPr>
          <w:rFonts w:cstheme="minorHAnsi"/>
        </w:rPr>
        <w:t xml:space="preserve"> not extend social licence to aspects of data linkage for early intervention</w:t>
      </w:r>
      <w:r w:rsidR="00861C62" w:rsidRPr="00861C62">
        <w:rPr>
          <w:rFonts w:cstheme="minorHAnsi"/>
        </w:rPr>
        <w:t xml:space="preserve"> either</w:t>
      </w:r>
      <w:r w:rsidRPr="00861C62">
        <w:rPr>
          <w:rFonts w:cstheme="minorHAnsi"/>
        </w:rPr>
        <w:t>, notably lone parents, younger parents, and parents in larger families.  T</w:t>
      </w:r>
      <w:r w:rsidR="00861C62" w:rsidRPr="00861C62">
        <w:rPr>
          <w:rFonts w:cstheme="minorHAnsi"/>
        </w:rPr>
        <w:t>able 3 shows that t</w:t>
      </w:r>
      <w:r w:rsidRPr="00861C62">
        <w:rPr>
          <w:rFonts w:cstheme="minorHAnsi"/>
        </w:rPr>
        <w:t xml:space="preserve">here is no social licence among lone parents for </w:t>
      </w:r>
      <w:r w:rsidR="00255E7F">
        <w:rPr>
          <w:rFonts w:cstheme="minorHAnsi"/>
        </w:rPr>
        <w:t xml:space="preserve">many public services to link </w:t>
      </w:r>
      <w:r w:rsidRPr="00861C62">
        <w:rPr>
          <w:rFonts w:cstheme="minorHAnsi"/>
        </w:rPr>
        <w:t>data linkage.  Rather,</w:t>
      </w:r>
      <w:r w:rsidR="00861C62" w:rsidRPr="00861C62">
        <w:rPr>
          <w:rFonts w:cstheme="minorHAnsi"/>
        </w:rPr>
        <w:t xml:space="preserve"> </w:t>
      </w:r>
      <w:r w:rsidRPr="00861C62">
        <w:rPr>
          <w:rFonts w:cstheme="minorHAnsi"/>
        </w:rPr>
        <w:t xml:space="preserve">there is a consensus that </w:t>
      </w:r>
      <w:bookmarkStart w:id="9" w:name="_Hlk65686333"/>
      <w:bookmarkStart w:id="10" w:name="_Hlk65687319"/>
      <w:r w:rsidRPr="00861C62">
        <w:rPr>
          <w:rFonts w:cstheme="minorHAnsi"/>
        </w:rPr>
        <w:t>the information collected about services users is not always accurate (63</w:t>
      </w:r>
      <w:r w:rsidR="00861C62" w:rsidRPr="00861C62">
        <w:rPr>
          <w:rFonts w:cstheme="minorHAnsi"/>
        </w:rPr>
        <w:t xml:space="preserve"> per cent)</w:t>
      </w:r>
      <w:r w:rsidRPr="00861C62">
        <w:rPr>
          <w:rFonts w:cstheme="minorHAnsi"/>
        </w:rPr>
        <w:t xml:space="preserve">, that data linkage will lead to discrimination against some families </w:t>
      </w:r>
      <w:r w:rsidRPr="0043031F">
        <w:rPr>
          <w:rFonts w:cstheme="minorHAnsi"/>
        </w:rPr>
        <w:t>(52</w:t>
      </w:r>
      <w:r w:rsidR="00861C62" w:rsidRPr="0043031F">
        <w:rPr>
          <w:rFonts w:cstheme="minorHAnsi"/>
        </w:rPr>
        <w:t xml:space="preserve"> per cent</w:t>
      </w:r>
      <w:r w:rsidRPr="0043031F">
        <w:rPr>
          <w:rFonts w:cstheme="minorHAnsi"/>
        </w:rPr>
        <w:t xml:space="preserve">), </w:t>
      </w:r>
      <w:bookmarkEnd w:id="9"/>
      <w:r w:rsidRPr="0043031F">
        <w:rPr>
          <w:rFonts w:cstheme="minorHAnsi"/>
        </w:rPr>
        <w:t>and that it can put families off accessing services when they need them (52</w:t>
      </w:r>
      <w:r w:rsidR="00861C62" w:rsidRPr="0043031F">
        <w:rPr>
          <w:rFonts w:cstheme="minorHAnsi"/>
        </w:rPr>
        <w:t xml:space="preserve"> per cent</w:t>
      </w:r>
      <w:r w:rsidRPr="0043031F">
        <w:rPr>
          <w:rFonts w:cstheme="minorHAnsi"/>
        </w:rPr>
        <w:t>) (all with a consensus threshold of 50</w:t>
      </w:r>
      <w:r w:rsidR="00255E7F">
        <w:rPr>
          <w:rFonts w:cstheme="minorHAnsi"/>
        </w:rPr>
        <w:t xml:space="preserve"> per cent</w:t>
      </w:r>
      <w:r w:rsidRPr="0043031F">
        <w:rPr>
          <w:rFonts w:cstheme="minorHAnsi"/>
        </w:rPr>
        <w:t xml:space="preserve">). </w:t>
      </w:r>
      <w:bookmarkEnd w:id="10"/>
      <w:r w:rsidRPr="0043031F">
        <w:rPr>
          <w:rFonts w:cstheme="minorHAnsi"/>
        </w:rPr>
        <w:t xml:space="preserve"> Similarly, younger parents </w:t>
      </w:r>
      <w:r w:rsidR="00861C62" w:rsidRPr="0043031F">
        <w:rPr>
          <w:rFonts w:cstheme="minorHAnsi"/>
        </w:rPr>
        <w:t xml:space="preserve">did not extend </w:t>
      </w:r>
      <w:r w:rsidRPr="0043031F">
        <w:rPr>
          <w:rFonts w:cstheme="minorHAnsi"/>
        </w:rPr>
        <w:t xml:space="preserve">social licence for data linkage by many public </w:t>
      </w:r>
      <w:proofErr w:type="gramStart"/>
      <w:r w:rsidRPr="0043031F">
        <w:rPr>
          <w:rFonts w:cstheme="minorHAnsi"/>
        </w:rPr>
        <w:t>services, and</w:t>
      </w:r>
      <w:proofErr w:type="gramEnd"/>
      <w:r w:rsidRPr="0043031F">
        <w:rPr>
          <w:rFonts w:cstheme="minorHAnsi"/>
        </w:rPr>
        <w:t xml:space="preserve"> h</w:t>
      </w:r>
      <w:r w:rsidR="00861C62" w:rsidRPr="0043031F">
        <w:rPr>
          <w:rFonts w:cstheme="minorHAnsi"/>
        </w:rPr>
        <w:t>e</w:t>
      </w:r>
      <w:r w:rsidRPr="0043031F">
        <w:rPr>
          <w:rFonts w:cstheme="minorHAnsi"/>
        </w:rPr>
        <w:t>ld consensus that the information collected about services users is not always accurate (57</w:t>
      </w:r>
      <w:r w:rsidR="0043031F" w:rsidRPr="0043031F">
        <w:rPr>
          <w:rFonts w:cstheme="minorHAnsi"/>
        </w:rPr>
        <w:t xml:space="preserve"> per cent</w:t>
      </w:r>
      <w:r w:rsidRPr="0043031F">
        <w:rPr>
          <w:rFonts w:cstheme="minorHAnsi"/>
        </w:rPr>
        <w:t xml:space="preserve">) and that </w:t>
      </w:r>
      <w:r w:rsidR="0043031F" w:rsidRPr="0043031F">
        <w:rPr>
          <w:rFonts w:cstheme="minorHAnsi"/>
        </w:rPr>
        <w:t xml:space="preserve">joined together administrative records </w:t>
      </w:r>
      <w:r w:rsidRPr="0043031F">
        <w:rPr>
          <w:rFonts w:cstheme="minorHAnsi"/>
        </w:rPr>
        <w:t>lead</w:t>
      </w:r>
      <w:r w:rsidR="0043031F" w:rsidRPr="0043031F">
        <w:rPr>
          <w:rFonts w:cstheme="minorHAnsi"/>
        </w:rPr>
        <w:t>s</w:t>
      </w:r>
      <w:r w:rsidRPr="0043031F">
        <w:rPr>
          <w:rFonts w:cstheme="minorHAnsi"/>
        </w:rPr>
        <w:t xml:space="preserve"> to discrimination against some families (60</w:t>
      </w:r>
      <w:r w:rsidR="0043031F" w:rsidRPr="0043031F">
        <w:rPr>
          <w:rFonts w:cstheme="minorHAnsi"/>
        </w:rPr>
        <w:t xml:space="preserve"> per cent</w:t>
      </w:r>
      <w:r w:rsidRPr="0043031F">
        <w:rPr>
          <w:rFonts w:cstheme="minorHAnsi"/>
        </w:rPr>
        <w:t xml:space="preserve">).  Parents in larger families did grant social licence for a variety of public services to use data linkage, being more trusting than the </w:t>
      </w:r>
      <w:proofErr w:type="gramStart"/>
      <w:r w:rsidRPr="0043031F">
        <w:rPr>
          <w:rFonts w:cstheme="minorHAnsi"/>
        </w:rPr>
        <w:t>sample as a whole</w:t>
      </w:r>
      <w:proofErr w:type="gramEnd"/>
      <w:r w:rsidR="0043031F" w:rsidRPr="0043031F">
        <w:rPr>
          <w:rFonts w:cstheme="minorHAnsi"/>
        </w:rPr>
        <w:t xml:space="preserve"> (see Table 3</w:t>
      </w:r>
      <w:r w:rsidRPr="0043031F">
        <w:rPr>
          <w:rFonts w:cstheme="minorHAnsi"/>
        </w:rPr>
        <w:t>), but nonetheless hold a consensus that the information collected about services users is not always accurate (62</w:t>
      </w:r>
      <w:r w:rsidR="0043031F" w:rsidRPr="0043031F">
        <w:rPr>
          <w:rFonts w:cstheme="minorHAnsi"/>
        </w:rPr>
        <w:t xml:space="preserve"> per cent</w:t>
      </w:r>
      <w:r w:rsidRPr="0043031F">
        <w:rPr>
          <w:rFonts w:cstheme="minorHAnsi"/>
        </w:rPr>
        <w:t>), and that data linkage can put families off accessing services when they need them (54</w:t>
      </w:r>
      <w:r w:rsidR="0043031F" w:rsidRPr="0043031F">
        <w:rPr>
          <w:rFonts w:cstheme="minorHAnsi"/>
        </w:rPr>
        <w:t xml:space="preserve"> per cent</w:t>
      </w:r>
      <w:r w:rsidRPr="0043031F">
        <w:rPr>
          <w:rFonts w:cstheme="minorHAnsi"/>
        </w:rPr>
        <w:t>) (all with a consensus threshold of 50</w:t>
      </w:r>
      <w:r w:rsidR="00110EF8">
        <w:rPr>
          <w:rFonts w:cstheme="minorHAnsi"/>
        </w:rPr>
        <w:t xml:space="preserve"> per cent</w:t>
      </w:r>
      <w:r w:rsidRPr="0043031F">
        <w:rPr>
          <w:rFonts w:cstheme="minorHAnsi"/>
        </w:rPr>
        <w:t>).</w:t>
      </w:r>
    </w:p>
    <w:p w14:paraId="08A52C7B" w14:textId="1939F9C5" w:rsidR="0043031F" w:rsidRDefault="0043031F" w:rsidP="00234AD1">
      <w:pPr>
        <w:rPr>
          <w:rFonts w:cstheme="minorHAnsi"/>
        </w:rPr>
      </w:pPr>
    </w:p>
    <w:p w14:paraId="432A66E1" w14:textId="799CFF4D" w:rsidR="00234AD1" w:rsidRPr="008F548B" w:rsidRDefault="00533806" w:rsidP="008F548B">
      <w:r w:rsidRPr="00533806">
        <w:rPr>
          <w:rFonts w:cstheme="minorHAnsi"/>
        </w:rPr>
        <w:t>E</w:t>
      </w:r>
      <w:r w:rsidRPr="00533806">
        <w:t>arly intervention relies on predictive analytics, and the necessary o</w:t>
      </w:r>
      <w:r w:rsidR="00E90B32" w:rsidRPr="00533806">
        <w:rPr>
          <w:rFonts w:cstheme="minorHAnsi"/>
        </w:rPr>
        <w:t xml:space="preserve">perational data linkage practices are often carried out as part of public-private collaborations.  </w:t>
      </w:r>
      <w:r w:rsidR="0088529C" w:rsidRPr="008F548B">
        <w:rPr>
          <w:rFonts w:cstheme="minorHAnsi"/>
        </w:rPr>
        <w:t>Data warehousing</w:t>
      </w:r>
      <w:r w:rsidR="00090D29">
        <w:rPr>
          <w:rFonts w:cstheme="minorHAnsi"/>
        </w:rPr>
        <w:t xml:space="preserve"> or hubs or lakes</w:t>
      </w:r>
      <w:r w:rsidR="0088529C" w:rsidRPr="008F548B">
        <w:rPr>
          <w:rFonts w:cstheme="minorHAnsi"/>
        </w:rPr>
        <w:t xml:space="preserve">, </w:t>
      </w:r>
      <w:r w:rsidR="00090D29">
        <w:rPr>
          <w:rFonts w:cstheme="minorHAnsi"/>
        </w:rPr>
        <w:t xml:space="preserve">and data </w:t>
      </w:r>
      <w:r w:rsidR="0088529C" w:rsidRPr="008F548B">
        <w:rPr>
          <w:rFonts w:cstheme="minorHAnsi"/>
        </w:rPr>
        <w:t>integration and analytics is outsourced to m</w:t>
      </w:r>
      <w:r w:rsidR="00E90B32" w:rsidRPr="008F548B">
        <w:t>ultinational data analytic companies</w:t>
      </w:r>
      <w:r w:rsidR="0088529C" w:rsidRPr="008F548B">
        <w:t>, contracted by local authorities for use of their commercial systems of profiling and algorithmic risk assessments (</w:t>
      </w:r>
      <w:r w:rsidR="0034119F">
        <w:t xml:space="preserve">Redden, 2020; </w:t>
      </w:r>
      <w:r w:rsidR="00BB2B64">
        <w:t>Edwards et al., 2021</w:t>
      </w:r>
      <w:r w:rsidR="0088529C" w:rsidRPr="008F548B">
        <w:t>)</w:t>
      </w:r>
      <w:r w:rsidR="00C5679C" w:rsidRPr="008F548B">
        <w:t>.  Yet</w:t>
      </w:r>
      <w:r w:rsidR="00234AD1" w:rsidRPr="008F548B">
        <w:rPr>
          <w:rFonts w:cstheme="minorHAnsi"/>
        </w:rPr>
        <w:t xml:space="preserve"> there is no </w:t>
      </w:r>
      <w:bookmarkStart w:id="11" w:name="_Hlk60677164"/>
      <w:r w:rsidR="00234AD1" w:rsidRPr="008F548B">
        <w:rPr>
          <w:rFonts w:cstheme="minorHAnsi"/>
        </w:rPr>
        <w:t xml:space="preserve">parental social licence for outsourcing to commercial companies </w:t>
      </w:r>
      <w:r w:rsidR="00BF6BCB">
        <w:rPr>
          <w:rFonts w:cstheme="minorHAnsi"/>
        </w:rPr>
        <w:t>for the</w:t>
      </w:r>
      <w:r w:rsidR="00234AD1" w:rsidRPr="008F548B">
        <w:rPr>
          <w:rFonts w:cstheme="minorHAnsi"/>
        </w:rPr>
        <w:t xml:space="preserve"> use </w:t>
      </w:r>
      <w:r w:rsidR="00BF6BCB">
        <w:rPr>
          <w:rFonts w:cstheme="minorHAnsi"/>
        </w:rPr>
        <w:t xml:space="preserve">of </w:t>
      </w:r>
      <w:r w:rsidR="00234AD1" w:rsidRPr="008F548B">
        <w:rPr>
          <w:rFonts w:cstheme="minorHAnsi"/>
        </w:rPr>
        <w:t xml:space="preserve">algorithms </w:t>
      </w:r>
      <w:r w:rsidR="00BF6BCB">
        <w:rPr>
          <w:rFonts w:cstheme="minorHAnsi"/>
        </w:rPr>
        <w:t xml:space="preserve">to support </w:t>
      </w:r>
      <w:proofErr w:type="spellStart"/>
      <w:r w:rsidR="00BF6BCB">
        <w:rPr>
          <w:rFonts w:cstheme="minorHAnsi"/>
        </w:rPr>
        <w:t>targetting</w:t>
      </w:r>
      <w:proofErr w:type="spellEnd"/>
      <w:r w:rsidR="00BF6BCB">
        <w:rPr>
          <w:rFonts w:cstheme="minorHAnsi"/>
        </w:rPr>
        <w:t xml:space="preserve"> of</w:t>
      </w:r>
      <w:r w:rsidR="00234AD1" w:rsidRPr="008F548B">
        <w:rPr>
          <w:rFonts w:cstheme="minorHAnsi"/>
        </w:rPr>
        <w:t xml:space="preserve"> public services</w:t>
      </w:r>
      <w:bookmarkEnd w:id="11"/>
      <w:r w:rsidR="00234AD1" w:rsidRPr="008F548B">
        <w:rPr>
          <w:rFonts w:cstheme="minorHAnsi"/>
        </w:rPr>
        <w:t xml:space="preserve">, with a consensus </w:t>
      </w:r>
      <w:r w:rsidR="00234AD1" w:rsidRPr="007B4AC9">
        <w:rPr>
          <w:rFonts w:cstheme="minorHAnsi"/>
        </w:rPr>
        <w:t xml:space="preserve">against </w:t>
      </w:r>
      <w:r w:rsidR="00234AD1" w:rsidRPr="008F548B">
        <w:rPr>
          <w:rFonts w:cstheme="minorHAnsi"/>
        </w:rPr>
        <w:t>this</w:t>
      </w:r>
      <w:r w:rsidR="00C5679C" w:rsidRPr="008F548B">
        <w:rPr>
          <w:rFonts w:cstheme="minorHAnsi"/>
        </w:rPr>
        <w:t xml:space="preserve"> </w:t>
      </w:r>
      <w:r w:rsidR="00234AD1" w:rsidRPr="008F548B">
        <w:rPr>
          <w:rFonts w:cstheme="minorHAnsi"/>
        </w:rPr>
        <w:t xml:space="preserve">among the </w:t>
      </w:r>
      <w:proofErr w:type="gramStart"/>
      <w:r w:rsidR="00234AD1" w:rsidRPr="008F548B">
        <w:rPr>
          <w:rFonts w:cstheme="minorHAnsi"/>
        </w:rPr>
        <w:t>sample as a whole</w:t>
      </w:r>
      <w:proofErr w:type="gramEnd"/>
      <w:r w:rsidR="00234AD1" w:rsidRPr="008F548B">
        <w:rPr>
          <w:rFonts w:cstheme="minorHAnsi"/>
        </w:rPr>
        <w:t xml:space="preserve"> (55</w:t>
      </w:r>
      <w:r w:rsidR="00256123" w:rsidRPr="008F548B">
        <w:rPr>
          <w:rFonts w:cstheme="minorHAnsi"/>
        </w:rPr>
        <w:t xml:space="preserve"> per cent </w:t>
      </w:r>
      <w:r w:rsidR="00234AD1" w:rsidRPr="008F548B">
        <w:rPr>
          <w:rFonts w:cstheme="minorHAnsi"/>
        </w:rPr>
        <w:t>with a consensus threshold of 50</w:t>
      </w:r>
      <w:r w:rsidR="00256123" w:rsidRPr="008F548B">
        <w:rPr>
          <w:rFonts w:cstheme="minorHAnsi"/>
        </w:rPr>
        <w:t xml:space="preserve"> </w:t>
      </w:r>
      <w:r w:rsidR="00256123" w:rsidRPr="008F548B">
        <w:rPr>
          <w:rFonts w:cstheme="minorHAnsi"/>
        </w:rPr>
        <w:lastRenderedPageBreak/>
        <w:t>per cent</w:t>
      </w:r>
      <w:r w:rsidR="00234AD1" w:rsidRPr="008F548B">
        <w:rPr>
          <w:rFonts w:cstheme="minorHAnsi"/>
        </w:rPr>
        <w:t>)</w:t>
      </w:r>
      <w:r w:rsidR="00256123" w:rsidRPr="008F548B">
        <w:rPr>
          <w:rFonts w:cstheme="minorHAnsi"/>
        </w:rPr>
        <w:t>.  This consensus about data analytic company involvement</w:t>
      </w:r>
      <w:r w:rsidR="00C5679C" w:rsidRPr="008F548B">
        <w:rPr>
          <w:rFonts w:cstheme="minorHAnsi"/>
        </w:rPr>
        <w:t xml:space="preserve"> holds</w:t>
      </w:r>
      <w:r w:rsidR="00256123" w:rsidRPr="008F548B">
        <w:rPr>
          <w:rFonts w:cstheme="minorHAnsi"/>
        </w:rPr>
        <w:t xml:space="preserve"> roughly similarly</w:t>
      </w:r>
      <w:r w:rsidR="00C5679C" w:rsidRPr="008F548B">
        <w:rPr>
          <w:rFonts w:cstheme="minorHAnsi"/>
        </w:rPr>
        <w:t xml:space="preserve"> across social group</w:t>
      </w:r>
      <w:r w:rsidR="00256123" w:rsidRPr="008F548B">
        <w:rPr>
          <w:rFonts w:cstheme="minorHAnsi"/>
        </w:rPr>
        <w:t xml:space="preserve">s, with 57 per cent of parents </w:t>
      </w:r>
      <w:r w:rsidR="00234AD1" w:rsidRPr="008F548B">
        <w:rPr>
          <w:rFonts w:cstheme="minorHAnsi"/>
        </w:rPr>
        <w:t xml:space="preserve">in the higher occupation, </w:t>
      </w:r>
      <w:proofErr w:type="gramStart"/>
      <w:r w:rsidR="00234AD1" w:rsidRPr="008F548B">
        <w:rPr>
          <w:rFonts w:cstheme="minorHAnsi"/>
        </w:rPr>
        <w:t>qualification</w:t>
      </w:r>
      <w:proofErr w:type="gramEnd"/>
      <w:r w:rsidR="00234AD1" w:rsidRPr="008F548B">
        <w:rPr>
          <w:rFonts w:cstheme="minorHAnsi"/>
        </w:rPr>
        <w:t xml:space="preserve"> and income group</w:t>
      </w:r>
      <w:r w:rsidR="008F548B" w:rsidRPr="008F548B">
        <w:rPr>
          <w:rFonts w:cstheme="minorHAnsi"/>
        </w:rPr>
        <w:t xml:space="preserve">, 60 per cent of </w:t>
      </w:r>
      <w:r w:rsidR="00234AD1" w:rsidRPr="008F548B">
        <w:rPr>
          <w:rFonts w:cstheme="minorHAnsi"/>
        </w:rPr>
        <w:t xml:space="preserve">Black parents, </w:t>
      </w:r>
      <w:r w:rsidR="008F548B" w:rsidRPr="008F548B">
        <w:rPr>
          <w:rFonts w:cstheme="minorHAnsi"/>
        </w:rPr>
        <w:t xml:space="preserve">62 per cent of </w:t>
      </w:r>
      <w:r w:rsidR="00234AD1" w:rsidRPr="008F548B">
        <w:rPr>
          <w:rFonts w:cstheme="minorHAnsi"/>
        </w:rPr>
        <w:t xml:space="preserve">lone parents, </w:t>
      </w:r>
      <w:r w:rsidR="008F548B" w:rsidRPr="008F548B">
        <w:rPr>
          <w:rFonts w:cstheme="minorHAnsi"/>
        </w:rPr>
        <w:t xml:space="preserve">51 per cent of </w:t>
      </w:r>
      <w:r w:rsidR="00234AD1" w:rsidRPr="008F548B">
        <w:rPr>
          <w:rFonts w:cstheme="minorHAnsi"/>
        </w:rPr>
        <w:t>younger parents</w:t>
      </w:r>
      <w:r w:rsidR="008F548B" w:rsidRPr="008F548B">
        <w:rPr>
          <w:rFonts w:cstheme="minorHAnsi"/>
        </w:rPr>
        <w:t>,</w:t>
      </w:r>
      <w:r w:rsidR="00234AD1" w:rsidRPr="008F548B">
        <w:rPr>
          <w:rFonts w:cstheme="minorHAnsi"/>
        </w:rPr>
        <w:t xml:space="preserve"> and </w:t>
      </w:r>
      <w:r w:rsidR="008F548B" w:rsidRPr="008F548B">
        <w:rPr>
          <w:rFonts w:cstheme="minorHAnsi"/>
        </w:rPr>
        <w:t>53 per cent of</w:t>
      </w:r>
      <w:r w:rsidR="008F548B">
        <w:rPr>
          <w:rFonts w:cstheme="minorHAnsi"/>
        </w:rPr>
        <w:t xml:space="preserve"> </w:t>
      </w:r>
      <w:r w:rsidR="00234AD1" w:rsidRPr="008F548B">
        <w:rPr>
          <w:rFonts w:cstheme="minorHAnsi"/>
        </w:rPr>
        <w:t xml:space="preserve">parents in households with </w:t>
      </w:r>
      <w:r w:rsidR="007B4AC9">
        <w:rPr>
          <w:rFonts w:cstheme="minorHAnsi"/>
        </w:rPr>
        <w:t>five or more</w:t>
      </w:r>
      <w:r w:rsidR="00234AD1" w:rsidRPr="008F548B">
        <w:rPr>
          <w:rFonts w:cstheme="minorHAnsi"/>
        </w:rPr>
        <w:t xml:space="preserve"> members</w:t>
      </w:r>
      <w:r w:rsidR="008F548B" w:rsidRPr="008F548B">
        <w:rPr>
          <w:rFonts w:cstheme="minorHAnsi"/>
        </w:rPr>
        <w:t xml:space="preserve"> regarding it as unacceptable.</w:t>
      </w:r>
    </w:p>
    <w:p w14:paraId="21AB9444" w14:textId="77777777" w:rsidR="00DE63D0" w:rsidRPr="008F548B" w:rsidRDefault="00DE63D0" w:rsidP="0097277F">
      <w:pPr>
        <w:rPr>
          <w:rFonts w:eastAsiaTheme="minorHAnsi" w:cs="Calibri"/>
        </w:rPr>
      </w:pPr>
    </w:p>
    <w:p w14:paraId="2097FE54" w14:textId="3026B35E" w:rsidR="00585900" w:rsidRPr="008F548B" w:rsidRDefault="008F548B">
      <w:pPr>
        <w:rPr>
          <w:rFonts w:cstheme="minorHAnsi"/>
        </w:rPr>
      </w:pPr>
      <w:proofErr w:type="gramStart"/>
      <w:r w:rsidRPr="008F548B">
        <w:t>Overall</w:t>
      </w:r>
      <w:proofErr w:type="gramEnd"/>
      <w:r w:rsidRPr="008F548B">
        <w:t xml:space="preserve"> then, data linkage for </w:t>
      </w:r>
      <w:r w:rsidR="00090D29">
        <w:t xml:space="preserve">the operational purpose of </w:t>
      </w:r>
      <w:r w:rsidRPr="008F548B">
        <w:t xml:space="preserve">early intervention is acceptable to parents of dependent children at an abstract level, but they are more circumspect when considering the specifics of trusting particular public services to do this, and there is no social licence for the involvement of commercial companies.  </w:t>
      </w:r>
      <w:r w:rsidRPr="008F548B">
        <w:rPr>
          <w:rFonts w:cstheme="minorHAnsi"/>
        </w:rPr>
        <w:t xml:space="preserve">There is less social licence for joining together families’ administrative records among marginalised social groups of parents, with some holding little trust in public services implementing data linkage.  </w:t>
      </w:r>
      <w:r w:rsidRPr="008F548B">
        <w:rPr>
          <w:rFonts w:eastAsiaTheme="minorHAnsi" w:cs="Arial"/>
        </w:rPr>
        <w:t xml:space="preserve">This points to a worrying level of distrust toward government and public services among those in society who are most marginalised and whose families are likely to be identified for service interventions.  </w:t>
      </w:r>
      <w:r w:rsidRPr="008F548B">
        <w:rPr>
          <w:rFonts w:cstheme="minorHAnsi"/>
        </w:rPr>
        <w:t>This lack of social licence should be a concern for policy prescriptions about sharing and linking families’ administrative records for early intervention.</w:t>
      </w:r>
    </w:p>
    <w:p w14:paraId="441C795C" w14:textId="1368A3A7" w:rsidR="00484164" w:rsidRPr="008F548B" w:rsidRDefault="00484164"/>
    <w:p w14:paraId="305B005B" w14:textId="5C5E9434" w:rsidR="00484164" w:rsidRPr="00484164" w:rsidRDefault="00484164">
      <w:pPr>
        <w:rPr>
          <w:b/>
          <w:bCs/>
        </w:rPr>
      </w:pPr>
      <w:r w:rsidRPr="00484164">
        <w:rPr>
          <w:b/>
          <w:bCs/>
        </w:rPr>
        <w:t>Concluding implications</w:t>
      </w:r>
    </w:p>
    <w:p w14:paraId="2EA63938" w14:textId="77777777" w:rsidR="00037E23" w:rsidRDefault="00037E23" w:rsidP="00002E8A">
      <w:pPr>
        <w:rPr>
          <w:rFonts w:eastAsiaTheme="minorHAnsi" w:cs="Calibri"/>
          <w:i/>
          <w:iCs/>
        </w:rPr>
      </w:pPr>
    </w:p>
    <w:p w14:paraId="5BA5E058" w14:textId="3CED2865" w:rsidR="00B17707" w:rsidRDefault="00002E8A" w:rsidP="00002E8A">
      <w:pPr>
        <w:rPr>
          <w:rFonts w:eastAsiaTheme="minorHAnsi" w:cs="Calibri"/>
        </w:rPr>
      </w:pPr>
      <w:r>
        <w:rPr>
          <w:rFonts w:eastAsiaTheme="minorHAnsi" w:cs="Calibri"/>
        </w:rPr>
        <w:t xml:space="preserve">The way forward in ensuring public trust in data-steered policy through </w:t>
      </w:r>
      <w:r w:rsidR="007B4AC9">
        <w:rPr>
          <w:rFonts w:eastAsiaTheme="minorHAnsi" w:cs="Calibri"/>
        </w:rPr>
        <w:t>linking administrative records</w:t>
      </w:r>
      <w:r>
        <w:rPr>
          <w:rFonts w:eastAsiaTheme="minorHAnsi" w:cs="Calibri"/>
        </w:rPr>
        <w:t xml:space="preserve"> and algorithmic analysis, and by implication social licence for early intervention, is posed by government and associated bodies as the provision of information </w:t>
      </w:r>
      <w:r w:rsidR="007B4AC9">
        <w:rPr>
          <w:rFonts w:eastAsiaTheme="minorHAnsi" w:cs="Calibri"/>
        </w:rPr>
        <w:t>on</w:t>
      </w:r>
      <w:r>
        <w:rPr>
          <w:rFonts w:eastAsiaTheme="minorHAnsi" w:cs="Calibri"/>
        </w:rPr>
        <w:t xml:space="preserve"> the benefits and transparency about their use.  There is little discussion of this as a</w:t>
      </w:r>
      <w:r w:rsidR="005541DD">
        <w:rPr>
          <w:rFonts w:eastAsiaTheme="minorHAnsi" w:cs="Calibri"/>
        </w:rPr>
        <w:t>n active</w:t>
      </w:r>
      <w:r>
        <w:rPr>
          <w:rFonts w:eastAsiaTheme="minorHAnsi" w:cs="Calibri"/>
        </w:rPr>
        <w:t xml:space="preserve"> and </w:t>
      </w:r>
      <w:r w:rsidR="00831D1E">
        <w:rPr>
          <w:rFonts w:eastAsiaTheme="minorHAnsi" w:cs="Calibri"/>
        </w:rPr>
        <w:t xml:space="preserve">sustained </w:t>
      </w:r>
      <w:proofErr w:type="gramStart"/>
      <w:r>
        <w:rPr>
          <w:rFonts w:eastAsiaTheme="minorHAnsi" w:cs="Calibri"/>
        </w:rPr>
        <w:t>proces</w:t>
      </w:r>
      <w:r w:rsidR="00831D1E">
        <w:rPr>
          <w:rFonts w:eastAsiaTheme="minorHAnsi" w:cs="Calibri"/>
        </w:rPr>
        <w:t>s;</w:t>
      </w:r>
      <w:proofErr w:type="gramEnd"/>
      <w:r w:rsidR="00831D1E">
        <w:rPr>
          <w:rFonts w:eastAsiaTheme="minorHAnsi" w:cs="Calibri"/>
        </w:rPr>
        <w:t xml:space="preserve"> </w:t>
      </w:r>
      <w:r w:rsidR="00760CD6">
        <w:rPr>
          <w:rFonts w:eastAsiaTheme="minorHAnsi" w:cs="Calibri"/>
        </w:rPr>
        <w:t xml:space="preserve">as a </w:t>
      </w:r>
      <w:bookmarkStart w:id="12" w:name="_Hlk68785614"/>
      <w:r w:rsidR="005541DD">
        <w:rPr>
          <w:rFonts w:eastAsiaTheme="minorHAnsi" w:cs="Calibri"/>
        </w:rPr>
        <w:t xml:space="preserve">meaningful </w:t>
      </w:r>
      <w:r w:rsidR="00760CD6">
        <w:rPr>
          <w:rFonts w:eastAsiaTheme="minorHAnsi" w:cs="Calibri"/>
        </w:rPr>
        <w:t xml:space="preserve">engagement </w:t>
      </w:r>
      <w:r>
        <w:rPr>
          <w:rFonts w:eastAsiaTheme="minorHAnsi" w:cs="Calibri"/>
        </w:rPr>
        <w:t>of the subjects of data linkage in</w:t>
      </w:r>
      <w:r w:rsidR="005541DD">
        <w:rPr>
          <w:rFonts w:eastAsiaTheme="minorHAnsi" w:cs="Calibri"/>
        </w:rPr>
        <w:t xml:space="preserve"> a dialogue about</w:t>
      </w:r>
      <w:r>
        <w:rPr>
          <w:rFonts w:eastAsiaTheme="minorHAnsi" w:cs="Calibri"/>
        </w:rPr>
        <w:t xml:space="preserve"> setting the parameters of its curation and use by and between services</w:t>
      </w:r>
      <w:bookmarkEnd w:id="12"/>
      <w:r w:rsidR="00831D1E">
        <w:rPr>
          <w:rFonts w:eastAsiaTheme="minorHAnsi" w:cs="Calibri"/>
        </w:rPr>
        <w:t xml:space="preserve">.  </w:t>
      </w:r>
      <w:r w:rsidR="00760CD6">
        <w:rPr>
          <w:rFonts w:eastAsiaTheme="minorHAnsi" w:cs="Calibri"/>
        </w:rPr>
        <w:t>Rather, p</w:t>
      </w:r>
      <w:r w:rsidR="00831D1E">
        <w:rPr>
          <w:rFonts w:eastAsiaTheme="minorHAnsi" w:cs="Calibri"/>
        </w:rPr>
        <w:t xml:space="preserve">ublic understanding strategies </w:t>
      </w:r>
      <w:r w:rsidR="009B5BBE">
        <w:rPr>
          <w:rFonts w:eastAsiaTheme="minorHAnsi" w:cs="Calibri"/>
        </w:rPr>
        <w:t xml:space="preserve">largely </w:t>
      </w:r>
      <w:r w:rsidR="00831D1E">
        <w:rPr>
          <w:rFonts w:eastAsiaTheme="minorHAnsi" w:cs="Calibri"/>
        </w:rPr>
        <w:t>are</w:t>
      </w:r>
      <w:r w:rsidR="009B5BBE">
        <w:rPr>
          <w:rFonts w:eastAsiaTheme="minorHAnsi" w:cs="Calibri"/>
        </w:rPr>
        <w:t xml:space="preserve"> conceived of as a</w:t>
      </w:r>
      <w:r w:rsidR="00831D1E">
        <w:rPr>
          <w:rFonts w:eastAsiaTheme="minorHAnsi" w:cs="Calibri"/>
        </w:rPr>
        <w:t xml:space="preserve"> </w:t>
      </w:r>
      <w:r w:rsidR="009B5BBE">
        <w:rPr>
          <w:rFonts w:eastAsiaTheme="minorHAnsi" w:cs="Calibri"/>
        </w:rPr>
        <w:t>one-way, top down, exercise</w:t>
      </w:r>
      <w:r w:rsidR="00831D1E">
        <w:rPr>
          <w:rFonts w:eastAsiaTheme="minorHAnsi" w:cs="Calibri"/>
        </w:rPr>
        <w:t>, raising public awareness rather than reflecting people’s concerns within governance frameworks</w:t>
      </w:r>
      <w:r w:rsidR="005541DD">
        <w:rPr>
          <w:rFonts w:eastAsiaTheme="minorHAnsi" w:cs="Calibri"/>
        </w:rPr>
        <w:t xml:space="preserve"> (Leonard </w:t>
      </w:r>
      <w:r w:rsidR="00831D1E">
        <w:rPr>
          <w:rFonts w:eastAsiaTheme="minorHAnsi" w:cs="Calibri"/>
        </w:rPr>
        <w:t>2018;</w:t>
      </w:r>
      <w:r w:rsidR="005541DD">
        <w:rPr>
          <w:rFonts w:eastAsiaTheme="minorHAnsi" w:cs="Calibri"/>
        </w:rPr>
        <w:t xml:space="preserve"> Shaw et al., 2020</w:t>
      </w:r>
      <w:r w:rsidR="00C01F12">
        <w:rPr>
          <w:rFonts w:eastAsiaTheme="minorHAnsi" w:cs="Calibri"/>
        </w:rPr>
        <w:t xml:space="preserve">; </w:t>
      </w:r>
      <w:r w:rsidR="00C01F12" w:rsidRPr="00C01F12">
        <w:rPr>
          <w:rFonts w:eastAsiaTheme="minorHAnsi" w:cs="Calibri"/>
          <w:color w:val="FF0000"/>
        </w:rPr>
        <w:t xml:space="preserve">Waller </w:t>
      </w:r>
      <w:r w:rsidR="00E822D4">
        <w:rPr>
          <w:rFonts w:eastAsiaTheme="minorHAnsi" w:cs="Calibri"/>
          <w:color w:val="FF0000"/>
        </w:rPr>
        <w:t>&amp;</w:t>
      </w:r>
      <w:r w:rsidR="00C01F12" w:rsidRPr="00C01F12">
        <w:rPr>
          <w:rFonts w:eastAsiaTheme="minorHAnsi" w:cs="Calibri"/>
          <w:color w:val="FF0000"/>
        </w:rPr>
        <w:t xml:space="preserve"> Waller</w:t>
      </w:r>
      <w:r w:rsidR="00C01F12">
        <w:rPr>
          <w:rFonts w:eastAsiaTheme="minorHAnsi" w:cs="Calibri"/>
          <w:color w:val="FF0000"/>
        </w:rPr>
        <w:t>,</w:t>
      </w:r>
      <w:r w:rsidR="00C01F12" w:rsidRPr="00C01F12">
        <w:rPr>
          <w:rFonts w:eastAsiaTheme="minorHAnsi" w:cs="Calibri"/>
          <w:color w:val="FF0000"/>
        </w:rPr>
        <w:t xml:space="preserve"> 2020</w:t>
      </w:r>
      <w:r w:rsidR="005541DD">
        <w:rPr>
          <w:rFonts w:eastAsiaTheme="minorHAnsi" w:cs="Calibri"/>
        </w:rPr>
        <w:t>)</w:t>
      </w:r>
      <w:r>
        <w:rPr>
          <w:rFonts w:eastAsiaTheme="minorHAnsi" w:cs="Calibri"/>
        </w:rPr>
        <w:t xml:space="preserve">.  </w:t>
      </w:r>
      <w:r w:rsidR="00B17707">
        <w:rPr>
          <w:rFonts w:eastAsiaTheme="minorHAnsi" w:cs="Calibri"/>
        </w:rPr>
        <w:t>This sort of</w:t>
      </w:r>
      <w:r w:rsidR="00831D1E">
        <w:rPr>
          <w:rFonts w:eastAsiaTheme="minorHAnsi" w:cs="Calibri"/>
        </w:rPr>
        <w:t xml:space="preserve"> </w:t>
      </w:r>
      <w:r w:rsidR="00760CD6">
        <w:rPr>
          <w:rFonts w:eastAsiaTheme="minorHAnsi" w:cs="Calibri"/>
        </w:rPr>
        <w:t xml:space="preserve">didactic explanatory </w:t>
      </w:r>
      <w:r w:rsidR="00B17707">
        <w:rPr>
          <w:rFonts w:eastAsiaTheme="minorHAnsi" w:cs="Calibri"/>
        </w:rPr>
        <w:t>‘</w:t>
      </w:r>
      <w:r w:rsidR="00760CD6">
        <w:rPr>
          <w:rFonts w:eastAsiaTheme="minorHAnsi" w:cs="Calibri"/>
        </w:rPr>
        <w:t>involve</w:t>
      </w:r>
      <w:r w:rsidR="00B17707">
        <w:rPr>
          <w:rFonts w:eastAsiaTheme="minorHAnsi" w:cs="Calibri"/>
        </w:rPr>
        <w:t>ment’ is highly unlikely to lead to social licence.</w:t>
      </w:r>
      <w:r w:rsidR="00831D1E" w:rsidRPr="00831D1E">
        <w:rPr>
          <w:color w:val="0070C0"/>
        </w:rPr>
        <w:t xml:space="preserve"> </w:t>
      </w:r>
    </w:p>
    <w:p w14:paraId="5CE47840" w14:textId="77777777" w:rsidR="00B17707" w:rsidRDefault="00B17707" w:rsidP="00002E8A">
      <w:pPr>
        <w:rPr>
          <w:rFonts w:eastAsiaTheme="minorHAnsi" w:cs="Calibri"/>
        </w:rPr>
      </w:pPr>
    </w:p>
    <w:p w14:paraId="48FEBADA" w14:textId="4FB3EEFF" w:rsidR="00002E8A" w:rsidRPr="00D34E25" w:rsidRDefault="00002E8A" w:rsidP="00002E8A">
      <w:r>
        <w:rPr>
          <w:rFonts w:eastAsiaTheme="minorHAnsi" w:cs="Calibri"/>
        </w:rPr>
        <w:t>Our analysis of parental social licence for preventive early intervention shows i</w:t>
      </w:r>
      <w:r w:rsidRPr="007236FB">
        <w:t xml:space="preserve">nformed consent to use of their administrative records is important </w:t>
      </w:r>
      <w:r>
        <w:t xml:space="preserve">to </w:t>
      </w:r>
      <w:r w:rsidRPr="007236FB">
        <w:t>parents</w:t>
      </w:r>
      <w:r>
        <w:t xml:space="preserve"> of dependent children.  Informing and asking for consent raises the possibility that consent may be withheld by some parents, given the concerns about bias and discrimination among marginalised groups of </w:t>
      </w:r>
      <w:proofErr w:type="gramStart"/>
      <w:r>
        <w:t>parents in particular</w:t>
      </w:r>
      <w:proofErr w:type="gramEnd"/>
      <w:r>
        <w:t>.  Indeed</w:t>
      </w:r>
      <w:r w:rsidRPr="007236FB">
        <w:t xml:space="preserve">, </w:t>
      </w:r>
      <w:r w:rsidRPr="007236FB">
        <w:rPr>
          <w:rFonts w:cstheme="minorHAnsi"/>
        </w:rPr>
        <w:t xml:space="preserve">there is less acceptance of public services using data linkage among </w:t>
      </w:r>
      <w:r>
        <w:rPr>
          <w:rFonts w:cstheme="minorHAnsi"/>
        </w:rPr>
        <w:t xml:space="preserve">parents </w:t>
      </w:r>
      <w:r w:rsidRPr="00D34E25">
        <w:rPr>
          <w:rFonts w:cstheme="minorHAnsi"/>
        </w:rPr>
        <w:t xml:space="preserve">from these groups.  </w:t>
      </w:r>
      <w:r w:rsidR="00D34E25" w:rsidRPr="00D34E25">
        <w:rPr>
          <w:rFonts w:eastAsiaTheme="minorHAnsi" w:cs="Calibri"/>
        </w:rPr>
        <w:t xml:space="preserve">Government needs to be transparent about how they link and use families’ data and to gain parents’ informed consent.  </w:t>
      </w:r>
      <w:r w:rsidRPr="00D34E25">
        <w:t xml:space="preserve">Addressing this through generalised policy messages about the merits of data linkage has the potential </w:t>
      </w:r>
      <w:bookmarkStart w:id="13" w:name="_Hlk68785678"/>
      <w:r w:rsidRPr="00D34E25">
        <w:t>to b</w:t>
      </w:r>
      <w:r w:rsidR="00D34E25" w:rsidRPr="00D34E25">
        <w:t>olster already existing</w:t>
      </w:r>
      <w:r w:rsidRPr="00D34E25">
        <w:t xml:space="preserve"> </w:t>
      </w:r>
      <w:bookmarkStart w:id="14" w:name="_Hlk68785139"/>
      <w:r w:rsidRPr="00D34E25">
        <w:t xml:space="preserve">social licence among parents in higher occupation, </w:t>
      </w:r>
      <w:proofErr w:type="gramStart"/>
      <w:r w:rsidRPr="00D34E25">
        <w:t>qualification</w:t>
      </w:r>
      <w:proofErr w:type="gramEnd"/>
      <w:r w:rsidRPr="00D34E25">
        <w:t xml:space="preserve"> and income groups, while running the risk of further disengagement</w:t>
      </w:r>
      <w:r w:rsidR="005541DD">
        <w:t>, alienation</w:t>
      </w:r>
      <w:r w:rsidRPr="00D34E25">
        <w:t xml:space="preserve"> and avoidance of essential public services among marginalised groups of parents </w:t>
      </w:r>
      <w:r w:rsidR="00896EE0" w:rsidRPr="00D34E25">
        <w:t>who</w:t>
      </w:r>
      <w:r w:rsidR="00D34E25" w:rsidRPr="00D34E25">
        <w:t>, collectively</w:t>
      </w:r>
      <w:bookmarkEnd w:id="13"/>
      <w:r w:rsidR="00D34E25" w:rsidRPr="00D34E25">
        <w:t xml:space="preserve">, </w:t>
      </w:r>
      <w:r w:rsidRPr="00D34E25">
        <w:t>are more likely to be the focus of identification for early intervention.</w:t>
      </w:r>
      <w:r w:rsidR="00896EE0" w:rsidRPr="00D34E25">
        <w:t xml:space="preserve">  </w:t>
      </w:r>
      <w:bookmarkEnd w:id="14"/>
      <w:proofErr w:type="gramStart"/>
      <w:r w:rsidR="00D34E25" w:rsidRPr="00D34E25">
        <w:rPr>
          <w:rFonts w:eastAsiaTheme="minorHAnsi" w:cs="Calibri"/>
        </w:rPr>
        <w:t>P</w:t>
      </w:r>
      <w:r w:rsidR="00896EE0" w:rsidRPr="00D34E25">
        <w:rPr>
          <w:rFonts w:eastAsiaTheme="minorHAnsi" w:cs="Calibri"/>
        </w:rPr>
        <w:t>olicy-makers</w:t>
      </w:r>
      <w:proofErr w:type="gramEnd"/>
      <w:r w:rsidR="00896EE0" w:rsidRPr="00D34E25">
        <w:rPr>
          <w:rFonts w:eastAsiaTheme="minorHAnsi" w:cs="Calibri"/>
        </w:rPr>
        <w:t xml:space="preserve"> need to realise that information about this use of data and efforts towards obtaining informed consent are likely to be received and judged quite differently among different social groups of parents</w:t>
      </w:r>
      <w:r w:rsidR="00D8309C">
        <w:rPr>
          <w:rStyle w:val="FootnoteReference"/>
          <w:rFonts w:eastAsiaTheme="minorHAnsi" w:cs="Calibri"/>
        </w:rPr>
        <w:footnoteReference w:id="3"/>
      </w:r>
      <w:r w:rsidR="00896EE0" w:rsidRPr="00D34E25">
        <w:rPr>
          <w:rFonts w:eastAsiaTheme="minorHAnsi" w:cs="Calibri"/>
        </w:rPr>
        <w:t xml:space="preserve">.  </w:t>
      </w:r>
    </w:p>
    <w:p w14:paraId="316F6DBD" w14:textId="1768391B" w:rsidR="00533806" w:rsidRDefault="00533806" w:rsidP="00002E8A"/>
    <w:p w14:paraId="254AA9BB" w14:textId="4D7C15F0" w:rsidR="00B17707" w:rsidRPr="00B17707" w:rsidRDefault="00D34E25" w:rsidP="000F4AC3">
      <w:proofErr w:type="gramStart"/>
      <w:r w:rsidRPr="0028527C">
        <w:rPr>
          <w:rFonts w:eastAsiaTheme="minorHAnsi" w:cs="Calibri"/>
        </w:rPr>
        <w:t>Also</w:t>
      </w:r>
      <w:proofErr w:type="gramEnd"/>
      <w:r w:rsidRPr="0028527C">
        <w:rPr>
          <w:rFonts w:eastAsiaTheme="minorHAnsi" w:cs="Calibri"/>
        </w:rPr>
        <w:t xml:space="preserve"> </w:t>
      </w:r>
      <w:r w:rsidR="00254FD8" w:rsidRPr="0028527C">
        <w:rPr>
          <w:rFonts w:eastAsiaTheme="minorHAnsi" w:cs="Calibri"/>
        </w:rPr>
        <w:t>of</w:t>
      </w:r>
      <w:r w:rsidRPr="0028527C">
        <w:rPr>
          <w:rFonts w:eastAsiaTheme="minorHAnsi" w:cs="Calibri"/>
        </w:rPr>
        <w:t xml:space="preserve"> concern in </w:t>
      </w:r>
      <w:r w:rsidR="00533806" w:rsidRPr="0028527C">
        <w:rPr>
          <w:rFonts w:eastAsiaTheme="minorHAnsi" w:cs="Calibri"/>
        </w:rPr>
        <w:t>the embracing of transparency as an answer to the problem of social licence</w:t>
      </w:r>
      <w:r w:rsidR="000F4AC3" w:rsidRPr="0028527C">
        <w:rPr>
          <w:rFonts w:eastAsiaTheme="minorHAnsi" w:cs="Calibri"/>
        </w:rPr>
        <w:t xml:space="preserve"> </w:t>
      </w:r>
      <w:r w:rsidR="00533806" w:rsidRPr="0028527C">
        <w:rPr>
          <w:rFonts w:eastAsiaTheme="minorHAnsi" w:cs="Calibri"/>
        </w:rPr>
        <w:t>is that this carries its own perils in simultaneously occluding and embedding social divisions and inequalities</w:t>
      </w:r>
      <w:r w:rsidR="00254FD8" w:rsidRPr="0028527C">
        <w:rPr>
          <w:rFonts w:eastAsiaTheme="minorHAnsi" w:cs="Calibri"/>
        </w:rPr>
        <w:t xml:space="preserve"> in </w:t>
      </w:r>
      <w:r w:rsidR="009B5BBE" w:rsidRPr="0028527C">
        <w:rPr>
          <w:rFonts w:eastAsiaTheme="minorHAnsi" w:cs="Calibri"/>
        </w:rPr>
        <w:t xml:space="preserve">the </w:t>
      </w:r>
      <w:r w:rsidR="00533806" w:rsidRPr="0028527C">
        <w:rPr>
          <w:rFonts w:eastAsiaTheme="minorHAnsi" w:cs="Calibri"/>
        </w:rPr>
        <w:t xml:space="preserve">assertion of control through monitoring (Monahan, 2021).  Rather than </w:t>
      </w:r>
      <w:r w:rsidR="00896EE0" w:rsidRPr="0028527C">
        <w:rPr>
          <w:rFonts w:eastAsiaTheme="minorHAnsi" w:cs="Calibri"/>
        </w:rPr>
        <w:t xml:space="preserve">data </w:t>
      </w:r>
      <w:r w:rsidR="00896EE0" w:rsidRPr="0028527C">
        <w:rPr>
          <w:rFonts w:eastAsiaTheme="minorHAnsi" w:cs="Calibri"/>
        </w:rPr>
        <w:lastRenderedPageBreak/>
        <w:t>warehousing and predictive risk modelling</w:t>
      </w:r>
      <w:r w:rsidR="00533806" w:rsidRPr="0028527C">
        <w:rPr>
          <w:rFonts w:eastAsiaTheme="minorHAnsi" w:cs="Calibri"/>
        </w:rPr>
        <w:t xml:space="preserve"> being a neutral knowledge-generating</w:t>
      </w:r>
      <w:r w:rsidR="009B5BBE" w:rsidRPr="0028527C">
        <w:rPr>
          <w:rFonts w:eastAsiaTheme="minorHAnsi" w:cs="Calibri"/>
        </w:rPr>
        <w:t xml:space="preserve"> (and cost-cutting)</w:t>
      </w:r>
      <w:r w:rsidR="00533806" w:rsidRPr="0028527C">
        <w:rPr>
          <w:rFonts w:eastAsiaTheme="minorHAnsi" w:cs="Calibri"/>
        </w:rPr>
        <w:t xml:space="preserve"> exercise, the concerns of marginalised groups of parents about the accuracy of data and discrimination are not groundless.  </w:t>
      </w:r>
      <w:r w:rsidR="00254FD8" w:rsidRPr="0028527C">
        <w:rPr>
          <w:rFonts w:eastAsiaTheme="minorHAnsi" w:cs="Calibri"/>
        </w:rPr>
        <w:t>Indeed, t</w:t>
      </w:r>
      <w:r w:rsidRPr="0028527C">
        <w:t xml:space="preserve">he </w:t>
      </w:r>
      <w:r w:rsidR="00254FD8" w:rsidRPr="0028527C">
        <w:t>issue of</w:t>
      </w:r>
      <w:r w:rsidRPr="0028527C">
        <w:t xml:space="preserve"> social licence among marginalised parents that we draw attention to above seem</w:t>
      </w:r>
      <w:r w:rsidR="00254FD8" w:rsidRPr="0028527C">
        <w:t>s</w:t>
      </w:r>
      <w:r w:rsidRPr="0028527C">
        <w:t xml:space="preserve"> </w:t>
      </w:r>
      <w:proofErr w:type="gramStart"/>
      <w:r w:rsidRPr="0028527C">
        <w:t>all the more</w:t>
      </w:r>
      <w:proofErr w:type="gramEnd"/>
      <w:r w:rsidRPr="0028527C">
        <w:t xml:space="preserve"> pressing in a context where</w:t>
      </w:r>
      <w:r w:rsidR="0028527C" w:rsidRPr="0028527C">
        <w:t xml:space="preserve">, </w:t>
      </w:r>
      <w:r w:rsidR="0028527C" w:rsidRPr="0028527C">
        <w:rPr>
          <w:color w:val="C00000"/>
        </w:rPr>
        <w:t>as noted, there are bias and errors in the data sources that are merged, and in the design of data modelling</w:t>
      </w:r>
      <w:r w:rsidR="0028527C" w:rsidRPr="00060E4F">
        <w:rPr>
          <w:color w:val="C00000"/>
        </w:rPr>
        <w:t xml:space="preserve"> and predictive analytics applied</w:t>
      </w:r>
      <w:r w:rsidR="0028527C">
        <w:rPr>
          <w:color w:val="C00000"/>
        </w:rPr>
        <w:t xml:space="preserve">.  </w:t>
      </w:r>
      <w:r w:rsidR="00226747" w:rsidRPr="00B17707">
        <w:rPr>
          <w:rFonts w:cs="Arial"/>
          <w:shd w:val="clear" w:color="auto" w:fill="FFFFFF"/>
        </w:rPr>
        <w:t>S</w:t>
      </w:r>
      <w:r w:rsidRPr="00B17707">
        <w:t xml:space="preserve">uch discrimination </w:t>
      </w:r>
      <w:r w:rsidR="00254FD8" w:rsidRPr="00B17707">
        <w:t xml:space="preserve">contributes </w:t>
      </w:r>
      <w:r w:rsidRPr="00B17707">
        <w:t>to further inequalities and lack of trust among marginalised groups of parents of dependent children.</w:t>
      </w:r>
      <w:r w:rsidR="000F4AC3" w:rsidRPr="00B17707">
        <w:t xml:space="preserve">  </w:t>
      </w:r>
      <w:r w:rsidRPr="00B17707">
        <w:t>Moreover, social legitimacy</w:t>
      </w:r>
      <w:r w:rsidR="00706040" w:rsidRPr="00B17707">
        <w:t xml:space="preserve"> </w:t>
      </w:r>
      <w:r w:rsidRPr="00B17707">
        <w:t>is put at risk for an operational practice that has shown little evidence of efficacy</w:t>
      </w:r>
      <w:r w:rsidR="00D94D24" w:rsidRPr="00B17707">
        <w:t xml:space="preserve">.  </w:t>
      </w:r>
      <w:r w:rsidR="00384096" w:rsidRPr="00A31C95">
        <w:rPr>
          <w:color w:val="C00000"/>
        </w:rPr>
        <w:t>Amy Edwards and colleagues</w:t>
      </w:r>
      <w:r w:rsidR="00384096">
        <w:rPr>
          <w:color w:val="C00000"/>
        </w:rPr>
        <w:t>’ review of evidence-based early help</w:t>
      </w:r>
      <w:r w:rsidR="00E822D4">
        <w:rPr>
          <w:color w:val="C00000"/>
        </w:rPr>
        <w:t xml:space="preserve"> in the UK</w:t>
      </w:r>
      <w:r w:rsidR="00384096" w:rsidRPr="00A31C95">
        <w:rPr>
          <w:color w:val="C00000"/>
        </w:rPr>
        <w:t xml:space="preserve"> (2021) </w:t>
      </w:r>
      <w:r w:rsidR="00384096">
        <w:rPr>
          <w:color w:val="C00000"/>
        </w:rPr>
        <w:t>leads them to suggest that what is easiest to measure is pursued at the expense of addressing the complexity and dynamics at play in family life, including poverty, that could make a difference.</w:t>
      </w:r>
      <w:r w:rsidR="00384096" w:rsidRPr="00A31C95">
        <w:rPr>
          <w:color w:val="C00000"/>
        </w:rPr>
        <w:t xml:space="preserve"> </w:t>
      </w:r>
      <w:r w:rsidR="00384096">
        <w:rPr>
          <w:color w:val="C00000"/>
        </w:rPr>
        <w:t xml:space="preserve"> </w:t>
      </w:r>
      <w:r w:rsidR="00AE09D4">
        <w:rPr>
          <w:color w:val="C00000"/>
        </w:rPr>
        <w:t xml:space="preserve">Further, </w:t>
      </w:r>
      <w:r w:rsidR="00AE09D4" w:rsidRPr="006E19BC">
        <w:t>s</w:t>
      </w:r>
      <w:r w:rsidR="000F4AC3" w:rsidRPr="006E19BC">
        <w:t>t</w:t>
      </w:r>
      <w:r w:rsidR="000F4AC3" w:rsidRPr="00B17707">
        <w:t xml:space="preserve">udies drawing on </w:t>
      </w:r>
      <w:r w:rsidR="00AE09D4">
        <w:t xml:space="preserve">extensive </w:t>
      </w:r>
      <w:r w:rsidR="000F4AC3" w:rsidRPr="00B17707">
        <w:t xml:space="preserve">longitudinal data to </w:t>
      </w:r>
      <w:r w:rsidR="00D94D24" w:rsidRPr="00B17707">
        <w:t xml:space="preserve">test </w:t>
      </w:r>
      <w:r w:rsidR="000F4AC3" w:rsidRPr="00B17707">
        <w:t xml:space="preserve">predictive </w:t>
      </w:r>
      <w:r w:rsidR="005C2035" w:rsidRPr="00B17707">
        <w:t xml:space="preserve">modelling </w:t>
      </w:r>
      <w:r w:rsidR="000F4AC3" w:rsidRPr="00B17707">
        <w:t>techniques</w:t>
      </w:r>
      <w:r w:rsidR="00D94D24" w:rsidRPr="00B17707">
        <w:t xml:space="preserve"> </w:t>
      </w:r>
      <w:r w:rsidR="00B17707" w:rsidRPr="00B17707">
        <w:t>(</w:t>
      </w:r>
      <w:proofErr w:type="gramStart"/>
      <w:r w:rsidR="00B17707" w:rsidRPr="00B17707">
        <w:t>e.g.</w:t>
      </w:r>
      <w:proofErr w:type="gramEnd"/>
      <w:r w:rsidR="00B17707" w:rsidRPr="00B17707">
        <w:t xml:space="preserve"> Clayton et al., 2020; </w:t>
      </w:r>
      <w:proofErr w:type="spellStart"/>
      <w:r w:rsidR="00B17707" w:rsidRPr="00B17707">
        <w:t>Salganik</w:t>
      </w:r>
      <w:proofErr w:type="spellEnd"/>
      <w:r w:rsidR="00B17707" w:rsidRPr="00B17707">
        <w:t xml:space="preserve"> et al., 2020) </w:t>
      </w:r>
      <w:r w:rsidR="00D94D24" w:rsidRPr="00B17707">
        <w:t>are</w:t>
      </w:r>
      <w:r w:rsidR="005C2035" w:rsidRPr="00B17707">
        <w:t xml:space="preserve"> </w:t>
      </w:r>
      <w:r w:rsidR="00D94D24" w:rsidRPr="00B17707">
        <w:t xml:space="preserve">finding a worrying lack of accuracy in forecasting </w:t>
      </w:r>
      <w:r w:rsidR="00B17707" w:rsidRPr="00B17707">
        <w:t xml:space="preserve">future </w:t>
      </w:r>
      <w:r w:rsidR="00D94D24" w:rsidRPr="00B17707">
        <w:t xml:space="preserve">outcomes, with one international mass academic collaboration concluding: </w:t>
      </w:r>
    </w:p>
    <w:p w14:paraId="618A9781" w14:textId="565FB938" w:rsidR="00D34E25" w:rsidRPr="00B17707" w:rsidRDefault="00B17707" w:rsidP="00B17707">
      <w:pPr>
        <w:ind w:left="720"/>
      </w:pPr>
      <w:r w:rsidRPr="00B17707">
        <w:rPr>
          <w:rFonts w:cs="Helvetica"/>
          <w:shd w:val="clear" w:color="auto" w:fill="FFFFFF"/>
        </w:rPr>
        <w:t>Policymakers using predictive models in settings such as criminal justice and child-protective services should be concerned by these results. In addition to the many serious legal and ethical questions raised by using predictive models for decision-making, the results of the Fragile Families Challenge raise questions about the absolute level of predictive performance that is possible for some life outcomes, even with a rich dataset.</w:t>
      </w:r>
      <w:r w:rsidR="00D94D24" w:rsidRPr="00B17707">
        <w:t xml:space="preserve"> (</w:t>
      </w:r>
      <w:proofErr w:type="spellStart"/>
      <w:r w:rsidR="00D94D24" w:rsidRPr="00B17707">
        <w:t>Salganik</w:t>
      </w:r>
      <w:proofErr w:type="spellEnd"/>
      <w:r w:rsidR="00D94D24" w:rsidRPr="00B17707">
        <w:t xml:space="preserve"> et al., 2020:</w:t>
      </w:r>
      <w:r w:rsidR="0016054B">
        <w:t xml:space="preserve"> 8402</w:t>
      </w:r>
      <w:r w:rsidR="00D94D24" w:rsidRPr="00B17707">
        <w:t>)</w:t>
      </w:r>
    </w:p>
    <w:p w14:paraId="74A4DDE0" w14:textId="77777777" w:rsidR="00A2586A" w:rsidRPr="00B17707" w:rsidRDefault="00A2586A" w:rsidP="00002E8A"/>
    <w:p w14:paraId="118447EF" w14:textId="48D71194" w:rsidR="005541DD" w:rsidRDefault="00896EE0" w:rsidP="00896EE0">
      <w:pPr>
        <w:contextualSpacing/>
      </w:pPr>
      <w:r w:rsidRPr="00254FD8">
        <w:t xml:space="preserve">In conclusion, </w:t>
      </w:r>
      <w:proofErr w:type="gramStart"/>
      <w:r w:rsidR="006E19BC">
        <w:rPr>
          <w:color w:val="FF0000"/>
        </w:rPr>
        <w:t>policy-makers</w:t>
      </w:r>
      <w:proofErr w:type="gramEnd"/>
      <w:r w:rsidR="006E19BC">
        <w:rPr>
          <w:color w:val="FF0000"/>
        </w:rPr>
        <w:t xml:space="preserve"> need to go beyond exhortations for enacting and improving transparency to enter into robust discussions about the </w:t>
      </w:r>
      <w:r w:rsidR="00E822D4">
        <w:rPr>
          <w:color w:val="FF0000"/>
        </w:rPr>
        <w:t xml:space="preserve">risks as well as the </w:t>
      </w:r>
      <w:r w:rsidR="006E19BC">
        <w:rPr>
          <w:color w:val="FF0000"/>
        </w:rPr>
        <w:t xml:space="preserve">benefits of operational data linkage and predictive analytics for early intervention, and to consider and address unintended </w:t>
      </w:r>
      <w:r w:rsidR="003B687D">
        <w:rPr>
          <w:color w:val="FF0000"/>
        </w:rPr>
        <w:t xml:space="preserve">social </w:t>
      </w:r>
      <w:r w:rsidR="00B02BE1">
        <w:rPr>
          <w:color w:val="FF0000"/>
        </w:rPr>
        <w:t xml:space="preserve">consequences.  </w:t>
      </w:r>
      <w:r w:rsidR="00B02BE1">
        <w:t xml:space="preserve">It </w:t>
      </w:r>
      <w:r w:rsidRPr="00254FD8">
        <w:t xml:space="preserve">is vital </w:t>
      </w:r>
      <w:r w:rsidR="00B02BE1">
        <w:rPr>
          <w:color w:val="FF0000"/>
        </w:rPr>
        <w:t xml:space="preserve">that they </w:t>
      </w:r>
      <w:r w:rsidRPr="00254FD8">
        <w:t>pay real and meaningful attention to the extent of social licence and trust for data linkage among marginalised groups of parents in society.  At a collective level, these are parents who are most likely to be implicated in such efforts towards early intervention</w:t>
      </w:r>
      <w:r w:rsidR="00254FD8" w:rsidRPr="00254FD8">
        <w:t xml:space="preserve">, </w:t>
      </w:r>
      <w:r w:rsidR="00254FD8" w:rsidRPr="00254FD8">
        <w:rPr>
          <w:rFonts w:cstheme="minorHAnsi"/>
        </w:rPr>
        <w:t xml:space="preserve">disproportionately affected by data </w:t>
      </w:r>
      <w:r w:rsidR="00254FD8">
        <w:rPr>
          <w:rFonts w:cstheme="minorHAnsi"/>
        </w:rPr>
        <w:t xml:space="preserve">linking and predictive analytic </w:t>
      </w:r>
      <w:r w:rsidR="00254FD8" w:rsidRPr="00254FD8">
        <w:rPr>
          <w:rFonts w:cstheme="minorHAnsi"/>
        </w:rPr>
        <w:t xml:space="preserve">activities but lacking any mechanism to have their concerns </w:t>
      </w:r>
      <w:r w:rsidR="00254FD8">
        <w:rPr>
          <w:rFonts w:cstheme="minorHAnsi"/>
        </w:rPr>
        <w:t xml:space="preserve">taken seriously enough to reshape the </w:t>
      </w:r>
      <w:r w:rsidR="00C147A4">
        <w:rPr>
          <w:rFonts w:cstheme="minorHAnsi"/>
        </w:rPr>
        <w:t xml:space="preserve">speeding up of </w:t>
      </w:r>
      <w:r w:rsidR="00254FD8">
        <w:rPr>
          <w:rFonts w:cstheme="minorHAnsi"/>
        </w:rPr>
        <w:t>data-driven poli</w:t>
      </w:r>
      <w:r w:rsidR="00C147A4">
        <w:rPr>
          <w:rFonts w:cstheme="minorHAnsi"/>
        </w:rPr>
        <w:t xml:space="preserve">cy and service delivery.  </w:t>
      </w:r>
      <w:r w:rsidRPr="00254FD8">
        <w:t xml:space="preserve">Implementation of sharing and linking of data amongst public services working with children and families has the potential to undermine </w:t>
      </w:r>
      <w:r w:rsidR="00B02BE1" w:rsidRPr="00B02BE1">
        <w:rPr>
          <w:color w:val="FF0000"/>
        </w:rPr>
        <w:t xml:space="preserve">even further </w:t>
      </w:r>
      <w:r w:rsidRPr="00254FD8">
        <w:t xml:space="preserve">social legitimacy and trust among marginalised social groups of parents, with consequences for a cohesive and equal society.  </w:t>
      </w:r>
      <w:r w:rsidR="005541DD">
        <w:t xml:space="preserve">Beginning from a position that asks whether data linkage and predictive analytics for early intervention will undermine social trust, then a responsible question is raised </w:t>
      </w:r>
      <w:r w:rsidR="00B02BE1">
        <w:rPr>
          <w:color w:val="FF0000"/>
        </w:rPr>
        <w:t xml:space="preserve">for policymakers </w:t>
      </w:r>
      <w:r w:rsidR="005541DD">
        <w:t xml:space="preserve">about </w:t>
      </w:r>
      <w:proofErr w:type="gramStart"/>
      <w:r w:rsidR="005541DD">
        <w:t>whether or not</w:t>
      </w:r>
      <w:proofErr w:type="gramEnd"/>
      <w:r w:rsidR="005541DD">
        <w:t xml:space="preserve"> it should be done at all.</w:t>
      </w:r>
    </w:p>
    <w:p w14:paraId="0E4E4F57" w14:textId="0D0DAB34" w:rsidR="00366A0E" w:rsidRDefault="00366A0E" w:rsidP="00896EE0">
      <w:pPr>
        <w:contextualSpacing/>
      </w:pPr>
    </w:p>
    <w:p w14:paraId="606DA0E3" w14:textId="77777777" w:rsidR="00366A0E" w:rsidRDefault="00366A0E" w:rsidP="00896EE0">
      <w:pPr>
        <w:contextualSpacing/>
      </w:pPr>
    </w:p>
    <w:p w14:paraId="217AF559" w14:textId="1CFCEA77" w:rsidR="00366A0E" w:rsidRDefault="00366A0E" w:rsidP="00366A0E">
      <w:pPr>
        <w:pStyle w:val="FootnoteText"/>
        <w:rPr>
          <w:rFonts w:ascii="Arial Narrow" w:hAnsi="Arial Narrow"/>
          <w:b/>
          <w:bCs/>
          <w:sz w:val="24"/>
          <w:szCs w:val="24"/>
        </w:rPr>
      </w:pPr>
      <w:r w:rsidRPr="00366A0E">
        <w:rPr>
          <w:rFonts w:ascii="Arial Narrow" w:hAnsi="Arial Narrow"/>
          <w:b/>
          <w:bCs/>
          <w:sz w:val="24"/>
          <w:szCs w:val="24"/>
        </w:rPr>
        <w:t>Data Availability</w:t>
      </w:r>
    </w:p>
    <w:p w14:paraId="2DBB9772" w14:textId="77777777" w:rsidR="00366A0E" w:rsidRPr="004A091B" w:rsidRDefault="00366A0E" w:rsidP="00366A0E">
      <w:pPr>
        <w:pStyle w:val="FootnoteText"/>
        <w:rPr>
          <w:rFonts w:ascii="Arial Narrow" w:hAnsi="Arial Narrow"/>
          <w:b/>
          <w:bCs/>
          <w:sz w:val="24"/>
          <w:szCs w:val="24"/>
        </w:rPr>
      </w:pPr>
    </w:p>
    <w:p w14:paraId="185B49EF" w14:textId="5B51EAF1" w:rsidR="00366A0E" w:rsidRPr="004A091B" w:rsidRDefault="00366A0E" w:rsidP="00366A0E">
      <w:pPr>
        <w:pStyle w:val="FootnoteText"/>
        <w:rPr>
          <w:rFonts w:ascii="Arial Narrow" w:hAnsi="Arial Narrow"/>
          <w:sz w:val="24"/>
          <w:szCs w:val="24"/>
        </w:rPr>
      </w:pPr>
      <w:r w:rsidRPr="004A091B">
        <w:rPr>
          <w:rFonts w:ascii="Arial Narrow" w:hAnsi="Arial Narrow"/>
          <w:sz w:val="24"/>
          <w:szCs w:val="24"/>
        </w:rPr>
        <w:t xml:space="preserve">The </w:t>
      </w:r>
      <w:r w:rsidR="004A091B" w:rsidRPr="004A091B">
        <w:rPr>
          <w:rFonts w:ascii="Arial Narrow" w:hAnsi="Arial Narrow"/>
          <w:sz w:val="24"/>
          <w:szCs w:val="24"/>
        </w:rPr>
        <w:t xml:space="preserve">data used in this article was commissioned from </w:t>
      </w:r>
      <w:proofErr w:type="spellStart"/>
      <w:r w:rsidRPr="004A091B">
        <w:rPr>
          <w:rFonts w:ascii="Arial Narrow" w:hAnsi="Arial Narrow"/>
          <w:sz w:val="24"/>
          <w:szCs w:val="24"/>
        </w:rPr>
        <w:t>NatCen</w:t>
      </w:r>
      <w:proofErr w:type="spellEnd"/>
      <w:r w:rsidRPr="004A091B">
        <w:rPr>
          <w:rFonts w:ascii="Arial Narrow" w:hAnsi="Arial Narrow"/>
          <w:sz w:val="24"/>
          <w:szCs w:val="24"/>
        </w:rPr>
        <w:t xml:space="preserve"> through their </w:t>
      </w:r>
      <w:r w:rsidR="004A091B" w:rsidRPr="004A091B">
        <w:rPr>
          <w:rFonts w:ascii="Arial Narrow" w:hAnsi="Arial Narrow"/>
          <w:sz w:val="24"/>
          <w:szCs w:val="24"/>
        </w:rPr>
        <w:t xml:space="preserve">online and telephone probability-based panel survey.  </w:t>
      </w:r>
      <w:r w:rsidRPr="004A091B">
        <w:rPr>
          <w:rFonts w:ascii="Arial Narrow" w:hAnsi="Arial Narrow"/>
          <w:sz w:val="24"/>
          <w:szCs w:val="24"/>
        </w:rPr>
        <w:t xml:space="preserve">Data from the survey will be deposited in and available </w:t>
      </w:r>
      <w:r w:rsidR="004A091B" w:rsidRPr="004A091B">
        <w:rPr>
          <w:rFonts w:ascii="Arial Narrow" w:hAnsi="Arial Narrow"/>
          <w:sz w:val="24"/>
          <w:szCs w:val="24"/>
        </w:rPr>
        <w:t xml:space="preserve">on registration with </w:t>
      </w:r>
      <w:r w:rsidRPr="004A091B">
        <w:rPr>
          <w:rFonts w:ascii="Arial Narrow" w:hAnsi="Arial Narrow"/>
          <w:sz w:val="24"/>
          <w:szCs w:val="24"/>
        </w:rPr>
        <w:t>the UK Data Archive at the end of the research project</w:t>
      </w:r>
      <w:r w:rsidR="004A091B" w:rsidRPr="004A091B">
        <w:rPr>
          <w:rFonts w:ascii="Arial Narrow" w:hAnsi="Arial Narrow"/>
          <w:sz w:val="24"/>
          <w:szCs w:val="24"/>
        </w:rPr>
        <w:t>, in September 2022.</w:t>
      </w:r>
    </w:p>
    <w:p w14:paraId="7722F289" w14:textId="0D19D786" w:rsidR="00366A0E" w:rsidRDefault="00366A0E"/>
    <w:p w14:paraId="336DE927" w14:textId="1A963CDC" w:rsidR="004A091B" w:rsidRDefault="004A091B"/>
    <w:p w14:paraId="10A98689" w14:textId="793982D6" w:rsidR="004A091B" w:rsidRPr="004A091B" w:rsidRDefault="004A091B">
      <w:pPr>
        <w:rPr>
          <w:b/>
          <w:bCs/>
        </w:rPr>
      </w:pPr>
      <w:r w:rsidRPr="004A091B">
        <w:rPr>
          <w:b/>
          <w:bCs/>
        </w:rPr>
        <w:t>Funding Statement</w:t>
      </w:r>
    </w:p>
    <w:p w14:paraId="566A24DB" w14:textId="4114D580" w:rsidR="00366A0E" w:rsidRDefault="00366A0E"/>
    <w:p w14:paraId="566AC110" w14:textId="10DE56F6" w:rsidR="004A091B" w:rsidRPr="00BB2B64" w:rsidRDefault="004A091B" w:rsidP="004A091B">
      <w:pPr>
        <w:pStyle w:val="FootnoteText"/>
        <w:rPr>
          <w:rFonts w:ascii="Arial Narrow" w:hAnsi="Arial Narrow"/>
          <w:sz w:val="24"/>
          <w:szCs w:val="24"/>
        </w:rPr>
      </w:pPr>
      <w:r w:rsidRPr="00366A0E">
        <w:rPr>
          <w:rFonts w:ascii="Arial Narrow" w:hAnsi="Arial Narrow"/>
          <w:sz w:val="24"/>
          <w:szCs w:val="24"/>
        </w:rPr>
        <w:t xml:space="preserve">The research on which this article is based is funded by the UKRI Economic and Social Research </w:t>
      </w:r>
      <w:r w:rsidRPr="00BB2B64">
        <w:rPr>
          <w:rFonts w:ascii="Arial Narrow" w:hAnsi="Arial Narrow"/>
          <w:sz w:val="24"/>
          <w:szCs w:val="24"/>
        </w:rPr>
        <w:t>Council under grant number ES/</w:t>
      </w:r>
      <w:r w:rsidR="00BB2B64" w:rsidRPr="00BB2B64">
        <w:rPr>
          <w:rFonts w:ascii="Arial Narrow" w:hAnsi="Arial Narrow"/>
          <w:sz w:val="24"/>
          <w:szCs w:val="24"/>
        </w:rPr>
        <w:t>T001623/1</w:t>
      </w:r>
      <w:r w:rsidRPr="00BB2B64">
        <w:rPr>
          <w:rFonts w:ascii="Arial Narrow" w:hAnsi="Arial Narrow"/>
          <w:sz w:val="24"/>
          <w:szCs w:val="24"/>
        </w:rPr>
        <w:t xml:space="preserve">.  </w:t>
      </w:r>
    </w:p>
    <w:p w14:paraId="574F7793" w14:textId="1EAB27B5" w:rsidR="00366A0E" w:rsidRDefault="00366A0E"/>
    <w:p w14:paraId="271F1469" w14:textId="587D6EC8" w:rsidR="00366A0E" w:rsidRDefault="00366A0E"/>
    <w:p w14:paraId="5F0FE50B" w14:textId="4B3F7642" w:rsidR="004A091B" w:rsidRPr="004A091B" w:rsidRDefault="004A091B">
      <w:pPr>
        <w:rPr>
          <w:b/>
          <w:bCs/>
        </w:rPr>
      </w:pPr>
      <w:r w:rsidRPr="004A091B">
        <w:rPr>
          <w:b/>
          <w:bCs/>
        </w:rPr>
        <w:lastRenderedPageBreak/>
        <w:t>Competing Interests</w:t>
      </w:r>
    </w:p>
    <w:p w14:paraId="5CA88C74" w14:textId="49212D1C" w:rsidR="004A091B" w:rsidRDefault="004A091B"/>
    <w:p w14:paraId="18CC6563" w14:textId="0737205E" w:rsidR="004A091B" w:rsidRDefault="00470DFD">
      <w:r>
        <w:t xml:space="preserve">Competing interest: </w:t>
      </w:r>
      <w:r w:rsidR="00BB2B64">
        <w:t>Rosalind Edwards, Val Gillies and Sarah Gorin</w:t>
      </w:r>
      <w:r w:rsidR="004A091B">
        <w:t xml:space="preserve"> declare none.</w:t>
      </w:r>
    </w:p>
    <w:p w14:paraId="68E169FF" w14:textId="2AAC5027" w:rsidR="003059B7" w:rsidRDefault="003059B7"/>
    <w:p w14:paraId="2F8BACF4" w14:textId="5C88119F" w:rsidR="003059B7" w:rsidRPr="003059B7" w:rsidRDefault="003059B7">
      <w:pPr>
        <w:rPr>
          <w:b/>
          <w:bCs/>
        </w:rPr>
      </w:pPr>
      <w:r w:rsidRPr="003059B7">
        <w:rPr>
          <w:b/>
          <w:bCs/>
        </w:rPr>
        <w:t>Author Contributions</w:t>
      </w:r>
    </w:p>
    <w:p w14:paraId="488024AF" w14:textId="00352DBF" w:rsidR="004A091B" w:rsidRDefault="003059B7">
      <w:r>
        <w:t>Conceptualisation – Rosalind Edwards and Val Gillies</w:t>
      </w:r>
    </w:p>
    <w:p w14:paraId="5B279B8C" w14:textId="25ABF9F6" w:rsidR="003059B7" w:rsidRDefault="003059B7">
      <w:r>
        <w:t>Data curation – equal contributions by all authors</w:t>
      </w:r>
    </w:p>
    <w:p w14:paraId="51A11D12" w14:textId="0FB02CF1" w:rsidR="003059B7" w:rsidRDefault="003059B7">
      <w:r>
        <w:t>Formal analysis – equal contributions by all authors</w:t>
      </w:r>
    </w:p>
    <w:p w14:paraId="74B8DA5C" w14:textId="275102C3" w:rsidR="003059B7" w:rsidRDefault="003059B7">
      <w:r>
        <w:t>Funding acquisition – Rosalind Edwards and Val Gillies</w:t>
      </w:r>
    </w:p>
    <w:p w14:paraId="133DED1C" w14:textId="5606BA01" w:rsidR="003059B7" w:rsidRDefault="003059B7">
      <w:r>
        <w:t>Investigation – Rosalind Edwards and Val Gillies, support by Sarah Gorin</w:t>
      </w:r>
    </w:p>
    <w:p w14:paraId="248768A1" w14:textId="210372A3" w:rsidR="003059B7" w:rsidRDefault="003059B7">
      <w:r>
        <w:t xml:space="preserve">Methodology – </w:t>
      </w:r>
      <w:r>
        <w:t>Rosalind Edwards and Val Gillies, support by Sarah Gorin</w:t>
      </w:r>
    </w:p>
    <w:p w14:paraId="6E1E8354" w14:textId="1774D750" w:rsidR="003059B7" w:rsidRDefault="003059B7">
      <w:r>
        <w:t>Project administration – Rosalind Edwards as lead, support by other authors</w:t>
      </w:r>
    </w:p>
    <w:p w14:paraId="65417D62" w14:textId="05DC24CF" w:rsidR="003059B7" w:rsidRDefault="003059B7">
      <w:r>
        <w:t xml:space="preserve">Resources – Rosalind Edwards as lead, </w:t>
      </w:r>
      <w:r>
        <w:t>support by other authors</w:t>
      </w:r>
    </w:p>
    <w:p w14:paraId="03C454B8" w14:textId="7E4F683F" w:rsidR="003059B7" w:rsidRDefault="003059B7">
      <w:r>
        <w:t>Software – not applicable</w:t>
      </w:r>
    </w:p>
    <w:p w14:paraId="1DA5CCB5" w14:textId="5B910A97" w:rsidR="003059B7" w:rsidRDefault="003059B7">
      <w:r>
        <w:t>Supervision – not applicable</w:t>
      </w:r>
    </w:p>
    <w:p w14:paraId="7FA99DAC" w14:textId="5E44B685" w:rsidR="003059B7" w:rsidRDefault="003059B7">
      <w:r>
        <w:t>Validation – equal contributions by all authors</w:t>
      </w:r>
    </w:p>
    <w:p w14:paraId="0D1AE689" w14:textId="01659DD9" w:rsidR="003059B7" w:rsidRDefault="003059B7">
      <w:r>
        <w:t>Visualization – not applicable</w:t>
      </w:r>
    </w:p>
    <w:p w14:paraId="35951FF4" w14:textId="6D6349D3" w:rsidR="003059B7" w:rsidRDefault="003059B7">
      <w:r>
        <w:t>Writing original draft – Rosalind Edwards as lead, support by other authors</w:t>
      </w:r>
    </w:p>
    <w:p w14:paraId="151404C3" w14:textId="0E96F815" w:rsidR="003059B7" w:rsidRDefault="003059B7">
      <w:r>
        <w:t>Writing review and editing – Rosalind Edwards as lead, support by other authors</w:t>
      </w:r>
    </w:p>
    <w:p w14:paraId="18F00596" w14:textId="4B131AD7" w:rsidR="003059B7" w:rsidRDefault="003059B7"/>
    <w:p w14:paraId="50CB53EE" w14:textId="77777777" w:rsidR="004A091B" w:rsidRDefault="004A091B"/>
    <w:p w14:paraId="40314FBE" w14:textId="32DB17B5" w:rsidR="00683EDE" w:rsidRPr="00E42E5A" w:rsidRDefault="00683EDE">
      <w:pPr>
        <w:rPr>
          <w:b/>
          <w:bCs/>
        </w:rPr>
      </w:pPr>
      <w:r w:rsidRPr="00E42E5A">
        <w:rPr>
          <w:b/>
          <w:bCs/>
        </w:rPr>
        <w:t>References</w:t>
      </w:r>
    </w:p>
    <w:p w14:paraId="1A2951F9" w14:textId="4F1EBBA0" w:rsidR="00683EDE" w:rsidRDefault="00683EDE"/>
    <w:p w14:paraId="0C6793EC" w14:textId="77777777" w:rsidR="00254FD8" w:rsidRPr="00254FD8" w:rsidRDefault="00254FD8">
      <w:pPr>
        <w:rPr>
          <w:rFonts w:cs="Arial"/>
          <w:shd w:val="clear" w:color="auto" w:fill="FFFFFF"/>
        </w:rPr>
      </w:pPr>
      <w:r w:rsidRPr="00254FD8">
        <w:rPr>
          <w:rFonts w:cs="Arial"/>
          <w:shd w:val="clear" w:color="auto" w:fill="FFFFFF"/>
        </w:rPr>
        <w:t xml:space="preserve">Amnesty International United Kingdom Section (2018) </w:t>
      </w:r>
      <w:r w:rsidRPr="00254FD8">
        <w:rPr>
          <w:rFonts w:cs="Arial"/>
          <w:i/>
          <w:iCs/>
          <w:shd w:val="clear" w:color="auto" w:fill="FFFFFF"/>
        </w:rPr>
        <w:t>Trapped in the Matrix: Secrecy, Stigma, and Bias in the Met’s Gangs Database</w:t>
      </w:r>
      <w:r w:rsidRPr="00254FD8">
        <w:rPr>
          <w:rFonts w:cs="Arial"/>
          <w:shd w:val="clear" w:color="auto" w:fill="FFFFFF"/>
        </w:rPr>
        <w:t xml:space="preserve">: </w:t>
      </w:r>
      <w:hyperlink r:id="rId10" w:history="1">
        <w:r w:rsidRPr="00254FD8">
          <w:rPr>
            <w:rStyle w:val="Hyperlink"/>
            <w:rFonts w:cs="Arial"/>
            <w:shd w:val="clear" w:color="auto" w:fill="FFFFFF"/>
          </w:rPr>
          <w:t>https://www.amnesty.org.uk/files/reports/Trapped%20in%20the%20Matrix%20Amnesty%20report.pdf</w:t>
        </w:r>
      </w:hyperlink>
      <w:r w:rsidRPr="00254FD8">
        <w:rPr>
          <w:rFonts w:cs="Arial"/>
          <w:shd w:val="clear" w:color="auto" w:fill="FFFFFF"/>
        </w:rPr>
        <w:t xml:space="preserve">  </w:t>
      </w:r>
    </w:p>
    <w:p w14:paraId="1BE137EF" w14:textId="348E9CB1" w:rsidR="000F0CF5" w:rsidRPr="00BE0C9A" w:rsidRDefault="000F0CF5">
      <w:pPr>
        <w:rPr>
          <w:rStyle w:val="Hyperlink"/>
          <w:color w:val="auto"/>
        </w:rPr>
      </w:pPr>
      <w:proofErr w:type="spellStart"/>
      <w:r>
        <w:t>Answell</w:t>
      </w:r>
      <w:proofErr w:type="spellEnd"/>
      <w:r>
        <w:t xml:space="preserve">, B., Bauer, M.W., Gingrich, J., </w:t>
      </w:r>
      <w:r w:rsidR="002C56F4">
        <w:t>&amp;</w:t>
      </w:r>
      <w:r>
        <w:t xml:space="preserve"> </w:t>
      </w:r>
      <w:proofErr w:type="spellStart"/>
      <w:r>
        <w:t>Stilgoe</w:t>
      </w:r>
      <w:proofErr w:type="spellEnd"/>
      <w:r>
        <w:t xml:space="preserve">, J. (2021) Coping with Covid: two-wave survey, </w:t>
      </w:r>
      <w:proofErr w:type="spellStart"/>
      <w:r w:rsidRPr="000F0CF5">
        <w:rPr>
          <w:i/>
          <w:iCs/>
        </w:rPr>
        <w:t>RPubs</w:t>
      </w:r>
      <w:proofErr w:type="spellEnd"/>
      <w:r>
        <w:t xml:space="preserve">, 23 February: </w:t>
      </w:r>
      <w:hyperlink r:id="rId11" w:history="1">
        <w:r w:rsidRPr="0025506D">
          <w:rPr>
            <w:rStyle w:val="Hyperlink"/>
          </w:rPr>
          <w:t>https://rpubs.com/benwansell/729135</w:t>
        </w:r>
      </w:hyperlink>
      <w:r w:rsidR="00BE0C9A">
        <w:rPr>
          <w:rStyle w:val="Hyperlink"/>
        </w:rPr>
        <w:t xml:space="preserve"> </w:t>
      </w:r>
    </w:p>
    <w:p w14:paraId="3E27E197" w14:textId="2AF08BAB" w:rsidR="00B54EBA" w:rsidRDefault="00B54EBA" w:rsidP="00B54EBA">
      <w:r>
        <w:t xml:space="preserve">ARI Working group 3 (2020) </w:t>
      </w:r>
      <w:r w:rsidRPr="00B54EBA">
        <w:rPr>
          <w:i/>
          <w:iCs/>
        </w:rPr>
        <w:t>Rebuilding a Resilient Britain: Trust in Public Institutions</w:t>
      </w:r>
      <w:r>
        <w:t xml:space="preserve">. ARI Report 3: </w:t>
      </w:r>
      <w:hyperlink r:id="rId12" w:history="1">
        <w:r w:rsidRPr="00676573">
          <w:rPr>
            <w:rStyle w:val="Hyperlink"/>
          </w:rPr>
          <w:t>https://www.upen.ac.uk/go_science/RRB3_TrustInPublicInstitutions.pdf</w:t>
        </w:r>
      </w:hyperlink>
      <w:r>
        <w:t xml:space="preserve"> </w:t>
      </w:r>
    </w:p>
    <w:p w14:paraId="427713C9" w14:textId="77777777" w:rsidR="00D10B35" w:rsidRDefault="00D10B35" w:rsidP="00D10B35">
      <w:r>
        <w:t xml:space="preserve">Benjamin, R. (2019) </w:t>
      </w:r>
      <w:r w:rsidRPr="009E6BAF">
        <w:rPr>
          <w:i/>
          <w:iCs/>
        </w:rPr>
        <w:t>Race After Technology: Abolitionist Tools for the New Jim Code</w:t>
      </w:r>
      <w:r>
        <w:t>, Cambridge: Polity Press.</w:t>
      </w:r>
    </w:p>
    <w:p w14:paraId="6EADA17C" w14:textId="133756A3" w:rsidR="00BE0C9A" w:rsidRDefault="00BE0C9A" w:rsidP="00D10B35">
      <w:r>
        <w:t xml:space="preserve">British Academy (2021) The COVID Decade: Understanding the long-term societal impacts of COVID-19: </w:t>
      </w:r>
      <w:hyperlink r:id="rId13" w:history="1">
        <w:r w:rsidRPr="00EA2E44">
          <w:rPr>
            <w:rStyle w:val="Hyperlink"/>
          </w:rPr>
          <w:t>https://www.thebritishacademy.ac.uk/documents/3238/COVID-decade-understanding-long-term-societal-impacts-COVID-19.pdf</w:t>
        </w:r>
      </w:hyperlink>
      <w:r>
        <w:t xml:space="preserve"> </w:t>
      </w:r>
    </w:p>
    <w:p w14:paraId="10362E4E" w14:textId="16190537" w:rsidR="00AF08FB" w:rsidRDefault="00AF08FB">
      <w:r>
        <w:t xml:space="preserve">Caldicott, F. (2016) </w:t>
      </w:r>
      <w:r w:rsidRPr="00AF08FB">
        <w:rPr>
          <w:i/>
          <w:iCs/>
        </w:rPr>
        <w:t>Review of Data Security, Consent and Opt-Outs</w:t>
      </w:r>
      <w:r>
        <w:t>, London: Department of Health</w:t>
      </w:r>
    </w:p>
    <w:p w14:paraId="541E14E0" w14:textId="73198A7E" w:rsidR="00683EDE" w:rsidRDefault="00683EDE">
      <w:r>
        <w:t xml:space="preserve">Carter, P., Laurie, G.T. </w:t>
      </w:r>
      <w:r w:rsidR="002C56F4">
        <w:t>&amp;</w:t>
      </w:r>
      <w:r>
        <w:t xml:space="preserve"> Dixon-Woods, M. (2015) The social licence for research: why </w:t>
      </w:r>
      <w:proofErr w:type="spellStart"/>
      <w:r>
        <w:rPr>
          <w:i/>
          <w:iCs/>
        </w:rPr>
        <w:t>care.data</w:t>
      </w:r>
      <w:proofErr w:type="spellEnd"/>
      <w:r>
        <w:rPr>
          <w:i/>
          <w:iCs/>
        </w:rPr>
        <w:t xml:space="preserve"> </w:t>
      </w:r>
      <w:r>
        <w:t xml:space="preserve">ran into trouble, </w:t>
      </w:r>
      <w:r w:rsidRPr="00683EDE">
        <w:rPr>
          <w:i/>
          <w:iCs/>
        </w:rPr>
        <w:t>Journal of Medical Ethics</w:t>
      </w:r>
      <w:r>
        <w:t>, 41: 404-409.</w:t>
      </w:r>
    </w:p>
    <w:p w14:paraId="3585FE54" w14:textId="4033C8B3" w:rsidR="00BA3C1C" w:rsidRDefault="00BA3C1C">
      <w:r>
        <w:t xml:space="preserve">Centre for Data Ethics and Innovation (2020) </w:t>
      </w:r>
      <w:r w:rsidRPr="00DE4584">
        <w:rPr>
          <w:i/>
          <w:iCs/>
        </w:rPr>
        <w:t>Review into Bias in Algorithmic Decision-Making</w:t>
      </w:r>
      <w:r>
        <w:t xml:space="preserve">: </w:t>
      </w:r>
      <w:hyperlink r:id="rId14" w:history="1">
        <w:r w:rsidRPr="000C7064">
          <w:rPr>
            <w:rStyle w:val="Hyperlink"/>
          </w:rPr>
          <w:t>https://www.gov.uk/government/publications/cdei-publishes-review-into-bias-in-algorithmic-decision-making</w:t>
        </w:r>
      </w:hyperlink>
      <w:r>
        <w:t xml:space="preserve"> </w:t>
      </w:r>
    </w:p>
    <w:p w14:paraId="6E06ADC5" w14:textId="1425FCAA" w:rsidR="005C2035" w:rsidRPr="005C2035" w:rsidRDefault="005C2035" w:rsidP="00DD751C">
      <w:pPr>
        <w:rPr>
          <w:rStyle w:val="Hyperlink"/>
          <w:rFonts w:cs="Arial"/>
          <w:color w:val="auto"/>
        </w:rPr>
      </w:pPr>
      <w:r w:rsidRPr="005C2035">
        <w:rPr>
          <w:rFonts w:cs="Arial"/>
        </w:rPr>
        <w:t xml:space="preserve">Clayton V, Sanders M, </w:t>
      </w:r>
      <w:proofErr w:type="spellStart"/>
      <w:r w:rsidRPr="005C2035">
        <w:rPr>
          <w:rFonts w:cs="Arial"/>
        </w:rPr>
        <w:t>Schoenwald</w:t>
      </w:r>
      <w:proofErr w:type="spellEnd"/>
      <w:r w:rsidRPr="005C2035">
        <w:rPr>
          <w:rFonts w:cs="Arial"/>
        </w:rPr>
        <w:t xml:space="preserve"> E, </w:t>
      </w:r>
      <w:proofErr w:type="spellStart"/>
      <w:r w:rsidRPr="005C2035">
        <w:rPr>
          <w:rFonts w:cs="Arial"/>
        </w:rPr>
        <w:t>Surkis</w:t>
      </w:r>
      <w:proofErr w:type="spellEnd"/>
      <w:r w:rsidRPr="005C2035">
        <w:rPr>
          <w:rFonts w:cs="Arial"/>
        </w:rPr>
        <w:t xml:space="preserve"> L </w:t>
      </w:r>
      <w:r w:rsidR="002C56F4">
        <w:rPr>
          <w:rFonts w:cs="Arial"/>
        </w:rPr>
        <w:t>&amp;</w:t>
      </w:r>
      <w:r w:rsidRPr="005C2035">
        <w:rPr>
          <w:rFonts w:cs="Arial"/>
        </w:rPr>
        <w:t xml:space="preserve"> Gibbons D (2020) </w:t>
      </w:r>
      <w:r w:rsidRPr="005C2035">
        <w:rPr>
          <w:rFonts w:cs="Arial"/>
          <w:i/>
          <w:iCs/>
        </w:rPr>
        <w:t>Machine Learning in Children’s Services</w:t>
      </w:r>
      <w:r w:rsidRPr="005C2035">
        <w:rPr>
          <w:rFonts w:cs="Arial"/>
        </w:rPr>
        <w:t xml:space="preserve">, What Works for Children’s Social Care: </w:t>
      </w:r>
      <w:hyperlink r:id="rId15" w:history="1">
        <w:r w:rsidRPr="005C2035">
          <w:rPr>
            <w:rStyle w:val="Hyperlink"/>
            <w:rFonts w:cs="Arial"/>
          </w:rPr>
          <w:t>https://whatworks-csc.org.uk/wp-content/uploads/WWCSC_machine_learning_in_childrens_services_does_it_work_Sep_2020_Accessible.pdf</w:t>
        </w:r>
      </w:hyperlink>
    </w:p>
    <w:p w14:paraId="3BD5C499" w14:textId="4FF7BC7B" w:rsidR="00DD751C" w:rsidRDefault="00DD751C" w:rsidP="00DD751C">
      <w:pPr>
        <w:rPr>
          <w:rFonts w:cs="Arial"/>
        </w:rPr>
      </w:pPr>
      <w:r>
        <w:rPr>
          <w:rFonts w:cs="Arial"/>
        </w:rPr>
        <w:t xml:space="preserve">Crossley, S. (2018) </w:t>
      </w:r>
      <w:r w:rsidRPr="004A6E2B">
        <w:rPr>
          <w:rFonts w:cs="Arial"/>
          <w:i/>
          <w:iCs/>
        </w:rPr>
        <w:t>Troublemakers: The Construction of ‘Troubled Families’ as a Social Problem</w:t>
      </w:r>
      <w:r>
        <w:rPr>
          <w:rFonts w:cs="Arial"/>
        </w:rPr>
        <w:t>, Bristol: Policy Press.</w:t>
      </w:r>
    </w:p>
    <w:p w14:paraId="358B72D3" w14:textId="21D2B48F" w:rsidR="00FE2018" w:rsidRDefault="00FE2018">
      <w:r>
        <w:t xml:space="preserve">Data Futures Partnership (2017) </w:t>
      </w:r>
      <w:r w:rsidRPr="00FE2018">
        <w:rPr>
          <w:i/>
          <w:iCs/>
        </w:rPr>
        <w:t>A Path to Social Licence: Guidelines for Trusted Data Use</w:t>
      </w:r>
      <w:r>
        <w:t xml:space="preserve">, available at </w:t>
      </w:r>
      <w:hyperlink r:id="rId16" w:history="1">
        <w:r w:rsidRPr="00AE0ECF">
          <w:rPr>
            <w:rStyle w:val="Hyperlink"/>
          </w:rPr>
          <w:t>https://trusteddata.co.nz/</w:t>
        </w:r>
      </w:hyperlink>
      <w:r>
        <w:t>.</w:t>
      </w:r>
    </w:p>
    <w:p w14:paraId="365468FF" w14:textId="3C6FAA31" w:rsidR="001E6A92" w:rsidRDefault="001E6A92">
      <w:r>
        <w:lastRenderedPageBreak/>
        <w:t xml:space="preserve">DDCMS (Department for Digital, Cultural, Media and Sport) (2020) </w:t>
      </w:r>
      <w:r w:rsidRPr="001E6A92">
        <w:rPr>
          <w:i/>
          <w:iCs/>
        </w:rPr>
        <w:t>National Data Strategy</w:t>
      </w:r>
      <w:r>
        <w:t xml:space="preserve">: </w:t>
      </w:r>
      <w:hyperlink r:id="rId17" w:history="1">
        <w:r w:rsidRPr="00A66F21">
          <w:rPr>
            <w:rStyle w:val="Hyperlink"/>
          </w:rPr>
          <w:t>https://www.gov.uk/government/publications/uk-national-data-strategy/national-data-strategy</w:t>
        </w:r>
      </w:hyperlink>
      <w:r>
        <w:t xml:space="preserve"> </w:t>
      </w:r>
    </w:p>
    <w:p w14:paraId="02376688" w14:textId="225C43EB" w:rsidR="00DE4584" w:rsidRPr="00DE4584" w:rsidRDefault="005A45F5">
      <w:pPr>
        <w:rPr>
          <w:color w:val="0563C1" w:themeColor="hyperlink"/>
          <w:u w:val="single"/>
        </w:rPr>
      </w:pPr>
      <w:r>
        <w:t xml:space="preserve">DHSC (Department of Health and Social Care) (2021) </w:t>
      </w:r>
      <w:r w:rsidRPr="009D643D">
        <w:rPr>
          <w:i/>
          <w:iCs/>
        </w:rPr>
        <w:t>The Best Start for Life: A Vision for the 1001 Critical Days</w:t>
      </w:r>
      <w:r w:rsidR="009D643D" w:rsidRPr="009D643D">
        <w:rPr>
          <w:i/>
          <w:iCs/>
        </w:rPr>
        <w:t>.</w:t>
      </w:r>
      <w:r w:rsidR="009D643D">
        <w:t xml:space="preserve">  The Early Years Health Development Review Report: </w:t>
      </w:r>
      <w:hyperlink r:id="rId18" w:history="1">
        <w:r w:rsidR="009D643D" w:rsidRPr="00647E4A">
          <w:rPr>
            <w:rStyle w:val="Hyperlink"/>
          </w:rPr>
          <w:t>https://assets.publishing.service.gov.uk/government/uploads/system/uploads/attachment_data/file/973112/The_best_start_for_life_a_vision_for_the_1_001_critical_days.pdf</w:t>
        </w:r>
      </w:hyperlink>
    </w:p>
    <w:p w14:paraId="31DEFDF7" w14:textId="69C48EEA" w:rsidR="00DE4584" w:rsidRDefault="00DE4584">
      <w:r>
        <w:t xml:space="preserve">Dencik, L., Redden, J., Hintz, A. </w:t>
      </w:r>
      <w:r w:rsidR="002C56F4">
        <w:t>&amp;</w:t>
      </w:r>
      <w:r>
        <w:t xml:space="preserve"> Warne, H. (2019) The ‘golden view’: data-driven governance in the scoring society, </w:t>
      </w:r>
      <w:r w:rsidRPr="00DE4584">
        <w:rPr>
          <w:i/>
          <w:iCs/>
        </w:rPr>
        <w:t>Internet Policy Review</w:t>
      </w:r>
      <w:r>
        <w:t>, 8: 2: 1-24.</w:t>
      </w:r>
    </w:p>
    <w:p w14:paraId="2008B806" w14:textId="5EE1372B" w:rsidR="00DC33F7" w:rsidRDefault="00DC33F7">
      <w:r>
        <w:t xml:space="preserve">Easton, S. (2017) Expanding open data requires social license: information mandarins, </w:t>
      </w:r>
      <w:r w:rsidRPr="00DC33F7">
        <w:rPr>
          <w:i/>
          <w:iCs/>
        </w:rPr>
        <w:t>The Mandarin</w:t>
      </w:r>
      <w:r>
        <w:t xml:space="preserve">: </w:t>
      </w:r>
      <w:hyperlink r:id="rId19" w:history="1">
        <w:r w:rsidRPr="00AE0ECF">
          <w:rPr>
            <w:rStyle w:val="Hyperlink"/>
          </w:rPr>
          <w:t>https://www.themandarin.com.au/74424-two-key-federal-information-custodians-weigh-in-on-proposed-data-and-privacy-reforms/</w:t>
        </w:r>
      </w:hyperlink>
      <w:r>
        <w:t xml:space="preserve"> </w:t>
      </w:r>
    </w:p>
    <w:p w14:paraId="010E63FC" w14:textId="5EBF428E" w:rsidR="00A2586A" w:rsidRPr="00A2586A" w:rsidRDefault="00A2586A">
      <w:pPr>
        <w:rPr>
          <w:color w:val="C00000"/>
        </w:rPr>
      </w:pPr>
      <w:r>
        <w:rPr>
          <w:color w:val="C00000"/>
        </w:rPr>
        <w:t xml:space="preserve">Edwards, A., </w:t>
      </w:r>
      <w:proofErr w:type="spellStart"/>
      <w:r>
        <w:rPr>
          <w:color w:val="C00000"/>
        </w:rPr>
        <w:t>Gharbi</w:t>
      </w:r>
      <w:proofErr w:type="spellEnd"/>
      <w:r>
        <w:rPr>
          <w:color w:val="C00000"/>
        </w:rPr>
        <w:t xml:space="preserve">, G., Berry, A. &amp; </w:t>
      </w:r>
      <w:proofErr w:type="spellStart"/>
      <w:r>
        <w:rPr>
          <w:color w:val="C00000"/>
        </w:rPr>
        <w:t>Duschinsky</w:t>
      </w:r>
      <w:proofErr w:type="spellEnd"/>
      <w:r>
        <w:rPr>
          <w:color w:val="C00000"/>
        </w:rPr>
        <w:t xml:space="preserve">, R. (2021) </w:t>
      </w:r>
      <w:r w:rsidRPr="00A2586A">
        <w:rPr>
          <w:i/>
          <w:iCs/>
          <w:color w:val="C00000"/>
        </w:rPr>
        <w:t>Support and Strengthening Families Through Provision of Early Help: A Rapid Review of Evidence</w:t>
      </w:r>
      <w:r>
        <w:rPr>
          <w:color w:val="C00000"/>
        </w:rPr>
        <w:t xml:space="preserve">, National Children’s Bureau: </w:t>
      </w:r>
      <w:hyperlink r:id="rId20" w:history="1">
        <w:r w:rsidR="00222FF3" w:rsidRPr="002F43AB">
          <w:rPr>
            <w:rStyle w:val="Hyperlink"/>
          </w:rPr>
          <w:t>https://www.ncb.org.uk/sites/default/files/uploads/attachments/20210513_Rapid%20Review_Full%20Report%20-%20FINAL.pdf</w:t>
        </w:r>
      </w:hyperlink>
      <w:r w:rsidR="00222FF3">
        <w:rPr>
          <w:color w:val="C00000"/>
        </w:rPr>
        <w:t xml:space="preserve"> </w:t>
      </w:r>
    </w:p>
    <w:p w14:paraId="1E36D8A2" w14:textId="7B94D6F0" w:rsidR="00BB2B64" w:rsidRDefault="00BB2B64" w:rsidP="00BB2B64">
      <w:r>
        <w:t xml:space="preserve">Edwards, R. &amp; Gillies, V (2004) Support in parenting: values and consensus concerning who to turn to, </w:t>
      </w:r>
      <w:r w:rsidRPr="00003208">
        <w:rPr>
          <w:i/>
          <w:iCs/>
        </w:rPr>
        <w:t>Journal of Social Policy</w:t>
      </w:r>
      <w:r>
        <w:t xml:space="preserve"> 33: 4, 627-647.</w:t>
      </w:r>
    </w:p>
    <w:p w14:paraId="5AD5C22D" w14:textId="0CEA4CB4" w:rsidR="007D5E18" w:rsidRPr="007D5E18" w:rsidRDefault="007D5E18" w:rsidP="007D5E18">
      <w:pPr>
        <w:widowControl w:val="0"/>
        <w:overflowPunct w:val="0"/>
        <w:autoSpaceDE w:val="0"/>
        <w:autoSpaceDN w:val="0"/>
        <w:adjustRightInd w:val="0"/>
        <w:textAlignment w:val="baseline"/>
        <w:rPr>
          <w:szCs w:val="20"/>
          <w:lang w:eastAsia="en-US"/>
        </w:rPr>
      </w:pPr>
      <w:r w:rsidRPr="007D5E18">
        <w:rPr>
          <w:iCs/>
          <w:szCs w:val="20"/>
          <w:lang w:eastAsia="en-US"/>
        </w:rPr>
        <w:t>Edwards, R., Gillies, V. and Gorin, S. (202</w:t>
      </w:r>
      <w:r>
        <w:rPr>
          <w:iCs/>
          <w:szCs w:val="20"/>
          <w:lang w:eastAsia="en-US"/>
        </w:rPr>
        <w:t>1</w:t>
      </w:r>
      <w:r w:rsidRPr="007D5E18">
        <w:rPr>
          <w:iCs/>
          <w:szCs w:val="20"/>
          <w:lang w:eastAsia="en-US"/>
        </w:rPr>
        <w:t xml:space="preserve">) Problem-solving for problem-solving: data analytics to identify families for service intervention, </w:t>
      </w:r>
      <w:r w:rsidRPr="007D5E18">
        <w:rPr>
          <w:i/>
          <w:szCs w:val="20"/>
          <w:lang w:eastAsia="en-US"/>
        </w:rPr>
        <w:t>Critical Social Policy</w:t>
      </w:r>
      <w:r w:rsidRPr="007D5E18">
        <w:rPr>
          <w:iCs/>
          <w:szCs w:val="20"/>
          <w:lang w:eastAsia="en-US"/>
        </w:rPr>
        <w:t xml:space="preserve"> </w:t>
      </w:r>
      <w:hyperlink r:id="rId21" w:history="1">
        <w:r w:rsidRPr="007D5E18">
          <w:rPr>
            <w:iCs/>
            <w:color w:val="0000FF"/>
            <w:szCs w:val="20"/>
            <w:u w:val="single"/>
            <w:lang w:eastAsia="en-US"/>
          </w:rPr>
          <w:t>https://journals.sagepub.com/doi/full/10.1177/02610183211020294</w:t>
        </w:r>
      </w:hyperlink>
    </w:p>
    <w:p w14:paraId="55321828" w14:textId="22AE69ED" w:rsidR="00D10B35" w:rsidRDefault="00D10B35" w:rsidP="00D10B35">
      <w:r w:rsidRPr="008940D2">
        <w:t>Eubanks V (2018)</w:t>
      </w:r>
      <w:r>
        <w:t xml:space="preserve"> </w:t>
      </w:r>
      <w:r w:rsidRPr="00FC3B26">
        <w:rPr>
          <w:i/>
          <w:iCs/>
        </w:rPr>
        <w:t>Automating Inequality: How High-Tech Tools Profile, Police and Punish the Poor</w:t>
      </w:r>
      <w:r>
        <w:rPr>
          <w:i/>
          <w:iCs/>
        </w:rPr>
        <w:t>.</w:t>
      </w:r>
      <w:r>
        <w:t xml:space="preserve"> New York: St Martin’s Press.</w:t>
      </w:r>
    </w:p>
    <w:p w14:paraId="510A755B" w14:textId="69B88A4E" w:rsidR="00003208" w:rsidRPr="00A92B28" w:rsidRDefault="00003208" w:rsidP="00DD751C">
      <w:r>
        <w:t xml:space="preserve">Finch, J. </w:t>
      </w:r>
      <w:r w:rsidR="002C56F4">
        <w:t>&amp;</w:t>
      </w:r>
      <w:r>
        <w:t xml:space="preserve"> Mason, J. (1991) Obligations of kinship in contemporary Britain: is there normative </w:t>
      </w:r>
      <w:proofErr w:type="gramStart"/>
      <w:r>
        <w:t>agreement?,</w:t>
      </w:r>
      <w:proofErr w:type="gramEnd"/>
      <w:r>
        <w:t xml:space="preserve"> </w:t>
      </w:r>
      <w:r w:rsidRPr="00003208">
        <w:rPr>
          <w:i/>
          <w:iCs/>
        </w:rPr>
        <w:t>British Journal of Sociology</w:t>
      </w:r>
      <w:r>
        <w:t>, 42: 3, 345–367.</w:t>
      </w:r>
    </w:p>
    <w:p w14:paraId="086E2105" w14:textId="77777777" w:rsidR="00BB2B64" w:rsidRPr="00BB2B64" w:rsidRDefault="00BB2B64" w:rsidP="003E2B81">
      <w:pPr>
        <w:rPr>
          <w:rFonts w:cs="Arial"/>
          <w:shd w:val="clear" w:color="auto" w:fill="FFFFFF"/>
        </w:rPr>
      </w:pPr>
      <w:r w:rsidRPr="00BB2B64">
        <w:rPr>
          <w:rFonts w:cs="Arial"/>
          <w:shd w:val="clear" w:color="auto" w:fill="FFFFFF"/>
        </w:rPr>
        <w:t xml:space="preserve">Gillies, V., Edwards, R. &amp; Horsley, N. (2017) </w:t>
      </w:r>
      <w:r w:rsidRPr="00BB2B64">
        <w:rPr>
          <w:rFonts w:cs="Arial"/>
          <w:i/>
          <w:iCs/>
          <w:shd w:val="clear" w:color="auto" w:fill="FFFFFF"/>
        </w:rPr>
        <w:t>Challenging the Politics of Early Intervention: Who's 'Saving' Children and Why</w:t>
      </w:r>
      <w:r w:rsidRPr="00BB2B64">
        <w:rPr>
          <w:rFonts w:cs="Arial"/>
          <w:shd w:val="clear" w:color="auto" w:fill="FFFFFF"/>
        </w:rPr>
        <w:t>, Bristol: Policy Press.</w:t>
      </w:r>
    </w:p>
    <w:p w14:paraId="1E484BC2" w14:textId="0EB9C959" w:rsidR="003E2B81" w:rsidRDefault="003E2B81" w:rsidP="003E2B81">
      <w:r>
        <w:t>Gulliver, P., Jonas, M., McIn</w:t>
      </w:r>
      <w:r w:rsidR="00AC5DD6">
        <w:t>t</w:t>
      </w:r>
      <w:r>
        <w:t xml:space="preserve">osh, T., </w:t>
      </w:r>
      <w:proofErr w:type="spellStart"/>
      <w:r>
        <w:t>Franslow</w:t>
      </w:r>
      <w:proofErr w:type="spellEnd"/>
      <w:r>
        <w:t xml:space="preserve">, J. </w:t>
      </w:r>
      <w:r w:rsidR="002C56F4">
        <w:t>&amp;</w:t>
      </w:r>
      <w:r>
        <w:t xml:space="preserve"> </w:t>
      </w:r>
      <w:proofErr w:type="spellStart"/>
      <w:r>
        <w:t>Waayer</w:t>
      </w:r>
      <w:proofErr w:type="spellEnd"/>
      <w:r>
        <w:t xml:space="preserve">, D. (2018) Surveys, social licence and the integrated data infrastructure, </w:t>
      </w:r>
      <w:r w:rsidRPr="003E2B81">
        <w:rPr>
          <w:i/>
          <w:iCs/>
        </w:rPr>
        <w:t>Aotearoa New Zealand Social Work</w:t>
      </w:r>
      <w:r>
        <w:t>, 30(3): 57-71.</w:t>
      </w:r>
    </w:p>
    <w:p w14:paraId="55EE28B2" w14:textId="118A7846" w:rsidR="008D08B5" w:rsidRDefault="008D08B5" w:rsidP="003E2B81">
      <w:r>
        <w:t xml:space="preserve">House of Lords Public Services Committee (2020) </w:t>
      </w:r>
      <w:r w:rsidRPr="008D08B5">
        <w:rPr>
          <w:i/>
          <w:iCs/>
        </w:rPr>
        <w:t>A Critical Juncture for Public Services: Lessons from COVID-19</w:t>
      </w:r>
      <w:r>
        <w:t xml:space="preserve">: </w:t>
      </w:r>
      <w:hyperlink r:id="rId22" w:history="1">
        <w:r w:rsidRPr="0025506D">
          <w:rPr>
            <w:rStyle w:val="Hyperlink"/>
          </w:rPr>
          <w:t>https://committees.parliament.uk/publications/3438/documents/32865/default/</w:t>
        </w:r>
      </w:hyperlink>
      <w:r>
        <w:t xml:space="preserve"> </w:t>
      </w:r>
    </w:p>
    <w:p w14:paraId="72B52343" w14:textId="3805BCA3" w:rsidR="003E2B81" w:rsidRDefault="003E2B81" w:rsidP="003E2B81">
      <w:r w:rsidRPr="003E2B81">
        <w:t xml:space="preserve">Hughes, E.C. (1958) </w:t>
      </w:r>
      <w:r w:rsidRPr="003E2B81">
        <w:rPr>
          <w:i/>
        </w:rPr>
        <w:t>Men and Their Work</w:t>
      </w:r>
      <w:r w:rsidRPr="003E2B81">
        <w:t>, Glencoe Ill.: Free Press.</w:t>
      </w:r>
    </w:p>
    <w:p w14:paraId="417941AB" w14:textId="1CF8BA69" w:rsidR="00BA3C1C" w:rsidRPr="00BA3C1C" w:rsidRDefault="00BA3C1C" w:rsidP="003E2B81">
      <w:pPr>
        <w:rPr>
          <w:rFonts w:eastAsiaTheme="minorHAnsi" w:cs="Calibri"/>
        </w:rPr>
      </w:pPr>
      <w:r>
        <w:rPr>
          <w:rFonts w:eastAsiaTheme="minorHAnsi" w:cs="Calibri"/>
        </w:rPr>
        <w:t xml:space="preserve">Information Commissioner’s Office (2020) </w:t>
      </w:r>
      <w:r w:rsidRPr="003D5F7A">
        <w:rPr>
          <w:rFonts w:eastAsiaTheme="minorHAnsi" w:cs="Calibri"/>
          <w:i/>
          <w:iCs/>
        </w:rPr>
        <w:t>Data Sharing Code of Practice</w:t>
      </w:r>
      <w:r>
        <w:rPr>
          <w:rFonts w:eastAsiaTheme="minorHAnsi" w:cs="Calibri"/>
        </w:rPr>
        <w:t xml:space="preserve">: </w:t>
      </w:r>
      <w:hyperlink r:id="rId23" w:history="1">
        <w:r w:rsidRPr="000C7064">
          <w:rPr>
            <w:rStyle w:val="Hyperlink"/>
            <w:rFonts w:eastAsiaTheme="minorHAnsi" w:cs="Calibri"/>
          </w:rPr>
          <w:t>https://ico.org.uk/media/for-organisations/data-sharing-a-code-of-practice-1-0.pdf</w:t>
        </w:r>
      </w:hyperlink>
      <w:r>
        <w:rPr>
          <w:rFonts w:eastAsiaTheme="minorHAnsi" w:cs="Calibri"/>
        </w:rPr>
        <w:t xml:space="preserve"> </w:t>
      </w:r>
    </w:p>
    <w:p w14:paraId="5513932E" w14:textId="56CB94A4" w:rsidR="001C6C56" w:rsidRDefault="001C6C56" w:rsidP="003E2B81">
      <w:r>
        <w:t xml:space="preserve">Johnson, P., Joyce, R. </w:t>
      </w:r>
      <w:r w:rsidR="002C56F4">
        <w:t>&amp;</w:t>
      </w:r>
      <w:r>
        <w:t xml:space="preserve"> Platt, L. (2021) </w:t>
      </w:r>
      <w:r w:rsidRPr="001C6C56">
        <w:rPr>
          <w:i/>
          <w:iCs/>
        </w:rPr>
        <w:t xml:space="preserve">The IFS Deaton Review of Inequalities: </w:t>
      </w:r>
      <w:proofErr w:type="gramStart"/>
      <w:r w:rsidRPr="001C6C56">
        <w:rPr>
          <w:i/>
          <w:iCs/>
        </w:rPr>
        <w:t>a</w:t>
      </w:r>
      <w:proofErr w:type="gramEnd"/>
      <w:r w:rsidRPr="001C6C56">
        <w:rPr>
          <w:i/>
          <w:iCs/>
        </w:rPr>
        <w:t xml:space="preserve"> New Year’s Message</w:t>
      </w:r>
      <w:r>
        <w:t xml:space="preserve">, Institute for Fiscal Studies: </w:t>
      </w:r>
      <w:hyperlink r:id="rId24" w:history="1">
        <w:r w:rsidR="00BB2380" w:rsidRPr="000C7064">
          <w:rPr>
            <w:rStyle w:val="Hyperlink"/>
          </w:rPr>
          <w:t>https://www.ifs.org.uk/inequality/the-ifs-deaton-review-of-inequalities-a-new-years-message/</w:t>
        </w:r>
      </w:hyperlink>
    </w:p>
    <w:p w14:paraId="2B835B9F" w14:textId="025603E0" w:rsidR="00BB2380" w:rsidRPr="003E2B81" w:rsidRDefault="00BB2380" w:rsidP="003E2B81">
      <w:proofErr w:type="spellStart"/>
      <w:r>
        <w:t>Jupp</w:t>
      </w:r>
      <w:proofErr w:type="spellEnd"/>
      <w:r>
        <w:t xml:space="preserve">, E. (2017) Families, </w:t>
      </w:r>
      <w:proofErr w:type="gramStart"/>
      <w:r>
        <w:t>policy</w:t>
      </w:r>
      <w:proofErr w:type="gramEnd"/>
      <w:r>
        <w:t xml:space="preserve"> and place in times of austerity, </w:t>
      </w:r>
      <w:r w:rsidRPr="00BB2380">
        <w:rPr>
          <w:i/>
          <w:iCs/>
        </w:rPr>
        <w:t>Historical Geography</w:t>
      </w:r>
      <w:r>
        <w:t xml:space="preserve"> 49(3): 266-272.</w:t>
      </w:r>
    </w:p>
    <w:p w14:paraId="503073D3" w14:textId="2E26C812" w:rsidR="00D10B35" w:rsidRDefault="00D10B35" w:rsidP="00D10B35">
      <w:r>
        <w:t xml:space="preserve">Keddell E (2014) The ethics of predictive risk modelling in the Aotearoa/New Zealand child welfare context: child abuse prevention or neo-liberal </w:t>
      </w:r>
      <w:proofErr w:type="gramStart"/>
      <w:r>
        <w:t>tool?,</w:t>
      </w:r>
      <w:proofErr w:type="gramEnd"/>
      <w:r>
        <w:t xml:space="preserve"> </w:t>
      </w:r>
      <w:r w:rsidRPr="008009D1">
        <w:rPr>
          <w:i/>
          <w:iCs/>
        </w:rPr>
        <w:t>Critical Social Policy</w:t>
      </w:r>
      <w:r>
        <w:t xml:space="preserve"> 35(1): 69-88.</w:t>
      </w:r>
    </w:p>
    <w:p w14:paraId="20D621F3" w14:textId="661FBE09" w:rsidR="00962E85" w:rsidRDefault="00962E85" w:rsidP="00D10B35">
      <w:r>
        <w:t>Kennedy, H., Oman, S., Taylor, M., Bates, J.</w:t>
      </w:r>
      <w:r w:rsidR="002C56F4">
        <w:t xml:space="preserve"> &amp;</w:t>
      </w:r>
      <w:r>
        <w:t xml:space="preserve"> Steedman, R. (2020) </w:t>
      </w:r>
      <w:r w:rsidRPr="00D1074A">
        <w:rPr>
          <w:i/>
          <w:iCs/>
        </w:rPr>
        <w:t>Public Understanding and Perceptions of Data Practices</w:t>
      </w:r>
      <w:r>
        <w:t xml:space="preserve">: </w:t>
      </w:r>
      <w:hyperlink r:id="rId25" w:history="1">
        <w:r w:rsidR="00D1074A" w:rsidRPr="00FC4E2A">
          <w:rPr>
            <w:rStyle w:val="Hyperlink"/>
          </w:rPr>
          <w:t>https://livingwithdata.org/project/wp-content/uploads/2020/05/living-with-data-2020-review-of-existing-research.pdf</w:t>
        </w:r>
      </w:hyperlink>
      <w:r w:rsidR="00D1074A">
        <w:t xml:space="preserve"> </w:t>
      </w:r>
    </w:p>
    <w:p w14:paraId="3C54F5B2" w14:textId="6DA66372" w:rsidR="00A6747B" w:rsidRDefault="00A6747B">
      <w:pPr>
        <w:rPr>
          <w:rFonts w:cstheme="minorHAnsi"/>
          <w:u w:val="single"/>
          <w:shd w:val="clear" w:color="auto" w:fill="FFFFFF"/>
        </w:rPr>
      </w:pPr>
      <w:r w:rsidRPr="00A6747B">
        <w:rPr>
          <w:rFonts w:cstheme="minorHAnsi"/>
          <w:shd w:val="clear" w:color="auto" w:fill="FFFFFF"/>
        </w:rPr>
        <w:t xml:space="preserve">Leonard, P.G. (2018) Social Licence and Digital Trust in Data-Driven Applications and AI: </w:t>
      </w:r>
      <w:r>
        <w:rPr>
          <w:rFonts w:cstheme="minorHAnsi"/>
          <w:shd w:val="clear" w:color="auto" w:fill="FFFFFF"/>
        </w:rPr>
        <w:t>A</w:t>
      </w:r>
      <w:r w:rsidRPr="00A6747B">
        <w:rPr>
          <w:rFonts w:cstheme="minorHAnsi"/>
          <w:shd w:val="clear" w:color="auto" w:fill="FFFFFF"/>
        </w:rPr>
        <w:t xml:space="preserve"> Problem Statement and Possible Solutions</w:t>
      </w:r>
      <w:r>
        <w:rPr>
          <w:rFonts w:cstheme="minorHAnsi"/>
          <w:shd w:val="clear" w:color="auto" w:fill="FFFFFF"/>
        </w:rPr>
        <w:t>.</w:t>
      </w:r>
      <w:r w:rsidRPr="00A6747B">
        <w:rPr>
          <w:rFonts w:cstheme="minorHAnsi"/>
          <w:shd w:val="clear" w:color="auto" w:fill="FFFFFF"/>
        </w:rPr>
        <w:t xml:space="preserve"> Available at SSRN: </w:t>
      </w:r>
      <w:hyperlink r:id="rId26" w:history="1">
        <w:r w:rsidRPr="00A6747B">
          <w:rPr>
            <w:rStyle w:val="Hyperlink"/>
            <w:rFonts w:cstheme="minorHAnsi"/>
            <w:shd w:val="clear" w:color="auto" w:fill="FFFFFF"/>
          </w:rPr>
          <w:t>https://ssrn.com/abstract=3261228</w:t>
        </w:r>
      </w:hyperlink>
    </w:p>
    <w:p w14:paraId="72E9C873" w14:textId="4FA8BFD2" w:rsidR="00192D61" w:rsidRDefault="00192D61" w:rsidP="00192D61">
      <w:pPr>
        <w:autoSpaceDE w:val="0"/>
        <w:autoSpaceDN w:val="0"/>
        <w:adjustRightInd w:val="0"/>
        <w:rPr>
          <w:rFonts w:cs="AdvTT5843c571"/>
        </w:rPr>
      </w:pPr>
      <w:r w:rsidRPr="00192D61">
        <w:rPr>
          <w:rFonts w:cs="AdvTT2cba4af3.B"/>
        </w:rPr>
        <w:t xml:space="preserve">McIntyre, N. </w:t>
      </w:r>
      <w:r w:rsidR="002C56F4">
        <w:rPr>
          <w:rFonts w:cs="AdvTT2cba4af3.B"/>
        </w:rPr>
        <w:t>&amp;</w:t>
      </w:r>
      <w:r w:rsidRPr="00192D61">
        <w:rPr>
          <w:rFonts w:cs="AdvTT2cba4af3.B"/>
        </w:rPr>
        <w:t xml:space="preserve"> </w:t>
      </w:r>
      <w:proofErr w:type="spellStart"/>
      <w:r w:rsidRPr="00192D61">
        <w:rPr>
          <w:rFonts w:cs="AdvTT2cba4af3.B"/>
        </w:rPr>
        <w:t>Pegg</w:t>
      </w:r>
      <w:proofErr w:type="spellEnd"/>
      <w:r w:rsidRPr="00192D61">
        <w:rPr>
          <w:rFonts w:cs="AdvTT2cba4af3.B"/>
        </w:rPr>
        <w:t xml:space="preserve">, D. </w:t>
      </w:r>
      <w:r w:rsidRPr="00192D61">
        <w:rPr>
          <w:rFonts w:cs="AdvTT5843c571"/>
        </w:rPr>
        <w:t>(2018) Councils use 377,000 people</w:t>
      </w:r>
      <w:r w:rsidRPr="00192D61">
        <w:rPr>
          <w:rFonts w:cs="AdvTT5843c571+20"/>
        </w:rPr>
        <w:t>’</w:t>
      </w:r>
      <w:r w:rsidRPr="00192D61">
        <w:rPr>
          <w:rFonts w:cs="AdvTT5843c571"/>
        </w:rPr>
        <w:t xml:space="preserve">s data in efforts to predict child abuse, </w:t>
      </w:r>
      <w:r w:rsidRPr="00192D61">
        <w:rPr>
          <w:rFonts w:cs="AdvTT5843c571"/>
          <w:i/>
          <w:iCs/>
        </w:rPr>
        <w:t>The Guardian</w:t>
      </w:r>
      <w:r w:rsidRPr="00192D61">
        <w:rPr>
          <w:rFonts w:cs="AdvTT5843c571"/>
        </w:rPr>
        <w:t xml:space="preserve">, 16 September: </w:t>
      </w:r>
      <w:hyperlink r:id="rId27" w:history="1">
        <w:r w:rsidRPr="00192D61">
          <w:rPr>
            <w:rStyle w:val="Hyperlink"/>
            <w:rFonts w:cs="AdvTT5843c571"/>
          </w:rPr>
          <w:t>https://www.theguardian.com/society/2018/sep/16/councils-use-377000-peoples-data-in-efforts-to-predict-child-abuse</w:t>
        </w:r>
      </w:hyperlink>
      <w:r w:rsidRPr="00192D61">
        <w:rPr>
          <w:rFonts w:cs="AdvTT5843c571"/>
        </w:rPr>
        <w:t xml:space="preserve"> </w:t>
      </w:r>
    </w:p>
    <w:p w14:paraId="6774CA98" w14:textId="71C32329" w:rsidR="008672D1" w:rsidRPr="008672D1" w:rsidRDefault="008672D1" w:rsidP="00192D61">
      <w:pPr>
        <w:autoSpaceDE w:val="0"/>
        <w:autoSpaceDN w:val="0"/>
        <w:adjustRightInd w:val="0"/>
        <w:rPr>
          <w:rFonts w:cstheme="minorHAnsi"/>
          <w:shd w:val="clear" w:color="auto" w:fill="FFFFFF"/>
        </w:rPr>
      </w:pPr>
      <w:r w:rsidRPr="008672D1">
        <w:rPr>
          <w:rFonts w:cstheme="minorHAnsi"/>
          <w:shd w:val="clear" w:color="auto" w:fill="FFFFFF"/>
        </w:rPr>
        <w:t xml:space="preserve">Messenger, C. </w:t>
      </w:r>
      <w:r w:rsidR="002C56F4">
        <w:rPr>
          <w:rFonts w:cstheme="minorHAnsi"/>
          <w:shd w:val="clear" w:color="auto" w:fill="FFFFFF"/>
        </w:rPr>
        <w:t>&amp;</w:t>
      </w:r>
      <w:r w:rsidRPr="008672D1">
        <w:rPr>
          <w:rFonts w:cstheme="minorHAnsi"/>
          <w:shd w:val="clear" w:color="auto" w:fill="FFFFFF"/>
        </w:rPr>
        <w:t xml:space="preserve"> Molloy, D. (2014) </w:t>
      </w:r>
      <w:r w:rsidRPr="008672D1">
        <w:rPr>
          <w:rFonts w:cstheme="minorHAnsi"/>
          <w:i/>
          <w:iCs/>
          <w:shd w:val="clear" w:color="auto" w:fill="FFFFFF"/>
        </w:rPr>
        <w:t>Getting It Right For Families: A Review of Integrated Systems and Promising Practice in the Early Years Field</w:t>
      </w:r>
      <w:r w:rsidRPr="008672D1">
        <w:rPr>
          <w:rFonts w:cstheme="minorHAnsi"/>
          <w:shd w:val="clear" w:color="auto" w:fill="FFFFFF"/>
        </w:rPr>
        <w:t xml:space="preserve">, Early Intervention Foundation: </w:t>
      </w:r>
      <w:hyperlink r:id="rId28" w:history="1">
        <w:r w:rsidRPr="003013ED">
          <w:rPr>
            <w:rStyle w:val="Hyperlink"/>
            <w:rFonts w:cstheme="minorHAnsi"/>
            <w:shd w:val="clear" w:color="auto" w:fill="FFFFFF"/>
          </w:rPr>
          <w:t>https://www.eif.org.uk/report/getting-it-right-for-families-a-review-of-integrated-systems-and-promising-practice-in-the-early-years</w:t>
        </w:r>
      </w:hyperlink>
      <w:r>
        <w:rPr>
          <w:rFonts w:cstheme="minorHAnsi"/>
          <w:shd w:val="clear" w:color="auto" w:fill="FFFFFF"/>
        </w:rPr>
        <w:t xml:space="preserve"> </w:t>
      </w:r>
    </w:p>
    <w:p w14:paraId="27E567EA" w14:textId="435E0285" w:rsidR="002B6D3D" w:rsidRDefault="002B6D3D">
      <w:bookmarkStart w:id="15" w:name="_Hlk72070331"/>
      <w:r w:rsidRPr="00AB3C83">
        <w:t>MHCLG</w:t>
      </w:r>
      <w:r w:rsidR="00AB3C83" w:rsidRPr="00AB3C83">
        <w:t xml:space="preserve"> (Ministry of Housing, Communities and Local Government) (</w:t>
      </w:r>
      <w:r w:rsidRPr="00AB3C83">
        <w:t>2020)</w:t>
      </w:r>
      <w:r w:rsidR="00AB3C83" w:rsidRPr="00AB3C83">
        <w:t>,</w:t>
      </w:r>
      <w:bookmarkEnd w:id="15"/>
      <w:r w:rsidR="00AB3C83">
        <w:t xml:space="preserve"> </w:t>
      </w:r>
      <w:r w:rsidR="00AB3C83" w:rsidRPr="00AB3C83">
        <w:rPr>
          <w:i/>
          <w:iCs/>
        </w:rPr>
        <w:t>Financial Framework for the Troubled Families Programme</w:t>
      </w:r>
      <w:r w:rsidR="00AB3C83">
        <w:t xml:space="preserve">: </w:t>
      </w:r>
      <w:hyperlink r:id="rId29" w:history="1">
        <w:r w:rsidR="00AB3C83" w:rsidRPr="00647E4A">
          <w:rPr>
            <w:rStyle w:val="Hyperlink"/>
          </w:rPr>
          <w:t>https://assets.publishing.service.gov.uk/government/uploads/system/uploads/attachment_data/file/922390/Troubled_Families_Financial_Framework_2020.pdf</w:t>
        </w:r>
      </w:hyperlink>
      <w:r w:rsidR="00AB3C83">
        <w:t xml:space="preserve"> </w:t>
      </w:r>
    </w:p>
    <w:p w14:paraId="2F6BD191" w14:textId="3FDA0EDE" w:rsidR="00486971" w:rsidRDefault="00486971">
      <w:r w:rsidRPr="00AB3C83">
        <w:t>MHCLG (Ministry of Housing, Communities and Local Government) (202</w:t>
      </w:r>
      <w:r>
        <w:t>1</w:t>
      </w:r>
      <w:r w:rsidR="0084361E">
        <w:t>a</w:t>
      </w:r>
      <w:r w:rsidRPr="00AB3C83">
        <w:t>),</w:t>
      </w:r>
      <w:r>
        <w:t xml:space="preserve"> </w:t>
      </w:r>
      <w:r w:rsidRPr="00486971">
        <w:rPr>
          <w:i/>
          <w:iCs/>
        </w:rPr>
        <w:t>Local Data Accelerator Fund for Children and Families: Prospectus</w:t>
      </w:r>
      <w:r>
        <w:t xml:space="preserve">: </w:t>
      </w:r>
      <w:hyperlink r:id="rId30" w:history="1">
        <w:r w:rsidRPr="00874618">
          <w:rPr>
            <w:rStyle w:val="Hyperlink"/>
          </w:rPr>
          <w:t>https://www.gov.uk/government/publications/local-data-accelerator-fund-for-children-and-families</w:t>
        </w:r>
      </w:hyperlink>
      <w:r>
        <w:t xml:space="preserve"> </w:t>
      </w:r>
    </w:p>
    <w:p w14:paraId="2B791E76" w14:textId="2B8104EF" w:rsidR="0084361E" w:rsidRDefault="0084361E">
      <w:r w:rsidRPr="00AB3C83">
        <w:t>MHCLG (Ministry of Housing, Communities and Local Government) (202</w:t>
      </w:r>
      <w:r>
        <w:t>1b</w:t>
      </w:r>
      <w:r w:rsidRPr="00AB3C83">
        <w:t>)</w:t>
      </w:r>
      <w:r>
        <w:t xml:space="preserve">, Press release: Next phase of £165 million programme for vulnerable families launched: </w:t>
      </w:r>
      <w:hyperlink r:id="rId31" w:history="1">
        <w:r w:rsidRPr="00874618">
          <w:rPr>
            <w:rStyle w:val="Hyperlink"/>
          </w:rPr>
          <w:t>https://www.gov.uk/government/news/next-phase-of-165-million-programme-for-vulnerable-families-launched</w:t>
        </w:r>
      </w:hyperlink>
      <w:r>
        <w:t xml:space="preserve"> </w:t>
      </w:r>
    </w:p>
    <w:p w14:paraId="08937ABE" w14:textId="4F6D4E90" w:rsidR="00F5305B" w:rsidRPr="002B6D3D" w:rsidRDefault="00F5305B">
      <w:pPr>
        <w:rPr>
          <w:rFonts w:cstheme="minorHAnsi"/>
          <w:u w:val="single"/>
          <w:shd w:val="clear" w:color="auto" w:fill="FFFFFF"/>
        </w:rPr>
      </w:pPr>
      <w:r>
        <w:t>Monahan, T. (2021) Reckoning with COVID, racial violence, an</w:t>
      </w:r>
      <w:r w:rsidR="00486971">
        <w:t>d</w:t>
      </w:r>
      <w:r>
        <w:t xml:space="preserve"> the perilous pursuit of transparency, </w:t>
      </w:r>
      <w:r w:rsidRPr="00F5305B">
        <w:rPr>
          <w:i/>
          <w:iCs/>
        </w:rPr>
        <w:t>Surveillance &amp; Society</w:t>
      </w:r>
      <w:r>
        <w:t>, 19(1): 1-10.</w:t>
      </w:r>
    </w:p>
    <w:p w14:paraId="58D43E3C" w14:textId="3D04696E" w:rsidR="00E536EE" w:rsidRPr="00E6013D" w:rsidRDefault="00E536EE" w:rsidP="00E536EE">
      <w:r w:rsidRPr="00E6013D">
        <w:rPr>
          <w:rFonts w:cs="Helvetica"/>
          <w:shd w:val="clear" w:color="auto" w:fill="FFFFFF"/>
        </w:rPr>
        <w:t xml:space="preserve">Moody, G. </w:t>
      </w:r>
      <w:r w:rsidR="002C56F4">
        <w:rPr>
          <w:rFonts w:cs="Helvetica"/>
          <w:shd w:val="clear" w:color="auto" w:fill="FFFFFF"/>
        </w:rPr>
        <w:t>&amp;</w:t>
      </w:r>
      <w:r w:rsidRPr="00E6013D">
        <w:rPr>
          <w:rFonts w:cs="Helvetica"/>
          <w:shd w:val="clear" w:color="auto" w:fill="FFFFFF"/>
        </w:rPr>
        <w:t xml:space="preserve"> Lugg, F. (2017) “Public understanding of, and attitudes towards, data linkage in research: </w:t>
      </w:r>
      <w:r w:rsidRPr="00E6013D">
        <w:rPr>
          <w:rFonts w:cs="Helvetica"/>
          <w:i/>
          <w:iCs/>
          <w:shd w:val="clear" w:color="auto" w:fill="FFFFFF"/>
        </w:rPr>
        <w:t>IJPDS</w:t>
      </w:r>
      <w:r w:rsidRPr="00E6013D">
        <w:rPr>
          <w:rFonts w:cs="Helvetica"/>
          <w:shd w:val="clear" w:color="auto" w:fill="FFFFFF"/>
        </w:rPr>
        <w:t>, Issue 1, Vol 1:073, Proceedings of the IPDLN Conference (August 2016)”,</w:t>
      </w:r>
      <w:r w:rsidR="002C56F4">
        <w:rPr>
          <w:rFonts w:cs="Helvetica"/>
          <w:shd w:val="clear" w:color="auto" w:fill="FFFFFF"/>
        </w:rPr>
        <w:t xml:space="preserve"> </w:t>
      </w:r>
      <w:r w:rsidRPr="00E6013D">
        <w:rPr>
          <w:rFonts w:cs="Helvetica"/>
          <w:i/>
          <w:iCs/>
          <w:shd w:val="clear" w:color="auto" w:fill="FFFFFF"/>
        </w:rPr>
        <w:t>International Journal of Population Data Science</w:t>
      </w:r>
      <w:r w:rsidRPr="00E6013D">
        <w:rPr>
          <w:rFonts w:cs="Helvetica"/>
          <w:shd w:val="clear" w:color="auto" w:fill="FFFFFF"/>
        </w:rPr>
        <w:t xml:space="preserve">, 1(1). </w:t>
      </w:r>
      <w:proofErr w:type="spellStart"/>
      <w:r w:rsidRPr="00E6013D">
        <w:rPr>
          <w:rFonts w:cs="Helvetica"/>
          <w:shd w:val="clear" w:color="auto" w:fill="FFFFFF"/>
        </w:rPr>
        <w:t>doi</w:t>
      </w:r>
      <w:proofErr w:type="spellEnd"/>
      <w:r w:rsidRPr="00E6013D">
        <w:rPr>
          <w:rFonts w:cs="Helvetica"/>
          <w:shd w:val="clear" w:color="auto" w:fill="FFFFFF"/>
        </w:rPr>
        <w:t>: 10.23889/</w:t>
      </w:r>
      <w:proofErr w:type="gramStart"/>
      <w:r w:rsidRPr="00E6013D">
        <w:rPr>
          <w:rFonts w:cs="Helvetica"/>
          <w:shd w:val="clear" w:color="auto" w:fill="FFFFFF"/>
        </w:rPr>
        <w:t>ijpds.v</w:t>
      </w:r>
      <w:proofErr w:type="gramEnd"/>
      <w:r w:rsidRPr="00E6013D">
        <w:rPr>
          <w:rFonts w:cs="Helvetica"/>
          <w:shd w:val="clear" w:color="auto" w:fill="FFFFFF"/>
        </w:rPr>
        <w:t>1i1.92.</w:t>
      </w:r>
    </w:p>
    <w:p w14:paraId="77A56FFC" w14:textId="57EB2AFC" w:rsidR="00A54E3F" w:rsidRDefault="00E536EE" w:rsidP="00E536EE">
      <w:proofErr w:type="spellStart"/>
      <w:r w:rsidRPr="00E6013D">
        <w:t>NatCen</w:t>
      </w:r>
      <w:proofErr w:type="spellEnd"/>
      <w:r w:rsidRPr="00E6013D">
        <w:t xml:space="preserve"> (2018) </w:t>
      </w:r>
      <w:r w:rsidRPr="00A54E3F">
        <w:rPr>
          <w:i/>
          <w:iCs/>
        </w:rPr>
        <w:t>Public Attitudes to Data Linkage</w:t>
      </w:r>
      <w:r w:rsidRPr="00E6013D">
        <w:t xml:space="preserve">: A report prepared for University College London by </w:t>
      </w:r>
      <w:proofErr w:type="spellStart"/>
      <w:r w:rsidRPr="00E6013D">
        <w:t>NatCen</w:t>
      </w:r>
      <w:proofErr w:type="spellEnd"/>
      <w:r w:rsidRPr="00E6013D">
        <w:t xml:space="preserve"> Social Research: </w:t>
      </w:r>
      <w:hyperlink r:id="rId32" w:history="1">
        <w:r w:rsidR="00A54E3F" w:rsidRPr="00874618">
          <w:rPr>
            <w:rStyle w:val="Hyperlink"/>
          </w:rPr>
          <w:t>https://natcen.ac.uk/our-research/research/public-attitudes-to-data-linkage/</w:t>
        </w:r>
      </w:hyperlink>
      <w:r w:rsidR="00A54E3F">
        <w:t xml:space="preserve"> </w:t>
      </w:r>
    </w:p>
    <w:p w14:paraId="30F99731" w14:textId="15DEE92A" w:rsidR="009954F7" w:rsidRDefault="009954F7" w:rsidP="009954F7">
      <w:pPr>
        <w:autoSpaceDE w:val="0"/>
        <w:autoSpaceDN w:val="0"/>
        <w:adjustRightInd w:val="0"/>
        <w:rPr>
          <w:rFonts w:cs="AdvOT1ef757c0"/>
        </w:rPr>
      </w:pPr>
      <w:r w:rsidRPr="009954F7">
        <w:rPr>
          <w:rFonts w:cs="AdvOT1ef757c0"/>
        </w:rPr>
        <w:t xml:space="preserve">Nielsen Company (2018) </w:t>
      </w:r>
      <w:r w:rsidRPr="009954F7">
        <w:rPr>
          <w:rFonts w:cs="AdvOT7d6df7ab.I"/>
          <w:i/>
          <w:iCs/>
        </w:rPr>
        <w:t>A Social Licence Approach to Trust. A Close-Up on Trust</w:t>
      </w:r>
      <w:r w:rsidRPr="009954F7">
        <w:rPr>
          <w:rFonts w:cs="AdvOT7d6df7ab.I"/>
        </w:rPr>
        <w:t>:</w:t>
      </w:r>
      <w:r w:rsidRPr="009954F7">
        <w:rPr>
          <w:rFonts w:cs="AdvOT1ef757c0"/>
        </w:rPr>
        <w:t xml:space="preserve"> </w:t>
      </w:r>
      <w:hyperlink r:id="rId33" w:history="1">
        <w:r w:rsidR="00327232" w:rsidRPr="00A66F21">
          <w:rPr>
            <w:rStyle w:val="Hyperlink"/>
            <w:rFonts w:cs="AdvOT1ef757c0"/>
          </w:rPr>
          <w:t>https://www.stats.govt.nz/corporate/measuring-stats-nzs-social-licence</w:t>
        </w:r>
      </w:hyperlink>
    </w:p>
    <w:p w14:paraId="583A700E" w14:textId="65BE6E14" w:rsidR="00327232" w:rsidRDefault="00327232" w:rsidP="009954F7">
      <w:pPr>
        <w:autoSpaceDE w:val="0"/>
        <w:autoSpaceDN w:val="0"/>
        <w:adjustRightInd w:val="0"/>
        <w:rPr>
          <w:rFonts w:cs="AdvOT1ef757c0"/>
        </w:rPr>
      </w:pPr>
      <w:r>
        <w:rPr>
          <w:rFonts w:cs="AdvOT1ef757c0"/>
        </w:rPr>
        <w:t xml:space="preserve">NL </w:t>
      </w:r>
      <w:proofErr w:type="spellStart"/>
      <w:r>
        <w:rPr>
          <w:rFonts w:cs="AdvOT1ef757c0"/>
        </w:rPr>
        <w:t>Digitaal</w:t>
      </w:r>
      <w:proofErr w:type="spellEnd"/>
      <w:r>
        <w:rPr>
          <w:rFonts w:cs="AdvOT1ef757c0"/>
        </w:rPr>
        <w:t xml:space="preserve"> Government (2019) </w:t>
      </w:r>
      <w:r w:rsidRPr="00327232">
        <w:rPr>
          <w:rFonts w:cs="AdvOT1ef757c0"/>
          <w:i/>
          <w:iCs/>
        </w:rPr>
        <w:t>Data Agenda Government</w:t>
      </w:r>
      <w:r>
        <w:rPr>
          <w:rFonts w:cs="AdvOT1ef757c0"/>
        </w:rPr>
        <w:t xml:space="preserve">: </w:t>
      </w:r>
      <w:hyperlink r:id="rId34" w:history="1">
        <w:r w:rsidRPr="00A66F21">
          <w:rPr>
            <w:rStyle w:val="Hyperlink"/>
            <w:rFonts w:cs="AdvOT1ef757c0"/>
          </w:rPr>
          <w:t>https://www.nldigitalgovernment.nl/wp-content/uploads/sites/11/2019/04/data-agenda-government.pdf</w:t>
        </w:r>
      </w:hyperlink>
      <w:r>
        <w:rPr>
          <w:rFonts w:cs="AdvOT1ef757c0"/>
        </w:rPr>
        <w:t xml:space="preserve"> </w:t>
      </w:r>
    </w:p>
    <w:p w14:paraId="59301CD9" w14:textId="30F59968" w:rsidR="002741BA" w:rsidRDefault="002741BA" w:rsidP="009954F7">
      <w:pPr>
        <w:autoSpaceDE w:val="0"/>
        <w:autoSpaceDN w:val="0"/>
        <w:adjustRightInd w:val="0"/>
        <w:rPr>
          <w:rFonts w:cs="AdvOT1ef757c0"/>
        </w:rPr>
      </w:pPr>
      <w:r>
        <w:rPr>
          <w:rFonts w:cs="AdvOT1ef757c0"/>
        </w:rPr>
        <w:t xml:space="preserve">Office for National Statistics (2020) </w:t>
      </w:r>
      <w:r w:rsidRPr="002741BA">
        <w:rPr>
          <w:rFonts w:cs="AdvOT1ef757c0"/>
          <w:i/>
          <w:iCs/>
        </w:rPr>
        <w:t>Confidence in the local police</w:t>
      </w:r>
      <w:r>
        <w:rPr>
          <w:rFonts w:cs="AdvOT1ef757c0"/>
        </w:rPr>
        <w:t xml:space="preserve">: </w:t>
      </w:r>
      <w:r w:rsidRPr="002741BA">
        <w:rPr>
          <w:rFonts w:cs="AdvOT1ef757c0"/>
        </w:rPr>
        <w:t>https://www.ethnicity-facts-figures.service.gov.uk/crime-justice-and-the-law/policing/confidence-in-the-local-police/latest</w:t>
      </w:r>
    </w:p>
    <w:p w14:paraId="2912F2C6" w14:textId="590AF5B5" w:rsidR="000F0CF5" w:rsidRPr="009954F7" w:rsidRDefault="000F0CF5" w:rsidP="009954F7">
      <w:pPr>
        <w:autoSpaceDE w:val="0"/>
        <w:autoSpaceDN w:val="0"/>
        <w:adjustRightInd w:val="0"/>
        <w:rPr>
          <w:rFonts w:cstheme="minorHAnsi"/>
          <w:u w:val="single"/>
          <w:shd w:val="clear" w:color="auto" w:fill="FFFFFF"/>
        </w:rPr>
      </w:pPr>
      <w:r>
        <w:rPr>
          <w:rFonts w:cs="AdvOT1ef757c0"/>
        </w:rPr>
        <w:t xml:space="preserve">Office for National Statistics (2021) </w:t>
      </w:r>
      <w:r w:rsidRPr="002741BA">
        <w:rPr>
          <w:rFonts w:cs="AdvOT1ef757c0"/>
          <w:i/>
          <w:iCs/>
        </w:rPr>
        <w:t>Coronavirus and vaccine hesitancy, Great Britain: 13 January to 7 February 2021</w:t>
      </w:r>
      <w:r>
        <w:rPr>
          <w:rFonts w:cs="AdvOT1ef757c0"/>
        </w:rPr>
        <w:t xml:space="preserve">: </w:t>
      </w:r>
      <w:hyperlink r:id="rId35" w:history="1">
        <w:r w:rsidRPr="0025506D">
          <w:rPr>
            <w:rStyle w:val="Hyperlink"/>
            <w:rFonts w:cs="AdvOT1ef757c0"/>
          </w:rPr>
          <w:t>https://www.ons.gov.uk/peoplepopulationandcommunity/healthandsocialcare/healthandwellbeing/bulletins/coronavirusandvaccinehesitancygreatbritain/13januaryto7february2021</w:t>
        </w:r>
      </w:hyperlink>
      <w:r>
        <w:rPr>
          <w:rFonts w:cs="AdvOT1ef757c0"/>
        </w:rPr>
        <w:t xml:space="preserve"> </w:t>
      </w:r>
    </w:p>
    <w:p w14:paraId="7BA55218" w14:textId="6310338E" w:rsidR="00331C50" w:rsidRDefault="00331C50" w:rsidP="00331C50">
      <w:r w:rsidRPr="00331C50">
        <w:t xml:space="preserve">Office for Statistics Regulation (2018) </w:t>
      </w:r>
      <w:r w:rsidRPr="00331C50">
        <w:rPr>
          <w:i/>
        </w:rPr>
        <w:t>Joining Up Data for Better Statistics</w:t>
      </w:r>
      <w:r w:rsidRPr="00331C50">
        <w:t xml:space="preserve">: </w:t>
      </w:r>
      <w:hyperlink r:id="rId36" w:history="1">
        <w:r w:rsidRPr="00331C50">
          <w:rPr>
            <w:rStyle w:val="Hyperlink"/>
          </w:rPr>
          <w:t>https://www.statisticsauthority.gov.uk/wp-content/uploads/2018/09/Data-Linkage-Joining-Up-Data.pdf</w:t>
        </w:r>
      </w:hyperlink>
      <w:r w:rsidRPr="00331C50">
        <w:t xml:space="preserve">  </w:t>
      </w:r>
    </w:p>
    <w:p w14:paraId="3138B1D9" w14:textId="48A3AF13" w:rsidR="00DD6B59" w:rsidRDefault="00DD6B59">
      <w:proofErr w:type="spellStart"/>
      <w:r>
        <w:t>Paprica</w:t>
      </w:r>
      <w:proofErr w:type="spellEnd"/>
      <w:r>
        <w:t xml:space="preserve">, P.A., Nunes de Melo, M. and Schull, M.J. (2019) Social licence and the general public’s attitudes towards research based on linked administrative health data: a qualitative study, </w:t>
      </w:r>
      <w:r w:rsidRPr="00DD6B59">
        <w:rPr>
          <w:i/>
          <w:iCs/>
        </w:rPr>
        <w:t>CMAJ Open</w:t>
      </w:r>
      <w:r>
        <w:t>, 7(1): E40-E46.</w:t>
      </w:r>
    </w:p>
    <w:p w14:paraId="62069F7B" w14:textId="7BD590B9" w:rsidR="006F3EFD" w:rsidRDefault="006F3EFD">
      <w:r>
        <w:t>Priv</w:t>
      </w:r>
      <w:r w:rsidR="00695651">
        <w:t>a</w:t>
      </w:r>
      <w:r>
        <w:t xml:space="preserve">cy Council Office, Canada (2018) </w:t>
      </w:r>
      <w:r w:rsidRPr="006F3EFD">
        <w:rPr>
          <w:i/>
          <w:iCs/>
        </w:rPr>
        <w:t>A Data Strategy Roadmap for the Federal Public Service</w:t>
      </w:r>
      <w:r>
        <w:t xml:space="preserve">: </w:t>
      </w:r>
      <w:hyperlink r:id="rId37" w:history="1">
        <w:r w:rsidR="00695651" w:rsidRPr="00A66F21">
          <w:rPr>
            <w:rStyle w:val="Hyperlink"/>
          </w:rPr>
          <w:t>https://www.canada.ca/content/dam/pco-bcp/documents/clk/Data_Strategy_Roadmap_ENG.pdf</w:t>
        </w:r>
      </w:hyperlink>
    </w:p>
    <w:p w14:paraId="62D5D619" w14:textId="5EEB4290" w:rsidR="00652BB9" w:rsidRDefault="00652BB9">
      <w:r>
        <w:rPr>
          <w:color w:val="121212"/>
          <w:shd w:val="clear" w:color="auto" w:fill="FFFFFF"/>
        </w:rPr>
        <w:t xml:space="preserve">Redden, J., Dencik, L. </w:t>
      </w:r>
      <w:r w:rsidR="002C56F4">
        <w:rPr>
          <w:color w:val="121212"/>
          <w:shd w:val="clear" w:color="auto" w:fill="FFFFFF"/>
        </w:rPr>
        <w:t>&amp;</w:t>
      </w:r>
      <w:r>
        <w:rPr>
          <w:color w:val="121212"/>
          <w:shd w:val="clear" w:color="auto" w:fill="FFFFFF"/>
        </w:rPr>
        <w:t xml:space="preserve"> Warne, H. (2020) </w:t>
      </w:r>
      <w:proofErr w:type="spellStart"/>
      <w:r>
        <w:rPr>
          <w:color w:val="121212"/>
          <w:shd w:val="clear" w:color="auto" w:fill="FFFFFF"/>
        </w:rPr>
        <w:t>Datafied</w:t>
      </w:r>
      <w:proofErr w:type="spellEnd"/>
      <w:r>
        <w:rPr>
          <w:color w:val="121212"/>
          <w:shd w:val="clear" w:color="auto" w:fill="FFFFFF"/>
        </w:rPr>
        <w:t xml:space="preserve"> child welfare services: unpacking, politics, </w:t>
      </w:r>
      <w:proofErr w:type="gramStart"/>
      <w:r w:rsidRPr="00776B29">
        <w:rPr>
          <w:color w:val="121212"/>
          <w:shd w:val="clear" w:color="auto" w:fill="FFFFFF"/>
        </w:rPr>
        <w:t>economics</w:t>
      </w:r>
      <w:proofErr w:type="gramEnd"/>
      <w:r w:rsidRPr="00776B29">
        <w:rPr>
          <w:color w:val="121212"/>
          <w:shd w:val="clear" w:color="auto" w:fill="FFFFFF"/>
        </w:rPr>
        <w:t xml:space="preserve"> and power</w:t>
      </w:r>
      <w:r>
        <w:rPr>
          <w:color w:val="121212"/>
          <w:shd w:val="clear" w:color="auto" w:fill="FFFFFF"/>
        </w:rPr>
        <w:t>.</w:t>
      </w:r>
      <w:r w:rsidRPr="00776B29">
        <w:rPr>
          <w:color w:val="121212"/>
          <w:shd w:val="clear" w:color="auto" w:fill="FFFFFF"/>
        </w:rPr>
        <w:t xml:space="preserve"> </w:t>
      </w:r>
      <w:r w:rsidRPr="00776B29">
        <w:rPr>
          <w:i/>
          <w:iCs/>
          <w:color w:val="121212"/>
          <w:shd w:val="clear" w:color="auto" w:fill="FFFFFF"/>
        </w:rPr>
        <w:t>Policy Studies</w:t>
      </w:r>
      <w:r>
        <w:rPr>
          <w:i/>
          <w:iCs/>
          <w:color w:val="121212"/>
          <w:shd w:val="clear" w:color="auto" w:fill="FFFFFF"/>
        </w:rPr>
        <w:t>:</w:t>
      </w:r>
      <w:r>
        <w:rPr>
          <w:color w:val="121212"/>
          <w:shd w:val="clear" w:color="auto" w:fill="FFFFFF"/>
        </w:rPr>
        <w:t xml:space="preserve"> </w:t>
      </w:r>
      <w:hyperlink r:id="rId38" w:history="1">
        <w:r w:rsidRPr="00D434F4">
          <w:rPr>
            <w:rStyle w:val="Hyperlink"/>
            <w:shd w:val="clear" w:color="auto" w:fill="FFFFFF"/>
          </w:rPr>
          <w:t>https://doi.org/10.1080/01442872.2020.1724928</w:t>
        </w:r>
      </w:hyperlink>
      <w:r>
        <w:rPr>
          <w:color w:val="121212"/>
          <w:shd w:val="clear" w:color="auto" w:fill="FFFFFF"/>
        </w:rPr>
        <w:t>.</w:t>
      </w:r>
    </w:p>
    <w:p w14:paraId="25AE1D59" w14:textId="7296E5E1" w:rsidR="00D94D24" w:rsidRDefault="00D94D24" w:rsidP="00695651">
      <w:pPr>
        <w:rPr>
          <w:rFonts w:cs="Helvetica"/>
          <w:shd w:val="clear" w:color="auto" w:fill="FFFFFF"/>
        </w:rPr>
      </w:pPr>
      <w:proofErr w:type="spellStart"/>
      <w:r w:rsidRPr="00D94D24">
        <w:rPr>
          <w:color w:val="121212"/>
          <w:shd w:val="clear" w:color="auto" w:fill="FFFFFF"/>
        </w:rPr>
        <w:t>Salganik</w:t>
      </w:r>
      <w:proofErr w:type="spellEnd"/>
      <w:r w:rsidR="00B17707">
        <w:rPr>
          <w:color w:val="121212"/>
          <w:shd w:val="clear" w:color="auto" w:fill="FFFFFF"/>
        </w:rPr>
        <w:t>,</w:t>
      </w:r>
      <w:r w:rsidRPr="00D94D24">
        <w:rPr>
          <w:color w:val="121212"/>
          <w:shd w:val="clear" w:color="auto" w:fill="FFFFFF"/>
        </w:rPr>
        <w:t xml:space="preserve"> M</w:t>
      </w:r>
      <w:r>
        <w:rPr>
          <w:color w:val="121212"/>
          <w:shd w:val="clear" w:color="auto" w:fill="FFFFFF"/>
        </w:rPr>
        <w:t>.</w:t>
      </w:r>
      <w:r w:rsidRPr="00D94D24">
        <w:rPr>
          <w:color w:val="121212"/>
          <w:shd w:val="clear" w:color="auto" w:fill="FFFFFF"/>
        </w:rPr>
        <w:t>J</w:t>
      </w:r>
      <w:r>
        <w:rPr>
          <w:color w:val="121212"/>
          <w:shd w:val="clear" w:color="auto" w:fill="FFFFFF"/>
        </w:rPr>
        <w:t>.</w:t>
      </w:r>
      <w:r w:rsidRPr="00D94D24">
        <w:rPr>
          <w:color w:val="121212"/>
          <w:shd w:val="clear" w:color="auto" w:fill="FFFFFF"/>
        </w:rPr>
        <w:t>, Lundberg</w:t>
      </w:r>
      <w:r w:rsidR="00B17707">
        <w:rPr>
          <w:color w:val="121212"/>
          <w:shd w:val="clear" w:color="auto" w:fill="FFFFFF"/>
        </w:rPr>
        <w:t>,</w:t>
      </w:r>
      <w:r w:rsidRPr="00D94D24">
        <w:rPr>
          <w:color w:val="121212"/>
          <w:shd w:val="clear" w:color="auto" w:fill="FFFFFF"/>
        </w:rPr>
        <w:t xml:space="preserve"> I</w:t>
      </w:r>
      <w:r>
        <w:rPr>
          <w:color w:val="121212"/>
          <w:shd w:val="clear" w:color="auto" w:fill="FFFFFF"/>
        </w:rPr>
        <w:t>.</w:t>
      </w:r>
      <w:r w:rsidRPr="00D94D24">
        <w:rPr>
          <w:color w:val="121212"/>
          <w:shd w:val="clear" w:color="auto" w:fill="FFFFFF"/>
        </w:rPr>
        <w:t xml:space="preserve">, </w:t>
      </w:r>
      <w:proofErr w:type="spellStart"/>
      <w:r w:rsidRPr="00D94D24">
        <w:rPr>
          <w:color w:val="121212"/>
          <w:shd w:val="clear" w:color="auto" w:fill="FFFFFF"/>
        </w:rPr>
        <w:t>Kindel</w:t>
      </w:r>
      <w:proofErr w:type="spellEnd"/>
      <w:r w:rsidR="00B17707">
        <w:rPr>
          <w:color w:val="121212"/>
          <w:shd w:val="clear" w:color="auto" w:fill="FFFFFF"/>
        </w:rPr>
        <w:t>,</w:t>
      </w:r>
      <w:r w:rsidRPr="00D94D24">
        <w:rPr>
          <w:color w:val="121212"/>
          <w:shd w:val="clear" w:color="auto" w:fill="FFFFFF"/>
        </w:rPr>
        <w:t xml:space="preserve"> A</w:t>
      </w:r>
      <w:r>
        <w:rPr>
          <w:color w:val="121212"/>
          <w:shd w:val="clear" w:color="auto" w:fill="FFFFFF"/>
        </w:rPr>
        <w:t>.</w:t>
      </w:r>
      <w:r w:rsidRPr="00D94D24">
        <w:rPr>
          <w:color w:val="121212"/>
          <w:shd w:val="clear" w:color="auto" w:fill="FFFFFF"/>
        </w:rPr>
        <w:t>T</w:t>
      </w:r>
      <w:r>
        <w:rPr>
          <w:color w:val="121212"/>
          <w:shd w:val="clear" w:color="auto" w:fill="FFFFFF"/>
        </w:rPr>
        <w:t>.</w:t>
      </w:r>
      <w:r w:rsidRPr="00D94D24">
        <w:rPr>
          <w:color w:val="121212"/>
          <w:shd w:val="clear" w:color="auto" w:fill="FFFFFF"/>
        </w:rPr>
        <w:t xml:space="preserve"> and 115 others (2020) </w:t>
      </w:r>
      <w:r w:rsidRPr="00D94D24">
        <w:rPr>
          <w:rStyle w:val="Emphasis"/>
          <w:rFonts w:cs="Arial"/>
          <w:shd w:val="clear" w:color="auto" w:fill="FFFFFF"/>
        </w:rPr>
        <w:t xml:space="preserve">Measuring </w:t>
      </w:r>
      <w:r w:rsidRPr="00D94D24">
        <w:rPr>
          <w:rFonts w:cs="Arial"/>
          <w:shd w:val="clear" w:color="auto" w:fill="FFFFFF"/>
        </w:rPr>
        <w:t xml:space="preserve">the </w:t>
      </w:r>
      <w:r w:rsidRPr="00D94D24">
        <w:rPr>
          <w:rStyle w:val="Emphasis"/>
          <w:rFonts w:cs="Arial"/>
          <w:shd w:val="clear" w:color="auto" w:fill="FFFFFF"/>
        </w:rPr>
        <w:t xml:space="preserve">predictability </w:t>
      </w:r>
      <w:r w:rsidRPr="00D94D24">
        <w:rPr>
          <w:rFonts w:cs="Arial"/>
          <w:shd w:val="clear" w:color="auto" w:fill="FFFFFF"/>
        </w:rPr>
        <w:t xml:space="preserve">of </w:t>
      </w:r>
      <w:r w:rsidRPr="00D94D24">
        <w:rPr>
          <w:rStyle w:val="Emphasis"/>
          <w:rFonts w:cs="Arial"/>
          <w:shd w:val="clear" w:color="auto" w:fill="FFFFFF"/>
        </w:rPr>
        <w:t>life outcomes</w:t>
      </w:r>
      <w:r w:rsidRPr="00D94D24">
        <w:rPr>
          <w:rFonts w:cs="Arial"/>
          <w:shd w:val="clear" w:color="auto" w:fill="FFFFFF"/>
        </w:rPr>
        <w:t xml:space="preserve"> with a scientific mass collaboration. </w:t>
      </w:r>
      <w:r w:rsidRPr="00D94D24">
        <w:rPr>
          <w:rStyle w:val="Emphasis"/>
          <w:rFonts w:cs="Arial"/>
          <w:shd w:val="clear" w:color="auto" w:fill="FFFFFF"/>
        </w:rPr>
        <w:t xml:space="preserve">Proceedings </w:t>
      </w:r>
      <w:r w:rsidRPr="00D94D24">
        <w:rPr>
          <w:rFonts w:cs="Arial"/>
          <w:shd w:val="clear" w:color="auto" w:fill="FFFFFF"/>
        </w:rPr>
        <w:t xml:space="preserve">of the </w:t>
      </w:r>
      <w:r w:rsidRPr="00D94D24">
        <w:rPr>
          <w:rStyle w:val="Emphasis"/>
          <w:rFonts w:cs="Arial"/>
          <w:shd w:val="clear" w:color="auto" w:fill="FFFFFF"/>
        </w:rPr>
        <w:t xml:space="preserve">National Academy </w:t>
      </w:r>
      <w:r w:rsidRPr="00D94D24">
        <w:rPr>
          <w:rFonts w:cs="Arial"/>
          <w:shd w:val="clear" w:color="auto" w:fill="FFFFFF"/>
        </w:rPr>
        <w:t xml:space="preserve">of </w:t>
      </w:r>
      <w:r w:rsidRPr="00D94D24">
        <w:rPr>
          <w:rStyle w:val="Emphasis"/>
          <w:rFonts w:cs="Arial"/>
          <w:shd w:val="clear" w:color="auto" w:fill="FFFFFF"/>
        </w:rPr>
        <w:t>Sciences</w:t>
      </w:r>
      <w:r w:rsidRPr="00D94D24">
        <w:rPr>
          <w:rFonts w:cs="Arial"/>
          <w:shd w:val="clear" w:color="auto" w:fill="FFFFFF"/>
        </w:rPr>
        <w:t>, 1</w:t>
      </w:r>
      <w:r w:rsidRPr="00D94D24">
        <w:rPr>
          <w:rStyle w:val="Emphasis"/>
          <w:rFonts w:cs="Arial"/>
          <w:shd w:val="clear" w:color="auto" w:fill="FFFFFF"/>
        </w:rPr>
        <w:t>17</w:t>
      </w:r>
      <w:r w:rsidRPr="00D94D24">
        <w:rPr>
          <w:rFonts w:cs="Arial"/>
          <w:shd w:val="clear" w:color="auto" w:fill="FFFFFF"/>
        </w:rPr>
        <w:t>(</w:t>
      </w:r>
      <w:r w:rsidRPr="00D94D24">
        <w:rPr>
          <w:rStyle w:val="Emphasis"/>
          <w:rFonts w:cs="Arial"/>
          <w:shd w:val="clear" w:color="auto" w:fill="FFFFFF"/>
        </w:rPr>
        <w:t>15</w:t>
      </w:r>
      <w:r w:rsidRPr="00D94D24">
        <w:rPr>
          <w:rFonts w:cs="Arial"/>
          <w:shd w:val="clear" w:color="auto" w:fill="FFFFFF"/>
        </w:rPr>
        <w:t>):</w:t>
      </w:r>
      <w:r w:rsidRPr="00D94D24">
        <w:rPr>
          <w:rFonts w:cs="Helvetica"/>
          <w:shd w:val="clear" w:color="auto" w:fill="FFFFFF"/>
        </w:rPr>
        <w:t xml:space="preserve"> 8398-8403</w:t>
      </w:r>
      <w:r w:rsidR="0016054B">
        <w:rPr>
          <w:rFonts w:cs="Helvetica"/>
          <w:shd w:val="clear" w:color="auto" w:fill="FFFFFF"/>
        </w:rPr>
        <w:t xml:space="preserve">: </w:t>
      </w:r>
      <w:hyperlink r:id="rId39" w:history="1">
        <w:r w:rsidR="0016054B" w:rsidRPr="00676573">
          <w:rPr>
            <w:rStyle w:val="Hyperlink"/>
            <w:rFonts w:cs="Helvetica"/>
            <w:shd w:val="clear" w:color="auto" w:fill="FFFFFF"/>
          </w:rPr>
          <w:t>https://www.pnas.org/content/pnas/117/15/8398.full.pdf</w:t>
        </w:r>
      </w:hyperlink>
      <w:r w:rsidRPr="00D94D24">
        <w:rPr>
          <w:rFonts w:cs="Helvetica"/>
          <w:shd w:val="clear" w:color="auto" w:fill="FFFFFF"/>
        </w:rPr>
        <w:t>.</w:t>
      </w:r>
      <w:r w:rsidR="0016054B">
        <w:rPr>
          <w:rFonts w:cs="Helvetica"/>
          <w:shd w:val="clear" w:color="auto" w:fill="FFFFFF"/>
        </w:rPr>
        <w:t xml:space="preserve"> </w:t>
      </w:r>
    </w:p>
    <w:p w14:paraId="21FDCDD2" w14:textId="1C2B88D0" w:rsidR="003113A6" w:rsidRPr="00D94D24" w:rsidRDefault="003113A6" w:rsidP="00695651">
      <w:pPr>
        <w:rPr>
          <w:rFonts w:cs="Helvetica"/>
          <w:shd w:val="clear" w:color="auto" w:fill="FFFFFF"/>
        </w:rPr>
      </w:pPr>
      <w:r>
        <w:rPr>
          <w:rFonts w:cs="Helvetica"/>
          <w:shd w:val="clear" w:color="auto" w:fill="FFFFFF"/>
        </w:rPr>
        <w:t xml:space="preserve">Scourfield, J., Corliss, C., </w:t>
      </w:r>
      <w:proofErr w:type="spellStart"/>
      <w:r>
        <w:rPr>
          <w:rFonts w:cs="Helvetica"/>
          <w:shd w:val="clear" w:color="auto" w:fill="FFFFFF"/>
        </w:rPr>
        <w:t>Wijedasa</w:t>
      </w:r>
      <w:proofErr w:type="spellEnd"/>
      <w:r>
        <w:rPr>
          <w:rFonts w:cs="Helvetica"/>
          <w:shd w:val="clear" w:color="auto" w:fill="FFFFFF"/>
        </w:rPr>
        <w:t xml:space="preserve">, D., </w:t>
      </w:r>
      <w:proofErr w:type="spellStart"/>
      <w:r>
        <w:rPr>
          <w:rFonts w:cs="Helvetica"/>
          <w:shd w:val="clear" w:color="auto" w:fill="FFFFFF"/>
        </w:rPr>
        <w:t>Robling</w:t>
      </w:r>
      <w:proofErr w:type="spellEnd"/>
      <w:r>
        <w:rPr>
          <w:rFonts w:cs="Helvetica"/>
          <w:shd w:val="clear" w:color="auto" w:fill="FFFFFF"/>
        </w:rPr>
        <w:t xml:space="preserve">, M. </w:t>
      </w:r>
      <w:r w:rsidR="002C56F4">
        <w:rPr>
          <w:rFonts w:cs="Helvetica"/>
          <w:shd w:val="clear" w:color="auto" w:fill="FFFFFF"/>
        </w:rPr>
        <w:t>&amp;</w:t>
      </w:r>
      <w:r>
        <w:rPr>
          <w:rFonts w:cs="Helvetica"/>
          <w:shd w:val="clear" w:color="auto" w:fill="FFFFFF"/>
        </w:rPr>
        <w:t xml:space="preserve"> Clayton, V. (2019</w:t>
      </w:r>
      <w:r w:rsidRPr="003113A6">
        <w:rPr>
          <w:rFonts w:cs="Helvetica"/>
          <w:i/>
          <w:iCs/>
          <w:shd w:val="clear" w:color="auto" w:fill="FFFFFF"/>
        </w:rPr>
        <w:t>) Overview of Administrative Data on Children’s Social Care in England</w:t>
      </w:r>
      <w:r>
        <w:rPr>
          <w:rFonts w:cs="Helvetica"/>
          <w:shd w:val="clear" w:color="auto" w:fill="FFFFFF"/>
        </w:rPr>
        <w:t xml:space="preserve">, What Works for Children’s Social Care: </w:t>
      </w:r>
      <w:hyperlink r:id="rId40" w:history="1">
        <w:r w:rsidRPr="00874618">
          <w:rPr>
            <w:rStyle w:val="Hyperlink"/>
            <w:rFonts w:cs="Helvetica"/>
            <w:shd w:val="clear" w:color="auto" w:fill="FFFFFF"/>
          </w:rPr>
          <w:t>https://whatworks-csc.org.uk/wp-content/uploads/WWCSC_Overview_of_administrative_data_Oct_2019.pdf</w:t>
        </w:r>
      </w:hyperlink>
      <w:r>
        <w:rPr>
          <w:rFonts w:cs="Helvetica"/>
          <w:shd w:val="clear" w:color="auto" w:fill="FFFFFF"/>
        </w:rPr>
        <w:t xml:space="preserve"> </w:t>
      </w:r>
    </w:p>
    <w:p w14:paraId="52746E0B" w14:textId="4D2CE70E" w:rsidR="00695651" w:rsidRPr="00695651" w:rsidRDefault="00695651" w:rsidP="00695651">
      <w:pPr>
        <w:rPr>
          <w:sz w:val="22"/>
          <w:szCs w:val="22"/>
        </w:rPr>
      </w:pPr>
      <w:r w:rsidRPr="00695651">
        <w:t xml:space="preserve">Shaw, J.A., Sethi, N. </w:t>
      </w:r>
      <w:r w:rsidR="002C56F4">
        <w:t>&amp;</w:t>
      </w:r>
      <w:r w:rsidRPr="00695651">
        <w:t xml:space="preserve"> Cassel, C.K. Social licence for use of big data in the OVID-19 era, </w:t>
      </w:r>
      <w:r w:rsidRPr="00831D1E">
        <w:rPr>
          <w:i/>
          <w:iCs/>
        </w:rPr>
        <w:t>NPJ Digital Medicine</w:t>
      </w:r>
      <w:r w:rsidRPr="00695651">
        <w:t xml:space="preserve">, 3: 128: </w:t>
      </w:r>
      <w:hyperlink r:id="rId41" w:history="1">
        <w:r w:rsidRPr="00695651">
          <w:rPr>
            <w:rStyle w:val="Hyperlink"/>
            <w:color w:val="auto"/>
          </w:rPr>
          <w:t>https://www.nature.com/articles/s41746-020-00342-y</w:t>
        </w:r>
      </w:hyperlink>
      <w:r w:rsidRPr="00695651">
        <w:t xml:space="preserve"> </w:t>
      </w:r>
    </w:p>
    <w:p w14:paraId="4D6CD6A5" w14:textId="677F5DED" w:rsidR="00985EE7" w:rsidRDefault="00985EE7" w:rsidP="00985EE7">
      <w:pPr>
        <w:autoSpaceDE w:val="0"/>
        <w:autoSpaceDN w:val="0"/>
        <w:adjustRightInd w:val="0"/>
        <w:rPr>
          <w:rFonts w:cs="AdvOT1ef757c0"/>
        </w:rPr>
      </w:pPr>
      <w:r w:rsidRPr="00985EE7">
        <w:rPr>
          <w:rFonts w:cs="AdvOT1ef757c0"/>
        </w:rPr>
        <w:t xml:space="preserve">Stats NZ (2018) </w:t>
      </w:r>
      <w:r w:rsidRPr="00985EE7">
        <w:rPr>
          <w:rFonts w:cs="AdvOT7d6df7ab.I"/>
          <w:i/>
          <w:iCs/>
        </w:rPr>
        <w:t>Algorithm Assessment Report</w:t>
      </w:r>
      <w:r w:rsidRPr="00985EE7">
        <w:rPr>
          <w:rFonts w:cs="AdvOT7d6df7ab.I"/>
        </w:rPr>
        <w:t>:</w:t>
      </w:r>
      <w:r w:rsidRPr="00985EE7">
        <w:rPr>
          <w:rFonts w:cs="AdvOT1ef757c0"/>
        </w:rPr>
        <w:t xml:space="preserve"> </w:t>
      </w:r>
      <w:hyperlink r:id="rId42" w:history="1">
        <w:r w:rsidR="005741A5" w:rsidRPr="0025506D">
          <w:rPr>
            <w:rStyle w:val="Hyperlink"/>
            <w:rFonts w:cs="AdvOT1ef757c0"/>
          </w:rPr>
          <w:t>https://data.govt.nz/use-data/analyse-data/governmentalgorithm-transparency</w:t>
        </w:r>
      </w:hyperlink>
    </w:p>
    <w:p w14:paraId="2F0F4229" w14:textId="0A029CDD" w:rsidR="003E2B81" w:rsidRDefault="003E2B81" w:rsidP="003E2B81">
      <w:r w:rsidRPr="003E2B81">
        <w:lastRenderedPageBreak/>
        <w:t xml:space="preserve">Thomson, I. </w:t>
      </w:r>
      <w:r w:rsidR="002C56F4">
        <w:t>&amp;</w:t>
      </w:r>
      <w:r w:rsidRPr="003E2B81">
        <w:t xml:space="preserve"> </w:t>
      </w:r>
      <w:proofErr w:type="spellStart"/>
      <w:r w:rsidRPr="003E2B81">
        <w:t>Boutilier</w:t>
      </w:r>
      <w:proofErr w:type="spellEnd"/>
      <w:r w:rsidRPr="003E2B81">
        <w:t xml:space="preserve">, R. (2011) The social licence to operate, in </w:t>
      </w:r>
      <w:r w:rsidRPr="003E2B81">
        <w:rPr>
          <w:i/>
        </w:rPr>
        <w:t>SME Mining Engineering Handbook</w:t>
      </w:r>
      <w:r w:rsidRPr="003E2B81">
        <w:t xml:space="preserve">, Englewood, Co.: Society for Mining, Metallurgy and Exploration. </w:t>
      </w:r>
    </w:p>
    <w:p w14:paraId="2AD645AE" w14:textId="7791BFEB" w:rsidR="00D10B35" w:rsidRDefault="00D10B35" w:rsidP="00D10B35">
      <w:proofErr w:type="spellStart"/>
      <w:r>
        <w:t>Vannier</w:t>
      </w:r>
      <w:proofErr w:type="spellEnd"/>
      <w:r>
        <w:t xml:space="preserve"> Ducasse, H. (2020) Predictive risk modelling and </w:t>
      </w:r>
      <w:r w:rsidR="00781043">
        <w:t>t</w:t>
      </w:r>
      <w:r>
        <w:t>he mistaken equation of socio-</w:t>
      </w:r>
      <w:proofErr w:type="spellStart"/>
      <w:r>
        <w:t>conomic</w:t>
      </w:r>
      <w:proofErr w:type="spellEnd"/>
      <w:r>
        <w:t xml:space="preserve"> disadvantage with risk of maltreatment, </w:t>
      </w:r>
      <w:r w:rsidRPr="005E2A4C">
        <w:rPr>
          <w:i/>
          <w:iCs/>
        </w:rPr>
        <w:t>British Journal of Social Work</w:t>
      </w:r>
      <w:r>
        <w:t xml:space="preserve">: </w:t>
      </w:r>
      <w:hyperlink r:id="rId43" w:history="1">
        <w:r w:rsidRPr="0065554B">
          <w:rPr>
            <w:rStyle w:val="Hyperlink"/>
          </w:rPr>
          <w:t>https://doi.org/10.1093/bjsw/bcaa182</w:t>
        </w:r>
      </w:hyperlink>
      <w:r>
        <w:t xml:space="preserve">. </w:t>
      </w:r>
    </w:p>
    <w:p w14:paraId="69C84466" w14:textId="073253C3" w:rsidR="002E3CB2" w:rsidRDefault="002E3CB2" w:rsidP="00D10B35">
      <w:r>
        <w:t xml:space="preserve">van </w:t>
      </w:r>
      <w:proofErr w:type="spellStart"/>
      <w:r>
        <w:t>Zoonen</w:t>
      </w:r>
      <w:proofErr w:type="spellEnd"/>
      <w:r>
        <w:t xml:space="preserve">, L. (2020) Data governance and citizen participation in the digital welfare state, </w:t>
      </w:r>
      <w:r w:rsidRPr="002E3CB2">
        <w:rPr>
          <w:i/>
          <w:iCs/>
        </w:rPr>
        <w:t>Data and Policy</w:t>
      </w:r>
      <w:r>
        <w:t xml:space="preserve">, 2: e10: </w:t>
      </w:r>
      <w:hyperlink r:id="rId44" w:history="1">
        <w:r w:rsidRPr="00844F0A">
          <w:rPr>
            <w:rStyle w:val="Hyperlink"/>
          </w:rPr>
          <w:t>https://www.cambridge.org/core/journals/data-and-policy/article/data-governance-and-citizen-participation-in-the-digital-welfare-state/CCF2E1914C7E2D4593D550C6BC9E4C70</w:t>
        </w:r>
      </w:hyperlink>
      <w:r>
        <w:t xml:space="preserve"> </w:t>
      </w:r>
    </w:p>
    <w:p w14:paraId="39B953E7" w14:textId="598A9067" w:rsidR="00CD2F23" w:rsidRDefault="00CD2F23" w:rsidP="003E2B81">
      <w:pPr>
        <w:rPr>
          <w:rFonts w:cs="Segoe UI"/>
          <w:color w:val="222222"/>
          <w:shd w:val="clear" w:color="auto" w:fill="FFFFFF"/>
        </w:rPr>
      </w:pPr>
      <w:r w:rsidRPr="00CD2F23">
        <w:rPr>
          <w:rFonts w:cs="Segoe UI"/>
          <w:color w:val="222222"/>
          <w:shd w:val="clear" w:color="auto" w:fill="FFFFFF"/>
        </w:rPr>
        <w:t>Wachter, R.M.</w:t>
      </w:r>
      <w:r w:rsidR="002C56F4">
        <w:rPr>
          <w:rFonts w:cs="Segoe UI"/>
          <w:color w:val="222222"/>
          <w:shd w:val="clear" w:color="auto" w:fill="FFFFFF"/>
        </w:rPr>
        <w:t xml:space="preserve"> &amp;</w:t>
      </w:r>
      <w:r w:rsidRPr="00CD2F23">
        <w:rPr>
          <w:rFonts w:cs="Segoe UI"/>
          <w:color w:val="222222"/>
          <w:shd w:val="clear" w:color="auto" w:fill="FFFFFF"/>
        </w:rPr>
        <w:t xml:space="preserve"> Cassel, C.K. (2020) Sharing health care data with digital giants: overcoming obstacles and reaping benefits while protecting patients, </w:t>
      </w:r>
      <w:r w:rsidRPr="00CD2F23">
        <w:rPr>
          <w:rFonts w:cs="Segoe UI"/>
          <w:i/>
          <w:iCs/>
          <w:color w:val="222222"/>
          <w:shd w:val="clear" w:color="auto" w:fill="FFFFFF"/>
        </w:rPr>
        <w:t>JAMA</w:t>
      </w:r>
      <w:r w:rsidRPr="00CD2F23">
        <w:rPr>
          <w:rFonts w:cs="Segoe UI"/>
          <w:color w:val="222222"/>
          <w:shd w:val="clear" w:color="auto" w:fill="FFFFFF"/>
        </w:rPr>
        <w:t xml:space="preserve"> 323: 507–508.</w:t>
      </w:r>
    </w:p>
    <w:p w14:paraId="7176096E" w14:textId="6C7265DE" w:rsidR="00226747" w:rsidRPr="00226747" w:rsidRDefault="00226747" w:rsidP="00226747">
      <w:pPr>
        <w:autoSpaceDE w:val="0"/>
        <w:autoSpaceDN w:val="0"/>
        <w:adjustRightInd w:val="0"/>
        <w:rPr>
          <w:rFonts w:cs="Segoe UI"/>
          <w:color w:val="222222"/>
          <w:shd w:val="clear" w:color="auto" w:fill="FFFFFF"/>
        </w:rPr>
      </w:pPr>
      <w:bookmarkStart w:id="16" w:name="_Hlk68713733"/>
      <w:r w:rsidRPr="00226747">
        <w:rPr>
          <w:rFonts w:cs="AdvTT2cba4af3.B"/>
        </w:rPr>
        <w:t xml:space="preserve">Wachter-Boettcher, S. </w:t>
      </w:r>
      <w:r w:rsidRPr="00226747">
        <w:rPr>
          <w:rFonts w:cs="AdvTT5843c571"/>
        </w:rPr>
        <w:t xml:space="preserve">(2017) </w:t>
      </w:r>
      <w:bookmarkEnd w:id="16"/>
      <w:r w:rsidRPr="00226747">
        <w:rPr>
          <w:rFonts w:cs="AdvTTf90d833a.I"/>
          <w:i/>
          <w:iCs/>
        </w:rPr>
        <w:t>Technically Wrong: Sexist Apps, Biased Algorithms, and Other Threats of Toxic Tech</w:t>
      </w:r>
      <w:r>
        <w:rPr>
          <w:rFonts w:cs="AdvTT5843c571"/>
        </w:rPr>
        <w:t>,</w:t>
      </w:r>
      <w:r w:rsidRPr="00226747">
        <w:rPr>
          <w:rFonts w:cs="AdvTT5843c571"/>
        </w:rPr>
        <w:t xml:space="preserve"> New York, NY: WW Norton &amp; Company.</w:t>
      </w:r>
      <w:r w:rsidRPr="00226747">
        <w:rPr>
          <w:rFonts w:cs="Segoe UI"/>
          <w:color w:val="222222"/>
          <w:shd w:val="clear" w:color="auto" w:fill="FFFFFF"/>
        </w:rPr>
        <w:t xml:space="preserve"> </w:t>
      </w:r>
    </w:p>
    <w:p w14:paraId="35589FD0" w14:textId="305A1542" w:rsidR="00C01F12" w:rsidRPr="00C01F12" w:rsidRDefault="00C01F12" w:rsidP="00226747">
      <w:pPr>
        <w:autoSpaceDE w:val="0"/>
        <w:autoSpaceDN w:val="0"/>
        <w:adjustRightInd w:val="0"/>
        <w:rPr>
          <w:rFonts w:cs="Segoe UI"/>
          <w:color w:val="FF0000"/>
          <w:shd w:val="clear" w:color="auto" w:fill="FFFFFF"/>
        </w:rPr>
      </w:pPr>
      <w:r>
        <w:rPr>
          <w:rFonts w:cs="Segoe UI"/>
          <w:color w:val="FF0000"/>
          <w:shd w:val="clear" w:color="auto" w:fill="FFFFFF"/>
        </w:rPr>
        <w:t xml:space="preserve">Waller, M. </w:t>
      </w:r>
      <w:r w:rsidR="002863D6">
        <w:rPr>
          <w:rFonts w:cs="Segoe UI"/>
          <w:color w:val="FF0000"/>
          <w:shd w:val="clear" w:color="auto" w:fill="FFFFFF"/>
        </w:rPr>
        <w:t>&amp;</w:t>
      </w:r>
      <w:r>
        <w:rPr>
          <w:rFonts w:cs="Segoe UI"/>
          <w:color w:val="FF0000"/>
          <w:shd w:val="clear" w:color="auto" w:fill="FFFFFF"/>
        </w:rPr>
        <w:t xml:space="preserve"> Waller, P. (2020) Why Predictive Algorithms are So Risky for Public Sector Bodies: </w:t>
      </w:r>
      <w:hyperlink r:id="rId45" w:history="1">
        <w:r w:rsidRPr="00E078B3">
          <w:rPr>
            <w:rStyle w:val="Hyperlink"/>
            <w:rFonts w:cs="Segoe UI"/>
            <w:shd w:val="clear" w:color="auto" w:fill="FFFFFF"/>
          </w:rPr>
          <w:t>https://papers.ssrn.com/sol3/papers.cfm?abstract_id=3716166</w:t>
        </w:r>
      </w:hyperlink>
      <w:r>
        <w:rPr>
          <w:rFonts w:cs="Segoe UI"/>
          <w:color w:val="FF0000"/>
          <w:shd w:val="clear" w:color="auto" w:fill="FFFFFF"/>
        </w:rPr>
        <w:t xml:space="preserve"> </w:t>
      </w:r>
    </w:p>
    <w:p w14:paraId="743D2704" w14:textId="73F912F1" w:rsidR="001F259E" w:rsidRPr="00CD2F23" w:rsidRDefault="001F259E" w:rsidP="00226747">
      <w:pPr>
        <w:autoSpaceDE w:val="0"/>
        <w:autoSpaceDN w:val="0"/>
        <w:adjustRightInd w:val="0"/>
      </w:pPr>
      <w:r>
        <w:rPr>
          <w:rFonts w:cs="Segoe UI"/>
          <w:color w:val="222222"/>
          <w:shd w:val="clear" w:color="auto" w:fill="FFFFFF"/>
        </w:rPr>
        <w:t xml:space="preserve">White, S. </w:t>
      </w:r>
      <w:r w:rsidR="002C56F4">
        <w:rPr>
          <w:rFonts w:cs="Segoe UI"/>
          <w:color w:val="222222"/>
          <w:shd w:val="clear" w:color="auto" w:fill="FFFFFF"/>
        </w:rPr>
        <w:t>&amp;</w:t>
      </w:r>
      <w:r>
        <w:rPr>
          <w:rFonts w:cs="Segoe UI"/>
          <w:color w:val="222222"/>
          <w:shd w:val="clear" w:color="auto" w:fill="FFFFFF"/>
        </w:rPr>
        <w:t xml:space="preserve"> Wastell, D. (2017) The rise and rise of prevention science in UK family welfare: surveillance gets under the skin, </w:t>
      </w:r>
      <w:r w:rsidRPr="001F259E">
        <w:rPr>
          <w:rFonts w:cs="Segoe UI"/>
          <w:i/>
          <w:iCs/>
          <w:color w:val="222222"/>
          <w:shd w:val="clear" w:color="auto" w:fill="FFFFFF"/>
        </w:rPr>
        <w:t>Families, Relationships and Societies</w:t>
      </w:r>
      <w:r>
        <w:rPr>
          <w:rFonts w:cs="Segoe UI"/>
          <w:color w:val="222222"/>
          <w:shd w:val="clear" w:color="auto" w:fill="FFFFFF"/>
        </w:rPr>
        <w:t>, 6(3): 427-446.</w:t>
      </w:r>
    </w:p>
    <w:p w14:paraId="1CA5D5FC" w14:textId="462D41BC" w:rsidR="00FB7428" w:rsidRPr="00FB7428" w:rsidRDefault="001C343D">
      <w:pPr>
        <w:rPr>
          <w:color w:val="0563C1" w:themeColor="hyperlink"/>
          <w:u w:val="single"/>
        </w:rPr>
      </w:pPr>
      <w:r w:rsidRPr="001C343D">
        <w:t xml:space="preserve">World Economic Forum (2018) White Paper: </w:t>
      </w:r>
      <w:r w:rsidRPr="001C343D">
        <w:rPr>
          <w:i/>
        </w:rPr>
        <w:t>How to Prevent Discriminatory Outcomes in Machine Learning</w:t>
      </w:r>
      <w:r w:rsidRPr="001C343D">
        <w:t xml:space="preserve">: </w:t>
      </w:r>
      <w:hyperlink r:id="rId46" w:history="1">
        <w:r w:rsidRPr="001C343D">
          <w:rPr>
            <w:rStyle w:val="Hyperlink"/>
          </w:rPr>
          <w:t>http://www3.weforum.org/docs/WEF_40065_White_Paper_How_to_Prevent_Discriminatory_Outcomes_in_Machine_Learning.pdf</w:t>
        </w:r>
      </w:hyperlink>
    </w:p>
    <w:p w14:paraId="10C6F249" w14:textId="77777777" w:rsidR="00C01F12" w:rsidRDefault="00FB7428">
      <w:r>
        <w:t xml:space="preserve">Wroe, L.E. (2021) Young people and ‘county lines’: contextual and social account, </w:t>
      </w:r>
      <w:r w:rsidRPr="00FB7428">
        <w:rPr>
          <w:i/>
          <w:iCs/>
        </w:rPr>
        <w:t>Journal of Children’s Services</w:t>
      </w:r>
      <w:r>
        <w:t>, 16(1): 39-55.</w:t>
      </w:r>
      <w:r w:rsidR="005A5ACF">
        <w:t xml:space="preserve"> </w:t>
      </w:r>
    </w:p>
    <w:p w14:paraId="10BC5718" w14:textId="77777777" w:rsidR="00C01F12" w:rsidRDefault="00C01F12"/>
    <w:p w14:paraId="1F92BA2A" w14:textId="3B4993EA" w:rsidR="0009116F" w:rsidRDefault="0009116F">
      <w:r>
        <w:br w:type="page"/>
      </w:r>
    </w:p>
    <w:p w14:paraId="4CD917FD" w14:textId="0752FD43" w:rsidR="0009116F" w:rsidRPr="0009116F" w:rsidRDefault="0009116F">
      <w:pPr>
        <w:rPr>
          <w:b/>
          <w:bCs/>
          <w:u w:val="single"/>
        </w:rPr>
      </w:pPr>
      <w:r w:rsidRPr="0009116F">
        <w:rPr>
          <w:b/>
          <w:bCs/>
          <w:u w:val="single"/>
        </w:rPr>
        <w:lastRenderedPageBreak/>
        <w:t>TABLES</w:t>
      </w:r>
    </w:p>
    <w:p w14:paraId="70948B8B" w14:textId="58F98668" w:rsidR="0009116F" w:rsidRDefault="0009116F" w:rsidP="0009116F">
      <w:pPr>
        <w:rPr>
          <w:rFonts w:cstheme="minorHAnsi"/>
        </w:rPr>
      </w:pPr>
    </w:p>
    <w:p w14:paraId="77A620FD" w14:textId="77777777" w:rsidR="005A5ACF" w:rsidRPr="00EC6B2E" w:rsidRDefault="005A5ACF" w:rsidP="0009116F">
      <w:pPr>
        <w:rPr>
          <w:rFonts w:cstheme="minorHAnsi"/>
        </w:rPr>
      </w:pPr>
    </w:p>
    <w:p w14:paraId="0DBA5427" w14:textId="6648599B" w:rsidR="0009116F" w:rsidRPr="005A5ACF" w:rsidRDefault="0009116F" w:rsidP="0009116F">
      <w:pPr>
        <w:rPr>
          <w:b/>
          <w:bCs/>
          <w:sz w:val="20"/>
          <w:szCs w:val="20"/>
        </w:rPr>
      </w:pPr>
      <w:r w:rsidRPr="005A5ACF">
        <w:rPr>
          <w:b/>
          <w:bCs/>
          <w:sz w:val="20"/>
          <w:szCs w:val="20"/>
        </w:rPr>
        <w:t>Table 1:</w:t>
      </w:r>
      <w:r w:rsidRPr="005A5ACF">
        <w:rPr>
          <w:b/>
          <w:bCs/>
          <w:sz w:val="20"/>
          <w:szCs w:val="20"/>
        </w:rPr>
        <w:tab/>
      </w:r>
      <w:r w:rsidRPr="005A5ACF">
        <w:rPr>
          <w:b/>
          <w:bCs/>
          <w:sz w:val="20"/>
          <w:szCs w:val="20"/>
          <w:u w:val="single"/>
        </w:rPr>
        <w:t xml:space="preserve">Awareness of digital administrative records and of data linkage by ethnicity, occupation, </w:t>
      </w:r>
      <w:proofErr w:type="gramStart"/>
      <w:r w:rsidRPr="005A5ACF">
        <w:rPr>
          <w:b/>
          <w:bCs/>
          <w:sz w:val="20"/>
          <w:szCs w:val="20"/>
          <w:u w:val="single"/>
        </w:rPr>
        <w:t>education</w:t>
      </w:r>
      <w:proofErr w:type="gramEnd"/>
      <w:r w:rsidRPr="005A5ACF">
        <w:rPr>
          <w:b/>
          <w:bCs/>
          <w:sz w:val="20"/>
          <w:szCs w:val="20"/>
          <w:u w:val="single"/>
        </w:rPr>
        <w:t xml:space="preserve"> and income</w:t>
      </w:r>
      <w:r w:rsidRPr="005A5ACF">
        <w:rPr>
          <w:b/>
          <w:bCs/>
          <w:sz w:val="20"/>
          <w:szCs w:val="20"/>
        </w:rPr>
        <w:t xml:space="preserve"> </w:t>
      </w:r>
    </w:p>
    <w:p w14:paraId="403B0B00" w14:textId="77777777" w:rsidR="0009116F" w:rsidRPr="005A5ACF" w:rsidRDefault="0009116F" w:rsidP="0009116F">
      <w:pPr>
        <w:rPr>
          <w:b/>
          <w:bCs/>
          <w:sz w:val="20"/>
          <w:szCs w:val="20"/>
        </w:rPr>
      </w:pPr>
    </w:p>
    <w:tbl>
      <w:tblPr>
        <w:tblStyle w:val="TableGrid"/>
        <w:tblW w:w="8363" w:type="dxa"/>
        <w:tblInd w:w="137" w:type="dxa"/>
        <w:tblLayout w:type="fixed"/>
        <w:tblLook w:val="04A0" w:firstRow="1" w:lastRow="0" w:firstColumn="1" w:lastColumn="0" w:noHBand="0" w:noVBand="1"/>
      </w:tblPr>
      <w:tblGrid>
        <w:gridCol w:w="1985"/>
        <w:gridCol w:w="797"/>
        <w:gridCol w:w="797"/>
        <w:gridCol w:w="797"/>
        <w:gridCol w:w="798"/>
        <w:gridCol w:w="797"/>
        <w:gridCol w:w="797"/>
        <w:gridCol w:w="797"/>
        <w:gridCol w:w="798"/>
      </w:tblGrid>
      <w:tr w:rsidR="0009116F" w:rsidRPr="00EC6B2E" w14:paraId="70C7C609" w14:textId="77777777" w:rsidTr="00656786">
        <w:tc>
          <w:tcPr>
            <w:tcW w:w="1985" w:type="dxa"/>
          </w:tcPr>
          <w:p w14:paraId="3421C6A2" w14:textId="77777777" w:rsidR="0009116F" w:rsidRPr="00EC6B2E" w:rsidRDefault="0009116F" w:rsidP="00656786">
            <w:pPr>
              <w:rPr>
                <w:rFonts w:asciiTheme="minorHAnsi" w:hAnsiTheme="minorHAnsi" w:cstheme="minorHAnsi"/>
                <w:sz w:val="16"/>
                <w:szCs w:val="16"/>
              </w:rPr>
            </w:pPr>
          </w:p>
          <w:p w14:paraId="0ECE0135" w14:textId="543A1667" w:rsidR="0009116F" w:rsidRPr="00EC6B2E" w:rsidRDefault="00007BC8" w:rsidP="00656786">
            <w:pPr>
              <w:rPr>
                <w:rFonts w:asciiTheme="minorHAnsi" w:hAnsiTheme="minorHAnsi" w:cstheme="minorHAnsi"/>
                <w:sz w:val="16"/>
                <w:szCs w:val="16"/>
              </w:rPr>
            </w:pPr>
            <w:r>
              <w:rPr>
                <w:rFonts w:asciiTheme="minorHAnsi" w:hAnsiTheme="minorHAnsi" w:cstheme="minorHAnsi"/>
                <w:sz w:val="16"/>
                <w:szCs w:val="16"/>
              </w:rPr>
              <w:t xml:space="preserve">Awareness </w:t>
            </w:r>
            <w:r w:rsidR="0009116F" w:rsidRPr="00EC6B2E">
              <w:rPr>
                <w:rFonts w:asciiTheme="minorHAnsi" w:hAnsiTheme="minorHAnsi" w:cstheme="minorHAnsi"/>
                <w:sz w:val="16"/>
                <w:szCs w:val="16"/>
              </w:rPr>
              <w:t>that:</w:t>
            </w:r>
          </w:p>
        </w:tc>
        <w:tc>
          <w:tcPr>
            <w:tcW w:w="797" w:type="dxa"/>
            <w:shd w:val="clear" w:color="auto" w:fill="D9D9D9" w:themeFill="background1" w:themeFillShade="D9"/>
          </w:tcPr>
          <w:p w14:paraId="10110541"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Black and Black British (% yes)</w:t>
            </w:r>
          </w:p>
        </w:tc>
        <w:tc>
          <w:tcPr>
            <w:tcW w:w="797" w:type="dxa"/>
            <w:shd w:val="clear" w:color="auto" w:fill="D9D9D9" w:themeFill="background1" w:themeFillShade="D9"/>
          </w:tcPr>
          <w:p w14:paraId="71536351" w14:textId="156F0567" w:rsidR="0009116F"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White</w:t>
            </w:r>
            <w:r>
              <w:rPr>
                <w:rFonts w:asciiTheme="minorHAnsi" w:hAnsiTheme="minorHAnsi" w:cstheme="minorHAnsi"/>
                <w:i/>
                <w:iCs/>
                <w:sz w:val="16"/>
                <w:szCs w:val="16"/>
              </w:rPr>
              <w:t xml:space="preserve"> British</w:t>
            </w:r>
          </w:p>
          <w:p w14:paraId="11A756AD" w14:textId="77777777" w:rsidR="0009116F" w:rsidRDefault="0009116F" w:rsidP="00656786">
            <w:pPr>
              <w:rPr>
                <w:rFonts w:asciiTheme="minorHAnsi" w:hAnsiTheme="minorHAnsi" w:cstheme="minorHAnsi"/>
                <w:i/>
                <w:iCs/>
                <w:sz w:val="16"/>
                <w:szCs w:val="16"/>
              </w:rPr>
            </w:pPr>
          </w:p>
          <w:p w14:paraId="4520C38E" w14:textId="77777777" w:rsidR="0009116F" w:rsidRDefault="0009116F" w:rsidP="00656786">
            <w:pPr>
              <w:rPr>
                <w:rFonts w:asciiTheme="minorHAnsi" w:hAnsiTheme="minorHAnsi" w:cstheme="minorHAnsi"/>
                <w:i/>
                <w:iCs/>
                <w:sz w:val="16"/>
                <w:szCs w:val="16"/>
              </w:rPr>
            </w:pPr>
          </w:p>
          <w:p w14:paraId="31E8688F" w14:textId="5BB4E0CB"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yes)</w:t>
            </w:r>
          </w:p>
        </w:tc>
        <w:tc>
          <w:tcPr>
            <w:tcW w:w="797" w:type="dxa"/>
          </w:tcPr>
          <w:p w14:paraId="3C0015C8"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Managerial /</w:t>
            </w:r>
          </w:p>
          <w:p w14:paraId="56720AE2" w14:textId="77777777" w:rsidR="0009116F"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xml:space="preserve">Professional </w:t>
            </w:r>
          </w:p>
          <w:p w14:paraId="6A507FB5" w14:textId="4DDA9AD0"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yes)</w:t>
            </w:r>
          </w:p>
        </w:tc>
        <w:tc>
          <w:tcPr>
            <w:tcW w:w="798" w:type="dxa"/>
          </w:tcPr>
          <w:p w14:paraId="2D402BBB"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Semi-</w:t>
            </w:r>
          </w:p>
          <w:p w14:paraId="11DA6AC5"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routine/</w:t>
            </w:r>
          </w:p>
          <w:p w14:paraId="033EC623"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xml:space="preserve">Routine </w:t>
            </w:r>
          </w:p>
          <w:p w14:paraId="7DA5C1E9" w14:textId="77777777" w:rsidR="0009116F" w:rsidRDefault="0009116F" w:rsidP="00656786">
            <w:pPr>
              <w:rPr>
                <w:rFonts w:asciiTheme="minorHAnsi" w:hAnsiTheme="minorHAnsi" w:cstheme="minorHAnsi"/>
                <w:i/>
                <w:iCs/>
                <w:sz w:val="16"/>
                <w:szCs w:val="16"/>
              </w:rPr>
            </w:pPr>
          </w:p>
          <w:p w14:paraId="1A43D388" w14:textId="14FB0970"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yes)</w:t>
            </w:r>
          </w:p>
        </w:tc>
        <w:tc>
          <w:tcPr>
            <w:tcW w:w="797" w:type="dxa"/>
            <w:shd w:val="clear" w:color="auto" w:fill="D9D9D9" w:themeFill="background1" w:themeFillShade="D9"/>
          </w:tcPr>
          <w:p w14:paraId="3716BF55"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xml:space="preserve">Degree level + </w:t>
            </w:r>
          </w:p>
          <w:p w14:paraId="1BAB5BC2" w14:textId="77777777" w:rsidR="0009116F" w:rsidRDefault="0009116F" w:rsidP="00656786">
            <w:pPr>
              <w:rPr>
                <w:rFonts w:asciiTheme="minorHAnsi" w:hAnsiTheme="minorHAnsi" w:cstheme="minorHAnsi"/>
                <w:i/>
                <w:iCs/>
                <w:sz w:val="16"/>
                <w:szCs w:val="16"/>
              </w:rPr>
            </w:pPr>
          </w:p>
          <w:p w14:paraId="51E751AD" w14:textId="77777777" w:rsidR="0009116F" w:rsidRDefault="0009116F" w:rsidP="00656786">
            <w:pPr>
              <w:rPr>
                <w:rFonts w:asciiTheme="minorHAnsi" w:hAnsiTheme="minorHAnsi" w:cstheme="minorHAnsi"/>
                <w:i/>
                <w:iCs/>
                <w:sz w:val="16"/>
                <w:szCs w:val="16"/>
              </w:rPr>
            </w:pPr>
          </w:p>
          <w:p w14:paraId="7EB6EFD3" w14:textId="17EBF373"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yes)</w:t>
            </w:r>
          </w:p>
        </w:tc>
        <w:tc>
          <w:tcPr>
            <w:tcW w:w="797" w:type="dxa"/>
            <w:shd w:val="clear" w:color="auto" w:fill="D9D9D9" w:themeFill="background1" w:themeFillShade="D9"/>
          </w:tcPr>
          <w:p w14:paraId="4B1B6A96"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No qualifications</w:t>
            </w:r>
          </w:p>
          <w:p w14:paraId="3F9686E4" w14:textId="77777777" w:rsidR="0009116F" w:rsidRDefault="0009116F" w:rsidP="00656786">
            <w:pPr>
              <w:rPr>
                <w:rFonts w:asciiTheme="minorHAnsi" w:hAnsiTheme="minorHAnsi" w:cstheme="minorHAnsi"/>
                <w:i/>
                <w:iCs/>
                <w:sz w:val="16"/>
                <w:szCs w:val="16"/>
              </w:rPr>
            </w:pPr>
          </w:p>
          <w:p w14:paraId="75D4DCEC" w14:textId="32353DF4"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yes)</w:t>
            </w:r>
          </w:p>
        </w:tc>
        <w:tc>
          <w:tcPr>
            <w:tcW w:w="797" w:type="dxa"/>
          </w:tcPr>
          <w:p w14:paraId="022C412D"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&gt;£3700+ pm</w:t>
            </w:r>
          </w:p>
          <w:p w14:paraId="7F7FA9D0" w14:textId="77777777" w:rsidR="0009116F" w:rsidRDefault="0009116F" w:rsidP="00656786">
            <w:pPr>
              <w:rPr>
                <w:rFonts w:asciiTheme="minorHAnsi" w:hAnsiTheme="minorHAnsi" w:cstheme="minorHAnsi"/>
                <w:i/>
                <w:iCs/>
                <w:sz w:val="16"/>
                <w:szCs w:val="16"/>
              </w:rPr>
            </w:pPr>
          </w:p>
          <w:p w14:paraId="7AEBDD1F" w14:textId="77777777" w:rsidR="0009116F" w:rsidRDefault="0009116F" w:rsidP="00656786">
            <w:pPr>
              <w:rPr>
                <w:rFonts w:asciiTheme="minorHAnsi" w:hAnsiTheme="minorHAnsi" w:cstheme="minorHAnsi"/>
                <w:i/>
                <w:iCs/>
                <w:sz w:val="16"/>
                <w:szCs w:val="16"/>
              </w:rPr>
            </w:pPr>
          </w:p>
          <w:p w14:paraId="76CCFD23" w14:textId="5FA292F0"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yes)</w:t>
            </w:r>
          </w:p>
        </w:tc>
        <w:tc>
          <w:tcPr>
            <w:tcW w:w="798" w:type="dxa"/>
          </w:tcPr>
          <w:p w14:paraId="311824D9" w14:textId="77777777"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&lt;£1200 pm</w:t>
            </w:r>
          </w:p>
          <w:p w14:paraId="16A44576" w14:textId="77777777" w:rsidR="0009116F" w:rsidRDefault="0009116F" w:rsidP="00656786">
            <w:pPr>
              <w:rPr>
                <w:rFonts w:asciiTheme="minorHAnsi" w:hAnsiTheme="minorHAnsi" w:cstheme="minorHAnsi"/>
                <w:i/>
                <w:iCs/>
                <w:sz w:val="16"/>
                <w:szCs w:val="16"/>
              </w:rPr>
            </w:pPr>
          </w:p>
          <w:p w14:paraId="02865288" w14:textId="77777777" w:rsidR="0009116F" w:rsidRDefault="0009116F" w:rsidP="00656786">
            <w:pPr>
              <w:rPr>
                <w:rFonts w:asciiTheme="minorHAnsi" w:hAnsiTheme="minorHAnsi" w:cstheme="minorHAnsi"/>
                <w:i/>
                <w:iCs/>
                <w:sz w:val="16"/>
                <w:szCs w:val="16"/>
              </w:rPr>
            </w:pPr>
          </w:p>
          <w:p w14:paraId="064A706D" w14:textId="37098028" w:rsidR="0009116F" w:rsidRPr="00EC6B2E" w:rsidRDefault="0009116F" w:rsidP="00656786">
            <w:pPr>
              <w:rPr>
                <w:rFonts w:asciiTheme="minorHAnsi" w:hAnsiTheme="minorHAnsi" w:cstheme="minorHAnsi"/>
                <w:i/>
                <w:iCs/>
                <w:sz w:val="16"/>
                <w:szCs w:val="16"/>
              </w:rPr>
            </w:pPr>
            <w:r w:rsidRPr="00EC6B2E">
              <w:rPr>
                <w:rFonts w:asciiTheme="minorHAnsi" w:hAnsiTheme="minorHAnsi" w:cstheme="minorHAnsi"/>
                <w:i/>
                <w:iCs/>
                <w:sz w:val="16"/>
                <w:szCs w:val="16"/>
              </w:rPr>
              <w:t>(% yes)</w:t>
            </w:r>
          </w:p>
        </w:tc>
      </w:tr>
      <w:tr w:rsidR="0009116F" w:rsidRPr="00EC6B2E" w14:paraId="38DF11EC" w14:textId="77777777" w:rsidTr="00656786">
        <w:tc>
          <w:tcPr>
            <w:tcW w:w="1985" w:type="dxa"/>
          </w:tcPr>
          <w:p w14:paraId="3B052934" w14:textId="537A5AF6" w:rsidR="0009116F" w:rsidRPr="00EC6B2E" w:rsidRDefault="0009116F" w:rsidP="00656786">
            <w:pPr>
              <w:rPr>
                <w:rFonts w:asciiTheme="minorHAnsi" w:hAnsiTheme="minorHAnsi" w:cstheme="minorHAnsi"/>
                <w:sz w:val="18"/>
                <w:szCs w:val="18"/>
              </w:rPr>
            </w:pPr>
            <w:r w:rsidRPr="00EC6B2E">
              <w:rPr>
                <w:rFonts w:asciiTheme="minorHAnsi" w:hAnsiTheme="minorHAnsi" w:cstheme="minorHAnsi"/>
                <w:sz w:val="18"/>
                <w:szCs w:val="18"/>
              </w:rPr>
              <w:t>administrative records are collected and digitally stored by government departments and service providers</w:t>
            </w:r>
          </w:p>
        </w:tc>
        <w:tc>
          <w:tcPr>
            <w:tcW w:w="797" w:type="dxa"/>
            <w:shd w:val="clear" w:color="auto" w:fill="D9D9D9" w:themeFill="background1" w:themeFillShade="D9"/>
          </w:tcPr>
          <w:p w14:paraId="500A72F3" w14:textId="77777777" w:rsidR="0009116F" w:rsidRPr="00EC6B2E" w:rsidRDefault="0009116F" w:rsidP="00656786">
            <w:pPr>
              <w:jc w:val="center"/>
              <w:rPr>
                <w:rFonts w:asciiTheme="minorHAnsi" w:hAnsiTheme="minorHAnsi" w:cstheme="minorHAnsi"/>
                <w:sz w:val="20"/>
                <w:szCs w:val="20"/>
              </w:rPr>
            </w:pPr>
          </w:p>
          <w:p w14:paraId="3BE8C3EC" w14:textId="77777777" w:rsidR="0009116F" w:rsidRPr="00EC6B2E" w:rsidRDefault="0009116F" w:rsidP="00656786">
            <w:pPr>
              <w:jc w:val="center"/>
              <w:rPr>
                <w:rFonts w:asciiTheme="minorHAnsi" w:hAnsiTheme="minorHAnsi" w:cstheme="minorHAnsi"/>
                <w:sz w:val="20"/>
                <w:szCs w:val="20"/>
              </w:rPr>
            </w:pPr>
          </w:p>
          <w:p w14:paraId="6BB100EF"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81</w:t>
            </w:r>
          </w:p>
        </w:tc>
        <w:tc>
          <w:tcPr>
            <w:tcW w:w="797" w:type="dxa"/>
            <w:shd w:val="clear" w:color="auto" w:fill="D9D9D9" w:themeFill="background1" w:themeFillShade="D9"/>
          </w:tcPr>
          <w:p w14:paraId="007DC69E" w14:textId="77777777" w:rsidR="0009116F" w:rsidRPr="00EC6B2E" w:rsidRDefault="0009116F" w:rsidP="00656786">
            <w:pPr>
              <w:jc w:val="center"/>
              <w:rPr>
                <w:rFonts w:asciiTheme="minorHAnsi" w:hAnsiTheme="minorHAnsi" w:cstheme="minorHAnsi"/>
                <w:sz w:val="20"/>
                <w:szCs w:val="20"/>
              </w:rPr>
            </w:pPr>
          </w:p>
          <w:p w14:paraId="74393D30" w14:textId="77777777" w:rsidR="0009116F" w:rsidRPr="00EC6B2E" w:rsidRDefault="0009116F" w:rsidP="00656786">
            <w:pPr>
              <w:jc w:val="center"/>
              <w:rPr>
                <w:rFonts w:asciiTheme="minorHAnsi" w:hAnsiTheme="minorHAnsi" w:cstheme="minorHAnsi"/>
                <w:sz w:val="20"/>
                <w:szCs w:val="20"/>
              </w:rPr>
            </w:pPr>
          </w:p>
          <w:p w14:paraId="52ED5791"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73</w:t>
            </w:r>
          </w:p>
        </w:tc>
        <w:tc>
          <w:tcPr>
            <w:tcW w:w="797" w:type="dxa"/>
          </w:tcPr>
          <w:p w14:paraId="76454817" w14:textId="77777777" w:rsidR="0009116F" w:rsidRPr="00EC6B2E" w:rsidRDefault="0009116F" w:rsidP="00656786">
            <w:pPr>
              <w:jc w:val="center"/>
              <w:rPr>
                <w:rFonts w:asciiTheme="minorHAnsi" w:hAnsiTheme="minorHAnsi" w:cstheme="minorHAnsi"/>
                <w:sz w:val="20"/>
                <w:szCs w:val="20"/>
              </w:rPr>
            </w:pPr>
          </w:p>
          <w:p w14:paraId="5AEB8234" w14:textId="77777777" w:rsidR="0009116F" w:rsidRPr="00EC6B2E" w:rsidRDefault="0009116F" w:rsidP="00656786">
            <w:pPr>
              <w:jc w:val="center"/>
              <w:rPr>
                <w:rFonts w:asciiTheme="minorHAnsi" w:hAnsiTheme="minorHAnsi" w:cstheme="minorHAnsi"/>
                <w:sz w:val="20"/>
                <w:szCs w:val="20"/>
              </w:rPr>
            </w:pPr>
          </w:p>
          <w:p w14:paraId="17EEFBCE"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80</w:t>
            </w:r>
          </w:p>
        </w:tc>
        <w:tc>
          <w:tcPr>
            <w:tcW w:w="798" w:type="dxa"/>
          </w:tcPr>
          <w:p w14:paraId="463ECB6D" w14:textId="77777777" w:rsidR="0009116F" w:rsidRPr="00EC6B2E" w:rsidRDefault="0009116F" w:rsidP="00656786">
            <w:pPr>
              <w:jc w:val="center"/>
              <w:rPr>
                <w:rFonts w:asciiTheme="minorHAnsi" w:hAnsiTheme="minorHAnsi" w:cstheme="minorHAnsi"/>
                <w:sz w:val="20"/>
                <w:szCs w:val="20"/>
              </w:rPr>
            </w:pPr>
          </w:p>
          <w:p w14:paraId="720EFA46" w14:textId="77777777" w:rsidR="0009116F" w:rsidRPr="00EC6B2E" w:rsidRDefault="0009116F" w:rsidP="00656786">
            <w:pPr>
              <w:jc w:val="center"/>
              <w:rPr>
                <w:rFonts w:asciiTheme="minorHAnsi" w:hAnsiTheme="minorHAnsi" w:cstheme="minorHAnsi"/>
                <w:sz w:val="20"/>
                <w:szCs w:val="20"/>
              </w:rPr>
            </w:pPr>
          </w:p>
          <w:p w14:paraId="43A43BED"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68</w:t>
            </w:r>
          </w:p>
        </w:tc>
        <w:tc>
          <w:tcPr>
            <w:tcW w:w="797" w:type="dxa"/>
            <w:shd w:val="clear" w:color="auto" w:fill="D9D9D9" w:themeFill="background1" w:themeFillShade="D9"/>
          </w:tcPr>
          <w:p w14:paraId="0E9BCD8A" w14:textId="77777777" w:rsidR="0009116F" w:rsidRPr="00EC6B2E" w:rsidRDefault="0009116F" w:rsidP="00656786">
            <w:pPr>
              <w:jc w:val="center"/>
              <w:rPr>
                <w:rFonts w:asciiTheme="minorHAnsi" w:hAnsiTheme="minorHAnsi" w:cstheme="minorHAnsi"/>
                <w:sz w:val="20"/>
                <w:szCs w:val="20"/>
              </w:rPr>
            </w:pPr>
          </w:p>
          <w:p w14:paraId="0A28E3D4" w14:textId="77777777" w:rsidR="0009116F" w:rsidRPr="00EC6B2E" w:rsidRDefault="0009116F" w:rsidP="00656786">
            <w:pPr>
              <w:jc w:val="center"/>
              <w:rPr>
                <w:rFonts w:asciiTheme="minorHAnsi" w:hAnsiTheme="minorHAnsi" w:cstheme="minorHAnsi"/>
                <w:sz w:val="20"/>
                <w:szCs w:val="20"/>
              </w:rPr>
            </w:pPr>
          </w:p>
          <w:p w14:paraId="5DB8F46F"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79</w:t>
            </w:r>
          </w:p>
        </w:tc>
        <w:tc>
          <w:tcPr>
            <w:tcW w:w="797" w:type="dxa"/>
            <w:shd w:val="clear" w:color="auto" w:fill="D9D9D9" w:themeFill="background1" w:themeFillShade="D9"/>
          </w:tcPr>
          <w:p w14:paraId="1B863DEA" w14:textId="77777777" w:rsidR="0009116F" w:rsidRPr="00EC6B2E" w:rsidRDefault="0009116F" w:rsidP="00656786">
            <w:pPr>
              <w:jc w:val="center"/>
              <w:rPr>
                <w:rFonts w:asciiTheme="minorHAnsi" w:hAnsiTheme="minorHAnsi" w:cstheme="minorHAnsi"/>
                <w:sz w:val="20"/>
                <w:szCs w:val="20"/>
              </w:rPr>
            </w:pPr>
          </w:p>
          <w:p w14:paraId="0801E997" w14:textId="77777777" w:rsidR="0009116F" w:rsidRPr="00EC6B2E" w:rsidRDefault="0009116F" w:rsidP="00656786">
            <w:pPr>
              <w:jc w:val="center"/>
              <w:rPr>
                <w:rFonts w:asciiTheme="minorHAnsi" w:hAnsiTheme="minorHAnsi" w:cstheme="minorHAnsi"/>
                <w:sz w:val="20"/>
                <w:szCs w:val="20"/>
              </w:rPr>
            </w:pPr>
          </w:p>
          <w:p w14:paraId="4C6B0671"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54</w:t>
            </w:r>
          </w:p>
        </w:tc>
        <w:tc>
          <w:tcPr>
            <w:tcW w:w="797" w:type="dxa"/>
          </w:tcPr>
          <w:p w14:paraId="40E30CEB" w14:textId="77777777" w:rsidR="0009116F" w:rsidRPr="00EC6B2E" w:rsidRDefault="0009116F" w:rsidP="00656786">
            <w:pPr>
              <w:jc w:val="center"/>
              <w:rPr>
                <w:rFonts w:asciiTheme="minorHAnsi" w:hAnsiTheme="minorHAnsi" w:cstheme="minorHAnsi"/>
                <w:sz w:val="20"/>
                <w:szCs w:val="20"/>
              </w:rPr>
            </w:pPr>
          </w:p>
          <w:p w14:paraId="6173747A" w14:textId="77777777" w:rsidR="0009116F" w:rsidRPr="00EC6B2E" w:rsidRDefault="0009116F" w:rsidP="00656786">
            <w:pPr>
              <w:jc w:val="center"/>
              <w:rPr>
                <w:rFonts w:asciiTheme="minorHAnsi" w:hAnsiTheme="minorHAnsi" w:cstheme="minorHAnsi"/>
                <w:sz w:val="20"/>
                <w:szCs w:val="20"/>
              </w:rPr>
            </w:pPr>
          </w:p>
          <w:p w14:paraId="254855BF"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80</w:t>
            </w:r>
          </w:p>
        </w:tc>
        <w:tc>
          <w:tcPr>
            <w:tcW w:w="798" w:type="dxa"/>
          </w:tcPr>
          <w:p w14:paraId="630E49AA" w14:textId="77777777" w:rsidR="0009116F" w:rsidRPr="00EC6B2E" w:rsidRDefault="0009116F" w:rsidP="00656786">
            <w:pPr>
              <w:jc w:val="center"/>
              <w:rPr>
                <w:rFonts w:asciiTheme="minorHAnsi" w:hAnsiTheme="minorHAnsi" w:cstheme="minorHAnsi"/>
                <w:sz w:val="20"/>
                <w:szCs w:val="20"/>
              </w:rPr>
            </w:pPr>
          </w:p>
          <w:p w14:paraId="362CF153" w14:textId="77777777" w:rsidR="0009116F" w:rsidRPr="00EC6B2E" w:rsidRDefault="0009116F" w:rsidP="00656786">
            <w:pPr>
              <w:jc w:val="center"/>
              <w:rPr>
                <w:rFonts w:asciiTheme="minorHAnsi" w:hAnsiTheme="minorHAnsi" w:cstheme="minorHAnsi"/>
                <w:sz w:val="20"/>
                <w:szCs w:val="20"/>
              </w:rPr>
            </w:pPr>
          </w:p>
          <w:p w14:paraId="7532CC93"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60</w:t>
            </w:r>
          </w:p>
        </w:tc>
      </w:tr>
      <w:tr w:rsidR="0009116F" w:rsidRPr="00EC6B2E" w14:paraId="56C3906E" w14:textId="77777777" w:rsidTr="00656786">
        <w:tc>
          <w:tcPr>
            <w:tcW w:w="1985" w:type="dxa"/>
          </w:tcPr>
          <w:p w14:paraId="60BF6193" w14:textId="18007EA3" w:rsidR="0009116F" w:rsidRPr="00EC6B2E" w:rsidRDefault="0009116F" w:rsidP="00656786">
            <w:pPr>
              <w:rPr>
                <w:rFonts w:asciiTheme="minorHAnsi" w:hAnsiTheme="minorHAnsi" w:cstheme="minorHAnsi"/>
                <w:sz w:val="18"/>
                <w:szCs w:val="18"/>
              </w:rPr>
            </w:pPr>
            <w:r w:rsidRPr="00EC6B2E">
              <w:rPr>
                <w:rFonts w:asciiTheme="minorHAnsi" w:hAnsiTheme="minorHAnsi" w:cstheme="minorHAnsi"/>
                <w:sz w:val="18"/>
                <w:szCs w:val="18"/>
              </w:rPr>
              <w:t>administrative records can be joined together to find out more about individual families</w:t>
            </w:r>
          </w:p>
        </w:tc>
        <w:tc>
          <w:tcPr>
            <w:tcW w:w="797" w:type="dxa"/>
            <w:shd w:val="clear" w:color="auto" w:fill="D9D9D9" w:themeFill="background1" w:themeFillShade="D9"/>
          </w:tcPr>
          <w:p w14:paraId="290F3240" w14:textId="77777777" w:rsidR="0009116F" w:rsidRPr="00EC6B2E" w:rsidRDefault="0009116F" w:rsidP="00656786">
            <w:pPr>
              <w:jc w:val="center"/>
              <w:rPr>
                <w:rFonts w:asciiTheme="minorHAnsi" w:hAnsiTheme="minorHAnsi" w:cstheme="minorHAnsi"/>
                <w:sz w:val="20"/>
                <w:szCs w:val="20"/>
              </w:rPr>
            </w:pPr>
          </w:p>
          <w:p w14:paraId="47077FAA"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67</w:t>
            </w:r>
          </w:p>
        </w:tc>
        <w:tc>
          <w:tcPr>
            <w:tcW w:w="797" w:type="dxa"/>
            <w:shd w:val="clear" w:color="auto" w:fill="D9D9D9" w:themeFill="background1" w:themeFillShade="D9"/>
          </w:tcPr>
          <w:p w14:paraId="05B9825D" w14:textId="77777777" w:rsidR="0009116F" w:rsidRPr="00EC6B2E" w:rsidRDefault="0009116F" w:rsidP="00656786">
            <w:pPr>
              <w:jc w:val="center"/>
              <w:rPr>
                <w:rFonts w:asciiTheme="minorHAnsi" w:hAnsiTheme="minorHAnsi" w:cstheme="minorHAnsi"/>
                <w:sz w:val="20"/>
                <w:szCs w:val="20"/>
              </w:rPr>
            </w:pPr>
          </w:p>
          <w:p w14:paraId="38CAE8F3"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53</w:t>
            </w:r>
          </w:p>
        </w:tc>
        <w:tc>
          <w:tcPr>
            <w:tcW w:w="797" w:type="dxa"/>
          </w:tcPr>
          <w:p w14:paraId="5B5790D6" w14:textId="77777777" w:rsidR="0009116F" w:rsidRPr="00EC6B2E" w:rsidRDefault="0009116F" w:rsidP="00656786">
            <w:pPr>
              <w:jc w:val="center"/>
              <w:rPr>
                <w:rFonts w:asciiTheme="minorHAnsi" w:hAnsiTheme="minorHAnsi" w:cstheme="minorHAnsi"/>
                <w:sz w:val="20"/>
                <w:szCs w:val="20"/>
              </w:rPr>
            </w:pPr>
          </w:p>
          <w:p w14:paraId="495C446C"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61</w:t>
            </w:r>
          </w:p>
        </w:tc>
        <w:tc>
          <w:tcPr>
            <w:tcW w:w="798" w:type="dxa"/>
          </w:tcPr>
          <w:p w14:paraId="73B9C58A" w14:textId="77777777" w:rsidR="0009116F" w:rsidRPr="00EC6B2E" w:rsidRDefault="0009116F" w:rsidP="00656786">
            <w:pPr>
              <w:jc w:val="center"/>
              <w:rPr>
                <w:rFonts w:asciiTheme="minorHAnsi" w:hAnsiTheme="minorHAnsi" w:cstheme="minorHAnsi"/>
                <w:sz w:val="20"/>
                <w:szCs w:val="20"/>
              </w:rPr>
            </w:pPr>
          </w:p>
          <w:p w14:paraId="38DC24F6"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54</w:t>
            </w:r>
          </w:p>
        </w:tc>
        <w:tc>
          <w:tcPr>
            <w:tcW w:w="797" w:type="dxa"/>
            <w:shd w:val="clear" w:color="auto" w:fill="D9D9D9" w:themeFill="background1" w:themeFillShade="D9"/>
          </w:tcPr>
          <w:p w14:paraId="7082C582" w14:textId="77777777" w:rsidR="0009116F" w:rsidRPr="00EC6B2E" w:rsidRDefault="0009116F" w:rsidP="00656786">
            <w:pPr>
              <w:jc w:val="center"/>
              <w:rPr>
                <w:rFonts w:asciiTheme="minorHAnsi" w:hAnsiTheme="minorHAnsi" w:cstheme="minorHAnsi"/>
                <w:sz w:val="20"/>
                <w:szCs w:val="20"/>
              </w:rPr>
            </w:pPr>
          </w:p>
          <w:p w14:paraId="63E00BC1"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60</w:t>
            </w:r>
          </w:p>
        </w:tc>
        <w:tc>
          <w:tcPr>
            <w:tcW w:w="797" w:type="dxa"/>
            <w:shd w:val="clear" w:color="auto" w:fill="D9D9D9" w:themeFill="background1" w:themeFillShade="D9"/>
          </w:tcPr>
          <w:p w14:paraId="252FCAF3" w14:textId="77777777" w:rsidR="0009116F" w:rsidRPr="00EC6B2E" w:rsidRDefault="0009116F" w:rsidP="00656786">
            <w:pPr>
              <w:jc w:val="center"/>
              <w:rPr>
                <w:rFonts w:asciiTheme="minorHAnsi" w:hAnsiTheme="minorHAnsi" w:cstheme="minorHAnsi"/>
                <w:sz w:val="20"/>
                <w:szCs w:val="20"/>
              </w:rPr>
            </w:pPr>
          </w:p>
          <w:p w14:paraId="35898BF8"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39</w:t>
            </w:r>
          </w:p>
        </w:tc>
        <w:tc>
          <w:tcPr>
            <w:tcW w:w="797" w:type="dxa"/>
          </w:tcPr>
          <w:p w14:paraId="78CB6BB4" w14:textId="77777777" w:rsidR="0009116F" w:rsidRPr="00EC6B2E" w:rsidRDefault="0009116F" w:rsidP="00656786">
            <w:pPr>
              <w:jc w:val="center"/>
              <w:rPr>
                <w:rFonts w:asciiTheme="minorHAnsi" w:hAnsiTheme="minorHAnsi" w:cstheme="minorHAnsi"/>
                <w:sz w:val="20"/>
                <w:szCs w:val="20"/>
              </w:rPr>
            </w:pPr>
          </w:p>
          <w:p w14:paraId="2EEFC497"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61</w:t>
            </w:r>
          </w:p>
        </w:tc>
        <w:tc>
          <w:tcPr>
            <w:tcW w:w="798" w:type="dxa"/>
          </w:tcPr>
          <w:p w14:paraId="3F55936C" w14:textId="77777777" w:rsidR="0009116F" w:rsidRPr="00EC6B2E" w:rsidRDefault="0009116F" w:rsidP="00656786">
            <w:pPr>
              <w:jc w:val="center"/>
              <w:rPr>
                <w:rFonts w:asciiTheme="minorHAnsi" w:hAnsiTheme="minorHAnsi" w:cstheme="minorHAnsi"/>
                <w:sz w:val="20"/>
                <w:szCs w:val="20"/>
              </w:rPr>
            </w:pPr>
          </w:p>
          <w:p w14:paraId="51056369" w14:textId="77777777" w:rsidR="0009116F" w:rsidRPr="00EC6B2E" w:rsidRDefault="0009116F" w:rsidP="00656786">
            <w:pPr>
              <w:jc w:val="center"/>
              <w:rPr>
                <w:rFonts w:asciiTheme="minorHAnsi" w:hAnsiTheme="minorHAnsi" w:cstheme="minorHAnsi"/>
                <w:sz w:val="20"/>
                <w:szCs w:val="20"/>
              </w:rPr>
            </w:pPr>
            <w:r w:rsidRPr="00EC6B2E">
              <w:rPr>
                <w:rFonts w:asciiTheme="minorHAnsi" w:hAnsiTheme="minorHAnsi" w:cstheme="minorHAnsi"/>
                <w:sz w:val="20"/>
                <w:szCs w:val="20"/>
              </w:rPr>
              <w:t>40</w:t>
            </w:r>
          </w:p>
        </w:tc>
      </w:tr>
    </w:tbl>
    <w:p w14:paraId="2788AB46" w14:textId="3B4C889D" w:rsidR="0009116F" w:rsidRDefault="0009116F" w:rsidP="0009116F">
      <w:pPr>
        <w:rPr>
          <w:rFonts w:eastAsiaTheme="minorHAnsi" w:cs="Calibri"/>
        </w:rPr>
      </w:pPr>
    </w:p>
    <w:p w14:paraId="0221CEDF" w14:textId="660A00B3" w:rsidR="005A5ACF" w:rsidRDefault="005A5ACF" w:rsidP="0009116F">
      <w:pPr>
        <w:rPr>
          <w:rFonts w:eastAsiaTheme="minorHAnsi" w:cs="Calibri"/>
        </w:rPr>
      </w:pPr>
    </w:p>
    <w:p w14:paraId="28C9BC02" w14:textId="77777777" w:rsidR="005A5ACF" w:rsidRPr="00EC6B2E" w:rsidRDefault="005A5ACF" w:rsidP="0009116F">
      <w:pPr>
        <w:rPr>
          <w:rFonts w:eastAsiaTheme="minorHAnsi" w:cs="Calibri"/>
        </w:rPr>
      </w:pPr>
    </w:p>
    <w:p w14:paraId="10CABE4D" w14:textId="77777777" w:rsidR="00007BC8" w:rsidRPr="003665E7" w:rsidRDefault="00007BC8" w:rsidP="0009116F"/>
    <w:p w14:paraId="66A9AF05" w14:textId="5D620438" w:rsidR="0009116F" w:rsidRPr="005A5ACF" w:rsidRDefault="0009116F" w:rsidP="0009116F">
      <w:pPr>
        <w:rPr>
          <w:b/>
          <w:bCs/>
          <w:sz w:val="20"/>
          <w:szCs w:val="20"/>
        </w:rPr>
      </w:pPr>
      <w:r w:rsidRPr="005A5ACF">
        <w:rPr>
          <w:b/>
          <w:bCs/>
          <w:sz w:val="20"/>
          <w:szCs w:val="20"/>
        </w:rPr>
        <w:t>Table 2:</w:t>
      </w:r>
      <w:r w:rsidRPr="005A5ACF">
        <w:rPr>
          <w:b/>
          <w:bCs/>
          <w:sz w:val="20"/>
          <w:szCs w:val="20"/>
        </w:rPr>
        <w:tab/>
      </w:r>
      <w:r w:rsidRPr="005A5ACF">
        <w:rPr>
          <w:b/>
          <w:bCs/>
          <w:sz w:val="20"/>
          <w:szCs w:val="20"/>
          <w:u w:val="single"/>
        </w:rPr>
        <w:t xml:space="preserve">Acceptability of reasons for joining together administrative records </w:t>
      </w:r>
    </w:p>
    <w:p w14:paraId="16AC3CEB" w14:textId="77777777" w:rsidR="0009116F" w:rsidRPr="003665E7" w:rsidRDefault="0009116F" w:rsidP="0009116F">
      <w:pPr>
        <w:ind w:firstLine="720"/>
        <w:rPr>
          <w:i/>
          <w:iCs/>
          <w:sz w:val="20"/>
          <w:szCs w:val="20"/>
        </w:rPr>
      </w:pPr>
      <w:r w:rsidRPr="003665E7">
        <w:rPr>
          <w:i/>
          <w:iCs/>
          <w:sz w:val="20"/>
          <w:szCs w:val="20"/>
        </w:rPr>
        <w:t>50% consensus threshold</w:t>
      </w:r>
    </w:p>
    <w:p w14:paraId="68A9BEA3" w14:textId="77777777" w:rsidR="0009116F" w:rsidRPr="003665E7" w:rsidRDefault="0009116F" w:rsidP="0009116F">
      <w:pPr>
        <w:ind w:firstLine="720"/>
        <w:rPr>
          <w:i/>
          <w:iCs/>
          <w:sz w:val="20"/>
          <w:szCs w:val="20"/>
        </w:rPr>
      </w:pPr>
    </w:p>
    <w:tbl>
      <w:tblPr>
        <w:tblStyle w:val="TableGrid"/>
        <w:tblW w:w="0" w:type="auto"/>
        <w:tblInd w:w="137" w:type="dxa"/>
        <w:tblLayout w:type="fixed"/>
        <w:tblLook w:val="04A0" w:firstRow="1" w:lastRow="0" w:firstColumn="1" w:lastColumn="0" w:noHBand="0" w:noVBand="1"/>
      </w:tblPr>
      <w:tblGrid>
        <w:gridCol w:w="2126"/>
        <w:gridCol w:w="1039"/>
        <w:gridCol w:w="1040"/>
        <w:gridCol w:w="1039"/>
        <w:gridCol w:w="1040"/>
        <w:gridCol w:w="1039"/>
        <w:gridCol w:w="1040"/>
      </w:tblGrid>
      <w:tr w:rsidR="003665E7" w:rsidRPr="003665E7" w14:paraId="2FCA5CCE" w14:textId="77777777" w:rsidTr="0009116F">
        <w:tc>
          <w:tcPr>
            <w:tcW w:w="2126" w:type="dxa"/>
          </w:tcPr>
          <w:p w14:paraId="5303670E" w14:textId="77777777" w:rsidR="0009116F" w:rsidRPr="003665E7" w:rsidRDefault="0009116F" w:rsidP="00656786">
            <w:pPr>
              <w:rPr>
                <w:rFonts w:asciiTheme="minorHAnsi" w:hAnsiTheme="minorHAnsi" w:cstheme="minorHAnsi"/>
                <w:sz w:val="16"/>
                <w:szCs w:val="16"/>
              </w:rPr>
            </w:pPr>
            <w:r w:rsidRPr="003665E7">
              <w:rPr>
                <w:rFonts w:asciiTheme="minorHAnsi" w:hAnsiTheme="minorHAnsi" w:cstheme="minorHAnsi"/>
                <w:sz w:val="16"/>
                <w:szCs w:val="16"/>
              </w:rPr>
              <w:t>Reasons:</w:t>
            </w:r>
          </w:p>
        </w:tc>
        <w:tc>
          <w:tcPr>
            <w:tcW w:w="1039" w:type="dxa"/>
          </w:tcPr>
          <w:p w14:paraId="449556E2" w14:textId="77777777" w:rsidR="0009116F" w:rsidRPr="003665E7" w:rsidRDefault="0009116F" w:rsidP="00656786">
            <w:pPr>
              <w:rPr>
                <w:rFonts w:asciiTheme="minorHAnsi" w:hAnsiTheme="minorHAnsi" w:cstheme="minorHAnsi"/>
                <w:sz w:val="16"/>
                <w:szCs w:val="16"/>
              </w:rPr>
            </w:pPr>
            <w:r w:rsidRPr="003665E7">
              <w:rPr>
                <w:rFonts w:asciiTheme="minorHAnsi" w:hAnsiTheme="minorHAnsi" w:cstheme="minorHAnsi"/>
                <w:sz w:val="16"/>
                <w:szCs w:val="16"/>
              </w:rPr>
              <w:t>All sample</w:t>
            </w:r>
          </w:p>
          <w:p w14:paraId="27E4E324" w14:textId="77777777" w:rsidR="0009116F" w:rsidRPr="003665E7" w:rsidRDefault="0009116F" w:rsidP="00656786">
            <w:pPr>
              <w:rPr>
                <w:rFonts w:asciiTheme="minorHAnsi" w:hAnsiTheme="minorHAnsi" w:cstheme="minorHAnsi"/>
                <w:sz w:val="16"/>
                <w:szCs w:val="16"/>
              </w:rPr>
            </w:pPr>
          </w:p>
          <w:p w14:paraId="4DE2319E" w14:textId="77777777" w:rsidR="0009116F" w:rsidRPr="003665E7" w:rsidRDefault="0009116F" w:rsidP="00656786">
            <w:pPr>
              <w:rPr>
                <w:rFonts w:asciiTheme="minorHAnsi" w:hAnsiTheme="minorHAnsi" w:cstheme="minorHAnsi"/>
                <w:sz w:val="16"/>
                <w:szCs w:val="16"/>
              </w:rPr>
            </w:pPr>
          </w:p>
          <w:p w14:paraId="10828F93" w14:textId="77777777" w:rsidR="00007BC8" w:rsidRDefault="00007BC8" w:rsidP="007E555A">
            <w:pPr>
              <w:rPr>
                <w:rFonts w:asciiTheme="minorHAnsi" w:hAnsiTheme="minorHAnsi" w:cstheme="minorHAnsi"/>
                <w:sz w:val="16"/>
                <w:szCs w:val="16"/>
              </w:rPr>
            </w:pPr>
          </w:p>
          <w:p w14:paraId="497820CE" w14:textId="77777777" w:rsidR="00007BC8" w:rsidRPr="003665E7" w:rsidRDefault="00007BC8" w:rsidP="00656786">
            <w:pPr>
              <w:rPr>
                <w:rFonts w:asciiTheme="minorHAnsi" w:hAnsiTheme="minorHAnsi" w:cstheme="minorHAnsi"/>
                <w:sz w:val="16"/>
                <w:szCs w:val="16"/>
              </w:rPr>
            </w:pPr>
          </w:p>
          <w:p w14:paraId="3032EAED" w14:textId="1A084336" w:rsidR="0009116F" w:rsidRPr="00007BC8" w:rsidRDefault="0009116F" w:rsidP="007E555A">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40" w:type="dxa"/>
          </w:tcPr>
          <w:p w14:paraId="46B166AC" w14:textId="77777777" w:rsidR="00007BC8" w:rsidRDefault="0009116F" w:rsidP="00656786">
            <w:pPr>
              <w:rPr>
                <w:rFonts w:asciiTheme="minorHAnsi" w:hAnsiTheme="minorHAnsi" w:cstheme="minorHAnsi"/>
                <w:sz w:val="16"/>
                <w:szCs w:val="16"/>
              </w:rPr>
            </w:pPr>
            <w:r w:rsidRPr="003665E7">
              <w:rPr>
                <w:rFonts w:asciiTheme="minorHAnsi" w:hAnsiTheme="minorHAnsi" w:cstheme="minorHAnsi"/>
                <w:sz w:val="16"/>
                <w:szCs w:val="16"/>
              </w:rPr>
              <w:t xml:space="preserve">Higher occupation/ qualification/ income parents </w:t>
            </w:r>
          </w:p>
          <w:p w14:paraId="2C6B633C" w14:textId="58E757F3" w:rsidR="0009116F" w:rsidRPr="00007BC8" w:rsidRDefault="0009116F" w:rsidP="007E555A">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39" w:type="dxa"/>
          </w:tcPr>
          <w:p w14:paraId="2ECAC62C" w14:textId="77777777" w:rsidR="0009116F" w:rsidRPr="003665E7" w:rsidRDefault="0009116F" w:rsidP="00656786">
            <w:pPr>
              <w:rPr>
                <w:rFonts w:asciiTheme="minorHAnsi" w:hAnsiTheme="minorHAnsi" w:cstheme="minorHAnsi"/>
                <w:sz w:val="16"/>
                <w:szCs w:val="16"/>
              </w:rPr>
            </w:pPr>
            <w:r w:rsidRPr="003665E7">
              <w:rPr>
                <w:rFonts w:asciiTheme="minorHAnsi" w:hAnsiTheme="minorHAnsi" w:cstheme="minorHAnsi"/>
                <w:sz w:val="16"/>
                <w:szCs w:val="16"/>
              </w:rPr>
              <w:t>Black parents</w:t>
            </w:r>
          </w:p>
          <w:p w14:paraId="04C2B9F0" w14:textId="208F5395" w:rsidR="0009116F" w:rsidRDefault="0009116F" w:rsidP="00656786">
            <w:pPr>
              <w:rPr>
                <w:rFonts w:asciiTheme="minorHAnsi" w:hAnsiTheme="minorHAnsi" w:cstheme="minorHAnsi"/>
                <w:sz w:val="16"/>
                <w:szCs w:val="16"/>
              </w:rPr>
            </w:pPr>
          </w:p>
          <w:p w14:paraId="3BB08C9F" w14:textId="3E25FAB1" w:rsidR="0009116F" w:rsidRDefault="0009116F" w:rsidP="00656786">
            <w:pPr>
              <w:rPr>
                <w:rFonts w:asciiTheme="minorHAnsi" w:hAnsiTheme="minorHAnsi" w:cstheme="minorHAnsi"/>
                <w:sz w:val="16"/>
                <w:szCs w:val="16"/>
              </w:rPr>
            </w:pPr>
          </w:p>
          <w:p w14:paraId="520F23FA" w14:textId="77777777" w:rsidR="007E555A" w:rsidRPr="003665E7" w:rsidRDefault="007E555A" w:rsidP="00656786">
            <w:pPr>
              <w:rPr>
                <w:rFonts w:asciiTheme="minorHAnsi" w:hAnsiTheme="minorHAnsi" w:cstheme="minorHAnsi"/>
                <w:sz w:val="16"/>
                <w:szCs w:val="16"/>
              </w:rPr>
            </w:pPr>
          </w:p>
          <w:p w14:paraId="34214380" w14:textId="2EB73597" w:rsidR="0009116F" w:rsidRPr="00007BC8" w:rsidRDefault="0009116F" w:rsidP="007E555A">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40" w:type="dxa"/>
          </w:tcPr>
          <w:p w14:paraId="7B276435" w14:textId="77777777" w:rsidR="0009116F" w:rsidRPr="003665E7" w:rsidRDefault="0009116F" w:rsidP="00656786">
            <w:pPr>
              <w:rPr>
                <w:rFonts w:asciiTheme="minorHAnsi" w:hAnsiTheme="minorHAnsi" w:cstheme="minorHAnsi"/>
                <w:sz w:val="16"/>
                <w:szCs w:val="16"/>
              </w:rPr>
            </w:pPr>
            <w:r w:rsidRPr="003665E7">
              <w:rPr>
                <w:rFonts w:asciiTheme="minorHAnsi" w:hAnsiTheme="minorHAnsi" w:cstheme="minorHAnsi"/>
                <w:sz w:val="16"/>
                <w:szCs w:val="16"/>
              </w:rPr>
              <w:t>Lone parents</w:t>
            </w:r>
          </w:p>
          <w:p w14:paraId="0F27CCC3" w14:textId="77777777" w:rsidR="0009116F" w:rsidRPr="003665E7" w:rsidRDefault="0009116F" w:rsidP="00656786">
            <w:pPr>
              <w:rPr>
                <w:rFonts w:asciiTheme="minorHAnsi" w:hAnsiTheme="minorHAnsi" w:cstheme="minorHAnsi"/>
                <w:sz w:val="16"/>
                <w:szCs w:val="16"/>
              </w:rPr>
            </w:pPr>
          </w:p>
          <w:p w14:paraId="303C45D2" w14:textId="7A37C523" w:rsidR="0009116F" w:rsidRDefault="0009116F" w:rsidP="00656786">
            <w:pPr>
              <w:rPr>
                <w:rFonts w:asciiTheme="minorHAnsi" w:hAnsiTheme="minorHAnsi" w:cstheme="minorHAnsi"/>
                <w:sz w:val="16"/>
                <w:szCs w:val="16"/>
              </w:rPr>
            </w:pPr>
          </w:p>
          <w:p w14:paraId="4892D131" w14:textId="77777777" w:rsidR="00007BC8" w:rsidRPr="003665E7" w:rsidRDefault="00007BC8" w:rsidP="00656786">
            <w:pPr>
              <w:rPr>
                <w:rFonts w:asciiTheme="minorHAnsi" w:hAnsiTheme="minorHAnsi" w:cstheme="minorHAnsi"/>
                <w:sz w:val="16"/>
                <w:szCs w:val="16"/>
              </w:rPr>
            </w:pPr>
          </w:p>
          <w:p w14:paraId="313C35DF" w14:textId="3204A952" w:rsidR="0009116F" w:rsidRPr="00007BC8" w:rsidRDefault="0009116F" w:rsidP="007E555A">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39" w:type="dxa"/>
          </w:tcPr>
          <w:p w14:paraId="659B11AE" w14:textId="77777777" w:rsidR="0009116F" w:rsidRPr="003665E7" w:rsidRDefault="0009116F" w:rsidP="00656786">
            <w:pPr>
              <w:rPr>
                <w:rFonts w:asciiTheme="minorHAnsi" w:hAnsiTheme="minorHAnsi" w:cstheme="minorHAnsi"/>
                <w:sz w:val="16"/>
                <w:szCs w:val="16"/>
              </w:rPr>
            </w:pPr>
            <w:r w:rsidRPr="003665E7">
              <w:rPr>
                <w:rFonts w:asciiTheme="minorHAnsi" w:hAnsiTheme="minorHAnsi" w:cstheme="minorHAnsi"/>
                <w:sz w:val="16"/>
                <w:szCs w:val="16"/>
              </w:rPr>
              <w:t xml:space="preserve">Younger parents </w:t>
            </w:r>
          </w:p>
          <w:p w14:paraId="6DEB8626" w14:textId="134F55CB" w:rsidR="0009116F" w:rsidRPr="003665E7" w:rsidRDefault="0009116F" w:rsidP="00656786">
            <w:pPr>
              <w:rPr>
                <w:rFonts w:asciiTheme="minorHAnsi" w:hAnsiTheme="minorHAnsi" w:cstheme="minorHAnsi"/>
                <w:sz w:val="16"/>
                <w:szCs w:val="16"/>
              </w:rPr>
            </w:pPr>
            <w:r w:rsidRPr="003665E7">
              <w:rPr>
                <w:rFonts w:asciiTheme="minorHAnsi" w:hAnsiTheme="minorHAnsi" w:cstheme="minorHAnsi"/>
                <w:sz w:val="16"/>
                <w:szCs w:val="16"/>
              </w:rPr>
              <w:t>(18-29)</w:t>
            </w:r>
          </w:p>
          <w:p w14:paraId="314F2F27" w14:textId="437019D8" w:rsidR="0009116F" w:rsidRDefault="0009116F" w:rsidP="00656786">
            <w:pPr>
              <w:rPr>
                <w:rFonts w:asciiTheme="minorHAnsi" w:hAnsiTheme="minorHAnsi" w:cstheme="minorHAnsi"/>
                <w:sz w:val="16"/>
                <w:szCs w:val="16"/>
              </w:rPr>
            </w:pPr>
          </w:p>
          <w:p w14:paraId="3E9C5387" w14:textId="77777777" w:rsidR="00007BC8" w:rsidRPr="003665E7" w:rsidRDefault="00007BC8" w:rsidP="00656786">
            <w:pPr>
              <w:rPr>
                <w:rFonts w:asciiTheme="minorHAnsi" w:hAnsiTheme="minorHAnsi" w:cstheme="minorHAnsi"/>
                <w:sz w:val="16"/>
                <w:szCs w:val="16"/>
              </w:rPr>
            </w:pPr>
          </w:p>
          <w:p w14:paraId="7F864D59" w14:textId="1539267A" w:rsidR="0009116F" w:rsidRPr="00007BC8" w:rsidRDefault="0009116F" w:rsidP="007E555A">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40" w:type="dxa"/>
          </w:tcPr>
          <w:p w14:paraId="5E523EC0" w14:textId="77777777" w:rsidR="0009116F" w:rsidRPr="003665E7" w:rsidRDefault="0009116F" w:rsidP="00656786">
            <w:pPr>
              <w:rPr>
                <w:rFonts w:asciiTheme="minorHAnsi" w:hAnsiTheme="minorHAnsi" w:cstheme="minorHAnsi"/>
                <w:sz w:val="16"/>
                <w:szCs w:val="16"/>
              </w:rPr>
            </w:pPr>
            <w:r w:rsidRPr="003665E7">
              <w:rPr>
                <w:rFonts w:asciiTheme="minorHAnsi" w:hAnsiTheme="minorHAnsi" w:cstheme="minorHAnsi"/>
                <w:sz w:val="16"/>
                <w:szCs w:val="16"/>
              </w:rPr>
              <w:t>Parents in 5+ member households</w:t>
            </w:r>
          </w:p>
          <w:p w14:paraId="74FA7135" w14:textId="0E3D36A4" w:rsidR="0009116F" w:rsidRDefault="0009116F" w:rsidP="00656786">
            <w:pPr>
              <w:rPr>
                <w:rFonts w:asciiTheme="minorHAnsi" w:hAnsiTheme="minorHAnsi" w:cstheme="minorHAnsi"/>
                <w:sz w:val="16"/>
                <w:szCs w:val="16"/>
              </w:rPr>
            </w:pPr>
          </w:p>
          <w:p w14:paraId="5D65E7D3" w14:textId="77777777" w:rsidR="00007BC8" w:rsidRPr="003665E7" w:rsidRDefault="00007BC8" w:rsidP="00656786">
            <w:pPr>
              <w:rPr>
                <w:rFonts w:asciiTheme="minorHAnsi" w:hAnsiTheme="minorHAnsi" w:cstheme="minorHAnsi"/>
                <w:sz w:val="16"/>
                <w:szCs w:val="16"/>
              </w:rPr>
            </w:pPr>
          </w:p>
          <w:p w14:paraId="143E297D" w14:textId="054E47B2" w:rsidR="0009116F" w:rsidRPr="00007BC8" w:rsidRDefault="0009116F" w:rsidP="007E555A">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r>
      <w:tr w:rsidR="003665E7" w:rsidRPr="003665E7" w14:paraId="76105537" w14:textId="77777777" w:rsidTr="0009116F">
        <w:tc>
          <w:tcPr>
            <w:tcW w:w="2126" w:type="dxa"/>
          </w:tcPr>
          <w:p w14:paraId="01570DC0" w14:textId="77777777" w:rsidR="0009116F" w:rsidRPr="003665E7" w:rsidRDefault="0009116F" w:rsidP="00656786">
            <w:pPr>
              <w:rPr>
                <w:rFonts w:asciiTheme="minorHAnsi" w:hAnsiTheme="minorHAnsi" w:cstheme="minorHAnsi"/>
                <w:sz w:val="18"/>
                <w:szCs w:val="18"/>
              </w:rPr>
            </w:pPr>
            <w:r w:rsidRPr="003665E7">
              <w:rPr>
                <w:rFonts w:asciiTheme="minorHAnsi" w:hAnsiTheme="minorHAnsi" w:cstheme="minorHAnsi"/>
                <w:sz w:val="18"/>
                <w:szCs w:val="18"/>
              </w:rPr>
              <w:t>Identifying families that might need support for services even if they have not asked for it</w:t>
            </w:r>
          </w:p>
        </w:tc>
        <w:tc>
          <w:tcPr>
            <w:tcW w:w="1039" w:type="dxa"/>
          </w:tcPr>
          <w:p w14:paraId="03B73A19" w14:textId="77777777" w:rsidR="0009116F" w:rsidRPr="003665E7" w:rsidRDefault="0009116F" w:rsidP="00656786">
            <w:pPr>
              <w:jc w:val="center"/>
              <w:rPr>
                <w:rFonts w:asciiTheme="minorHAnsi" w:hAnsiTheme="minorHAnsi" w:cstheme="minorHAnsi"/>
                <w:sz w:val="16"/>
                <w:szCs w:val="16"/>
              </w:rPr>
            </w:pPr>
          </w:p>
          <w:p w14:paraId="273C7F2A"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82</w:t>
            </w:r>
          </w:p>
        </w:tc>
        <w:tc>
          <w:tcPr>
            <w:tcW w:w="1040" w:type="dxa"/>
          </w:tcPr>
          <w:p w14:paraId="56E7486E" w14:textId="77777777" w:rsidR="0009116F" w:rsidRPr="003665E7" w:rsidRDefault="0009116F" w:rsidP="00656786">
            <w:pPr>
              <w:jc w:val="center"/>
              <w:rPr>
                <w:rFonts w:asciiTheme="minorHAnsi" w:hAnsiTheme="minorHAnsi" w:cstheme="minorHAnsi"/>
                <w:sz w:val="16"/>
                <w:szCs w:val="16"/>
              </w:rPr>
            </w:pPr>
          </w:p>
          <w:p w14:paraId="01D27A2C"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86</w:t>
            </w:r>
          </w:p>
        </w:tc>
        <w:tc>
          <w:tcPr>
            <w:tcW w:w="1039" w:type="dxa"/>
          </w:tcPr>
          <w:p w14:paraId="02A58975" w14:textId="77777777" w:rsidR="0009116F" w:rsidRPr="003665E7" w:rsidRDefault="0009116F" w:rsidP="00656786">
            <w:pPr>
              <w:jc w:val="center"/>
              <w:rPr>
                <w:rFonts w:asciiTheme="minorHAnsi" w:hAnsiTheme="minorHAnsi" w:cstheme="minorHAnsi"/>
                <w:sz w:val="16"/>
                <w:szCs w:val="16"/>
              </w:rPr>
            </w:pPr>
          </w:p>
          <w:p w14:paraId="23970C13"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62</w:t>
            </w:r>
          </w:p>
        </w:tc>
        <w:tc>
          <w:tcPr>
            <w:tcW w:w="1040" w:type="dxa"/>
          </w:tcPr>
          <w:p w14:paraId="74B6F2B6" w14:textId="77777777" w:rsidR="0009116F" w:rsidRPr="003665E7" w:rsidRDefault="0009116F" w:rsidP="00656786">
            <w:pPr>
              <w:jc w:val="center"/>
              <w:rPr>
                <w:rFonts w:asciiTheme="minorHAnsi" w:hAnsiTheme="minorHAnsi" w:cstheme="minorHAnsi"/>
                <w:sz w:val="16"/>
                <w:szCs w:val="16"/>
              </w:rPr>
            </w:pPr>
          </w:p>
          <w:p w14:paraId="298A230F"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74</w:t>
            </w:r>
          </w:p>
        </w:tc>
        <w:tc>
          <w:tcPr>
            <w:tcW w:w="1039" w:type="dxa"/>
          </w:tcPr>
          <w:p w14:paraId="336FC281" w14:textId="77777777" w:rsidR="0009116F" w:rsidRPr="003665E7" w:rsidRDefault="0009116F" w:rsidP="00656786">
            <w:pPr>
              <w:jc w:val="center"/>
              <w:rPr>
                <w:rFonts w:asciiTheme="minorHAnsi" w:hAnsiTheme="minorHAnsi" w:cstheme="minorHAnsi"/>
                <w:sz w:val="16"/>
                <w:szCs w:val="16"/>
              </w:rPr>
            </w:pPr>
          </w:p>
          <w:p w14:paraId="61859059"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78</w:t>
            </w:r>
          </w:p>
        </w:tc>
        <w:tc>
          <w:tcPr>
            <w:tcW w:w="1040" w:type="dxa"/>
          </w:tcPr>
          <w:p w14:paraId="5BFF9D18" w14:textId="77777777" w:rsidR="0009116F" w:rsidRPr="003665E7" w:rsidRDefault="0009116F" w:rsidP="00656786">
            <w:pPr>
              <w:jc w:val="center"/>
              <w:rPr>
                <w:rFonts w:asciiTheme="minorHAnsi" w:hAnsiTheme="minorHAnsi" w:cstheme="minorHAnsi"/>
                <w:sz w:val="16"/>
                <w:szCs w:val="16"/>
              </w:rPr>
            </w:pPr>
          </w:p>
          <w:p w14:paraId="783A77BC"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80</w:t>
            </w:r>
          </w:p>
        </w:tc>
      </w:tr>
      <w:tr w:rsidR="003665E7" w:rsidRPr="003665E7" w14:paraId="4575EF21" w14:textId="77777777" w:rsidTr="0009116F">
        <w:tc>
          <w:tcPr>
            <w:tcW w:w="2126" w:type="dxa"/>
          </w:tcPr>
          <w:p w14:paraId="6BA20ACD" w14:textId="77777777" w:rsidR="0009116F" w:rsidRPr="003665E7" w:rsidRDefault="0009116F" w:rsidP="00656786">
            <w:pPr>
              <w:rPr>
                <w:rFonts w:asciiTheme="minorHAnsi" w:hAnsiTheme="minorHAnsi" w:cstheme="minorHAnsi"/>
                <w:sz w:val="18"/>
                <w:szCs w:val="18"/>
              </w:rPr>
            </w:pPr>
            <w:r w:rsidRPr="003665E7">
              <w:rPr>
                <w:rFonts w:asciiTheme="minorHAnsi" w:hAnsiTheme="minorHAnsi" w:cstheme="minorHAnsi"/>
                <w:sz w:val="18"/>
                <w:szCs w:val="18"/>
              </w:rPr>
              <w:t>Saving time and money by catching family problems early</w:t>
            </w:r>
          </w:p>
        </w:tc>
        <w:tc>
          <w:tcPr>
            <w:tcW w:w="1039" w:type="dxa"/>
          </w:tcPr>
          <w:p w14:paraId="428542FF"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83</w:t>
            </w:r>
          </w:p>
        </w:tc>
        <w:tc>
          <w:tcPr>
            <w:tcW w:w="1040" w:type="dxa"/>
          </w:tcPr>
          <w:p w14:paraId="0D681977"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87</w:t>
            </w:r>
          </w:p>
        </w:tc>
        <w:tc>
          <w:tcPr>
            <w:tcW w:w="1039" w:type="dxa"/>
          </w:tcPr>
          <w:p w14:paraId="6DA5A220"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71</w:t>
            </w:r>
          </w:p>
        </w:tc>
        <w:tc>
          <w:tcPr>
            <w:tcW w:w="1040" w:type="dxa"/>
          </w:tcPr>
          <w:p w14:paraId="064992CD"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78</w:t>
            </w:r>
          </w:p>
        </w:tc>
        <w:tc>
          <w:tcPr>
            <w:tcW w:w="1039" w:type="dxa"/>
          </w:tcPr>
          <w:p w14:paraId="4F91689C"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84</w:t>
            </w:r>
          </w:p>
        </w:tc>
        <w:tc>
          <w:tcPr>
            <w:tcW w:w="1040" w:type="dxa"/>
          </w:tcPr>
          <w:p w14:paraId="186713F9"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85</w:t>
            </w:r>
          </w:p>
        </w:tc>
      </w:tr>
      <w:tr w:rsidR="003665E7" w:rsidRPr="003665E7" w14:paraId="061E9D71" w14:textId="77777777" w:rsidTr="0009116F">
        <w:tc>
          <w:tcPr>
            <w:tcW w:w="2126" w:type="dxa"/>
          </w:tcPr>
          <w:p w14:paraId="58639D41" w14:textId="77777777" w:rsidR="0009116F" w:rsidRPr="003665E7" w:rsidRDefault="0009116F" w:rsidP="00656786">
            <w:pPr>
              <w:rPr>
                <w:rFonts w:asciiTheme="minorHAnsi" w:hAnsiTheme="minorHAnsi" w:cstheme="minorHAnsi"/>
                <w:sz w:val="18"/>
                <w:szCs w:val="18"/>
              </w:rPr>
            </w:pPr>
            <w:r w:rsidRPr="003665E7">
              <w:rPr>
                <w:rFonts w:asciiTheme="minorHAnsi" w:hAnsiTheme="minorHAnsi" w:cstheme="minorHAnsi"/>
                <w:sz w:val="18"/>
                <w:szCs w:val="18"/>
              </w:rPr>
              <w:t>Making services more efficient by identifying families that need help and targeting services at them</w:t>
            </w:r>
          </w:p>
        </w:tc>
        <w:tc>
          <w:tcPr>
            <w:tcW w:w="1039" w:type="dxa"/>
          </w:tcPr>
          <w:p w14:paraId="00949F68" w14:textId="77777777" w:rsidR="0009116F" w:rsidRPr="003665E7" w:rsidRDefault="0009116F" w:rsidP="00656786">
            <w:pPr>
              <w:jc w:val="center"/>
              <w:rPr>
                <w:rFonts w:asciiTheme="minorHAnsi" w:hAnsiTheme="minorHAnsi" w:cstheme="minorHAnsi"/>
                <w:sz w:val="16"/>
                <w:szCs w:val="16"/>
              </w:rPr>
            </w:pPr>
          </w:p>
          <w:p w14:paraId="60B4159F"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84</w:t>
            </w:r>
          </w:p>
        </w:tc>
        <w:tc>
          <w:tcPr>
            <w:tcW w:w="1040" w:type="dxa"/>
          </w:tcPr>
          <w:p w14:paraId="77AE617B" w14:textId="77777777" w:rsidR="0009116F" w:rsidRPr="003665E7" w:rsidRDefault="0009116F" w:rsidP="00656786">
            <w:pPr>
              <w:jc w:val="center"/>
              <w:rPr>
                <w:rFonts w:asciiTheme="minorHAnsi" w:hAnsiTheme="minorHAnsi" w:cstheme="minorHAnsi"/>
                <w:sz w:val="16"/>
                <w:szCs w:val="16"/>
              </w:rPr>
            </w:pPr>
          </w:p>
          <w:p w14:paraId="77DEA67D"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87</w:t>
            </w:r>
          </w:p>
        </w:tc>
        <w:tc>
          <w:tcPr>
            <w:tcW w:w="1039" w:type="dxa"/>
          </w:tcPr>
          <w:p w14:paraId="33A5FE86" w14:textId="77777777" w:rsidR="0009116F" w:rsidRPr="003665E7" w:rsidRDefault="0009116F" w:rsidP="00656786">
            <w:pPr>
              <w:jc w:val="center"/>
              <w:rPr>
                <w:rFonts w:asciiTheme="minorHAnsi" w:hAnsiTheme="minorHAnsi" w:cstheme="minorHAnsi"/>
                <w:sz w:val="16"/>
                <w:szCs w:val="16"/>
              </w:rPr>
            </w:pPr>
          </w:p>
          <w:p w14:paraId="022230ED"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69</w:t>
            </w:r>
          </w:p>
        </w:tc>
        <w:tc>
          <w:tcPr>
            <w:tcW w:w="1040" w:type="dxa"/>
          </w:tcPr>
          <w:p w14:paraId="74BBAA31" w14:textId="77777777" w:rsidR="0009116F" w:rsidRPr="003665E7" w:rsidRDefault="0009116F" w:rsidP="00656786">
            <w:pPr>
              <w:jc w:val="center"/>
              <w:rPr>
                <w:rFonts w:asciiTheme="minorHAnsi" w:hAnsiTheme="minorHAnsi" w:cstheme="minorHAnsi"/>
                <w:sz w:val="16"/>
                <w:szCs w:val="16"/>
              </w:rPr>
            </w:pPr>
          </w:p>
          <w:p w14:paraId="5E7D1F8C"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84</w:t>
            </w:r>
          </w:p>
        </w:tc>
        <w:tc>
          <w:tcPr>
            <w:tcW w:w="1039" w:type="dxa"/>
          </w:tcPr>
          <w:p w14:paraId="01303779" w14:textId="77777777" w:rsidR="0009116F" w:rsidRPr="003665E7" w:rsidRDefault="0009116F" w:rsidP="00656786">
            <w:pPr>
              <w:jc w:val="center"/>
              <w:rPr>
                <w:rFonts w:asciiTheme="minorHAnsi" w:hAnsiTheme="minorHAnsi" w:cstheme="minorHAnsi"/>
                <w:sz w:val="16"/>
                <w:szCs w:val="16"/>
              </w:rPr>
            </w:pPr>
          </w:p>
          <w:p w14:paraId="31CCC8DE"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73</w:t>
            </w:r>
          </w:p>
        </w:tc>
        <w:tc>
          <w:tcPr>
            <w:tcW w:w="1040" w:type="dxa"/>
          </w:tcPr>
          <w:p w14:paraId="1842B110" w14:textId="77777777" w:rsidR="0009116F" w:rsidRPr="003665E7" w:rsidRDefault="0009116F" w:rsidP="00656786">
            <w:pPr>
              <w:jc w:val="center"/>
              <w:rPr>
                <w:rFonts w:asciiTheme="minorHAnsi" w:hAnsiTheme="minorHAnsi" w:cstheme="minorHAnsi"/>
                <w:sz w:val="16"/>
                <w:szCs w:val="16"/>
              </w:rPr>
            </w:pPr>
          </w:p>
          <w:p w14:paraId="518F6B92"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79</w:t>
            </w:r>
          </w:p>
        </w:tc>
      </w:tr>
      <w:tr w:rsidR="003665E7" w:rsidRPr="003665E7" w14:paraId="421CDCC9" w14:textId="77777777" w:rsidTr="0009116F">
        <w:tc>
          <w:tcPr>
            <w:tcW w:w="2126" w:type="dxa"/>
          </w:tcPr>
          <w:p w14:paraId="5F8AA84E" w14:textId="77777777" w:rsidR="0009116F" w:rsidRPr="003665E7" w:rsidRDefault="0009116F" w:rsidP="00656786">
            <w:pPr>
              <w:rPr>
                <w:rFonts w:asciiTheme="minorHAnsi" w:hAnsiTheme="minorHAnsi" w:cstheme="minorHAnsi"/>
                <w:sz w:val="18"/>
                <w:szCs w:val="18"/>
              </w:rPr>
            </w:pPr>
            <w:r w:rsidRPr="003665E7">
              <w:rPr>
                <w:rFonts w:asciiTheme="minorHAnsi" w:hAnsiTheme="minorHAnsi" w:cstheme="minorHAnsi"/>
                <w:sz w:val="18"/>
                <w:szCs w:val="18"/>
              </w:rPr>
              <w:t>Identifying families where children could be at risk of abuse</w:t>
            </w:r>
          </w:p>
        </w:tc>
        <w:tc>
          <w:tcPr>
            <w:tcW w:w="1039" w:type="dxa"/>
          </w:tcPr>
          <w:p w14:paraId="65679146"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90</w:t>
            </w:r>
          </w:p>
        </w:tc>
        <w:tc>
          <w:tcPr>
            <w:tcW w:w="1040" w:type="dxa"/>
          </w:tcPr>
          <w:p w14:paraId="513D1B92"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94</w:t>
            </w:r>
          </w:p>
        </w:tc>
        <w:tc>
          <w:tcPr>
            <w:tcW w:w="1039" w:type="dxa"/>
          </w:tcPr>
          <w:p w14:paraId="30579485"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85</w:t>
            </w:r>
          </w:p>
        </w:tc>
        <w:tc>
          <w:tcPr>
            <w:tcW w:w="1040" w:type="dxa"/>
          </w:tcPr>
          <w:p w14:paraId="2AE97C0C"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91</w:t>
            </w:r>
          </w:p>
        </w:tc>
        <w:tc>
          <w:tcPr>
            <w:tcW w:w="1039" w:type="dxa"/>
          </w:tcPr>
          <w:p w14:paraId="5A48A802"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84</w:t>
            </w:r>
          </w:p>
        </w:tc>
        <w:tc>
          <w:tcPr>
            <w:tcW w:w="1040" w:type="dxa"/>
          </w:tcPr>
          <w:p w14:paraId="306231CA" w14:textId="77777777" w:rsidR="0009116F" w:rsidRPr="003665E7" w:rsidRDefault="0009116F" w:rsidP="00656786">
            <w:pPr>
              <w:jc w:val="center"/>
              <w:rPr>
                <w:rFonts w:asciiTheme="minorHAnsi" w:hAnsiTheme="minorHAnsi" w:cstheme="minorHAnsi"/>
                <w:sz w:val="20"/>
                <w:szCs w:val="20"/>
              </w:rPr>
            </w:pPr>
            <w:r w:rsidRPr="003665E7">
              <w:rPr>
                <w:rFonts w:asciiTheme="minorHAnsi" w:hAnsiTheme="minorHAnsi" w:cstheme="minorHAnsi"/>
                <w:sz w:val="20"/>
                <w:szCs w:val="20"/>
              </w:rPr>
              <w:t>89</w:t>
            </w:r>
          </w:p>
        </w:tc>
      </w:tr>
    </w:tbl>
    <w:p w14:paraId="684EF305" w14:textId="5E3E4F33" w:rsidR="0009116F" w:rsidRDefault="0009116F" w:rsidP="0009116F"/>
    <w:p w14:paraId="17713364" w14:textId="77777777" w:rsidR="005A5ACF" w:rsidRPr="003665E7" w:rsidRDefault="005A5ACF" w:rsidP="0009116F"/>
    <w:p w14:paraId="4DAC11C8" w14:textId="6CCD5153" w:rsidR="005A5ACF" w:rsidRDefault="005A5ACF">
      <w:r>
        <w:br w:type="page"/>
      </w:r>
    </w:p>
    <w:p w14:paraId="1BB5E0BB" w14:textId="77777777" w:rsidR="00007BC8" w:rsidRPr="003665E7" w:rsidRDefault="00007BC8" w:rsidP="003665E7"/>
    <w:p w14:paraId="09769A22" w14:textId="77777777" w:rsidR="003665E7" w:rsidRPr="005A5ACF" w:rsidRDefault="003665E7" w:rsidP="003665E7">
      <w:pPr>
        <w:rPr>
          <w:b/>
          <w:bCs/>
          <w:sz w:val="20"/>
          <w:szCs w:val="20"/>
        </w:rPr>
      </w:pPr>
      <w:bookmarkStart w:id="17" w:name="_Hlk68517453"/>
      <w:r w:rsidRPr="005A5ACF">
        <w:rPr>
          <w:b/>
          <w:bCs/>
          <w:sz w:val="20"/>
          <w:szCs w:val="20"/>
        </w:rPr>
        <w:t>Table 3:</w:t>
      </w:r>
      <w:r w:rsidRPr="005A5ACF">
        <w:rPr>
          <w:b/>
          <w:bCs/>
          <w:sz w:val="20"/>
          <w:szCs w:val="20"/>
        </w:rPr>
        <w:tab/>
      </w:r>
      <w:r w:rsidRPr="005A5ACF">
        <w:rPr>
          <w:b/>
          <w:bCs/>
          <w:sz w:val="20"/>
          <w:szCs w:val="20"/>
          <w:u w:val="single"/>
        </w:rPr>
        <w:t xml:space="preserve">Trust in organisations to </w:t>
      </w:r>
      <w:proofErr w:type="gramStart"/>
      <w:r w:rsidRPr="005A5ACF">
        <w:rPr>
          <w:b/>
          <w:bCs/>
          <w:sz w:val="20"/>
          <w:szCs w:val="20"/>
          <w:u w:val="single"/>
        </w:rPr>
        <w:t>join together</w:t>
      </w:r>
      <w:proofErr w:type="gramEnd"/>
      <w:r w:rsidRPr="005A5ACF">
        <w:rPr>
          <w:b/>
          <w:bCs/>
          <w:sz w:val="20"/>
          <w:szCs w:val="20"/>
          <w:u w:val="single"/>
        </w:rPr>
        <w:t xml:space="preserve"> administrative records to identify families to target public services</w:t>
      </w:r>
    </w:p>
    <w:p w14:paraId="2603AF98" w14:textId="4E2FD454" w:rsidR="003665E7" w:rsidRPr="003665E7" w:rsidRDefault="003665E7" w:rsidP="003665E7">
      <w:pPr>
        <w:ind w:firstLine="720"/>
        <w:rPr>
          <w:i/>
          <w:iCs/>
          <w:sz w:val="20"/>
          <w:szCs w:val="20"/>
        </w:rPr>
      </w:pPr>
      <w:r w:rsidRPr="003665E7">
        <w:rPr>
          <w:i/>
          <w:iCs/>
          <w:sz w:val="20"/>
          <w:szCs w:val="20"/>
        </w:rPr>
        <w:t>50% consensus threshold</w:t>
      </w:r>
    </w:p>
    <w:p w14:paraId="1BF18464" w14:textId="77777777" w:rsidR="003665E7" w:rsidRPr="003665E7" w:rsidRDefault="003665E7" w:rsidP="003665E7">
      <w:pPr>
        <w:ind w:firstLine="720"/>
        <w:rPr>
          <w:i/>
          <w:iCs/>
          <w:sz w:val="20"/>
          <w:szCs w:val="20"/>
        </w:rPr>
      </w:pPr>
    </w:p>
    <w:tbl>
      <w:tblPr>
        <w:tblStyle w:val="TableGrid"/>
        <w:tblW w:w="8363" w:type="dxa"/>
        <w:tblInd w:w="137" w:type="dxa"/>
        <w:tblLayout w:type="fixed"/>
        <w:tblLook w:val="04A0" w:firstRow="1" w:lastRow="0" w:firstColumn="1" w:lastColumn="0" w:noHBand="0" w:noVBand="1"/>
      </w:tblPr>
      <w:tblGrid>
        <w:gridCol w:w="2126"/>
        <w:gridCol w:w="1039"/>
        <w:gridCol w:w="1040"/>
        <w:gridCol w:w="1039"/>
        <w:gridCol w:w="1040"/>
        <w:gridCol w:w="1039"/>
        <w:gridCol w:w="1040"/>
      </w:tblGrid>
      <w:tr w:rsidR="003665E7" w:rsidRPr="003665E7" w14:paraId="383B3EE2" w14:textId="77777777" w:rsidTr="003665E7">
        <w:tc>
          <w:tcPr>
            <w:tcW w:w="2126" w:type="dxa"/>
          </w:tcPr>
          <w:p w14:paraId="76741842" w14:textId="7CFCF725" w:rsidR="003665E7" w:rsidRPr="003665E7" w:rsidRDefault="00670C84" w:rsidP="00656786">
            <w:pPr>
              <w:rPr>
                <w:rFonts w:asciiTheme="minorHAnsi" w:hAnsiTheme="minorHAnsi" w:cstheme="minorHAnsi"/>
                <w:sz w:val="16"/>
                <w:szCs w:val="16"/>
              </w:rPr>
            </w:pPr>
            <w:r>
              <w:rPr>
                <w:rFonts w:asciiTheme="minorHAnsi" w:hAnsiTheme="minorHAnsi" w:cstheme="minorHAnsi"/>
                <w:sz w:val="16"/>
                <w:szCs w:val="16"/>
              </w:rPr>
              <w:t>Organisation</w:t>
            </w:r>
            <w:r w:rsidR="003665E7" w:rsidRPr="003665E7">
              <w:rPr>
                <w:rFonts w:asciiTheme="minorHAnsi" w:hAnsiTheme="minorHAnsi" w:cstheme="minorHAnsi"/>
                <w:sz w:val="16"/>
                <w:szCs w:val="16"/>
              </w:rPr>
              <w:t>s:</w:t>
            </w:r>
          </w:p>
        </w:tc>
        <w:tc>
          <w:tcPr>
            <w:tcW w:w="1039" w:type="dxa"/>
          </w:tcPr>
          <w:p w14:paraId="5ED38519" w14:textId="77777777" w:rsidR="003665E7" w:rsidRPr="003665E7" w:rsidRDefault="003665E7" w:rsidP="00656786">
            <w:pPr>
              <w:rPr>
                <w:rFonts w:asciiTheme="minorHAnsi" w:hAnsiTheme="minorHAnsi" w:cstheme="minorHAnsi"/>
                <w:sz w:val="16"/>
                <w:szCs w:val="16"/>
              </w:rPr>
            </w:pPr>
            <w:r w:rsidRPr="003665E7">
              <w:rPr>
                <w:rFonts w:asciiTheme="minorHAnsi" w:hAnsiTheme="minorHAnsi" w:cstheme="minorHAnsi"/>
                <w:sz w:val="16"/>
                <w:szCs w:val="16"/>
              </w:rPr>
              <w:t>All sample</w:t>
            </w:r>
          </w:p>
          <w:p w14:paraId="6F93D60E" w14:textId="77777777" w:rsidR="003665E7" w:rsidRPr="003665E7" w:rsidRDefault="003665E7" w:rsidP="00656786">
            <w:pPr>
              <w:rPr>
                <w:rFonts w:asciiTheme="minorHAnsi" w:hAnsiTheme="minorHAnsi" w:cstheme="minorHAnsi"/>
                <w:sz w:val="16"/>
                <w:szCs w:val="16"/>
              </w:rPr>
            </w:pPr>
          </w:p>
          <w:p w14:paraId="14A922AC" w14:textId="327935DD" w:rsidR="003665E7" w:rsidRDefault="003665E7" w:rsidP="00656786">
            <w:pPr>
              <w:rPr>
                <w:rFonts w:asciiTheme="minorHAnsi" w:hAnsiTheme="minorHAnsi" w:cstheme="minorHAnsi"/>
                <w:sz w:val="16"/>
                <w:szCs w:val="16"/>
              </w:rPr>
            </w:pPr>
          </w:p>
          <w:p w14:paraId="6F1424D1" w14:textId="77777777" w:rsidR="00007BC8" w:rsidRPr="003665E7" w:rsidRDefault="00007BC8" w:rsidP="00656786">
            <w:pPr>
              <w:rPr>
                <w:rFonts w:asciiTheme="minorHAnsi" w:hAnsiTheme="minorHAnsi" w:cstheme="minorHAnsi"/>
                <w:sz w:val="16"/>
                <w:szCs w:val="16"/>
              </w:rPr>
            </w:pPr>
          </w:p>
          <w:p w14:paraId="73A60A4A" w14:textId="1587C54F" w:rsidR="003665E7" w:rsidRPr="00007BC8" w:rsidRDefault="003665E7" w:rsidP="003665E7">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40" w:type="dxa"/>
          </w:tcPr>
          <w:p w14:paraId="10D81EAA" w14:textId="77777777" w:rsidR="00007BC8" w:rsidRDefault="003665E7" w:rsidP="00656786">
            <w:pPr>
              <w:rPr>
                <w:rFonts w:asciiTheme="minorHAnsi" w:hAnsiTheme="minorHAnsi" w:cstheme="minorHAnsi"/>
                <w:sz w:val="16"/>
                <w:szCs w:val="16"/>
              </w:rPr>
            </w:pPr>
            <w:r w:rsidRPr="003665E7">
              <w:rPr>
                <w:rFonts w:asciiTheme="minorHAnsi" w:hAnsiTheme="minorHAnsi" w:cstheme="minorHAnsi"/>
                <w:sz w:val="16"/>
                <w:szCs w:val="16"/>
              </w:rPr>
              <w:t xml:space="preserve">Higher occupation/ qualification/ income </w:t>
            </w:r>
          </w:p>
          <w:p w14:paraId="43E59C8A" w14:textId="65CD5238" w:rsidR="003665E7" w:rsidRPr="00007BC8" w:rsidRDefault="003665E7" w:rsidP="00007BC8">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39" w:type="dxa"/>
          </w:tcPr>
          <w:p w14:paraId="5AB32416" w14:textId="77777777" w:rsidR="003665E7" w:rsidRPr="003665E7" w:rsidRDefault="003665E7" w:rsidP="00656786">
            <w:pPr>
              <w:rPr>
                <w:rFonts w:asciiTheme="minorHAnsi" w:hAnsiTheme="minorHAnsi" w:cstheme="minorHAnsi"/>
                <w:sz w:val="16"/>
                <w:szCs w:val="16"/>
              </w:rPr>
            </w:pPr>
            <w:r w:rsidRPr="003665E7">
              <w:rPr>
                <w:rFonts w:asciiTheme="minorHAnsi" w:hAnsiTheme="minorHAnsi" w:cstheme="minorHAnsi"/>
                <w:sz w:val="16"/>
                <w:szCs w:val="16"/>
              </w:rPr>
              <w:t>Black parents</w:t>
            </w:r>
          </w:p>
          <w:p w14:paraId="6198F2F4" w14:textId="4E1D1DF3" w:rsidR="003665E7" w:rsidRDefault="003665E7" w:rsidP="00656786">
            <w:pPr>
              <w:rPr>
                <w:rFonts w:asciiTheme="minorHAnsi" w:hAnsiTheme="minorHAnsi" w:cstheme="minorHAnsi"/>
                <w:sz w:val="16"/>
                <w:szCs w:val="16"/>
              </w:rPr>
            </w:pPr>
          </w:p>
          <w:p w14:paraId="4E12C3F9" w14:textId="77777777" w:rsidR="00007BC8" w:rsidRPr="003665E7" w:rsidRDefault="00007BC8" w:rsidP="00656786">
            <w:pPr>
              <w:rPr>
                <w:rFonts w:asciiTheme="minorHAnsi" w:hAnsiTheme="minorHAnsi" w:cstheme="minorHAnsi"/>
                <w:sz w:val="16"/>
                <w:szCs w:val="16"/>
              </w:rPr>
            </w:pPr>
          </w:p>
          <w:p w14:paraId="257C448C" w14:textId="7197A4C4" w:rsidR="003665E7" w:rsidRPr="00007BC8" w:rsidRDefault="003665E7" w:rsidP="003665E7">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40" w:type="dxa"/>
          </w:tcPr>
          <w:p w14:paraId="2B5E7F8F" w14:textId="77777777" w:rsidR="003665E7" w:rsidRPr="003665E7" w:rsidRDefault="003665E7" w:rsidP="00656786">
            <w:pPr>
              <w:rPr>
                <w:rFonts w:asciiTheme="minorHAnsi" w:hAnsiTheme="minorHAnsi" w:cstheme="minorHAnsi"/>
                <w:sz w:val="16"/>
                <w:szCs w:val="16"/>
              </w:rPr>
            </w:pPr>
            <w:r w:rsidRPr="003665E7">
              <w:rPr>
                <w:rFonts w:asciiTheme="minorHAnsi" w:hAnsiTheme="minorHAnsi" w:cstheme="minorHAnsi"/>
                <w:sz w:val="16"/>
                <w:szCs w:val="16"/>
              </w:rPr>
              <w:t>Lone parents</w:t>
            </w:r>
          </w:p>
          <w:p w14:paraId="4F119BED" w14:textId="77777777" w:rsidR="003665E7" w:rsidRPr="003665E7" w:rsidRDefault="003665E7" w:rsidP="00656786">
            <w:pPr>
              <w:rPr>
                <w:rFonts w:asciiTheme="minorHAnsi" w:hAnsiTheme="minorHAnsi" w:cstheme="minorHAnsi"/>
                <w:sz w:val="16"/>
                <w:szCs w:val="16"/>
              </w:rPr>
            </w:pPr>
          </w:p>
          <w:p w14:paraId="15DA48C5" w14:textId="77777777" w:rsidR="00007BC8" w:rsidRDefault="00007BC8" w:rsidP="003665E7">
            <w:pPr>
              <w:jc w:val="center"/>
              <w:rPr>
                <w:rFonts w:asciiTheme="minorHAnsi" w:hAnsiTheme="minorHAnsi" w:cstheme="minorHAnsi"/>
                <w:sz w:val="16"/>
                <w:szCs w:val="16"/>
              </w:rPr>
            </w:pPr>
          </w:p>
          <w:p w14:paraId="63505C7A" w14:textId="40F51959" w:rsidR="003665E7" w:rsidRPr="00007BC8" w:rsidRDefault="003665E7" w:rsidP="003665E7">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39" w:type="dxa"/>
          </w:tcPr>
          <w:p w14:paraId="2F7FA027" w14:textId="77777777" w:rsidR="003665E7" w:rsidRPr="003665E7" w:rsidRDefault="003665E7" w:rsidP="00656786">
            <w:pPr>
              <w:rPr>
                <w:rFonts w:asciiTheme="minorHAnsi" w:hAnsiTheme="minorHAnsi" w:cstheme="minorHAnsi"/>
                <w:sz w:val="16"/>
                <w:szCs w:val="16"/>
              </w:rPr>
            </w:pPr>
            <w:r w:rsidRPr="003665E7">
              <w:rPr>
                <w:rFonts w:asciiTheme="minorHAnsi" w:hAnsiTheme="minorHAnsi" w:cstheme="minorHAnsi"/>
                <w:sz w:val="16"/>
                <w:szCs w:val="16"/>
              </w:rPr>
              <w:t xml:space="preserve">Younger parents </w:t>
            </w:r>
          </w:p>
          <w:p w14:paraId="1CF891C2" w14:textId="72267472" w:rsidR="003665E7" w:rsidRDefault="003665E7" w:rsidP="00656786">
            <w:pPr>
              <w:rPr>
                <w:rFonts w:asciiTheme="minorHAnsi" w:hAnsiTheme="minorHAnsi" w:cstheme="minorHAnsi"/>
                <w:sz w:val="16"/>
                <w:szCs w:val="16"/>
              </w:rPr>
            </w:pPr>
            <w:r w:rsidRPr="003665E7">
              <w:rPr>
                <w:rFonts w:asciiTheme="minorHAnsi" w:hAnsiTheme="minorHAnsi" w:cstheme="minorHAnsi"/>
                <w:sz w:val="16"/>
                <w:szCs w:val="16"/>
              </w:rPr>
              <w:t>(18-29)</w:t>
            </w:r>
          </w:p>
          <w:p w14:paraId="484E332C" w14:textId="77777777" w:rsidR="00007BC8" w:rsidRPr="003665E7" w:rsidRDefault="00007BC8" w:rsidP="00656786">
            <w:pPr>
              <w:rPr>
                <w:rFonts w:asciiTheme="minorHAnsi" w:hAnsiTheme="minorHAnsi" w:cstheme="minorHAnsi"/>
                <w:sz w:val="16"/>
                <w:szCs w:val="16"/>
              </w:rPr>
            </w:pPr>
          </w:p>
          <w:p w14:paraId="06FC865D" w14:textId="77777777" w:rsidR="003665E7" w:rsidRPr="00007BC8" w:rsidRDefault="003665E7" w:rsidP="003665E7">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c>
          <w:tcPr>
            <w:tcW w:w="1040" w:type="dxa"/>
          </w:tcPr>
          <w:p w14:paraId="20BB4AD2" w14:textId="7B0DFF44" w:rsidR="003665E7" w:rsidRDefault="003665E7" w:rsidP="00656786">
            <w:pPr>
              <w:rPr>
                <w:rFonts w:asciiTheme="minorHAnsi" w:hAnsiTheme="minorHAnsi" w:cstheme="minorHAnsi"/>
                <w:sz w:val="16"/>
                <w:szCs w:val="16"/>
              </w:rPr>
            </w:pPr>
            <w:r w:rsidRPr="003665E7">
              <w:rPr>
                <w:rFonts w:asciiTheme="minorHAnsi" w:hAnsiTheme="minorHAnsi" w:cstheme="minorHAnsi"/>
                <w:sz w:val="16"/>
                <w:szCs w:val="16"/>
              </w:rPr>
              <w:t>Parents in 5+ member households</w:t>
            </w:r>
          </w:p>
          <w:p w14:paraId="6306BD33" w14:textId="77777777" w:rsidR="00007BC8" w:rsidRPr="003665E7" w:rsidRDefault="00007BC8" w:rsidP="00656786">
            <w:pPr>
              <w:rPr>
                <w:rFonts w:asciiTheme="minorHAnsi" w:hAnsiTheme="minorHAnsi" w:cstheme="minorHAnsi"/>
                <w:sz w:val="16"/>
                <w:szCs w:val="16"/>
              </w:rPr>
            </w:pPr>
          </w:p>
          <w:p w14:paraId="4C321422" w14:textId="77777777" w:rsidR="003665E7" w:rsidRPr="00007BC8" w:rsidRDefault="003665E7" w:rsidP="003665E7">
            <w:pPr>
              <w:jc w:val="center"/>
              <w:rPr>
                <w:rFonts w:asciiTheme="minorHAnsi" w:hAnsiTheme="minorHAnsi" w:cstheme="minorHAnsi"/>
                <w:i/>
                <w:iCs/>
                <w:sz w:val="16"/>
                <w:szCs w:val="16"/>
              </w:rPr>
            </w:pPr>
            <w:r w:rsidRPr="00007BC8">
              <w:rPr>
                <w:rFonts w:asciiTheme="minorHAnsi" w:hAnsiTheme="minorHAnsi" w:cstheme="minorHAnsi"/>
                <w:i/>
                <w:iCs/>
                <w:sz w:val="16"/>
                <w:szCs w:val="16"/>
              </w:rPr>
              <w:t>(%)</w:t>
            </w:r>
          </w:p>
        </w:tc>
      </w:tr>
      <w:tr w:rsidR="003665E7" w:rsidRPr="003665E7" w14:paraId="112531AA" w14:textId="77777777" w:rsidTr="003665E7">
        <w:tc>
          <w:tcPr>
            <w:tcW w:w="2126" w:type="dxa"/>
          </w:tcPr>
          <w:p w14:paraId="53E83878" w14:textId="77777777" w:rsidR="003665E7" w:rsidRPr="003665E7" w:rsidRDefault="003665E7" w:rsidP="00656786">
            <w:pPr>
              <w:rPr>
                <w:rFonts w:asciiTheme="minorHAnsi" w:hAnsiTheme="minorHAnsi" w:cstheme="minorHAnsi"/>
                <w:sz w:val="18"/>
                <w:szCs w:val="18"/>
              </w:rPr>
            </w:pPr>
            <w:r w:rsidRPr="003665E7">
              <w:rPr>
                <w:rFonts w:asciiTheme="minorHAnsi" w:hAnsiTheme="minorHAnsi" w:cstheme="minorHAnsi"/>
                <w:sz w:val="18"/>
                <w:szCs w:val="18"/>
              </w:rPr>
              <w:t>Children’s social work teams</w:t>
            </w:r>
          </w:p>
        </w:tc>
        <w:tc>
          <w:tcPr>
            <w:tcW w:w="1039" w:type="dxa"/>
            <w:shd w:val="clear" w:color="auto" w:fill="auto"/>
          </w:tcPr>
          <w:p w14:paraId="0ECB41AB"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55</w:t>
            </w:r>
          </w:p>
        </w:tc>
        <w:tc>
          <w:tcPr>
            <w:tcW w:w="1040" w:type="dxa"/>
          </w:tcPr>
          <w:p w14:paraId="26A2EA14"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55</w:t>
            </w:r>
          </w:p>
        </w:tc>
        <w:tc>
          <w:tcPr>
            <w:tcW w:w="1039" w:type="dxa"/>
          </w:tcPr>
          <w:p w14:paraId="52FADA81"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38</w:t>
            </w:r>
          </w:p>
        </w:tc>
        <w:tc>
          <w:tcPr>
            <w:tcW w:w="1040" w:type="dxa"/>
          </w:tcPr>
          <w:p w14:paraId="7C9D6D83"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52</w:t>
            </w:r>
          </w:p>
        </w:tc>
        <w:tc>
          <w:tcPr>
            <w:tcW w:w="1039" w:type="dxa"/>
          </w:tcPr>
          <w:p w14:paraId="3E7F34F3"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50</w:t>
            </w:r>
          </w:p>
        </w:tc>
        <w:tc>
          <w:tcPr>
            <w:tcW w:w="1040" w:type="dxa"/>
          </w:tcPr>
          <w:p w14:paraId="311F1995"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55</w:t>
            </w:r>
          </w:p>
        </w:tc>
      </w:tr>
      <w:tr w:rsidR="003665E7" w:rsidRPr="003665E7" w14:paraId="7B5FC72B" w14:textId="77777777" w:rsidTr="003665E7">
        <w:tc>
          <w:tcPr>
            <w:tcW w:w="2126" w:type="dxa"/>
          </w:tcPr>
          <w:p w14:paraId="5AEEF3A3" w14:textId="77777777" w:rsidR="003665E7" w:rsidRPr="003665E7" w:rsidRDefault="003665E7" w:rsidP="00656786">
            <w:pPr>
              <w:rPr>
                <w:rFonts w:asciiTheme="minorHAnsi" w:hAnsiTheme="minorHAnsi" w:cstheme="minorHAnsi"/>
                <w:sz w:val="18"/>
                <w:szCs w:val="18"/>
              </w:rPr>
            </w:pPr>
            <w:r w:rsidRPr="003665E7">
              <w:rPr>
                <w:rFonts w:asciiTheme="minorHAnsi" w:hAnsiTheme="minorHAnsi" w:cstheme="minorHAnsi"/>
                <w:sz w:val="18"/>
                <w:szCs w:val="18"/>
              </w:rPr>
              <w:t>Local council education services</w:t>
            </w:r>
          </w:p>
        </w:tc>
        <w:tc>
          <w:tcPr>
            <w:tcW w:w="1039" w:type="dxa"/>
          </w:tcPr>
          <w:p w14:paraId="1C05ACDA"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47</w:t>
            </w:r>
          </w:p>
        </w:tc>
        <w:tc>
          <w:tcPr>
            <w:tcW w:w="1040" w:type="dxa"/>
          </w:tcPr>
          <w:p w14:paraId="20C4EB9B"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48</w:t>
            </w:r>
          </w:p>
        </w:tc>
        <w:tc>
          <w:tcPr>
            <w:tcW w:w="1039" w:type="dxa"/>
          </w:tcPr>
          <w:p w14:paraId="3D8F6CEE"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39</w:t>
            </w:r>
          </w:p>
        </w:tc>
        <w:tc>
          <w:tcPr>
            <w:tcW w:w="1040" w:type="dxa"/>
          </w:tcPr>
          <w:p w14:paraId="4252B536"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43</w:t>
            </w:r>
          </w:p>
        </w:tc>
        <w:tc>
          <w:tcPr>
            <w:tcW w:w="1039" w:type="dxa"/>
          </w:tcPr>
          <w:p w14:paraId="79FEAEC8"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48</w:t>
            </w:r>
          </w:p>
        </w:tc>
        <w:tc>
          <w:tcPr>
            <w:tcW w:w="1040" w:type="dxa"/>
          </w:tcPr>
          <w:p w14:paraId="3A842A83"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51</w:t>
            </w:r>
          </w:p>
        </w:tc>
      </w:tr>
      <w:tr w:rsidR="003665E7" w:rsidRPr="003665E7" w14:paraId="2FDC1B7C" w14:textId="77777777" w:rsidTr="003665E7">
        <w:tc>
          <w:tcPr>
            <w:tcW w:w="2126" w:type="dxa"/>
          </w:tcPr>
          <w:p w14:paraId="2468A5D3" w14:textId="77777777" w:rsidR="003665E7" w:rsidRPr="003665E7" w:rsidRDefault="003665E7" w:rsidP="00656786">
            <w:pPr>
              <w:rPr>
                <w:rFonts w:asciiTheme="minorHAnsi" w:hAnsiTheme="minorHAnsi" w:cstheme="minorHAnsi"/>
                <w:sz w:val="18"/>
                <w:szCs w:val="18"/>
              </w:rPr>
            </w:pPr>
            <w:r w:rsidRPr="003665E7">
              <w:rPr>
                <w:rFonts w:asciiTheme="minorHAnsi" w:hAnsiTheme="minorHAnsi" w:cstheme="minorHAnsi"/>
                <w:sz w:val="18"/>
                <w:szCs w:val="18"/>
              </w:rPr>
              <w:t>Early years services</w:t>
            </w:r>
          </w:p>
        </w:tc>
        <w:tc>
          <w:tcPr>
            <w:tcW w:w="1039" w:type="dxa"/>
            <w:shd w:val="clear" w:color="auto" w:fill="auto"/>
          </w:tcPr>
          <w:p w14:paraId="5DAE4407"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50</w:t>
            </w:r>
          </w:p>
        </w:tc>
        <w:tc>
          <w:tcPr>
            <w:tcW w:w="1040" w:type="dxa"/>
          </w:tcPr>
          <w:p w14:paraId="0174991D"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52</w:t>
            </w:r>
          </w:p>
        </w:tc>
        <w:tc>
          <w:tcPr>
            <w:tcW w:w="1039" w:type="dxa"/>
          </w:tcPr>
          <w:p w14:paraId="71229578"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43</w:t>
            </w:r>
          </w:p>
        </w:tc>
        <w:tc>
          <w:tcPr>
            <w:tcW w:w="1040" w:type="dxa"/>
          </w:tcPr>
          <w:p w14:paraId="56CD15AE"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47</w:t>
            </w:r>
          </w:p>
        </w:tc>
        <w:tc>
          <w:tcPr>
            <w:tcW w:w="1039" w:type="dxa"/>
          </w:tcPr>
          <w:p w14:paraId="14C5879C"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45</w:t>
            </w:r>
          </w:p>
        </w:tc>
        <w:tc>
          <w:tcPr>
            <w:tcW w:w="1040" w:type="dxa"/>
          </w:tcPr>
          <w:p w14:paraId="78F02583"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52</w:t>
            </w:r>
          </w:p>
        </w:tc>
      </w:tr>
      <w:tr w:rsidR="003665E7" w:rsidRPr="003665E7" w14:paraId="2A0E6B4E" w14:textId="77777777" w:rsidTr="003665E7">
        <w:tc>
          <w:tcPr>
            <w:tcW w:w="2126" w:type="dxa"/>
          </w:tcPr>
          <w:p w14:paraId="2A17387E" w14:textId="77777777" w:rsidR="003665E7" w:rsidRPr="003665E7" w:rsidRDefault="003665E7" w:rsidP="00656786">
            <w:pPr>
              <w:rPr>
                <w:rFonts w:asciiTheme="minorHAnsi" w:hAnsiTheme="minorHAnsi" w:cstheme="minorHAnsi"/>
                <w:sz w:val="18"/>
                <w:szCs w:val="18"/>
              </w:rPr>
            </w:pPr>
            <w:r w:rsidRPr="003665E7">
              <w:rPr>
                <w:rFonts w:asciiTheme="minorHAnsi" w:hAnsiTheme="minorHAnsi" w:cstheme="minorHAnsi"/>
                <w:sz w:val="18"/>
                <w:szCs w:val="18"/>
              </w:rPr>
              <w:t>Police and criminal justice</w:t>
            </w:r>
          </w:p>
        </w:tc>
        <w:tc>
          <w:tcPr>
            <w:tcW w:w="1039" w:type="dxa"/>
          </w:tcPr>
          <w:p w14:paraId="57DF0872"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49</w:t>
            </w:r>
          </w:p>
        </w:tc>
        <w:tc>
          <w:tcPr>
            <w:tcW w:w="1040" w:type="dxa"/>
          </w:tcPr>
          <w:p w14:paraId="2253F2FB"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49</w:t>
            </w:r>
          </w:p>
        </w:tc>
        <w:tc>
          <w:tcPr>
            <w:tcW w:w="1039" w:type="dxa"/>
          </w:tcPr>
          <w:p w14:paraId="099D3A70"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28</w:t>
            </w:r>
          </w:p>
        </w:tc>
        <w:tc>
          <w:tcPr>
            <w:tcW w:w="1040" w:type="dxa"/>
          </w:tcPr>
          <w:p w14:paraId="6FD79774"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43</w:t>
            </w:r>
          </w:p>
        </w:tc>
        <w:tc>
          <w:tcPr>
            <w:tcW w:w="1039" w:type="dxa"/>
          </w:tcPr>
          <w:p w14:paraId="3CDA22E5"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50</w:t>
            </w:r>
          </w:p>
        </w:tc>
        <w:tc>
          <w:tcPr>
            <w:tcW w:w="1040" w:type="dxa"/>
          </w:tcPr>
          <w:p w14:paraId="17797872"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54</w:t>
            </w:r>
          </w:p>
        </w:tc>
      </w:tr>
      <w:tr w:rsidR="003665E7" w:rsidRPr="003665E7" w14:paraId="088AD9B8" w14:textId="77777777" w:rsidTr="003665E7">
        <w:tc>
          <w:tcPr>
            <w:tcW w:w="2126" w:type="dxa"/>
          </w:tcPr>
          <w:p w14:paraId="06376A87" w14:textId="77777777" w:rsidR="003665E7" w:rsidRPr="003665E7" w:rsidRDefault="003665E7" w:rsidP="00656786">
            <w:pPr>
              <w:rPr>
                <w:rFonts w:asciiTheme="minorHAnsi" w:hAnsiTheme="minorHAnsi" w:cstheme="minorHAnsi"/>
                <w:sz w:val="18"/>
                <w:szCs w:val="18"/>
              </w:rPr>
            </w:pPr>
            <w:r w:rsidRPr="003665E7">
              <w:rPr>
                <w:rFonts w:asciiTheme="minorHAnsi" w:hAnsiTheme="minorHAnsi" w:cstheme="minorHAnsi"/>
                <w:sz w:val="18"/>
                <w:szCs w:val="18"/>
              </w:rPr>
              <w:t>Immigration</w:t>
            </w:r>
          </w:p>
        </w:tc>
        <w:tc>
          <w:tcPr>
            <w:tcW w:w="1039" w:type="dxa"/>
          </w:tcPr>
          <w:p w14:paraId="16FE72B2"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35</w:t>
            </w:r>
          </w:p>
        </w:tc>
        <w:tc>
          <w:tcPr>
            <w:tcW w:w="1040" w:type="dxa"/>
          </w:tcPr>
          <w:p w14:paraId="3A82CC3D"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33</w:t>
            </w:r>
          </w:p>
        </w:tc>
        <w:tc>
          <w:tcPr>
            <w:tcW w:w="1039" w:type="dxa"/>
          </w:tcPr>
          <w:p w14:paraId="46E21521"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24</w:t>
            </w:r>
          </w:p>
        </w:tc>
        <w:tc>
          <w:tcPr>
            <w:tcW w:w="1040" w:type="dxa"/>
          </w:tcPr>
          <w:p w14:paraId="6A516C13"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31</w:t>
            </w:r>
          </w:p>
        </w:tc>
        <w:tc>
          <w:tcPr>
            <w:tcW w:w="1039" w:type="dxa"/>
          </w:tcPr>
          <w:p w14:paraId="50AC13FB"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34</w:t>
            </w:r>
          </w:p>
        </w:tc>
        <w:tc>
          <w:tcPr>
            <w:tcW w:w="1040" w:type="dxa"/>
          </w:tcPr>
          <w:p w14:paraId="7487606B" w14:textId="77777777" w:rsidR="003665E7" w:rsidRPr="003665E7" w:rsidRDefault="003665E7" w:rsidP="00656786">
            <w:pPr>
              <w:jc w:val="center"/>
              <w:rPr>
                <w:rFonts w:asciiTheme="minorHAnsi" w:hAnsiTheme="minorHAnsi" w:cstheme="minorHAnsi"/>
                <w:sz w:val="20"/>
                <w:szCs w:val="20"/>
              </w:rPr>
            </w:pPr>
            <w:r w:rsidRPr="003665E7">
              <w:rPr>
                <w:rFonts w:asciiTheme="minorHAnsi" w:hAnsiTheme="minorHAnsi" w:cstheme="minorHAnsi"/>
                <w:sz w:val="20"/>
                <w:szCs w:val="20"/>
              </w:rPr>
              <w:t>38</w:t>
            </w:r>
          </w:p>
        </w:tc>
      </w:tr>
      <w:bookmarkEnd w:id="17"/>
    </w:tbl>
    <w:p w14:paraId="240F2432" w14:textId="77777777" w:rsidR="0009116F" w:rsidRPr="001C343D" w:rsidRDefault="0009116F"/>
    <w:sectPr w:rsidR="0009116F" w:rsidRPr="001C343D" w:rsidSect="008724F6">
      <w:footerReference w:type="default" r:id="rId4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17D10" w14:textId="77777777" w:rsidR="00E90C24" w:rsidRDefault="00E90C24" w:rsidP="0097277F">
      <w:r>
        <w:separator/>
      </w:r>
    </w:p>
  </w:endnote>
  <w:endnote w:type="continuationSeparator" w:id="0">
    <w:p w14:paraId="71233281" w14:textId="77777777" w:rsidR="00E90C24" w:rsidRDefault="00E90C24" w:rsidP="0097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lantin-Bold">
    <w:altName w:val="Cambria"/>
    <w:panose1 w:val="00000000000000000000"/>
    <w:charset w:val="00"/>
    <w:family w:val="roman"/>
    <w:notTrueType/>
    <w:pitch w:val="default"/>
    <w:sig w:usb0="00000003" w:usb1="00000000" w:usb2="00000000" w:usb3="00000000" w:csb0="00000001" w:csb1="00000000"/>
  </w:font>
  <w:font w:name="TiemposText-Regula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TT2cba4af3.B">
    <w:altName w:val="Cambria"/>
    <w:panose1 w:val="00000000000000000000"/>
    <w:charset w:val="00"/>
    <w:family w:val="roman"/>
    <w:notTrueType/>
    <w:pitch w:val="default"/>
    <w:sig w:usb0="00000003" w:usb1="00000000" w:usb2="00000000" w:usb3="00000000" w:csb0="00000001" w:csb1="00000000"/>
  </w:font>
  <w:font w:name="AdvTT5843c571">
    <w:altName w:val="Cambria"/>
    <w:panose1 w:val="00000000000000000000"/>
    <w:charset w:val="00"/>
    <w:family w:val="roman"/>
    <w:notTrueType/>
    <w:pitch w:val="default"/>
    <w:sig w:usb0="00000003" w:usb1="00000000" w:usb2="00000000" w:usb3="00000000" w:csb0="00000001" w:csb1="00000000"/>
  </w:font>
  <w:font w:name="Aparajita">
    <w:panose1 w:val="020B0604020202020204"/>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dvTT5843c571+20">
    <w:altName w:val="Calibri"/>
    <w:panose1 w:val="00000000000000000000"/>
    <w:charset w:val="00"/>
    <w:family w:val="swiss"/>
    <w:notTrueType/>
    <w:pitch w:val="default"/>
    <w:sig w:usb0="00000003" w:usb1="00000000" w:usb2="00000000" w:usb3="00000000" w:csb0="00000001" w:csb1="00000000"/>
  </w:font>
  <w:font w:name="AdvOT1ef757c0">
    <w:altName w:val="Cambria"/>
    <w:panose1 w:val="00000000000000000000"/>
    <w:charset w:val="00"/>
    <w:family w:val="roman"/>
    <w:notTrueType/>
    <w:pitch w:val="default"/>
    <w:sig w:usb0="00000003" w:usb1="00000000" w:usb2="00000000" w:usb3="00000000" w:csb0="00000001" w:csb1="00000000"/>
  </w:font>
  <w:font w:name="AdvOT7d6df7ab.I">
    <w:altName w:val="Calibri"/>
    <w:panose1 w:val="00000000000000000000"/>
    <w:charset w:val="00"/>
    <w:family w:val="swiss"/>
    <w:notTrueType/>
    <w:pitch w:val="default"/>
    <w:sig w:usb0="00000003" w:usb1="00000000" w:usb2="00000000" w:usb3="00000000" w:csb0="00000001" w:csb1="00000000"/>
  </w:font>
  <w:font w:name="AdvTTf90d833a.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535826"/>
      <w:docPartObj>
        <w:docPartGallery w:val="Page Numbers (Bottom of Page)"/>
        <w:docPartUnique/>
      </w:docPartObj>
    </w:sdtPr>
    <w:sdtEndPr>
      <w:rPr>
        <w:noProof/>
      </w:rPr>
    </w:sdtEndPr>
    <w:sdtContent>
      <w:p w14:paraId="281DBBD7" w14:textId="202A105C" w:rsidR="006E19BC" w:rsidRDefault="006E19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8E3F9E" w14:textId="77777777" w:rsidR="006E19BC" w:rsidRDefault="006E1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767C2" w14:textId="77777777" w:rsidR="00E90C24" w:rsidRDefault="00E90C24" w:rsidP="0097277F">
      <w:r>
        <w:separator/>
      </w:r>
    </w:p>
  </w:footnote>
  <w:footnote w:type="continuationSeparator" w:id="0">
    <w:p w14:paraId="5C2EA2C7" w14:textId="77777777" w:rsidR="00E90C24" w:rsidRDefault="00E90C24" w:rsidP="0097277F">
      <w:r>
        <w:continuationSeparator/>
      </w:r>
    </w:p>
  </w:footnote>
  <w:footnote w:id="1">
    <w:p w14:paraId="2B521C6B" w14:textId="0CF2343E" w:rsidR="006E19BC" w:rsidRDefault="006E19BC">
      <w:pPr>
        <w:pStyle w:val="FootnoteText"/>
      </w:pPr>
      <w:r>
        <w:rPr>
          <w:rStyle w:val="FootnoteReference"/>
        </w:rPr>
        <w:footnoteRef/>
      </w:r>
      <w:r>
        <w:t xml:space="preserve">  </w:t>
      </w:r>
      <w:hyperlink r:id="rId1" w:anchor=":~:text=The%20Early%20Intervention%20Foundation%20(EIF,risk%20of%20experiencing%20poor%20outcomes" w:history="1">
        <w:r w:rsidRPr="000C7064">
          <w:rPr>
            <w:rStyle w:val="Hyperlink"/>
          </w:rPr>
          <w:t>https://www.eif.org.uk/about/who-is-eif#:~:text=The%20Early%20Intervention%20Foundation%20(EIF,risk%20of%20experiencing%20poor%20outcomes</w:t>
        </w:r>
      </w:hyperlink>
      <w:r w:rsidRPr="00423939">
        <w:t>.</w:t>
      </w:r>
      <w:r>
        <w:t xml:space="preserve"> </w:t>
      </w:r>
    </w:p>
  </w:footnote>
  <w:footnote w:id="2">
    <w:p w14:paraId="2C7D901B" w14:textId="0A82535E" w:rsidR="006E19BC" w:rsidRPr="00450155" w:rsidRDefault="006E19BC" w:rsidP="0097277F">
      <w:pPr>
        <w:pStyle w:val="FootnoteText"/>
        <w:rPr>
          <w:rFonts w:asciiTheme="minorHAnsi" w:hAnsiTheme="minorHAnsi" w:cstheme="minorHAnsi"/>
        </w:rPr>
      </w:pPr>
      <w:r w:rsidRPr="00450155">
        <w:rPr>
          <w:rStyle w:val="FootnoteReference"/>
          <w:rFonts w:asciiTheme="minorHAnsi" w:hAnsiTheme="minorHAnsi" w:cstheme="minorHAnsi"/>
        </w:rPr>
        <w:footnoteRef/>
      </w:r>
      <w:r w:rsidRPr="00450155">
        <w:rPr>
          <w:rFonts w:asciiTheme="minorHAnsi" w:hAnsiTheme="minorHAnsi" w:cstheme="minorHAnsi"/>
        </w:rPr>
        <w:t xml:space="preserve">  The survey discussed in this article received ethical approval from</w:t>
      </w:r>
      <w:r w:rsidR="00450155" w:rsidRPr="00450155">
        <w:rPr>
          <w:rFonts w:asciiTheme="minorHAnsi" w:hAnsiTheme="minorHAnsi" w:cstheme="minorHAnsi"/>
        </w:rPr>
        <w:t xml:space="preserve"> the University of Southampton</w:t>
      </w:r>
      <w:r w:rsidRPr="00450155">
        <w:rPr>
          <w:rFonts w:asciiTheme="minorHAnsi" w:hAnsiTheme="minorHAnsi" w:cstheme="minorHAnsi"/>
        </w:rPr>
        <w:t xml:space="preserve">, ID </w:t>
      </w:r>
      <w:r w:rsidR="00450155" w:rsidRPr="00450155">
        <w:rPr>
          <w:rFonts w:asciiTheme="minorHAnsi" w:hAnsiTheme="minorHAnsi" w:cstheme="minorHAnsi"/>
        </w:rPr>
        <w:t>56997</w:t>
      </w:r>
      <w:r w:rsidRPr="00450155">
        <w:rPr>
          <w:rFonts w:asciiTheme="minorHAnsi" w:hAnsiTheme="minorHAnsi" w:cstheme="minorHAnsi"/>
        </w:rPr>
        <w:t xml:space="preserve">.  </w:t>
      </w:r>
    </w:p>
  </w:footnote>
  <w:footnote w:id="3">
    <w:p w14:paraId="44E49E01" w14:textId="73AF278F" w:rsidR="006E19BC" w:rsidRDefault="006E19BC">
      <w:pPr>
        <w:pStyle w:val="FootnoteText"/>
      </w:pPr>
      <w:r>
        <w:rPr>
          <w:rStyle w:val="FootnoteReference"/>
        </w:rPr>
        <w:footnoteRef/>
      </w:r>
      <w:r>
        <w:t xml:space="preserve">  A segmented approach has been </w:t>
      </w:r>
      <w:r w:rsidRPr="00D8309C">
        <w:t xml:space="preserve">recommended </w:t>
      </w:r>
      <w:r>
        <w:t xml:space="preserve">with respect to different services because of the ‘chilling’ effects of mistrust in particular public institutions by marginalised and disadvantaged groups, so that distrust of one service such as the police does not ‘chill’ into distrust of data surveillance by another service such as public health – albeit its own messages about re/building trust are generalised </w:t>
      </w:r>
      <w:r w:rsidRPr="00D8309C">
        <w:t>(ARI</w:t>
      </w:r>
      <w:r>
        <w:t xml:space="preserve"> Working Group 3</w:t>
      </w:r>
      <w:r w:rsidRPr="00D8309C">
        <w:t>, 20</w:t>
      </w:r>
      <w:r>
        <w:t>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D7930"/>
    <w:multiLevelType w:val="hybridMultilevel"/>
    <w:tmpl w:val="1172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61D2A"/>
    <w:multiLevelType w:val="hybridMultilevel"/>
    <w:tmpl w:val="2ABE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A727C"/>
    <w:multiLevelType w:val="hybridMultilevel"/>
    <w:tmpl w:val="8484451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F35D0A"/>
    <w:multiLevelType w:val="hybridMultilevel"/>
    <w:tmpl w:val="32122CC8"/>
    <w:lvl w:ilvl="0" w:tplc="D3A4C9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25056"/>
    <w:multiLevelType w:val="multilevel"/>
    <w:tmpl w:val="B9767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41C4817"/>
    <w:multiLevelType w:val="hybridMultilevel"/>
    <w:tmpl w:val="A52C2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4A"/>
    <w:rsid w:val="00002E8A"/>
    <w:rsid w:val="00003208"/>
    <w:rsid w:val="00007BC8"/>
    <w:rsid w:val="000279F0"/>
    <w:rsid w:val="000371AE"/>
    <w:rsid w:val="00037632"/>
    <w:rsid w:val="00037E23"/>
    <w:rsid w:val="00046282"/>
    <w:rsid w:val="000500DA"/>
    <w:rsid w:val="00060E4F"/>
    <w:rsid w:val="00061D9A"/>
    <w:rsid w:val="00073F66"/>
    <w:rsid w:val="00081B04"/>
    <w:rsid w:val="00090C64"/>
    <w:rsid w:val="00090D29"/>
    <w:rsid w:val="0009116F"/>
    <w:rsid w:val="0009637F"/>
    <w:rsid w:val="000A19E7"/>
    <w:rsid w:val="000A626A"/>
    <w:rsid w:val="000C050E"/>
    <w:rsid w:val="000C5B34"/>
    <w:rsid w:val="000C6EE8"/>
    <w:rsid w:val="000D1DEC"/>
    <w:rsid w:val="000E0E3F"/>
    <w:rsid w:val="000E37B2"/>
    <w:rsid w:val="000E74CD"/>
    <w:rsid w:val="000F0CF5"/>
    <w:rsid w:val="000F28D9"/>
    <w:rsid w:val="000F4AC3"/>
    <w:rsid w:val="000F6C24"/>
    <w:rsid w:val="00104FF0"/>
    <w:rsid w:val="00110EF8"/>
    <w:rsid w:val="00122A6B"/>
    <w:rsid w:val="001235DA"/>
    <w:rsid w:val="001324FB"/>
    <w:rsid w:val="00137AD9"/>
    <w:rsid w:val="00140432"/>
    <w:rsid w:val="001448E2"/>
    <w:rsid w:val="001549E1"/>
    <w:rsid w:val="0016054B"/>
    <w:rsid w:val="001632BA"/>
    <w:rsid w:val="001643B7"/>
    <w:rsid w:val="00171E61"/>
    <w:rsid w:val="0017280A"/>
    <w:rsid w:val="001748DB"/>
    <w:rsid w:val="0017523D"/>
    <w:rsid w:val="00187B99"/>
    <w:rsid w:val="00192D61"/>
    <w:rsid w:val="001944D4"/>
    <w:rsid w:val="001A3644"/>
    <w:rsid w:val="001A59FF"/>
    <w:rsid w:val="001A6EC1"/>
    <w:rsid w:val="001B37AB"/>
    <w:rsid w:val="001C343D"/>
    <w:rsid w:val="001C3A6C"/>
    <w:rsid w:val="001C476D"/>
    <w:rsid w:val="001C6C56"/>
    <w:rsid w:val="001E123E"/>
    <w:rsid w:val="001E6A92"/>
    <w:rsid w:val="001F259E"/>
    <w:rsid w:val="001F7D5E"/>
    <w:rsid w:val="001F7E6C"/>
    <w:rsid w:val="002067D0"/>
    <w:rsid w:val="00220E8C"/>
    <w:rsid w:val="00222FF3"/>
    <w:rsid w:val="0022634C"/>
    <w:rsid w:val="00226747"/>
    <w:rsid w:val="00233009"/>
    <w:rsid w:val="00234AD1"/>
    <w:rsid w:val="00246CF8"/>
    <w:rsid w:val="00246E15"/>
    <w:rsid w:val="00247BD5"/>
    <w:rsid w:val="00254FD8"/>
    <w:rsid w:val="00255435"/>
    <w:rsid w:val="00255E7F"/>
    <w:rsid w:val="00256123"/>
    <w:rsid w:val="002616AB"/>
    <w:rsid w:val="00262E54"/>
    <w:rsid w:val="00265724"/>
    <w:rsid w:val="002725A7"/>
    <w:rsid w:val="002741BA"/>
    <w:rsid w:val="0028527C"/>
    <w:rsid w:val="002863D6"/>
    <w:rsid w:val="0029065C"/>
    <w:rsid w:val="00295A64"/>
    <w:rsid w:val="002B449D"/>
    <w:rsid w:val="002B6D3D"/>
    <w:rsid w:val="002C56F4"/>
    <w:rsid w:val="002C7806"/>
    <w:rsid w:val="002D06B7"/>
    <w:rsid w:val="002D1E46"/>
    <w:rsid w:val="002D689B"/>
    <w:rsid w:val="002E3CB2"/>
    <w:rsid w:val="002F2B24"/>
    <w:rsid w:val="002F3205"/>
    <w:rsid w:val="002F37B3"/>
    <w:rsid w:val="00302AA9"/>
    <w:rsid w:val="003059B7"/>
    <w:rsid w:val="00306138"/>
    <w:rsid w:val="003113A6"/>
    <w:rsid w:val="0032176B"/>
    <w:rsid w:val="0032473D"/>
    <w:rsid w:val="00327232"/>
    <w:rsid w:val="00327BA9"/>
    <w:rsid w:val="00331C50"/>
    <w:rsid w:val="0034119F"/>
    <w:rsid w:val="003423D5"/>
    <w:rsid w:val="003437C7"/>
    <w:rsid w:val="0034669C"/>
    <w:rsid w:val="00351DDE"/>
    <w:rsid w:val="00352A1E"/>
    <w:rsid w:val="00362EE1"/>
    <w:rsid w:val="003665E7"/>
    <w:rsid w:val="00366A0E"/>
    <w:rsid w:val="00375F4D"/>
    <w:rsid w:val="00384096"/>
    <w:rsid w:val="003B1CBB"/>
    <w:rsid w:val="003B687D"/>
    <w:rsid w:val="003C0469"/>
    <w:rsid w:val="003D5F7A"/>
    <w:rsid w:val="003E0F72"/>
    <w:rsid w:val="003E2B81"/>
    <w:rsid w:val="003E68E5"/>
    <w:rsid w:val="00403279"/>
    <w:rsid w:val="00414402"/>
    <w:rsid w:val="00423939"/>
    <w:rsid w:val="0042427D"/>
    <w:rsid w:val="00427513"/>
    <w:rsid w:val="0043031F"/>
    <w:rsid w:val="004314DE"/>
    <w:rsid w:val="00431945"/>
    <w:rsid w:val="004374E7"/>
    <w:rsid w:val="00450155"/>
    <w:rsid w:val="00454344"/>
    <w:rsid w:val="00457509"/>
    <w:rsid w:val="00470DFD"/>
    <w:rsid w:val="00477657"/>
    <w:rsid w:val="004828D3"/>
    <w:rsid w:val="00484164"/>
    <w:rsid w:val="00486971"/>
    <w:rsid w:val="00491201"/>
    <w:rsid w:val="004920A2"/>
    <w:rsid w:val="00495662"/>
    <w:rsid w:val="004A091B"/>
    <w:rsid w:val="004B096D"/>
    <w:rsid w:val="004B5842"/>
    <w:rsid w:val="004B61B2"/>
    <w:rsid w:val="004C5423"/>
    <w:rsid w:val="004D1558"/>
    <w:rsid w:val="004E424D"/>
    <w:rsid w:val="004F3429"/>
    <w:rsid w:val="004F5809"/>
    <w:rsid w:val="00501449"/>
    <w:rsid w:val="005063BD"/>
    <w:rsid w:val="00506C41"/>
    <w:rsid w:val="0052051A"/>
    <w:rsid w:val="005205EF"/>
    <w:rsid w:val="0052533E"/>
    <w:rsid w:val="00525A78"/>
    <w:rsid w:val="00533551"/>
    <w:rsid w:val="00533806"/>
    <w:rsid w:val="005541DD"/>
    <w:rsid w:val="00557931"/>
    <w:rsid w:val="00565E20"/>
    <w:rsid w:val="00566521"/>
    <w:rsid w:val="00573361"/>
    <w:rsid w:val="005741A5"/>
    <w:rsid w:val="00585900"/>
    <w:rsid w:val="00590520"/>
    <w:rsid w:val="0059668B"/>
    <w:rsid w:val="005A45F5"/>
    <w:rsid w:val="005A5ACF"/>
    <w:rsid w:val="005B4D41"/>
    <w:rsid w:val="005B615D"/>
    <w:rsid w:val="005C2035"/>
    <w:rsid w:val="005C7508"/>
    <w:rsid w:val="005D403A"/>
    <w:rsid w:val="005D73B5"/>
    <w:rsid w:val="005E7BB5"/>
    <w:rsid w:val="005F6A5C"/>
    <w:rsid w:val="00600B49"/>
    <w:rsid w:val="0061290C"/>
    <w:rsid w:val="00615125"/>
    <w:rsid w:val="00621046"/>
    <w:rsid w:val="0062281C"/>
    <w:rsid w:val="00622E18"/>
    <w:rsid w:val="00627CD0"/>
    <w:rsid w:val="00652144"/>
    <w:rsid w:val="00652BB9"/>
    <w:rsid w:val="00656786"/>
    <w:rsid w:val="006606E6"/>
    <w:rsid w:val="00662F31"/>
    <w:rsid w:val="00665B9D"/>
    <w:rsid w:val="006675BF"/>
    <w:rsid w:val="00670C84"/>
    <w:rsid w:val="00671701"/>
    <w:rsid w:val="006747A9"/>
    <w:rsid w:val="00682728"/>
    <w:rsid w:val="00683EDE"/>
    <w:rsid w:val="00695651"/>
    <w:rsid w:val="006A1B4D"/>
    <w:rsid w:val="006A45DA"/>
    <w:rsid w:val="006A5175"/>
    <w:rsid w:val="006A7F2B"/>
    <w:rsid w:val="006C4540"/>
    <w:rsid w:val="006C698A"/>
    <w:rsid w:val="006D10C4"/>
    <w:rsid w:val="006D423A"/>
    <w:rsid w:val="006E19BC"/>
    <w:rsid w:val="006E3C65"/>
    <w:rsid w:val="006E41AC"/>
    <w:rsid w:val="006F3EFD"/>
    <w:rsid w:val="006F602B"/>
    <w:rsid w:val="006F7885"/>
    <w:rsid w:val="0070286A"/>
    <w:rsid w:val="00706040"/>
    <w:rsid w:val="00707211"/>
    <w:rsid w:val="00716706"/>
    <w:rsid w:val="00716DE3"/>
    <w:rsid w:val="007236FB"/>
    <w:rsid w:val="00741BC2"/>
    <w:rsid w:val="00742B59"/>
    <w:rsid w:val="00747586"/>
    <w:rsid w:val="00750BCF"/>
    <w:rsid w:val="00752ED9"/>
    <w:rsid w:val="0075408D"/>
    <w:rsid w:val="00755596"/>
    <w:rsid w:val="00760CD6"/>
    <w:rsid w:val="007672E5"/>
    <w:rsid w:val="00773C7D"/>
    <w:rsid w:val="00777CCE"/>
    <w:rsid w:val="00781043"/>
    <w:rsid w:val="0078447A"/>
    <w:rsid w:val="00793092"/>
    <w:rsid w:val="007950FA"/>
    <w:rsid w:val="00796FA2"/>
    <w:rsid w:val="007A0BC5"/>
    <w:rsid w:val="007A165E"/>
    <w:rsid w:val="007A7878"/>
    <w:rsid w:val="007B24DF"/>
    <w:rsid w:val="007B4AC9"/>
    <w:rsid w:val="007C2860"/>
    <w:rsid w:val="007D3853"/>
    <w:rsid w:val="007D5B21"/>
    <w:rsid w:val="007D5E18"/>
    <w:rsid w:val="007D7AF5"/>
    <w:rsid w:val="007E555A"/>
    <w:rsid w:val="007E62CA"/>
    <w:rsid w:val="007E65F8"/>
    <w:rsid w:val="007F4E25"/>
    <w:rsid w:val="0080135E"/>
    <w:rsid w:val="00807032"/>
    <w:rsid w:val="00810F3E"/>
    <w:rsid w:val="00831D1E"/>
    <w:rsid w:val="0084361E"/>
    <w:rsid w:val="00854AC9"/>
    <w:rsid w:val="00855DA1"/>
    <w:rsid w:val="00861C62"/>
    <w:rsid w:val="00862D06"/>
    <w:rsid w:val="008672D1"/>
    <w:rsid w:val="00871001"/>
    <w:rsid w:val="008724F6"/>
    <w:rsid w:val="00876221"/>
    <w:rsid w:val="0088410A"/>
    <w:rsid w:val="0088529C"/>
    <w:rsid w:val="00895989"/>
    <w:rsid w:val="00896EE0"/>
    <w:rsid w:val="008A282D"/>
    <w:rsid w:val="008A5F01"/>
    <w:rsid w:val="008B7401"/>
    <w:rsid w:val="008C3207"/>
    <w:rsid w:val="008D08B5"/>
    <w:rsid w:val="008D164E"/>
    <w:rsid w:val="008D4FB6"/>
    <w:rsid w:val="008D6E70"/>
    <w:rsid w:val="008D75B4"/>
    <w:rsid w:val="008F4F08"/>
    <w:rsid w:val="008F548B"/>
    <w:rsid w:val="0090177A"/>
    <w:rsid w:val="009045C4"/>
    <w:rsid w:val="0091681F"/>
    <w:rsid w:val="00926B6A"/>
    <w:rsid w:val="0092756D"/>
    <w:rsid w:val="00934CDC"/>
    <w:rsid w:val="00936805"/>
    <w:rsid w:val="00937C73"/>
    <w:rsid w:val="00962966"/>
    <w:rsid w:val="00962E85"/>
    <w:rsid w:val="00966303"/>
    <w:rsid w:val="0097277F"/>
    <w:rsid w:val="009743AA"/>
    <w:rsid w:val="0097461E"/>
    <w:rsid w:val="00982A2F"/>
    <w:rsid w:val="00982B38"/>
    <w:rsid w:val="00985EE7"/>
    <w:rsid w:val="00987C44"/>
    <w:rsid w:val="00991D43"/>
    <w:rsid w:val="009954F7"/>
    <w:rsid w:val="009A07B5"/>
    <w:rsid w:val="009A1225"/>
    <w:rsid w:val="009B3926"/>
    <w:rsid w:val="009B5BBE"/>
    <w:rsid w:val="009C5AA5"/>
    <w:rsid w:val="009C78A7"/>
    <w:rsid w:val="009D3233"/>
    <w:rsid w:val="009D643D"/>
    <w:rsid w:val="009E4241"/>
    <w:rsid w:val="009E4BF4"/>
    <w:rsid w:val="009F1D18"/>
    <w:rsid w:val="009F464A"/>
    <w:rsid w:val="00A00E91"/>
    <w:rsid w:val="00A01466"/>
    <w:rsid w:val="00A01BCB"/>
    <w:rsid w:val="00A0283F"/>
    <w:rsid w:val="00A03E4F"/>
    <w:rsid w:val="00A04829"/>
    <w:rsid w:val="00A1207D"/>
    <w:rsid w:val="00A15393"/>
    <w:rsid w:val="00A20255"/>
    <w:rsid w:val="00A22F48"/>
    <w:rsid w:val="00A24531"/>
    <w:rsid w:val="00A2586A"/>
    <w:rsid w:val="00A30650"/>
    <w:rsid w:val="00A31C95"/>
    <w:rsid w:val="00A357BD"/>
    <w:rsid w:val="00A45103"/>
    <w:rsid w:val="00A451CC"/>
    <w:rsid w:val="00A46AC0"/>
    <w:rsid w:val="00A54E3F"/>
    <w:rsid w:val="00A5513B"/>
    <w:rsid w:val="00A65CC9"/>
    <w:rsid w:val="00A6747B"/>
    <w:rsid w:val="00A7301D"/>
    <w:rsid w:val="00A7603C"/>
    <w:rsid w:val="00A76BB5"/>
    <w:rsid w:val="00A77FDF"/>
    <w:rsid w:val="00A8668D"/>
    <w:rsid w:val="00A870FC"/>
    <w:rsid w:val="00A945C2"/>
    <w:rsid w:val="00A94F64"/>
    <w:rsid w:val="00AA41E3"/>
    <w:rsid w:val="00AA4F05"/>
    <w:rsid w:val="00AB366C"/>
    <w:rsid w:val="00AB3C83"/>
    <w:rsid w:val="00AC10D1"/>
    <w:rsid w:val="00AC57BF"/>
    <w:rsid w:val="00AC5DD6"/>
    <w:rsid w:val="00AC7CCD"/>
    <w:rsid w:val="00AD21AB"/>
    <w:rsid w:val="00AD46B7"/>
    <w:rsid w:val="00AE09D4"/>
    <w:rsid w:val="00AE7594"/>
    <w:rsid w:val="00AE762A"/>
    <w:rsid w:val="00AF08FB"/>
    <w:rsid w:val="00AF67BF"/>
    <w:rsid w:val="00B02541"/>
    <w:rsid w:val="00B02BE1"/>
    <w:rsid w:val="00B0325D"/>
    <w:rsid w:val="00B03CA4"/>
    <w:rsid w:val="00B13893"/>
    <w:rsid w:val="00B15A02"/>
    <w:rsid w:val="00B17707"/>
    <w:rsid w:val="00B203F0"/>
    <w:rsid w:val="00B22D19"/>
    <w:rsid w:val="00B2715E"/>
    <w:rsid w:val="00B27161"/>
    <w:rsid w:val="00B3376A"/>
    <w:rsid w:val="00B51B1D"/>
    <w:rsid w:val="00B5378E"/>
    <w:rsid w:val="00B54EBA"/>
    <w:rsid w:val="00B568FE"/>
    <w:rsid w:val="00B621B2"/>
    <w:rsid w:val="00B76586"/>
    <w:rsid w:val="00B838AE"/>
    <w:rsid w:val="00B919ED"/>
    <w:rsid w:val="00B920AD"/>
    <w:rsid w:val="00BA1FB8"/>
    <w:rsid w:val="00BA3C1C"/>
    <w:rsid w:val="00BA4A67"/>
    <w:rsid w:val="00BA5174"/>
    <w:rsid w:val="00BB2380"/>
    <w:rsid w:val="00BB2B64"/>
    <w:rsid w:val="00BB33F9"/>
    <w:rsid w:val="00BD52E9"/>
    <w:rsid w:val="00BD5434"/>
    <w:rsid w:val="00BE0C9A"/>
    <w:rsid w:val="00BE2357"/>
    <w:rsid w:val="00BF0BCF"/>
    <w:rsid w:val="00BF2B14"/>
    <w:rsid w:val="00BF6BCB"/>
    <w:rsid w:val="00C01F12"/>
    <w:rsid w:val="00C046EE"/>
    <w:rsid w:val="00C12EF4"/>
    <w:rsid w:val="00C147A4"/>
    <w:rsid w:val="00C16C4B"/>
    <w:rsid w:val="00C20170"/>
    <w:rsid w:val="00C3577A"/>
    <w:rsid w:val="00C436F1"/>
    <w:rsid w:val="00C46A50"/>
    <w:rsid w:val="00C5679C"/>
    <w:rsid w:val="00C56F1F"/>
    <w:rsid w:val="00C71584"/>
    <w:rsid w:val="00C87B8E"/>
    <w:rsid w:val="00C93345"/>
    <w:rsid w:val="00CA65D6"/>
    <w:rsid w:val="00CA7C08"/>
    <w:rsid w:val="00CB089C"/>
    <w:rsid w:val="00CD2F23"/>
    <w:rsid w:val="00CD45F1"/>
    <w:rsid w:val="00CE6430"/>
    <w:rsid w:val="00CF21E9"/>
    <w:rsid w:val="00CF5600"/>
    <w:rsid w:val="00D1074A"/>
    <w:rsid w:val="00D10B35"/>
    <w:rsid w:val="00D13359"/>
    <w:rsid w:val="00D2382A"/>
    <w:rsid w:val="00D273F0"/>
    <w:rsid w:val="00D3072E"/>
    <w:rsid w:val="00D31F0B"/>
    <w:rsid w:val="00D32555"/>
    <w:rsid w:val="00D34E25"/>
    <w:rsid w:val="00D3565B"/>
    <w:rsid w:val="00D4053F"/>
    <w:rsid w:val="00D4299C"/>
    <w:rsid w:val="00D45BC7"/>
    <w:rsid w:val="00D4700A"/>
    <w:rsid w:val="00D54A8E"/>
    <w:rsid w:val="00D66B16"/>
    <w:rsid w:val="00D7332F"/>
    <w:rsid w:val="00D73C08"/>
    <w:rsid w:val="00D82392"/>
    <w:rsid w:val="00D8309C"/>
    <w:rsid w:val="00D860B5"/>
    <w:rsid w:val="00D87B63"/>
    <w:rsid w:val="00D938FE"/>
    <w:rsid w:val="00D94D24"/>
    <w:rsid w:val="00DA015D"/>
    <w:rsid w:val="00DA5CA0"/>
    <w:rsid w:val="00DB55B4"/>
    <w:rsid w:val="00DB660D"/>
    <w:rsid w:val="00DC139D"/>
    <w:rsid w:val="00DC2E19"/>
    <w:rsid w:val="00DC33F7"/>
    <w:rsid w:val="00DC4B02"/>
    <w:rsid w:val="00DD3398"/>
    <w:rsid w:val="00DD6B59"/>
    <w:rsid w:val="00DD7378"/>
    <w:rsid w:val="00DD751C"/>
    <w:rsid w:val="00DE4584"/>
    <w:rsid w:val="00DE63D0"/>
    <w:rsid w:val="00E10D4D"/>
    <w:rsid w:val="00E152E8"/>
    <w:rsid w:val="00E213BD"/>
    <w:rsid w:val="00E245F7"/>
    <w:rsid w:val="00E30A9A"/>
    <w:rsid w:val="00E316B5"/>
    <w:rsid w:val="00E36DAD"/>
    <w:rsid w:val="00E42E5A"/>
    <w:rsid w:val="00E536EE"/>
    <w:rsid w:val="00E5373F"/>
    <w:rsid w:val="00E67989"/>
    <w:rsid w:val="00E76A29"/>
    <w:rsid w:val="00E822D4"/>
    <w:rsid w:val="00E86604"/>
    <w:rsid w:val="00E8710F"/>
    <w:rsid w:val="00E90B32"/>
    <w:rsid w:val="00E90C24"/>
    <w:rsid w:val="00E923E4"/>
    <w:rsid w:val="00E93CDD"/>
    <w:rsid w:val="00E95284"/>
    <w:rsid w:val="00EA24BC"/>
    <w:rsid w:val="00EA366E"/>
    <w:rsid w:val="00EB2786"/>
    <w:rsid w:val="00EB28A3"/>
    <w:rsid w:val="00EB6486"/>
    <w:rsid w:val="00EC44E1"/>
    <w:rsid w:val="00EC6B2E"/>
    <w:rsid w:val="00EC6BD8"/>
    <w:rsid w:val="00EC78C8"/>
    <w:rsid w:val="00EC7E43"/>
    <w:rsid w:val="00EF56F4"/>
    <w:rsid w:val="00EF68AC"/>
    <w:rsid w:val="00F11FAC"/>
    <w:rsid w:val="00F22E2C"/>
    <w:rsid w:val="00F237F1"/>
    <w:rsid w:val="00F50EB5"/>
    <w:rsid w:val="00F5305B"/>
    <w:rsid w:val="00F54AD0"/>
    <w:rsid w:val="00F8281A"/>
    <w:rsid w:val="00F853A5"/>
    <w:rsid w:val="00F9166B"/>
    <w:rsid w:val="00F93100"/>
    <w:rsid w:val="00FA2C38"/>
    <w:rsid w:val="00FA3B48"/>
    <w:rsid w:val="00FA79FC"/>
    <w:rsid w:val="00FB35D6"/>
    <w:rsid w:val="00FB7428"/>
    <w:rsid w:val="00FE1733"/>
    <w:rsid w:val="00FE2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3CB58"/>
  <w15:chartTrackingRefBased/>
  <w15:docId w15:val="{CDFBDB5A-5893-4B5F-A593-C3DC482A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AF5"/>
    <w:pPr>
      <w:ind w:left="720"/>
      <w:contextualSpacing/>
    </w:pPr>
  </w:style>
  <w:style w:type="paragraph" w:styleId="FootnoteText">
    <w:name w:val="footnote text"/>
    <w:basedOn w:val="Normal"/>
    <w:link w:val="FootnoteTextChar"/>
    <w:rsid w:val="0097277F"/>
    <w:rPr>
      <w:rFonts w:ascii="Calibri" w:eastAsiaTheme="minorHAnsi" w:hAnsi="Calibri" w:cs="Calibri"/>
      <w:sz w:val="20"/>
      <w:szCs w:val="20"/>
    </w:rPr>
  </w:style>
  <w:style w:type="character" w:customStyle="1" w:styleId="FootnoteTextChar">
    <w:name w:val="Footnote Text Char"/>
    <w:basedOn w:val="DefaultParagraphFont"/>
    <w:link w:val="FootnoteText"/>
    <w:rsid w:val="0097277F"/>
    <w:rPr>
      <w:rFonts w:ascii="Calibri" w:eastAsiaTheme="minorHAnsi" w:hAnsi="Calibri" w:cs="Calibri"/>
    </w:rPr>
  </w:style>
  <w:style w:type="character" w:styleId="FootnoteReference">
    <w:name w:val="footnote reference"/>
    <w:basedOn w:val="DefaultParagraphFont"/>
    <w:rsid w:val="0097277F"/>
    <w:rPr>
      <w:vertAlign w:val="superscript"/>
    </w:rPr>
  </w:style>
  <w:style w:type="character" w:styleId="Hyperlink">
    <w:name w:val="Hyperlink"/>
    <w:basedOn w:val="DefaultParagraphFont"/>
    <w:rsid w:val="00585900"/>
    <w:rPr>
      <w:color w:val="0563C1" w:themeColor="hyperlink"/>
      <w:u w:val="single"/>
    </w:rPr>
  </w:style>
  <w:style w:type="table" w:styleId="TableGrid">
    <w:name w:val="Table Grid"/>
    <w:basedOn w:val="TableNormal"/>
    <w:rsid w:val="0058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D164E"/>
    <w:rPr>
      <w:i/>
      <w:iCs/>
    </w:rPr>
  </w:style>
  <w:style w:type="paragraph" w:styleId="BalloonText">
    <w:name w:val="Balloon Text"/>
    <w:basedOn w:val="Normal"/>
    <w:link w:val="BalloonTextChar"/>
    <w:semiHidden/>
    <w:unhideWhenUsed/>
    <w:rsid w:val="000371AE"/>
    <w:rPr>
      <w:rFonts w:ascii="Segoe UI" w:hAnsi="Segoe UI" w:cs="Segoe UI"/>
      <w:sz w:val="18"/>
      <w:szCs w:val="18"/>
    </w:rPr>
  </w:style>
  <w:style w:type="character" w:customStyle="1" w:styleId="BalloonTextChar">
    <w:name w:val="Balloon Text Char"/>
    <w:basedOn w:val="DefaultParagraphFont"/>
    <w:link w:val="BalloonText"/>
    <w:semiHidden/>
    <w:rsid w:val="000371AE"/>
    <w:rPr>
      <w:rFonts w:ascii="Segoe UI" w:hAnsi="Segoe UI" w:cs="Segoe UI"/>
      <w:sz w:val="18"/>
      <w:szCs w:val="18"/>
    </w:rPr>
  </w:style>
  <w:style w:type="character" w:styleId="UnresolvedMention">
    <w:name w:val="Unresolved Mention"/>
    <w:basedOn w:val="DefaultParagraphFont"/>
    <w:uiPriority w:val="99"/>
    <w:semiHidden/>
    <w:unhideWhenUsed/>
    <w:rsid w:val="00FE2018"/>
    <w:rPr>
      <w:color w:val="605E5C"/>
      <w:shd w:val="clear" w:color="auto" w:fill="E1DFDD"/>
    </w:rPr>
  </w:style>
  <w:style w:type="character" w:styleId="FollowedHyperlink">
    <w:name w:val="FollowedHyperlink"/>
    <w:basedOn w:val="DefaultParagraphFont"/>
    <w:rsid w:val="006F3EFD"/>
    <w:rPr>
      <w:color w:val="954F72" w:themeColor="followedHyperlink"/>
      <w:u w:val="single"/>
    </w:rPr>
  </w:style>
  <w:style w:type="paragraph" w:styleId="Header">
    <w:name w:val="header"/>
    <w:basedOn w:val="Normal"/>
    <w:link w:val="HeaderChar"/>
    <w:rsid w:val="00046282"/>
    <w:pPr>
      <w:tabs>
        <w:tab w:val="center" w:pos="4513"/>
        <w:tab w:val="right" w:pos="9026"/>
      </w:tabs>
    </w:pPr>
  </w:style>
  <w:style w:type="character" w:customStyle="1" w:styleId="HeaderChar">
    <w:name w:val="Header Char"/>
    <w:basedOn w:val="DefaultParagraphFont"/>
    <w:link w:val="Header"/>
    <w:rsid w:val="00046282"/>
    <w:rPr>
      <w:rFonts w:ascii="Arial Narrow" w:hAnsi="Arial Narrow"/>
      <w:sz w:val="24"/>
      <w:szCs w:val="24"/>
    </w:rPr>
  </w:style>
  <w:style w:type="paragraph" w:styleId="Footer">
    <w:name w:val="footer"/>
    <w:basedOn w:val="Normal"/>
    <w:link w:val="FooterChar"/>
    <w:uiPriority w:val="99"/>
    <w:rsid w:val="00046282"/>
    <w:pPr>
      <w:tabs>
        <w:tab w:val="center" w:pos="4513"/>
        <w:tab w:val="right" w:pos="9026"/>
      </w:tabs>
    </w:pPr>
  </w:style>
  <w:style w:type="character" w:customStyle="1" w:styleId="FooterChar">
    <w:name w:val="Footer Char"/>
    <w:basedOn w:val="DefaultParagraphFont"/>
    <w:link w:val="Footer"/>
    <w:uiPriority w:val="99"/>
    <w:rsid w:val="00046282"/>
    <w:rPr>
      <w:rFonts w:ascii="Arial Narrow" w:hAnsi="Arial Narrow"/>
      <w:sz w:val="24"/>
      <w:szCs w:val="24"/>
    </w:rPr>
  </w:style>
  <w:style w:type="character" w:styleId="CommentReference">
    <w:name w:val="annotation reference"/>
    <w:basedOn w:val="DefaultParagraphFont"/>
    <w:rsid w:val="00D3072E"/>
    <w:rPr>
      <w:sz w:val="16"/>
      <w:szCs w:val="16"/>
    </w:rPr>
  </w:style>
  <w:style w:type="paragraph" w:styleId="CommentText">
    <w:name w:val="annotation text"/>
    <w:basedOn w:val="Normal"/>
    <w:link w:val="CommentTextChar"/>
    <w:rsid w:val="00D3072E"/>
    <w:rPr>
      <w:sz w:val="20"/>
      <w:szCs w:val="20"/>
    </w:rPr>
  </w:style>
  <w:style w:type="character" w:customStyle="1" w:styleId="CommentTextChar">
    <w:name w:val="Comment Text Char"/>
    <w:basedOn w:val="DefaultParagraphFont"/>
    <w:link w:val="CommentText"/>
    <w:rsid w:val="00D3072E"/>
    <w:rPr>
      <w:rFonts w:ascii="Arial Narrow" w:hAnsi="Arial Narrow"/>
    </w:rPr>
  </w:style>
  <w:style w:type="paragraph" w:styleId="CommentSubject">
    <w:name w:val="annotation subject"/>
    <w:basedOn w:val="CommentText"/>
    <w:next w:val="CommentText"/>
    <w:link w:val="CommentSubjectChar"/>
    <w:rsid w:val="00D3072E"/>
    <w:rPr>
      <w:b/>
      <w:bCs/>
    </w:rPr>
  </w:style>
  <w:style w:type="character" w:customStyle="1" w:styleId="CommentSubjectChar">
    <w:name w:val="Comment Subject Char"/>
    <w:basedOn w:val="CommentTextChar"/>
    <w:link w:val="CommentSubject"/>
    <w:rsid w:val="00D3072E"/>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381694">
      <w:bodyDiv w:val="1"/>
      <w:marLeft w:val="0"/>
      <w:marRight w:val="0"/>
      <w:marTop w:val="0"/>
      <w:marBottom w:val="0"/>
      <w:divBdr>
        <w:top w:val="none" w:sz="0" w:space="0" w:color="auto"/>
        <w:left w:val="none" w:sz="0" w:space="0" w:color="auto"/>
        <w:bottom w:val="none" w:sz="0" w:space="0" w:color="auto"/>
        <w:right w:val="none" w:sz="0" w:space="0" w:color="auto"/>
      </w:divBdr>
      <w:divsChild>
        <w:div w:id="838547489">
          <w:marLeft w:val="0"/>
          <w:marRight w:val="0"/>
          <w:marTop w:val="0"/>
          <w:marBottom w:val="0"/>
          <w:divBdr>
            <w:top w:val="none" w:sz="0" w:space="0" w:color="auto"/>
            <w:left w:val="none" w:sz="0" w:space="0" w:color="auto"/>
            <w:bottom w:val="none" w:sz="0" w:space="0" w:color="auto"/>
            <w:right w:val="none" w:sz="0" w:space="0" w:color="auto"/>
          </w:divBdr>
        </w:div>
        <w:div w:id="1623490099">
          <w:marLeft w:val="0"/>
          <w:marRight w:val="0"/>
          <w:marTop w:val="0"/>
          <w:marBottom w:val="0"/>
          <w:divBdr>
            <w:top w:val="none" w:sz="0" w:space="0" w:color="auto"/>
            <w:left w:val="none" w:sz="0" w:space="0" w:color="auto"/>
            <w:bottom w:val="none" w:sz="0" w:space="0" w:color="auto"/>
            <w:right w:val="none" w:sz="0" w:space="0" w:color="auto"/>
          </w:divBdr>
        </w:div>
        <w:div w:id="405348340">
          <w:marLeft w:val="0"/>
          <w:marRight w:val="0"/>
          <w:marTop w:val="0"/>
          <w:marBottom w:val="0"/>
          <w:divBdr>
            <w:top w:val="none" w:sz="0" w:space="0" w:color="auto"/>
            <w:left w:val="none" w:sz="0" w:space="0" w:color="auto"/>
            <w:bottom w:val="none" w:sz="0" w:space="0" w:color="auto"/>
            <w:right w:val="none" w:sz="0" w:space="0" w:color="auto"/>
          </w:divBdr>
        </w:div>
        <w:div w:id="1376656175">
          <w:marLeft w:val="0"/>
          <w:marRight w:val="0"/>
          <w:marTop w:val="0"/>
          <w:marBottom w:val="0"/>
          <w:divBdr>
            <w:top w:val="none" w:sz="0" w:space="0" w:color="auto"/>
            <w:left w:val="none" w:sz="0" w:space="0" w:color="auto"/>
            <w:bottom w:val="none" w:sz="0" w:space="0" w:color="auto"/>
            <w:right w:val="none" w:sz="0" w:space="0" w:color="auto"/>
          </w:divBdr>
        </w:div>
        <w:div w:id="1773696115">
          <w:marLeft w:val="0"/>
          <w:marRight w:val="0"/>
          <w:marTop w:val="0"/>
          <w:marBottom w:val="0"/>
          <w:divBdr>
            <w:top w:val="none" w:sz="0" w:space="0" w:color="auto"/>
            <w:left w:val="none" w:sz="0" w:space="0" w:color="auto"/>
            <w:bottom w:val="none" w:sz="0" w:space="0" w:color="auto"/>
            <w:right w:val="none" w:sz="0" w:space="0" w:color="auto"/>
          </w:divBdr>
        </w:div>
        <w:div w:id="482431319">
          <w:marLeft w:val="0"/>
          <w:marRight w:val="0"/>
          <w:marTop w:val="0"/>
          <w:marBottom w:val="0"/>
          <w:divBdr>
            <w:top w:val="none" w:sz="0" w:space="0" w:color="auto"/>
            <w:left w:val="none" w:sz="0" w:space="0" w:color="auto"/>
            <w:bottom w:val="none" w:sz="0" w:space="0" w:color="auto"/>
            <w:right w:val="none" w:sz="0" w:space="0" w:color="auto"/>
          </w:divBdr>
        </w:div>
        <w:div w:id="689721025">
          <w:marLeft w:val="0"/>
          <w:marRight w:val="0"/>
          <w:marTop w:val="0"/>
          <w:marBottom w:val="0"/>
          <w:divBdr>
            <w:top w:val="none" w:sz="0" w:space="0" w:color="auto"/>
            <w:left w:val="none" w:sz="0" w:space="0" w:color="auto"/>
            <w:bottom w:val="none" w:sz="0" w:space="0" w:color="auto"/>
            <w:right w:val="none" w:sz="0" w:space="0" w:color="auto"/>
          </w:divBdr>
        </w:div>
        <w:div w:id="1935163357">
          <w:marLeft w:val="0"/>
          <w:marRight w:val="0"/>
          <w:marTop w:val="0"/>
          <w:marBottom w:val="0"/>
          <w:divBdr>
            <w:top w:val="none" w:sz="0" w:space="0" w:color="auto"/>
            <w:left w:val="none" w:sz="0" w:space="0" w:color="auto"/>
            <w:bottom w:val="none" w:sz="0" w:space="0" w:color="auto"/>
            <w:right w:val="none" w:sz="0" w:space="0" w:color="auto"/>
          </w:divBdr>
        </w:div>
        <w:div w:id="619458833">
          <w:marLeft w:val="0"/>
          <w:marRight w:val="0"/>
          <w:marTop w:val="0"/>
          <w:marBottom w:val="0"/>
          <w:divBdr>
            <w:top w:val="none" w:sz="0" w:space="0" w:color="auto"/>
            <w:left w:val="none" w:sz="0" w:space="0" w:color="auto"/>
            <w:bottom w:val="none" w:sz="0" w:space="0" w:color="auto"/>
            <w:right w:val="none" w:sz="0" w:space="0" w:color="auto"/>
          </w:divBdr>
        </w:div>
        <w:div w:id="1784418841">
          <w:marLeft w:val="0"/>
          <w:marRight w:val="0"/>
          <w:marTop w:val="0"/>
          <w:marBottom w:val="0"/>
          <w:divBdr>
            <w:top w:val="none" w:sz="0" w:space="0" w:color="auto"/>
            <w:left w:val="none" w:sz="0" w:space="0" w:color="auto"/>
            <w:bottom w:val="none" w:sz="0" w:space="0" w:color="auto"/>
            <w:right w:val="none" w:sz="0" w:space="0" w:color="auto"/>
          </w:divBdr>
        </w:div>
        <w:div w:id="1528250870">
          <w:marLeft w:val="0"/>
          <w:marRight w:val="0"/>
          <w:marTop w:val="0"/>
          <w:marBottom w:val="0"/>
          <w:divBdr>
            <w:top w:val="none" w:sz="0" w:space="0" w:color="auto"/>
            <w:left w:val="none" w:sz="0" w:space="0" w:color="auto"/>
            <w:bottom w:val="none" w:sz="0" w:space="0" w:color="auto"/>
            <w:right w:val="none" w:sz="0" w:space="0" w:color="auto"/>
          </w:divBdr>
        </w:div>
        <w:div w:id="103498377">
          <w:marLeft w:val="0"/>
          <w:marRight w:val="0"/>
          <w:marTop w:val="0"/>
          <w:marBottom w:val="0"/>
          <w:divBdr>
            <w:top w:val="none" w:sz="0" w:space="0" w:color="auto"/>
            <w:left w:val="none" w:sz="0" w:space="0" w:color="auto"/>
            <w:bottom w:val="none" w:sz="0" w:space="0" w:color="auto"/>
            <w:right w:val="none" w:sz="0" w:space="0" w:color="auto"/>
          </w:divBdr>
        </w:div>
        <w:div w:id="673191675">
          <w:marLeft w:val="0"/>
          <w:marRight w:val="0"/>
          <w:marTop w:val="0"/>
          <w:marBottom w:val="0"/>
          <w:divBdr>
            <w:top w:val="none" w:sz="0" w:space="0" w:color="auto"/>
            <w:left w:val="none" w:sz="0" w:space="0" w:color="auto"/>
            <w:bottom w:val="none" w:sz="0" w:space="0" w:color="auto"/>
            <w:right w:val="none" w:sz="0" w:space="0" w:color="auto"/>
          </w:divBdr>
        </w:div>
        <w:div w:id="43949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britishacademy.ac.uk/documents/3238/COVID-decade-understanding-long-term-societal-impacts-COVID-19.pdf" TargetMode="External"/><Relationship Id="rId18" Type="http://schemas.openxmlformats.org/officeDocument/2006/relationships/hyperlink" Target="https://assets.publishing.service.gov.uk/government/uploads/system/uploads/attachment_data/file/973112/The_best_start_for_life_a_vision_for_the_1_001_critical_days.pdf" TargetMode="External"/><Relationship Id="rId26" Type="http://schemas.openxmlformats.org/officeDocument/2006/relationships/hyperlink" Target="https://ssrn.com/abstract=3261228" TargetMode="External"/><Relationship Id="rId39" Type="http://schemas.openxmlformats.org/officeDocument/2006/relationships/hyperlink" Target="https://www.pnas.org/content/pnas/117/15/8398.full.pdf" TargetMode="External"/><Relationship Id="rId3" Type="http://schemas.openxmlformats.org/officeDocument/2006/relationships/styles" Target="styles.xml"/><Relationship Id="rId21" Type="http://schemas.openxmlformats.org/officeDocument/2006/relationships/hyperlink" Target="https://journals.sagepub.com/doi/full/10.1177/02610183211020294" TargetMode="External"/><Relationship Id="rId34" Type="http://schemas.openxmlformats.org/officeDocument/2006/relationships/hyperlink" Target="https://www.nldigitalgovernment.nl/wp-content/uploads/sites/11/2019/04/data-agenda-government.pdf" TargetMode="External"/><Relationship Id="rId42" Type="http://schemas.openxmlformats.org/officeDocument/2006/relationships/hyperlink" Target="https://data.govt.nz/use-data/analyse-data/governmentalgorithm-transparency"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pen.ac.uk/go_science/RRB3_TrustInPublicInstitutions.pdf" TargetMode="External"/><Relationship Id="rId17" Type="http://schemas.openxmlformats.org/officeDocument/2006/relationships/hyperlink" Target="https://www.gov.uk/government/publications/uk-national-data-strategy/national-data-strategy" TargetMode="External"/><Relationship Id="rId25" Type="http://schemas.openxmlformats.org/officeDocument/2006/relationships/hyperlink" Target="https://livingwithdata.org/project/wp-content/uploads/2020/05/living-with-data-2020-review-of-existing-research.pdf" TargetMode="External"/><Relationship Id="rId33" Type="http://schemas.openxmlformats.org/officeDocument/2006/relationships/hyperlink" Target="https://www.stats.govt.nz/corporate/measuring-stats-nzs-social-licence" TargetMode="External"/><Relationship Id="rId38" Type="http://schemas.openxmlformats.org/officeDocument/2006/relationships/hyperlink" Target="https://doi.org/10.1080/01442872.2020.1724928" TargetMode="External"/><Relationship Id="rId46" Type="http://schemas.openxmlformats.org/officeDocument/2006/relationships/hyperlink" Target="http://www3.weforum.org/docs/WEF_40065_White_Paper_How_to_Prevent_Discriminatory_Outcomes_in_Machine_Learning.pdf" TargetMode="External"/><Relationship Id="rId2" Type="http://schemas.openxmlformats.org/officeDocument/2006/relationships/numbering" Target="numbering.xml"/><Relationship Id="rId16" Type="http://schemas.openxmlformats.org/officeDocument/2006/relationships/hyperlink" Target="https://trusteddata.co.nz/" TargetMode="External"/><Relationship Id="rId20" Type="http://schemas.openxmlformats.org/officeDocument/2006/relationships/hyperlink" Target="https://www.ncb.org.uk/sites/default/files/uploads/attachments/20210513_Rapid%20Review_Full%20Report%20-%20FINAL.pdf" TargetMode="External"/><Relationship Id="rId29" Type="http://schemas.openxmlformats.org/officeDocument/2006/relationships/hyperlink" Target="https://assets.publishing.service.gov.uk/government/uploads/system/uploads/attachment_data/file/922390/Troubled_Families_Financial_Framework_2020.pdf" TargetMode="External"/><Relationship Id="rId41" Type="http://schemas.openxmlformats.org/officeDocument/2006/relationships/hyperlink" Target="https://www.nature.com/articles/s41746-020-00342-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ubs.com/benwansell/729135" TargetMode="External"/><Relationship Id="rId24" Type="http://schemas.openxmlformats.org/officeDocument/2006/relationships/hyperlink" Target="https://www.ifs.org.uk/inequality/the-ifs-deaton-review-of-inequalities-a-new-years-message/" TargetMode="External"/><Relationship Id="rId32" Type="http://schemas.openxmlformats.org/officeDocument/2006/relationships/hyperlink" Target="https://natcen.ac.uk/our-research/research/public-attitudes-to-data-linkage/" TargetMode="External"/><Relationship Id="rId37" Type="http://schemas.openxmlformats.org/officeDocument/2006/relationships/hyperlink" Target="https://www.canada.ca/content/dam/pco-bcp/documents/clk/Data_Strategy_Roadmap_ENG.pdf" TargetMode="External"/><Relationship Id="rId40" Type="http://schemas.openxmlformats.org/officeDocument/2006/relationships/hyperlink" Target="https://whatworks-csc.org.uk/wp-content/uploads/WWCSC_Overview_of_administrative_data_Oct_2019.pdf" TargetMode="External"/><Relationship Id="rId45" Type="http://schemas.openxmlformats.org/officeDocument/2006/relationships/hyperlink" Target="https://papers.ssrn.com/sol3/papers.cfm?abstract_id=3716166" TargetMode="External"/><Relationship Id="rId5" Type="http://schemas.openxmlformats.org/officeDocument/2006/relationships/webSettings" Target="webSettings.xml"/><Relationship Id="rId15" Type="http://schemas.openxmlformats.org/officeDocument/2006/relationships/hyperlink" Target="https://whatworks-csc.org.uk/wp-content/uploads/WWCSC_machine_learning_in_childrens_services_does_it_work_Sep_2020_Accessible.pdf" TargetMode="External"/><Relationship Id="rId23" Type="http://schemas.openxmlformats.org/officeDocument/2006/relationships/hyperlink" Target="https://ico.org.uk/media/for-organisations/data-sharing-a-code-of-practice-1-0.pdf" TargetMode="External"/><Relationship Id="rId28" Type="http://schemas.openxmlformats.org/officeDocument/2006/relationships/hyperlink" Target="https://www.eif.org.uk/report/getting-it-right-for-families-a-review-of-integrated-systems-and-promising-practice-in-the-early-years" TargetMode="External"/><Relationship Id="rId36" Type="http://schemas.openxmlformats.org/officeDocument/2006/relationships/hyperlink" Target="https://www.statisticsauthority.gov.uk/wp-content/uploads/2018/09/Data-Linkage-Joining-Up-Data.pdf" TargetMode="External"/><Relationship Id="rId49" Type="http://schemas.openxmlformats.org/officeDocument/2006/relationships/theme" Target="theme/theme1.xml"/><Relationship Id="rId10" Type="http://schemas.openxmlformats.org/officeDocument/2006/relationships/hyperlink" Target="https://www.amnesty.org.uk/files/reports/Trapped%20in%20the%20Matrix%20Amnesty%20report.pdf" TargetMode="External"/><Relationship Id="rId19" Type="http://schemas.openxmlformats.org/officeDocument/2006/relationships/hyperlink" Target="https://www.themandarin.com.au/74424-two-key-federal-information-custodians-weigh-in-on-proposed-data-and-privacy-reforms/" TargetMode="External"/><Relationship Id="rId31" Type="http://schemas.openxmlformats.org/officeDocument/2006/relationships/hyperlink" Target="https://www.gov.uk/government/news/next-phase-of-165-million-programme-for-vulnerable-families-launched" TargetMode="External"/><Relationship Id="rId44" Type="http://schemas.openxmlformats.org/officeDocument/2006/relationships/hyperlink" Target="https://www.cambridge.org/core/journals/data-and-policy/article/data-governance-and-citizen-participation-in-the-digital-welfare-state/CCF2E1914C7E2D4593D550C6BC9E4C70" TargetMode="External"/><Relationship Id="rId4" Type="http://schemas.openxmlformats.org/officeDocument/2006/relationships/settings" Target="settings.xml"/><Relationship Id="rId9" Type="http://schemas.openxmlformats.org/officeDocument/2006/relationships/hyperlink" Target="https://www.natcen.ac.uk/media/1484228/Developing-the-NatCen-Panel-V2.pdf" TargetMode="External"/><Relationship Id="rId14" Type="http://schemas.openxmlformats.org/officeDocument/2006/relationships/hyperlink" Target="https://www.gov.uk/government/publications/cdei-publishes-review-into-bias-in-algorithmic-decision-making" TargetMode="External"/><Relationship Id="rId22" Type="http://schemas.openxmlformats.org/officeDocument/2006/relationships/hyperlink" Target="https://committees.parliament.uk/publications/3438/documents/32865/default/" TargetMode="External"/><Relationship Id="rId27" Type="http://schemas.openxmlformats.org/officeDocument/2006/relationships/hyperlink" Target="https://www.theguardian.com/society/2018/sep/16/councils-use-377000-peoples-data-in-efforts-to-predict-child-abuse" TargetMode="External"/><Relationship Id="rId30" Type="http://schemas.openxmlformats.org/officeDocument/2006/relationships/hyperlink" Target="https://www.gov.uk/government/publications/local-data-accelerator-fund-for-children-and-families" TargetMode="External"/><Relationship Id="rId35" Type="http://schemas.openxmlformats.org/officeDocument/2006/relationships/hyperlink" Target="https://www.ons.gov.uk/peoplepopulationandcommunity/healthandsocialcare/healthandwellbeing/bulletins/coronavirusandvaccinehesitancygreatbritain/13januaryto7february2021" TargetMode="External"/><Relationship Id="rId43" Type="http://schemas.openxmlformats.org/officeDocument/2006/relationships/hyperlink" Target="https://doi.org/10.1093/bjsw/bcaa182" TargetMode="External"/><Relationship Id="rId48" Type="http://schemas.openxmlformats.org/officeDocument/2006/relationships/fontTable" Target="fontTable.xml"/><Relationship Id="rId8" Type="http://schemas.openxmlformats.org/officeDocument/2006/relationships/hyperlink" Target="mailto:r.s.edwards@soton.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f.org.uk/about/who-is-e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9B92-04FF-4FC0-B400-4A259176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9866</Words>
  <Characters>56237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'Reviewer 2' ;) </cp:lastModifiedBy>
  <cp:revision>15</cp:revision>
  <dcterms:created xsi:type="dcterms:W3CDTF">2021-09-14T16:17:00Z</dcterms:created>
  <dcterms:modified xsi:type="dcterms:W3CDTF">2021-09-15T14:00:00Z</dcterms:modified>
</cp:coreProperties>
</file>