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EA7EE" w14:textId="3126578A" w:rsidR="007A1CC3" w:rsidRPr="007A1CC3" w:rsidRDefault="007A1CC3" w:rsidP="00B67A4A">
      <w:pPr>
        <w:pStyle w:val="Articletitle"/>
        <w:rPr>
          <w:lang w:eastAsia="en-US"/>
        </w:rPr>
      </w:pPr>
      <w:r w:rsidRPr="007A1CC3">
        <w:rPr>
          <w:rFonts w:eastAsiaTheme="majorEastAsia"/>
          <w:lang w:eastAsia="en-US"/>
        </w:rPr>
        <w:t xml:space="preserve">A hybrid simulation approach for planning </w:t>
      </w:r>
      <w:r w:rsidR="00492A66">
        <w:rPr>
          <w:rFonts w:eastAsiaTheme="majorEastAsia"/>
          <w:lang w:eastAsia="en-US"/>
        </w:rPr>
        <w:t xml:space="preserve">health and social </w:t>
      </w:r>
      <w:r w:rsidRPr="007A1CC3">
        <w:rPr>
          <w:rFonts w:eastAsiaTheme="majorEastAsia"/>
          <w:lang w:eastAsia="en-US"/>
        </w:rPr>
        <w:t>care services</w:t>
      </w:r>
    </w:p>
    <w:p w14:paraId="1800BF58" w14:textId="77777777" w:rsidR="00442B9C" w:rsidRPr="00BC1A14" w:rsidRDefault="00FB29FC" w:rsidP="000A67E3">
      <w:pPr>
        <w:pStyle w:val="Authornames"/>
      </w:pPr>
      <w:r w:rsidRPr="00BC1A14">
        <w:t>Katherine E.E Penny, Steffen Bayer</w:t>
      </w:r>
      <w:r w:rsidR="006D5BFE">
        <w:t>*</w:t>
      </w:r>
      <w:r w:rsidRPr="00BC1A14">
        <w:t xml:space="preserve"> </w:t>
      </w:r>
      <w:r w:rsidR="004F428E" w:rsidRPr="00BC1A14">
        <w:t xml:space="preserve">and </w:t>
      </w:r>
      <w:r w:rsidRPr="00BC1A14">
        <w:t xml:space="preserve">Sally Brailsford </w:t>
      </w:r>
    </w:p>
    <w:p w14:paraId="6FB93F79" w14:textId="77777777" w:rsidR="00997B0F" w:rsidRPr="00BC1A14" w:rsidRDefault="006D5BFE" w:rsidP="000A67E3">
      <w:pPr>
        <w:pStyle w:val="Affiliation"/>
      </w:pPr>
      <w:r>
        <w:t>Southampton Business School</w:t>
      </w:r>
      <w:r w:rsidR="00FB29FC" w:rsidRPr="00BC1A14">
        <w:t>, University of Southampton, Southampton,</w:t>
      </w:r>
      <w:r>
        <w:t xml:space="preserve"> SO17 1BJ,</w:t>
      </w:r>
      <w:r w:rsidR="00FB29FC" w:rsidRPr="00BC1A14">
        <w:t xml:space="preserve"> United </w:t>
      </w:r>
      <w:r w:rsidR="00CC24DB" w:rsidRPr="00BC1A14">
        <w:t>Kingdom</w:t>
      </w:r>
    </w:p>
    <w:p w14:paraId="30C5011D" w14:textId="77777777" w:rsidR="000A4428" w:rsidRPr="00BC1A14" w:rsidRDefault="006D5BFE" w:rsidP="000A67E3">
      <w:pPr>
        <w:pStyle w:val="Correspondencedetails"/>
      </w:pPr>
      <w:r>
        <w:t>*s.c.bayer@soton.ac.uk</w:t>
      </w:r>
    </w:p>
    <w:p w14:paraId="10C88EA1" w14:textId="75A44DB0" w:rsidR="001D0751" w:rsidRPr="00BC1A14" w:rsidRDefault="001D0751" w:rsidP="000A67E3">
      <w:pPr>
        <w:pStyle w:val="Correspondencedetails"/>
      </w:pPr>
      <w:r w:rsidRPr="00BC1A14">
        <w:t xml:space="preserve">[Word count: </w:t>
      </w:r>
      <w:r w:rsidR="00203AF9">
        <w:t>527</w:t>
      </w:r>
      <w:r w:rsidR="002630A2">
        <w:t>9</w:t>
      </w:r>
      <w:r w:rsidR="006D5BFE">
        <w:t>]</w:t>
      </w:r>
    </w:p>
    <w:p w14:paraId="4D942B90" w14:textId="77777777" w:rsidR="00492A66" w:rsidRPr="007A1CC3" w:rsidRDefault="00C14585" w:rsidP="00B67A4A">
      <w:pPr>
        <w:pStyle w:val="Articletitle"/>
        <w:rPr>
          <w:lang w:eastAsia="en-US"/>
        </w:rPr>
      </w:pPr>
      <w:r w:rsidRPr="00BC1A14">
        <w:br w:type="page"/>
      </w:r>
      <w:r w:rsidR="00492A66" w:rsidRPr="007A1CC3">
        <w:rPr>
          <w:rFonts w:eastAsiaTheme="majorEastAsia"/>
          <w:lang w:eastAsia="en-US"/>
        </w:rPr>
        <w:lastRenderedPageBreak/>
        <w:t xml:space="preserve">A hybrid simulation approach for planning </w:t>
      </w:r>
      <w:r w:rsidR="00492A66">
        <w:rPr>
          <w:rFonts w:eastAsiaTheme="majorEastAsia"/>
          <w:lang w:eastAsia="en-US"/>
        </w:rPr>
        <w:t xml:space="preserve">health and social </w:t>
      </w:r>
      <w:r w:rsidR="00492A66" w:rsidRPr="007A1CC3">
        <w:rPr>
          <w:rFonts w:eastAsiaTheme="majorEastAsia"/>
          <w:lang w:eastAsia="en-US"/>
        </w:rPr>
        <w:t>care services</w:t>
      </w:r>
    </w:p>
    <w:p w14:paraId="1F06DC58" w14:textId="0E242F3E" w:rsidR="00FB29FC" w:rsidRDefault="00FB29FC" w:rsidP="00B67A4A">
      <w:pPr>
        <w:pStyle w:val="Keywords"/>
        <w:ind w:left="0"/>
      </w:pPr>
      <w:r w:rsidRPr="00BC1A14">
        <w:t xml:space="preserve">Discrete-event simulation (DES) </w:t>
      </w:r>
      <w:proofErr w:type="gramStart"/>
      <w:r w:rsidRPr="00BC1A14">
        <w:t>has been recognised</w:t>
      </w:r>
      <w:proofErr w:type="gramEnd"/>
      <w:r w:rsidRPr="00BC1A14">
        <w:t xml:space="preserve"> for many years as a powerful tool to support the commissioning and </w:t>
      </w:r>
      <w:r w:rsidR="00492A66">
        <w:t>resourcing</w:t>
      </w:r>
      <w:r w:rsidRPr="00BC1A14">
        <w:t xml:space="preserve"> of health</w:t>
      </w:r>
      <w:r w:rsidR="007A1CC3">
        <w:t xml:space="preserve"> and social </w:t>
      </w:r>
      <w:r w:rsidRPr="00BC1A14">
        <w:t xml:space="preserve">care </w:t>
      </w:r>
      <w:r w:rsidR="00CC24DB" w:rsidRPr="00BC1A14">
        <w:t>services</w:t>
      </w:r>
      <w:r w:rsidR="007A1CC3">
        <w:t xml:space="preserve">, due to its ability to </w:t>
      </w:r>
      <w:r w:rsidRPr="00BC1A14">
        <w:t>captur</w:t>
      </w:r>
      <w:r w:rsidR="007A1CC3">
        <w:t xml:space="preserve">e </w:t>
      </w:r>
      <w:r w:rsidR="00A87E2B">
        <w:t xml:space="preserve">real-world </w:t>
      </w:r>
      <w:r w:rsidR="007A1CC3">
        <w:t xml:space="preserve">variability. </w:t>
      </w:r>
      <w:r w:rsidRPr="00BC1A14">
        <w:t xml:space="preserve"> </w:t>
      </w:r>
      <w:r w:rsidR="00691516">
        <w:t>However, t</w:t>
      </w:r>
      <w:r w:rsidR="007A1CC3">
        <w:t>he complex interaction</w:t>
      </w:r>
      <w:r w:rsidR="00A87E2B">
        <w:t>s</w:t>
      </w:r>
      <w:r w:rsidR="007A1CC3">
        <w:t xml:space="preserve"> between </w:t>
      </w:r>
      <w:r w:rsidR="00A87E2B">
        <w:t xml:space="preserve">two distinct </w:t>
      </w:r>
      <w:r w:rsidR="00691516">
        <w:t xml:space="preserve">but clearly related </w:t>
      </w:r>
      <w:r w:rsidR="00A87E2B">
        <w:t xml:space="preserve">processes, disease progression and care provision, </w:t>
      </w:r>
      <w:r w:rsidRPr="00BC1A14">
        <w:t xml:space="preserve">can </w:t>
      </w:r>
      <w:r w:rsidR="007A1CC3">
        <w:t>lead to such models being</w:t>
      </w:r>
      <w:r w:rsidRPr="00BC1A14">
        <w:t xml:space="preserve"> cumbersome and lacking in transparency</w:t>
      </w:r>
      <w:r w:rsidR="00A87E2B">
        <w:t>.</w:t>
      </w:r>
      <w:r w:rsidRPr="00BC1A14">
        <w:t xml:space="preserve"> </w:t>
      </w:r>
      <w:r w:rsidR="007A1CC3">
        <w:t xml:space="preserve"> </w:t>
      </w:r>
      <w:r w:rsidR="00342905">
        <w:t xml:space="preserve">Representing disease progression as a series of queues and activities is not </w:t>
      </w:r>
      <w:r w:rsidR="00A83B30">
        <w:t xml:space="preserve">always </w:t>
      </w:r>
      <w:r w:rsidR="00342905">
        <w:t xml:space="preserve">intuitive to a non-modeller.  </w:t>
      </w:r>
      <w:bookmarkStart w:id="0" w:name="_Hlk71116234"/>
      <w:r w:rsidRPr="00BC1A14">
        <w:t xml:space="preserve">This paper presents a novel hybrid simulation approach </w:t>
      </w:r>
      <w:r w:rsidR="00A83B30">
        <w:t xml:space="preserve">in which health status is modelled using </w:t>
      </w:r>
      <w:proofErr w:type="spellStart"/>
      <w:r w:rsidR="00A83B30">
        <w:t>statecharts</w:t>
      </w:r>
      <w:proofErr w:type="spellEnd"/>
      <w:r w:rsidR="00A83B30">
        <w:t>, thus</w:t>
      </w:r>
      <w:r w:rsidR="00A83B30" w:rsidRPr="00BC1A14">
        <w:t xml:space="preserve"> </w:t>
      </w:r>
      <w:r w:rsidRPr="00BC1A14">
        <w:t>combin</w:t>
      </w:r>
      <w:r w:rsidR="00A83B30">
        <w:t>ing</w:t>
      </w:r>
      <w:r w:rsidRPr="00BC1A14">
        <w:t xml:space="preserve"> DES with agent-based simulation</w:t>
      </w:r>
      <w:r w:rsidR="00A83B30">
        <w:t xml:space="preserve">. </w:t>
      </w:r>
      <w:r w:rsidR="00691516">
        <w:t xml:space="preserve"> This </w:t>
      </w:r>
      <w:r w:rsidR="00A83B30">
        <w:t xml:space="preserve">hybrid approach </w:t>
      </w:r>
      <w:r w:rsidR="00691516">
        <w:t xml:space="preserve">allows </w:t>
      </w:r>
      <w:r w:rsidR="00342905">
        <w:t>disease progression</w:t>
      </w:r>
      <w:r w:rsidRPr="00BC1A14">
        <w:t xml:space="preserve"> </w:t>
      </w:r>
      <w:r w:rsidR="00691516">
        <w:t xml:space="preserve">to be modelled in a more natural way, </w:t>
      </w:r>
      <w:r w:rsidRPr="00BC1A14">
        <w:t xml:space="preserve">keeping the overall model structure relatively simple.  The approach </w:t>
      </w:r>
      <w:proofErr w:type="gramStart"/>
      <w:r w:rsidRPr="00BC1A14">
        <w:t>is illustrated</w:t>
      </w:r>
      <w:proofErr w:type="gramEnd"/>
      <w:r w:rsidRPr="00BC1A14">
        <w:t xml:space="preserve"> by a case study </w:t>
      </w:r>
      <w:r w:rsidR="00691516">
        <w:t>that</w:t>
      </w:r>
      <w:r w:rsidRPr="00BC1A14">
        <w:t xml:space="preserve"> evaluate</w:t>
      </w:r>
      <w:r w:rsidR="00691516">
        <w:t>s</w:t>
      </w:r>
      <w:r w:rsidRPr="00BC1A14">
        <w:t xml:space="preserve"> the impact of telecare services for supporting people with dementia.  </w:t>
      </w:r>
    </w:p>
    <w:bookmarkEnd w:id="0"/>
    <w:p w14:paraId="55240352" w14:textId="77777777" w:rsidR="007A1CC3" w:rsidRPr="007A1CC3" w:rsidRDefault="007A1CC3" w:rsidP="000A67E3">
      <w:pPr>
        <w:pStyle w:val="Paragraph"/>
      </w:pPr>
    </w:p>
    <w:p w14:paraId="653FE685" w14:textId="050656EE" w:rsidR="0020415E" w:rsidRPr="00BC1A14" w:rsidRDefault="00997B0F" w:rsidP="00B67A4A">
      <w:pPr>
        <w:pStyle w:val="Keywords"/>
        <w:ind w:left="0"/>
      </w:pPr>
      <w:r w:rsidRPr="00BC1A14">
        <w:t xml:space="preserve">Keywords: </w:t>
      </w:r>
      <w:r w:rsidR="00FB29FC" w:rsidRPr="00BC1A14">
        <w:t xml:space="preserve">hybrid simulation, </w:t>
      </w:r>
      <w:proofErr w:type="spellStart"/>
      <w:r w:rsidR="00691516">
        <w:t>statechart</w:t>
      </w:r>
      <w:proofErr w:type="spellEnd"/>
      <w:r w:rsidR="00691516">
        <w:t xml:space="preserve">, </w:t>
      </w:r>
      <w:r w:rsidR="00FB29FC" w:rsidRPr="00BC1A14">
        <w:t>social care, telecare, dementia</w:t>
      </w:r>
    </w:p>
    <w:p w14:paraId="5F7B7240" w14:textId="77777777" w:rsidR="00BC1A14" w:rsidRPr="00BC1A14" w:rsidRDefault="00BC1A14" w:rsidP="000A67E3">
      <w:pPr>
        <w:rPr>
          <w:rFonts w:cs="Arial"/>
          <w:kern w:val="32"/>
          <w:szCs w:val="32"/>
        </w:rPr>
      </w:pPr>
      <w:r w:rsidRPr="00BC1A14">
        <w:br w:type="page"/>
      </w:r>
    </w:p>
    <w:p w14:paraId="1DDAFDB5" w14:textId="72221323" w:rsidR="00997B0F" w:rsidRPr="00D214D9" w:rsidRDefault="00FB29FC" w:rsidP="000A67E3">
      <w:pPr>
        <w:pStyle w:val="Heading1"/>
      </w:pPr>
      <w:bookmarkStart w:id="1" w:name="_GoBack"/>
      <w:r w:rsidRPr="00D214D9">
        <w:lastRenderedPageBreak/>
        <w:t>Introduction</w:t>
      </w:r>
    </w:p>
    <w:p w14:paraId="683D16F9" w14:textId="7E1E141E" w:rsidR="007B76D6" w:rsidRDefault="00492A66" w:rsidP="000A67E3">
      <w:r w:rsidRPr="000A67E3">
        <w:t>Discrete-event simulation (</w:t>
      </w:r>
      <w:r w:rsidR="00CD33AB" w:rsidRPr="000A67E3">
        <w:t>DES</w:t>
      </w:r>
      <w:r w:rsidRPr="000A67E3">
        <w:t>)</w:t>
      </w:r>
      <w:r w:rsidR="00CD33AB" w:rsidRPr="000A67E3">
        <w:t xml:space="preserve"> is a stochastic, individual-level approach that has been widely used for </w:t>
      </w:r>
      <w:r w:rsidR="00E86EE6" w:rsidRPr="000A67E3">
        <w:t xml:space="preserve">decades to </w:t>
      </w:r>
      <w:r w:rsidR="00CD33AB" w:rsidRPr="000A67E3">
        <w:t xml:space="preserve">model healthcare </w:t>
      </w:r>
      <w:r w:rsidR="00E86EE6" w:rsidRPr="000A67E3">
        <w:t xml:space="preserve">delivery </w:t>
      </w:r>
      <w:r w:rsidR="00CD33AB" w:rsidRPr="000A67E3">
        <w:t xml:space="preserve">systems from an operational and tactical perspective.  DES </w:t>
      </w:r>
      <w:r w:rsidR="00E86EE6" w:rsidRPr="000A67E3">
        <w:t>depicts</w:t>
      </w:r>
      <w:r w:rsidR="00CD33AB" w:rsidRPr="000A67E3">
        <w:t xml:space="preserve"> such systems as networks of queues and activities</w:t>
      </w:r>
      <w:r w:rsidR="00105CA1" w:rsidRPr="000A67E3">
        <w:t xml:space="preserve"> through which patients flow, </w:t>
      </w:r>
      <w:r w:rsidR="00CD33AB" w:rsidRPr="000A67E3">
        <w:t xml:space="preserve">and hence is ideally suited for modelling </w:t>
      </w:r>
      <w:r w:rsidR="00105CA1" w:rsidRPr="000A67E3">
        <w:t>service redesign, c</w:t>
      </w:r>
      <w:r w:rsidR="00E86EE6" w:rsidRPr="000A67E3">
        <w:t>apacity planning</w:t>
      </w:r>
      <w:r w:rsidR="00CD33AB" w:rsidRPr="000A67E3">
        <w:t xml:space="preserve"> and resource allocation problems.  However, </w:t>
      </w:r>
      <w:r w:rsidR="00E86EE6" w:rsidRPr="000A67E3">
        <w:t>the services an individual patient requires</w:t>
      </w:r>
      <w:r w:rsidR="00597470" w:rsidRPr="000A67E3">
        <w:t>, the pathway</w:t>
      </w:r>
      <w:r w:rsidR="00597470" w:rsidRPr="00085F7E">
        <w:t xml:space="preserve"> they take through the healthcare system</w:t>
      </w:r>
      <w:r w:rsidR="007B76D6" w:rsidRPr="00085F7E">
        <w:t>,</w:t>
      </w:r>
      <w:r w:rsidR="00E86EE6" w:rsidRPr="00085F7E">
        <w:t xml:space="preserve"> </w:t>
      </w:r>
      <w:r w:rsidR="007B76D6" w:rsidRPr="00085F7E">
        <w:t>and</w:t>
      </w:r>
      <w:r w:rsidR="006E663D" w:rsidRPr="00085F7E">
        <w:t xml:space="preserve"> how long they spend in a particular part of the system, </w:t>
      </w:r>
      <w:r w:rsidR="00E86EE6" w:rsidRPr="00085F7E">
        <w:t>will depend on that individual’s health stat</w:t>
      </w:r>
      <w:r w:rsidR="006E663D" w:rsidRPr="00085F7E">
        <w:t>us</w:t>
      </w:r>
      <w:r w:rsidR="00085F7E" w:rsidRPr="00085F7E">
        <w:t xml:space="preserve"> (and vice versa)</w:t>
      </w:r>
      <w:r w:rsidR="00E86EE6" w:rsidRPr="00085F7E">
        <w:t xml:space="preserve">.  Health status </w:t>
      </w:r>
      <w:proofErr w:type="gramStart"/>
      <w:r w:rsidR="00597470" w:rsidRPr="00085F7E">
        <w:t>can be represented</w:t>
      </w:r>
      <w:proofErr w:type="gramEnd"/>
      <w:r w:rsidR="00597470" w:rsidRPr="00085F7E">
        <w:t xml:space="preserve"> in DES as an attribute of the patient entity</w:t>
      </w:r>
      <w:r w:rsidR="006E663D" w:rsidRPr="00085F7E">
        <w:t xml:space="preserve"> in </w:t>
      </w:r>
      <w:r w:rsidR="00993008">
        <w:t xml:space="preserve">exactly </w:t>
      </w:r>
      <w:r w:rsidR="006E663D" w:rsidRPr="00085F7E">
        <w:t>the same way as age</w:t>
      </w:r>
      <w:r w:rsidR="00993008">
        <w:t xml:space="preserve">, </w:t>
      </w:r>
      <w:r w:rsidR="006E663D" w:rsidRPr="00085F7E">
        <w:t>gender</w:t>
      </w:r>
      <w:r w:rsidR="00993008">
        <w:t xml:space="preserve"> and other individual </w:t>
      </w:r>
      <w:r w:rsidR="00993008" w:rsidRPr="00085F7E">
        <w:t>characteristic</w:t>
      </w:r>
      <w:r w:rsidR="00993008">
        <w:t>s</w:t>
      </w:r>
      <w:r w:rsidR="00597470" w:rsidRPr="00085F7E">
        <w:t xml:space="preserve">, but </w:t>
      </w:r>
      <w:r w:rsidR="006E663D" w:rsidRPr="00085F7E">
        <w:t>normally</w:t>
      </w:r>
      <w:r w:rsidR="00597470" w:rsidRPr="00085F7E">
        <w:t xml:space="preserve"> attributes can only be observed or modified at the start or end of an activity. </w:t>
      </w:r>
      <w:r w:rsidR="006E663D" w:rsidRPr="00085F7E">
        <w:t xml:space="preserve"> </w:t>
      </w:r>
      <w:r w:rsidR="007B76D6" w:rsidRPr="00085F7E">
        <w:t xml:space="preserve">In reality, </w:t>
      </w:r>
      <w:r w:rsidR="00993008">
        <w:t xml:space="preserve">disease progression </w:t>
      </w:r>
      <w:r w:rsidR="007B76D6" w:rsidRPr="00085F7E">
        <w:t xml:space="preserve">is a </w:t>
      </w:r>
      <w:r w:rsidR="001D5471" w:rsidRPr="00085F7E">
        <w:t xml:space="preserve">completely </w:t>
      </w:r>
      <w:r w:rsidR="007B76D6" w:rsidRPr="00085F7E">
        <w:t>separate process that operates in parallel to patient flow</w:t>
      </w:r>
      <w:r w:rsidR="00993008">
        <w:t xml:space="preserve"> and can </w:t>
      </w:r>
      <w:r w:rsidR="000014A2">
        <w:t>influence</w:t>
      </w:r>
      <w:r w:rsidR="00993008">
        <w:t xml:space="preserve"> it</w:t>
      </w:r>
      <w:r w:rsidR="007B76D6" w:rsidRPr="00085F7E">
        <w:t xml:space="preserve">. </w:t>
      </w:r>
      <w:r w:rsidR="001D5471" w:rsidRPr="00085F7E">
        <w:t xml:space="preserve"> </w:t>
      </w:r>
      <w:r w:rsidR="00993008">
        <w:t>It</w:t>
      </w:r>
      <w:r w:rsidR="001D5471" w:rsidRPr="00085F7E">
        <w:t xml:space="preserve"> </w:t>
      </w:r>
      <w:proofErr w:type="gramStart"/>
      <w:r w:rsidR="001D5471" w:rsidRPr="00085F7E">
        <w:t xml:space="preserve">can </w:t>
      </w:r>
      <w:r w:rsidR="00105CA1">
        <w:t xml:space="preserve">of course </w:t>
      </w:r>
      <w:r w:rsidR="001D5471" w:rsidRPr="00085F7E">
        <w:t>be modelled</w:t>
      </w:r>
      <w:proofErr w:type="gramEnd"/>
      <w:r w:rsidR="001D5471" w:rsidRPr="00085F7E">
        <w:t xml:space="preserve"> </w:t>
      </w:r>
      <w:r w:rsidR="00105CA1">
        <w:t xml:space="preserve">directly </w:t>
      </w:r>
      <w:r w:rsidR="001D5471" w:rsidRPr="00085F7E">
        <w:t xml:space="preserve">in DES, but treating </w:t>
      </w:r>
      <w:r w:rsidR="00105CA1">
        <w:t>health status</w:t>
      </w:r>
      <w:r w:rsidR="001D5471" w:rsidRPr="00085F7E">
        <w:t xml:space="preserve"> as a series of queues and activities is not always intuitive </w:t>
      </w:r>
      <w:r w:rsidR="00085F7E" w:rsidRPr="00085F7E">
        <w:t>to stakeholders</w:t>
      </w:r>
      <w:r w:rsidR="00D214D9">
        <w:t xml:space="preserve">. </w:t>
      </w:r>
      <w:r w:rsidR="00085F7E" w:rsidRPr="00085F7E">
        <w:t xml:space="preserve"> </w:t>
      </w:r>
      <w:proofErr w:type="gramStart"/>
      <w:r w:rsidR="00D214D9">
        <w:t xml:space="preserve">Moreover, </w:t>
      </w:r>
      <w:r w:rsidR="00085F7E" w:rsidRPr="00085F7E">
        <w:t xml:space="preserve">the complex </w:t>
      </w:r>
      <w:r w:rsidR="00993008">
        <w:t>interactions</w:t>
      </w:r>
      <w:r w:rsidR="00085F7E" w:rsidRPr="00085F7E">
        <w:t xml:space="preserve"> between </w:t>
      </w:r>
      <w:r w:rsidR="00105CA1">
        <w:t xml:space="preserve">the </w:t>
      </w:r>
      <w:r w:rsidR="000014A2">
        <w:t xml:space="preserve">processes of </w:t>
      </w:r>
      <w:r w:rsidR="00105CA1">
        <w:t>patient flow and disease progression</w:t>
      </w:r>
      <w:r w:rsidR="00085F7E" w:rsidRPr="00085F7E">
        <w:t xml:space="preserve"> </w:t>
      </w:r>
      <w:r w:rsidR="001D5471" w:rsidRPr="00085F7E">
        <w:t xml:space="preserve">can </w:t>
      </w:r>
      <w:r w:rsidR="00085F7E" w:rsidRPr="00085F7E">
        <w:t>lead to models being cumbersome</w:t>
      </w:r>
      <w:r w:rsidR="00D214D9">
        <w:t xml:space="preserve">, especially </w:t>
      </w:r>
      <w:r w:rsidR="00993008">
        <w:t>when</w:t>
      </w:r>
      <w:r w:rsidR="00D214D9">
        <w:t xml:space="preserve"> a change in health stat</w:t>
      </w:r>
      <w:r w:rsidR="00105CA1">
        <w:t>us</w:t>
      </w:r>
      <w:r w:rsidR="00D214D9">
        <w:t xml:space="preserve"> occurs during </w:t>
      </w:r>
      <w:r w:rsidR="00105CA1">
        <w:t>a patient flow</w:t>
      </w:r>
      <w:r w:rsidR="00D214D9">
        <w:t xml:space="preserve"> activity and leads to that activity being </w:t>
      </w:r>
      <w:r w:rsidR="00105CA1">
        <w:t>interrupted</w:t>
      </w:r>
      <w:r w:rsidR="00D214D9">
        <w:t xml:space="preserve">: for example, </w:t>
      </w:r>
      <w:r w:rsidR="00105CA1">
        <w:t xml:space="preserve">a postoperative patient who develops a wound infection on the ward </w:t>
      </w:r>
      <w:r w:rsidR="00B67A4A">
        <w:t xml:space="preserve">during the activity ‘post-op stay’ </w:t>
      </w:r>
      <w:r w:rsidR="00D87C94">
        <w:t>may have</w:t>
      </w:r>
      <w:r w:rsidR="00105CA1">
        <w:t xml:space="preserve"> to return to theatre</w:t>
      </w:r>
      <w:r w:rsidR="00D87C94">
        <w:t xml:space="preserve"> for remedial surgery</w:t>
      </w:r>
      <w:r w:rsidR="00105CA1">
        <w:t>.</w:t>
      </w:r>
      <w:proofErr w:type="gramEnd"/>
    </w:p>
    <w:p w14:paraId="5D4DA1CA" w14:textId="3C885369" w:rsidR="00085F7E" w:rsidRDefault="00085F7E" w:rsidP="000A67E3">
      <w:pPr>
        <w:pStyle w:val="Paragraph"/>
      </w:pPr>
      <w:bookmarkStart w:id="2" w:name="_Hlk52988788"/>
      <w:r w:rsidRPr="00085F7E">
        <w:t xml:space="preserve">This paper presents a novel simulation approach in which health status is modelled using </w:t>
      </w:r>
      <w:proofErr w:type="spellStart"/>
      <w:r w:rsidRPr="00085F7E">
        <w:t>statecharts</w:t>
      </w:r>
      <w:proofErr w:type="spellEnd"/>
      <w:r w:rsidRPr="00085F7E">
        <w:t xml:space="preserve">, </w:t>
      </w:r>
      <w:r w:rsidR="00105CA1">
        <w:t>i.e.</w:t>
      </w:r>
      <w:r w:rsidRPr="00085F7E">
        <w:t xml:space="preserve"> combining DES with agent-based simulation.  This hybrid approach allows disease progression to be modelled in a more natural way, keeping the overall model structure relatively simple</w:t>
      </w:r>
      <w:r w:rsidR="00993008">
        <w:t xml:space="preserve"> and avoiding the need for </w:t>
      </w:r>
      <w:r w:rsidR="008B0BC5">
        <w:t xml:space="preserve">additional code to model </w:t>
      </w:r>
      <w:r w:rsidR="00993008">
        <w:t>interrupted activities</w:t>
      </w:r>
      <w:r w:rsidRPr="00085F7E">
        <w:t xml:space="preserve">.  The approach </w:t>
      </w:r>
      <w:proofErr w:type="gramStart"/>
      <w:r w:rsidRPr="00085F7E">
        <w:t xml:space="preserve">is </w:t>
      </w:r>
      <w:r>
        <w:t>implemented</w:t>
      </w:r>
      <w:proofErr w:type="gramEnd"/>
      <w:r>
        <w:t xml:space="preserve"> in the </w:t>
      </w:r>
      <w:r w:rsidR="00C9409E">
        <w:t xml:space="preserve">DES </w:t>
      </w:r>
      <w:r w:rsidR="00D214D9">
        <w:t xml:space="preserve">software Simul8 and is </w:t>
      </w:r>
      <w:r w:rsidRPr="00085F7E">
        <w:t xml:space="preserve">illustrated by a case study that evaluates the impact of telecare services for supporting people with dementia.  </w:t>
      </w:r>
    </w:p>
    <w:bookmarkEnd w:id="2"/>
    <w:p w14:paraId="2184004A" w14:textId="315A6168" w:rsidR="00085F7E" w:rsidRPr="00BC1A14" w:rsidRDefault="00085F7E" w:rsidP="000A67E3">
      <w:pPr>
        <w:pStyle w:val="Newparagraph"/>
      </w:pPr>
      <w:r w:rsidRPr="00BC1A14">
        <w:t>The remainder of th</w:t>
      </w:r>
      <w:r>
        <w:t>e</w:t>
      </w:r>
      <w:r w:rsidRPr="00BC1A14">
        <w:t xml:space="preserve"> paper </w:t>
      </w:r>
      <w:proofErr w:type="gramStart"/>
      <w:r w:rsidRPr="00BC1A14">
        <w:t>is structured</w:t>
      </w:r>
      <w:proofErr w:type="gramEnd"/>
      <w:r w:rsidRPr="00BC1A14">
        <w:t xml:space="preserve"> as follows</w:t>
      </w:r>
      <w:r w:rsidR="00D214D9">
        <w:t xml:space="preserve">. </w:t>
      </w:r>
      <w:r w:rsidRPr="00BC1A14">
        <w:t xml:space="preserve"> Section 2 </w:t>
      </w:r>
      <w:r w:rsidR="008B0BC5">
        <w:t>contain</w:t>
      </w:r>
      <w:r w:rsidR="00D214D9">
        <w:t xml:space="preserve">s a </w:t>
      </w:r>
      <w:r w:rsidR="000014A2">
        <w:t xml:space="preserve">very </w:t>
      </w:r>
      <w:r w:rsidRPr="00BC1A14">
        <w:t>brief</w:t>
      </w:r>
      <w:r w:rsidR="00D214D9">
        <w:t xml:space="preserve"> introduction to </w:t>
      </w:r>
      <w:r w:rsidR="008B0BC5">
        <w:t xml:space="preserve">agent-based and </w:t>
      </w:r>
      <w:r w:rsidR="00D214D9">
        <w:t>hybrid simulation</w:t>
      </w:r>
      <w:r w:rsidR="008B0BC5">
        <w:t>.  Section 3</w:t>
      </w:r>
      <w:r w:rsidR="00D214D9">
        <w:t xml:space="preserve"> </w:t>
      </w:r>
      <w:r w:rsidR="008B0BC5">
        <w:t>explains the context</w:t>
      </w:r>
      <w:r w:rsidR="008702EA">
        <w:t xml:space="preserve"> of the case study</w:t>
      </w:r>
      <w:r w:rsidR="008B0BC5">
        <w:t xml:space="preserve"> and </w:t>
      </w:r>
      <w:r w:rsidRPr="00BC1A14">
        <w:t>reviews the literature</w:t>
      </w:r>
      <w:r w:rsidR="00105CA1">
        <w:t xml:space="preserve"> on s</w:t>
      </w:r>
      <w:r w:rsidR="00993008">
        <w:t>imulation in social care</w:t>
      </w:r>
      <w:r w:rsidR="008B0BC5">
        <w:t xml:space="preserve">. </w:t>
      </w:r>
      <w:r w:rsidR="008702EA">
        <w:t xml:space="preserve"> </w:t>
      </w:r>
      <w:r w:rsidRPr="00BC1A14">
        <w:t xml:space="preserve">Section </w:t>
      </w:r>
      <w:r w:rsidR="008B0BC5">
        <w:t>4</w:t>
      </w:r>
      <w:r w:rsidRPr="00BC1A14">
        <w:t xml:space="preserve"> provides some background information about telecare and its use in dementia, and </w:t>
      </w:r>
      <w:r w:rsidR="008702EA">
        <w:t>s</w:t>
      </w:r>
      <w:r w:rsidRPr="00BC1A14">
        <w:t xml:space="preserve">ection </w:t>
      </w:r>
      <w:r w:rsidR="008B0BC5">
        <w:t>5</w:t>
      </w:r>
      <w:r w:rsidRPr="00BC1A14">
        <w:t xml:space="preserve"> presents the </w:t>
      </w:r>
      <w:proofErr w:type="spellStart"/>
      <w:r w:rsidRPr="00BC1A14">
        <w:t>TeleDem</w:t>
      </w:r>
      <w:proofErr w:type="spellEnd"/>
      <w:r w:rsidRPr="00BC1A14">
        <w:t xml:space="preserve"> model</w:t>
      </w:r>
      <w:r w:rsidR="000014A2">
        <w:t xml:space="preserve">, </w:t>
      </w:r>
      <w:r w:rsidR="008702EA">
        <w:t>describ</w:t>
      </w:r>
      <w:r w:rsidR="000014A2">
        <w:t xml:space="preserve">ing </w:t>
      </w:r>
      <w:r w:rsidR="008702EA">
        <w:t xml:space="preserve">in detail </w:t>
      </w:r>
      <w:r w:rsidR="000014A2">
        <w:t xml:space="preserve">how the hybrid approach </w:t>
      </w:r>
      <w:proofErr w:type="gramStart"/>
      <w:r w:rsidR="000014A2">
        <w:t>was implemented</w:t>
      </w:r>
      <w:proofErr w:type="gramEnd"/>
      <w:r w:rsidR="000014A2">
        <w:t>.</w:t>
      </w:r>
      <w:r w:rsidRPr="00BC1A14">
        <w:t xml:space="preserve">  </w:t>
      </w:r>
      <w:r w:rsidR="008702EA">
        <w:t>T</w:t>
      </w:r>
      <w:r w:rsidRPr="00BC1A14">
        <w:t xml:space="preserve">he results from a set of experiments that evaluate the impact of different </w:t>
      </w:r>
      <w:r w:rsidRPr="00BC1A14">
        <w:lastRenderedPageBreak/>
        <w:t>levels of telecare provision on demand for residential care</w:t>
      </w:r>
      <w:r w:rsidR="008702EA">
        <w:t xml:space="preserve"> </w:t>
      </w:r>
      <w:proofErr w:type="gramStart"/>
      <w:r w:rsidR="008702EA">
        <w:t>are presented</w:t>
      </w:r>
      <w:proofErr w:type="gramEnd"/>
      <w:r w:rsidR="008702EA">
        <w:t xml:space="preserve"> in section 6</w:t>
      </w:r>
      <w:r w:rsidRPr="00BC1A14">
        <w:t xml:space="preserve">.   Section </w:t>
      </w:r>
      <w:r w:rsidR="000F44C9">
        <w:t>7</w:t>
      </w:r>
      <w:r w:rsidRPr="00BC1A14">
        <w:t xml:space="preserve"> discusses the implications of these findings</w:t>
      </w:r>
      <w:r w:rsidR="008702EA">
        <w:t xml:space="preserve"> for policy makers, and</w:t>
      </w:r>
      <w:r w:rsidR="005253C7">
        <w:t xml:space="preserve"> </w:t>
      </w:r>
      <w:r w:rsidR="008702EA">
        <w:t>s</w:t>
      </w:r>
      <w:r w:rsidR="005253C7">
        <w:t>ection 8</w:t>
      </w:r>
      <w:r w:rsidRPr="00BC1A14">
        <w:t xml:space="preserve"> concludes </w:t>
      </w:r>
      <w:r w:rsidR="005253C7">
        <w:t xml:space="preserve">the paper </w:t>
      </w:r>
      <w:r w:rsidRPr="00BC1A14">
        <w:t>with some general reflections on the modelling approach</w:t>
      </w:r>
      <w:r w:rsidR="008B0BC5">
        <w:t xml:space="preserve"> and its wider applicability</w:t>
      </w:r>
      <w:r w:rsidR="008702EA">
        <w:t xml:space="preserve"> beyond healthcare</w:t>
      </w:r>
      <w:r w:rsidRPr="00BC1A14">
        <w:t xml:space="preserve">.  </w:t>
      </w:r>
    </w:p>
    <w:p w14:paraId="7DFBA0BC" w14:textId="03441B76" w:rsidR="00597470" w:rsidRDefault="008B0BC5" w:rsidP="000A67E3">
      <w:pPr>
        <w:pStyle w:val="Heading1"/>
      </w:pPr>
      <w:r>
        <w:t>Agent-based and hybrid simulation</w:t>
      </w:r>
    </w:p>
    <w:p w14:paraId="0716A83C" w14:textId="1C8BC083" w:rsidR="008B0BC5" w:rsidRDefault="00CD33AB" w:rsidP="000A67E3">
      <w:pPr>
        <w:pStyle w:val="Newparagraph"/>
      </w:pPr>
      <w:r w:rsidRPr="000A67E3">
        <w:t xml:space="preserve">An </w:t>
      </w:r>
      <w:r w:rsidR="004C0916" w:rsidRPr="000A67E3">
        <w:t>agent-based simulation (</w:t>
      </w:r>
      <w:r w:rsidRPr="000A67E3">
        <w:t>ABS</w:t>
      </w:r>
      <w:r w:rsidR="004C0916" w:rsidRPr="000A67E3">
        <w:t>)</w:t>
      </w:r>
      <w:r w:rsidRPr="000A67E3">
        <w:t xml:space="preserve"> model consists of a set of agents and an environment in which they exist.  Agents are assigned individual attributes and rules that determine their behaviour.  Agents are able to learn, and adapt their behaviour, from interactions with their environment and with other agents.  Unlike DES, which takes a process view, ABS models a system from the ‘ground up’ – ‘agent by agent and interaction by interaction’ (</w:t>
      </w:r>
      <w:proofErr w:type="spellStart"/>
      <w:r w:rsidRPr="000A67E3">
        <w:t>Macal</w:t>
      </w:r>
      <w:proofErr w:type="spellEnd"/>
      <w:r w:rsidRPr="000A67E3">
        <w:t xml:space="preserve"> and North, 2010).  However, in their pure form ABS models require a large amount</w:t>
      </w:r>
      <w:r w:rsidRPr="00BC1A14">
        <w:t xml:space="preserve"> of data and/or assumptions about the rules that govern </w:t>
      </w:r>
      <w:proofErr w:type="gramStart"/>
      <w:r w:rsidRPr="00BC1A14">
        <w:t>behaviour which</w:t>
      </w:r>
      <w:proofErr w:type="gramEnd"/>
      <w:r w:rsidRPr="00BC1A14">
        <w:t xml:space="preserve"> can limit their real-world applicability (Brailsford, 201</w:t>
      </w:r>
      <w:r w:rsidR="0013425A">
        <w:t>3</w:t>
      </w:r>
      <w:r w:rsidRPr="00BC1A14">
        <w:t xml:space="preserve">). </w:t>
      </w:r>
      <w:r w:rsidR="008B0BC5">
        <w:t xml:space="preserve"> </w:t>
      </w:r>
      <w:r w:rsidRPr="00BC1A14">
        <w:t xml:space="preserve">A feature of ABS is the </w:t>
      </w:r>
      <w:proofErr w:type="spellStart"/>
      <w:r w:rsidRPr="00BC1A14">
        <w:t>statechart</w:t>
      </w:r>
      <w:proofErr w:type="spellEnd"/>
      <w:r w:rsidRPr="00BC1A14">
        <w:t xml:space="preserve">, a graphical representation of the various states an agent may inhabit together with transition rules for how an agent exits one state and enters another.  </w:t>
      </w:r>
      <w:proofErr w:type="spellStart"/>
      <w:r w:rsidRPr="00BC1A14">
        <w:t>Statecharts</w:t>
      </w:r>
      <w:proofErr w:type="spellEnd"/>
      <w:r w:rsidRPr="00BC1A14">
        <w:t xml:space="preserve"> have proved an effective tool for modelling disease progression: their compact yet expressive nature means that they are able to capture complex behaviour with relatively few elements (</w:t>
      </w:r>
      <w:proofErr w:type="spellStart"/>
      <w:r w:rsidRPr="00BC1A14">
        <w:t>Vickland</w:t>
      </w:r>
      <w:proofErr w:type="spellEnd"/>
      <w:r w:rsidRPr="00BC1A14">
        <w:t xml:space="preserve"> and </w:t>
      </w:r>
      <w:proofErr w:type="spellStart"/>
      <w:r w:rsidRPr="00BC1A14">
        <w:t>Brodaty</w:t>
      </w:r>
      <w:proofErr w:type="spellEnd"/>
      <w:r w:rsidRPr="00BC1A14">
        <w:t xml:space="preserve">, 2008).  </w:t>
      </w:r>
    </w:p>
    <w:p w14:paraId="349C559F" w14:textId="54F82016" w:rsidR="00526BEF" w:rsidRDefault="00526BEF" w:rsidP="000A67E3">
      <w:pPr>
        <w:pStyle w:val="Newparagraph"/>
      </w:pPr>
      <w:r>
        <w:t>T</w:t>
      </w:r>
      <w:r w:rsidR="000014A2">
        <w:t xml:space="preserve">he use of </w:t>
      </w:r>
      <w:r w:rsidR="00C9409E">
        <w:t>h</w:t>
      </w:r>
      <w:r w:rsidR="005B6A3E" w:rsidRPr="005B6A3E">
        <w:t>ybrid simulation</w:t>
      </w:r>
      <w:r w:rsidR="005B6A3E">
        <w:t>,</w:t>
      </w:r>
      <w:r w:rsidR="005B6A3E" w:rsidRPr="005B6A3E">
        <w:t xml:space="preserve"> defined as a modelling approach that combines two or more of </w:t>
      </w:r>
      <w:r w:rsidR="005B6A3E">
        <w:t>DES, ABS</w:t>
      </w:r>
      <w:r w:rsidR="000014A2">
        <w:t>,</w:t>
      </w:r>
      <w:r w:rsidR="005B6A3E">
        <w:t xml:space="preserve"> and system dynamics</w:t>
      </w:r>
      <w:r w:rsidR="000014A2">
        <w:t xml:space="preserve"> (SD)</w:t>
      </w:r>
      <w:r w:rsidR="005B6A3E">
        <w:t>,</w:t>
      </w:r>
      <w:r w:rsidR="005B6A3E" w:rsidRPr="005B6A3E">
        <w:t xml:space="preserve"> has experienced </w:t>
      </w:r>
      <w:r w:rsidR="000014A2">
        <w:t>massive</w:t>
      </w:r>
      <w:r w:rsidR="005B6A3E" w:rsidRPr="005B6A3E">
        <w:t xml:space="preserve"> growth in </w:t>
      </w:r>
      <w:r w:rsidR="005B6A3E">
        <w:t>recent years</w:t>
      </w:r>
      <w:r w:rsidR="00C9409E">
        <w:t xml:space="preserve">. </w:t>
      </w:r>
      <w:r w:rsidR="000F44C9">
        <w:t xml:space="preserve"> </w:t>
      </w:r>
      <w:bookmarkStart w:id="3" w:name="_Hlk71219679"/>
      <w:proofErr w:type="gramStart"/>
      <w:r>
        <w:t xml:space="preserve">According to a review </w:t>
      </w:r>
      <w:r w:rsidR="00D326F8">
        <w:t xml:space="preserve">paper </w:t>
      </w:r>
      <w:r>
        <w:t xml:space="preserve">(Brailsford et al., 2019) </w:t>
      </w:r>
      <w:r w:rsidR="00C9409E">
        <w:t xml:space="preserve">this is due </w:t>
      </w:r>
      <w:r>
        <w:t xml:space="preserve">in part </w:t>
      </w:r>
      <w:r w:rsidR="00C9409E">
        <w:t xml:space="preserve">to the increasing popularity of AnyLogic, </w:t>
      </w:r>
      <w:r w:rsidR="000014A2">
        <w:t xml:space="preserve">currently </w:t>
      </w:r>
      <w:r w:rsidR="00C9409E">
        <w:t xml:space="preserve">the only commercial </w:t>
      </w:r>
      <w:r w:rsidR="000014A2">
        <w:t>simulation software</w:t>
      </w:r>
      <w:r w:rsidR="00C9409E">
        <w:t xml:space="preserve"> that allows the modeller to switch between all three methods in the same environment</w:t>
      </w:r>
      <w:r w:rsidR="000014A2">
        <w:t>:</w:t>
      </w:r>
      <w:r w:rsidR="00C9409E">
        <w:t xml:space="preserve"> 47 of the 139 models reviewed used AnyLogic and only 13 used the second most popular</w:t>
      </w:r>
      <w:r w:rsidR="000014A2">
        <w:t xml:space="preserve"> software tool</w:t>
      </w:r>
      <w:r w:rsidR="00100808">
        <w:t>, the DES software Arena</w:t>
      </w:r>
      <w:r w:rsidR="00C9409E">
        <w:t>.</w:t>
      </w:r>
      <w:proofErr w:type="gramEnd"/>
      <w:r w:rsidR="00C9409E">
        <w:t xml:space="preserve">  </w:t>
      </w:r>
      <w:bookmarkEnd w:id="3"/>
      <w:r w:rsidR="000014A2">
        <w:t>H</w:t>
      </w:r>
      <w:r w:rsidR="005B6A3E">
        <w:t xml:space="preserve">ealthcare </w:t>
      </w:r>
      <w:r w:rsidR="000F44C9">
        <w:t>was identified as the most popular application area</w:t>
      </w:r>
      <w:r w:rsidR="00100808">
        <w:t>,</w:t>
      </w:r>
      <w:r w:rsidR="000F44C9">
        <w:t xml:space="preserve"> </w:t>
      </w:r>
      <w:r w:rsidR="00100808">
        <w:t>with 31 papers (the second most popular was supply chain</w:t>
      </w:r>
      <w:r>
        <w:t xml:space="preserve"> management</w:t>
      </w:r>
      <w:r w:rsidR="00100808">
        <w:t>, with 26), possibly</w:t>
      </w:r>
      <w:r w:rsidR="000F44C9">
        <w:t xml:space="preserve"> because h</w:t>
      </w:r>
      <w:r w:rsidR="000F44C9" w:rsidRPr="000F44C9">
        <w:t>ealthcare problems</w:t>
      </w:r>
      <w:r w:rsidR="00B67A4A">
        <w:t xml:space="preserve"> </w:t>
      </w:r>
      <w:proofErr w:type="gramStart"/>
      <w:r w:rsidR="00B67A4A">
        <w:t xml:space="preserve">typically </w:t>
      </w:r>
      <w:r w:rsidR="000F44C9" w:rsidRPr="000F44C9">
        <w:t xml:space="preserve"> </w:t>
      </w:r>
      <w:r w:rsidR="000F44C9" w:rsidRPr="000F44C9">
        <w:rPr>
          <w:i/>
          <w:iCs/>
        </w:rPr>
        <w:t>‘</w:t>
      </w:r>
      <w:proofErr w:type="gramEnd"/>
      <w:r w:rsidR="000F44C9" w:rsidRPr="000F44C9">
        <w:rPr>
          <w:i/>
          <w:iCs/>
        </w:rPr>
        <w:t>… have multiple aspects, and it is rarely possible to capture all of them in one single model using only one method.</w:t>
      </w:r>
      <w:r w:rsidR="000F44C9">
        <w:t xml:space="preserve">’ (Brailsford et al, 2019, p728). </w:t>
      </w:r>
      <w:r w:rsidR="00100808">
        <w:t xml:space="preserve"> Arguably, complex supply chains share the same characteristics. </w:t>
      </w:r>
      <w:r w:rsidR="00D326F8">
        <w:t xml:space="preserve"> </w:t>
      </w:r>
      <w:r>
        <w:t xml:space="preserve">Of course, the concept of combining modelling </w:t>
      </w:r>
      <w:r w:rsidRPr="00526BEF">
        <w:t>method</w:t>
      </w:r>
      <w:r>
        <w:t>s</w:t>
      </w:r>
      <w:r w:rsidRPr="00526BEF">
        <w:t xml:space="preserve"> is </w:t>
      </w:r>
      <w:r w:rsidR="00D326F8">
        <w:t>far from</w:t>
      </w:r>
      <w:r w:rsidRPr="00526BEF">
        <w:t xml:space="preserve"> new. Jackson and Keys (1984) argue that since all OR methods have different strengths and </w:t>
      </w:r>
      <w:r w:rsidRPr="00526BEF">
        <w:lastRenderedPageBreak/>
        <w:t>weaknesses, mixing methods offers the potential to overcome some of the drawbacks of using a single approach.</w:t>
      </w:r>
      <w:r>
        <w:t xml:space="preserve"> </w:t>
      </w:r>
      <w:r w:rsidRPr="00BC1A14">
        <w:t xml:space="preserve"> </w:t>
      </w:r>
    </w:p>
    <w:p w14:paraId="20E6509F" w14:textId="1682B520" w:rsidR="00A0056E" w:rsidRDefault="00D326F8" w:rsidP="000A67E3">
      <w:pPr>
        <w:pStyle w:val="Newparagraph"/>
      </w:pPr>
      <w:r>
        <w:t>Brailsford et al. (2019) discuss the technical challenges of implementing hybrid simulation</w:t>
      </w:r>
      <w:r w:rsidR="00273467">
        <w:t xml:space="preserve"> in c</w:t>
      </w:r>
      <w:r w:rsidRPr="00BC1A14">
        <w:t xml:space="preserve">ommercial software tools </w:t>
      </w:r>
      <w:r w:rsidR="00273467">
        <w:t xml:space="preserve">that </w:t>
      </w:r>
      <w:proofErr w:type="gramStart"/>
      <w:r w:rsidR="00273467">
        <w:t>were originally designed</w:t>
      </w:r>
      <w:proofErr w:type="gramEnd"/>
      <w:r w:rsidR="00273467">
        <w:t xml:space="preserve"> for a single method.  Such tools </w:t>
      </w:r>
      <w:r w:rsidRPr="00BC1A14">
        <w:t xml:space="preserve">are constantly evolving as vendors try to respond to </w:t>
      </w:r>
      <w:proofErr w:type="gramStart"/>
      <w:r w:rsidRPr="00BC1A14">
        <w:t>demand</w:t>
      </w:r>
      <w:r w:rsidR="00273467">
        <w:t>:</w:t>
      </w:r>
      <w:proofErr w:type="gramEnd"/>
      <w:r w:rsidRPr="00BC1A14">
        <w:t xml:space="preserve"> </w:t>
      </w:r>
      <w:r w:rsidR="00273467">
        <w:t>m</w:t>
      </w:r>
      <w:r w:rsidRPr="00BC1A14">
        <w:t xml:space="preserve">ost SD packages can now employ probabilistic sampling, and some DES tools can incorporate continuous flows. </w:t>
      </w:r>
      <w:r>
        <w:t xml:space="preserve"> </w:t>
      </w:r>
      <w:r w:rsidR="00B75A3F">
        <w:t xml:space="preserve">Following a lively debate about the future of DES at the </w:t>
      </w:r>
      <w:r w:rsidR="00B75A3F" w:rsidRPr="00B75A3F">
        <w:t xml:space="preserve">2010 </w:t>
      </w:r>
      <w:r w:rsidR="00273467">
        <w:t xml:space="preserve">UK </w:t>
      </w:r>
      <w:r w:rsidR="00B75A3F" w:rsidRPr="00B75A3F">
        <w:t>OR Society Simulation Workshop</w:t>
      </w:r>
      <w:r w:rsidR="00B75A3F">
        <w:t xml:space="preserve">, </w:t>
      </w:r>
      <w:proofErr w:type="spellStart"/>
      <w:r w:rsidRPr="00BC1A14">
        <w:t>Siebers</w:t>
      </w:r>
      <w:proofErr w:type="spellEnd"/>
      <w:r w:rsidRPr="00BC1A14">
        <w:t xml:space="preserve"> et al.</w:t>
      </w:r>
      <w:r>
        <w:t xml:space="preserve"> (2010)</w:t>
      </w:r>
      <w:r w:rsidRPr="00BC1A14">
        <w:t xml:space="preserve"> suggest</w:t>
      </w:r>
      <w:r>
        <w:t>ed</w:t>
      </w:r>
      <w:r w:rsidRPr="00BC1A14">
        <w:t xml:space="preserve"> that DES software </w:t>
      </w:r>
      <w:proofErr w:type="gramStart"/>
      <w:r w:rsidRPr="00BC1A14">
        <w:t>could be improved</w:t>
      </w:r>
      <w:proofErr w:type="gramEnd"/>
      <w:r w:rsidRPr="00BC1A14">
        <w:t xml:space="preserve"> </w:t>
      </w:r>
      <w:r w:rsidR="00B75A3F">
        <w:t>by</w:t>
      </w:r>
      <w:r w:rsidRPr="00BC1A14">
        <w:t xml:space="preserve"> inclu</w:t>
      </w:r>
      <w:r w:rsidR="00B75A3F">
        <w:t xml:space="preserve">ding </w:t>
      </w:r>
      <w:proofErr w:type="spellStart"/>
      <w:r w:rsidRPr="00BC1A14">
        <w:t>statecharts</w:t>
      </w:r>
      <w:proofErr w:type="spellEnd"/>
      <w:r w:rsidRPr="00BC1A14">
        <w:t xml:space="preserve">. </w:t>
      </w:r>
      <w:r w:rsidR="00FC0C47">
        <w:t xml:space="preserve"> </w:t>
      </w:r>
      <w:r w:rsidRPr="00BC1A14">
        <w:t>It seems the vendors of S</w:t>
      </w:r>
      <w:r w:rsidR="005253C7">
        <w:t>imul</w:t>
      </w:r>
      <w:r w:rsidRPr="00BC1A14">
        <w:t xml:space="preserve">8 were listening: the developers </w:t>
      </w:r>
      <w:r w:rsidR="005253C7">
        <w:t xml:space="preserve">subsequently </w:t>
      </w:r>
      <w:r w:rsidRPr="00BC1A14">
        <w:t xml:space="preserve">incorporated </w:t>
      </w:r>
      <w:proofErr w:type="spellStart"/>
      <w:r w:rsidRPr="00BC1A14">
        <w:t>statechart</w:t>
      </w:r>
      <w:proofErr w:type="spellEnd"/>
      <w:r w:rsidRPr="00BC1A14">
        <w:t xml:space="preserve"> functionality into the Professional version of the package.  </w:t>
      </w:r>
      <w:bookmarkStart w:id="4" w:name="_Hlk71217195"/>
      <w:r w:rsidR="00A0056E">
        <w:t xml:space="preserve">This </w:t>
      </w:r>
      <w:r w:rsidR="00922383">
        <w:t>is an example of the</w:t>
      </w:r>
      <w:r w:rsidR="00A0056E" w:rsidRPr="00A0056E">
        <w:t xml:space="preserve"> ‘enrichment’ category of hybridization</w:t>
      </w:r>
      <w:r w:rsidR="00922383">
        <w:t xml:space="preserve"> as defined by </w:t>
      </w:r>
      <w:r w:rsidR="00922383" w:rsidRPr="00A0056E">
        <w:t>Morgan, Howick, and Belton</w:t>
      </w:r>
      <w:r w:rsidR="00922383">
        <w:t xml:space="preserve"> (2017),</w:t>
      </w:r>
      <w:r w:rsidR="00A0056E" w:rsidRPr="00A0056E">
        <w:t xml:space="preserve"> where one dominant method </w:t>
      </w:r>
      <w:proofErr w:type="gramStart"/>
      <w:r w:rsidR="00922383">
        <w:t>is used</w:t>
      </w:r>
      <w:proofErr w:type="gramEnd"/>
      <w:r w:rsidR="00922383">
        <w:t xml:space="preserve"> </w:t>
      </w:r>
      <w:r w:rsidR="00A0056E" w:rsidRPr="00A0056E">
        <w:t>with limited use of other methods(s)</w:t>
      </w:r>
      <w:r w:rsidR="00922383">
        <w:t>.</w:t>
      </w:r>
      <w:bookmarkEnd w:id="4"/>
      <w:r w:rsidR="00922383">
        <w:t xml:space="preserve"> </w:t>
      </w:r>
      <w:r w:rsidRPr="00BC1A14">
        <w:t>It is within this S</w:t>
      </w:r>
      <w:r w:rsidR="005253C7">
        <w:t>imul</w:t>
      </w:r>
      <w:r w:rsidRPr="00BC1A14">
        <w:t xml:space="preserve">8 environment that the </w:t>
      </w:r>
      <w:proofErr w:type="spellStart"/>
      <w:r w:rsidRPr="00BC1A14">
        <w:t>TeleDem</w:t>
      </w:r>
      <w:proofErr w:type="spellEnd"/>
      <w:r w:rsidRPr="00BC1A14">
        <w:t xml:space="preserve"> model </w:t>
      </w:r>
      <w:r w:rsidR="00273467">
        <w:t xml:space="preserve">presented in this paper </w:t>
      </w:r>
      <w:r w:rsidRPr="00BC1A14">
        <w:t xml:space="preserve">was developed. </w:t>
      </w:r>
      <w:r w:rsidR="00A0056E">
        <w:t xml:space="preserve"> </w:t>
      </w:r>
    </w:p>
    <w:p w14:paraId="56ACE404" w14:textId="2BD837ED" w:rsidR="00D326F8" w:rsidRPr="00BC1A14" w:rsidRDefault="00D326F8" w:rsidP="000A67E3">
      <w:pPr>
        <w:pStyle w:val="Newparagraph"/>
      </w:pPr>
      <w:r w:rsidRPr="00BC1A14">
        <w:t xml:space="preserve"> </w:t>
      </w:r>
    </w:p>
    <w:p w14:paraId="115DA16F" w14:textId="5877C82A" w:rsidR="00CD33AB" w:rsidRPr="00BC1A14" w:rsidRDefault="000014A2" w:rsidP="000A67E3">
      <w:pPr>
        <w:pStyle w:val="Heading1"/>
      </w:pPr>
      <w:r>
        <w:t>Simulation in social care</w:t>
      </w:r>
    </w:p>
    <w:p w14:paraId="7C6F7A82" w14:textId="2E7C10E4" w:rsidR="000014A2" w:rsidRDefault="008B0BC5" w:rsidP="0013425A">
      <w:pPr>
        <w:pStyle w:val="Paragraph"/>
      </w:pPr>
      <w:bookmarkStart w:id="5" w:name="_Hlk52988921"/>
      <w:r w:rsidRPr="00A917DD">
        <w:t>Although simulation has been widely used in healthcare for many decades (</w:t>
      </w:r>
      <w:proofErr w:type="spellStart"/>
      <w:r w:rsidRPr="00A917DD">
        <w:t>Katsaliaki</w:t>
      </w:r>
      <w:proofErr w:type="spellEnd"/>
      <w:r w:rsidRPr="00A917DD">
        <w:t xml:space="preserve"> and </w:t>
      </w:r>
      <w:proofErr w:type="spellStart"/>
      <w:r w:rsidRPr="00A917DD">
        <w:t>Mustafee</w:t>
      </w:r>
      <w:proofErr w:type="spellEnd"/>
      <w:r w:rsidRPr="00A917DD">
        <w:t xml:space="preserve">, 2011), there are relatively few applications in community and social care (Onggo, 2012).  </w:t>
      </w:r>
      <w:bookmarkEnd w:id="5"/>
      <w:r w:rsidRPr="00BC1A14">
        <w:t xml:space="preserve">Like healthcare, social care systems are complex, involving multiple stakeholders, often with conflicting objectives (Onggo, 2012).  However social care systems interact with many other complex systems, such as local government services and the healthcare system; funding is typically more complicated, and </w:t>
      </w:r>
      <w:r w:rsidR="0013425A">
        <w:t xml:space="preserve">in the UK </w:t>
      </w:r>
      <w:r w:rsidRPr="00BC1A14">
        <w:t>care is often delivered by a variety of providers, including charities, friends and family as well as public and private organizations</w:t>
      </w:r>
      <w:r w:rsidR="000014A2">
        <w:t xml:space="preserve">.  </w:t>
      </w:r>
    </w:p>
    <w:p w14:paraId="27092612" w14:textId="1372C5A1" w:rsidR="00100808" w:rsidRDefault="00CD33AB" w:rsidP="000A67E3">
      <w:pPr>
        <w:pStyle w:val="Paragraph"/>
      </w:pPr>
      <w:r w:rsidRPr="00BC1A14">
        <w:t>The most commonly used simulation approaches in the area of social care are system dynamics (SD) and DES</w:t>
      </w:r>
      <w:r w:rsidR="00D26E9C">
        <w:t>, although microsimulation has also been used (Jagger et al, 2009).</w:t>
      </w:r>
      <w:r w:rsidRPr="00BC1A14">
        <w:t xml:space="preserve">  SD has been used to examine policies focused on admission prevention and delayed discharge (</w:t>
      </w:r>
      <w:proofErr w:type="spellStart"/>
      <w:r w:rsidRPr="00BC1A14">
        <w:t>Wolstenholme</w:t>
      </w:r>
      <w:proofErr w:type="spellEnd"/>
      <w:r w:rsidRPr="00BC1A14">
        <w:t xml:space="preserve"> et al., 200</w:t>
      </w:r>
      <w:r w:rsidR="004D2DD1">
        <w:t>4</w:t>
      </w:r>
      <w:r w:rsidRPr="00BC1A14">
        <w:t>), telecare (Bayer et al., 2007), and more widely older people’s care (</w:t>
      </w:r>
      <w:r w:rsidR="00100808" w:rsidRPr="00BC1A14">
        <w:t>Desai et al., 2008</w:t>
      </w:r>
      <w:r w:rsidR="00100808">
        <w:t xml:space="preserve">; </w:t>
      </w:r>
      <w:r w:rsidRPr="00BC1A14">
        <w:t>Ansah et al., 2013; Thompson et al., 2013).  Examples of DES applied to social care include studies on hospital-at-home services (</w:t>
      </w:r>
      <w:proofErr w:type="spellStart"/>
      <w:r w:rsidRPr="00BC1A14">
        <w:t>Lebcir</w:t>
      </w:r>
      <w:proofErr w:type="spellEnd"/>
      <w:r w:rsidRPr="00BC1A14">
        <w:t xml:space="preserve"> et al., 2017), improving efficiency in service delivery (</w:t>
      </w:r>
      <w:proofErr w:type="spellStart"/>
      <w:r w:rsidRPr="00BC1A14">
        <w:t>Harpring</w:t>
      </w:r>
      <w:proofErr w:type="spellEnd"/>
      <w:r w:rsidRPr="00BC1A14">
        <w:t xml:space="preserve"> et al., 2014), and </w:t>
      </w:r>
      <w:r w:rsidRPr="00BC1A14">
        <w:lastRenderedPageBreak/>
        <w:t>analysing admission policies and waiting list management strategies in home care services (</w:t>
      </w:r>
      <w:proofErr w:type="spellStart"/>
      <w:r w:rsidRPr="00BC1A14">
        <w:t>Maroufkhani</w:t>
      </w:r>
      <w:proofErr w:type="spellEnd"/>
      <w:r w:rsidRPr="00BC1A14">
        <w:t xml:space="preserve"> et al., 2016). </w:t>
      </w:r>
      <w:proofErr w:type="spellStart"/>
      <w:r w:rsidRPr="00BC1A14">
        <w:t>Larrañaga</w:t>
      </w:r>
      <w:proofErr w:type="spellEnd"/>
      <w:r w:rsidRPr="00BC1A14">
        <w:t xml:space="preserve"> et al (2018) used DES to explore the sustainability of an integrated health and social care programme for heart failure</w:t>
      </w:r>
      <w:r w:rsidR="00D326F8">
        <w:t>,</w:t>
      </w:r>
      <w:r w:rsidR="00526BEF">
        <w:t xml:space="preserve"> while</w:t>
      </w:r>
      <w:r w:rsidRPr="00BC1A14">
        <w:t xml:space="preserve"> Patel et al (2020) used DES to model the societal costs of stroke in the UK, taking into account hospital care, community care, institutional care and informal care costs.</w:t>
      </w:r>
    </w:p>
    <w:p w14:paraId="193D17E5" w14:textId="54D322E5" w:rsidR="00100808" w:rsidRPr="00BC1A14" w:rsidRDefault="00100808" w:rsidP="000A67E3">
      <w:pPr>
        <w:pStyle w:val="Newparagraph"/>
      </w:pPr>
      <w:r>
        <w:t>On</w:t>
      </w:r>
      <w:r w:rsidRPr="00BC1A14">
        <w:t xml:space="preserve">ly one of </w:t>
      </w:r>
      <w:r>
        <w:t xml:space="preserve">the </w:t>
      </w:r>
      <w:r w:rsidRPr="00BC1A14">
        <w:t xml:space="preserve">31 </w:t>
      </w:r>
      <w:r>
        <w:t xml:space="preserve">healthcare-related </w:t>
      </w:r>
      <w:r w:rsidRPr="00BC1A14">
        <w:t xml:space="preserve">papers </w:t>
      </w:r>
      <w:r>
        <w:t xml:space="preserve">in Brailsford et al.’s (2019) </w:t>
      </w:r>
      <w:r w:rsidR="00D326F8">
        <w:t>review</w:t>
      </w:r>
      <w:r w:rsidR="00D326F8" w:rsidRPr="00BC1A14">
        <w:t xml:space="preserve"> </w:t>
      </w:r>
      <w:r w:rsidR="00D326F8">
        <w:t xml:space="preserve">of hybrid simulation </w:t>
      </w:r>
      <w:r w:rsidRPr="00BC1A14">
        <w:t xml:space="preserve">concerned social care. </w:t>
      </w:r>
      <w:r w:rsidR="00FC0C47">
        <w:t xml:space="preserve"> </w:t>
      </w:r>
      <w:r w:rsidRPr="00BC1A14">
        <w:t xml:space="preserve">This was Viana et al. (2012), which describes a hybrid model for health and social care provision for the eye condition </w:t>
      </w:r>
      <w:r w:rsidR="007A6DF6">
        <w:t>a</w:t>
      </w:r>
      <w:r w:rsidRPr="00BC1A14">
        <w:t>ge-</w:t>
      </w:r>
      <w:r w:rsidR="007A6DF6">
        <w:t>r</w:t>
      </w:r>
      <w:r w:rsidRPr="00BC1A14">
        <w:t xml:space="preserve">elated </w:t>
      </w:r>
      <w:r w:rsidR="007A6DF6">
        <w:t>m</w:t>
      </w:r>
      <w:r w:rsidRPr="00BC1A14">
        <w:t xml:space="preserve">acular </w:t>
      </w:r>
      <w:r w:rsidR="007A6DF6">
        <w:t>d</w:t>
      </w:r>
      <w:r w:rsidRPr="00BC1A14">
        <w:t xml:space="preserve">egeneration. </w:t>
      </w:r>
      <w:r>
        <w:t xml:space="preserve"> </w:t>
      </w:r>
      <w:r w:rsidRPr="00BC1A14">
        <w:t xml:space="preserve">Since </w:t>
      </w:r>
      <w:r w:rsidR="00D326F8">
        <w:t>this</w:t>
      </w:r>
      <w:r w:rsidRPr="00BC1A14">
        <w:t xml:space="preserve"> review, </w:t>
      </w:r>
      <w:proofErr w:type="spellStart"/>
      <w:r w:rsidRPr="00BC1A14">
        <w:t>Standfield</w:t>
      </w:r>
      <w:proofErr w:type="spellEnd"/>
      <w:r w:rsidRPr="00BC1A14">
        <w:t xml:space="preserve"> et al (2019) have published a further example of hybrid social care modelling, where microsimulation </w:t>
      </w:r>
      <w:proofErr w:type="gramStart"/>
      <w:r w:rsidRPr="00BC1A14">
        <w:t>was used</w:t>
      </w:r>
      <w:proofErr w:type="gramEnd"/>
      <w:r w:rsidRPr="00BC1A14">
        <w:t xml:space="preserve"> in combination with DES to estimate the future costs associated with dementia care in Australia. </w:t>
      </w:r>
    </w:p>
    <w:p w14:paraId="403CF38B" w14:textId="77777777" w:rsidR="00CD33AB" w:rsidRPr="00BC1A14" w:rsidRDefault="00CD33AB" w:rsidP="000A67E3">
      <w:pPr>
        <w:pStyle w:val="Heading1"/>
      </w:pPr>
      <w:r w:rsidRPr="00BC1A14">
        <w:t>Dementia and Telecare</w:t>
      </w:r>
    </w:p>
    <w:p w14:paraId="7D57E1DA" w14:textId="50808DE5" w:rsidR="00CD33AB" w:rsidRDefault="00CD33AB" w:rsidP="000A67E3">
      <w:r w:rsidRPr="00BC1A14">
        <w:t xml:space="preserve">Dementias, such as Alzheimer’s disease or vascular dementia, are a major cause of disability and dependence amongst older people (Singh et al., 2014). </w:t>
      </w:r>
      <w:r w:rsidR="00FC0C47">
        <w:t xml:space="preserve"> </w:t>
      </w:r>
      <w:r w:rsidRPr="00BC1A14">
        <w:t>Research indicates that 5% of people over the age of 65 years have some form of dementia, with the prevalence increasing significantly with age, to one in three by 90 years (</w:t>
      </w:r>
      <w:proofErr w:type="spellStart"/>
      <w:r w:rsidR="00746A04">
        <w:t>I</w:t>
      </w:r>
      <w:r w:rsidRPr="00BC1A14">
        <w:t>liffe</w:t>
      </w:r>
      <w:proofErr w:type="spellEnd"/>
      <w:r w:rsidRPr="00BC1A14">
        <w:t xml:space="preserve"> and </w:t>
      </w:r>
      <w:proofErr w:type="spellStart"/>
      <w:r w:rsidRPr="00BC1A14">
        <w:t>Drennan</w:t>
      </w:r>
      <w:proofErr w:type="spellEnd"/>
      <w:r w:rsidRPr="00BC1A14">
        <w:t>, 2001).  While all dementias are chronic and progressive</w:t>
      </w:r>
      <w:r w:rsidR="00913744">
        <w:t>,</w:t>
      </w:r>
      <w:r w:rsidRPr="00BC1A14">
        <w:t xml:space="preserve"> resulting in deterioration in cognition, behaviour, and daily functioning (</w:t>
      </w:r>
      <w:proofErr w:type="spellStart"/>
      <w:r w:rsidRPr="00BC1A14">
        <w:t>Bjørneby</w:t>
      </w:r>
      <w:proofErr w:type="spellEnd"/>
      <w:r w:rsidRPr="00BC1A14">
        <w:t xml:space="preserve"> et al., 1999), the rate of progression varies greatly between individuals (</w:t>
      </w:r>
      <w:proofErr w:type="spellStart"/>
      <w:r w:rsidRPr="00BC1A14">
        <w:t>Barocco</w:t>
      </w:r>
      <w:proofErr w:type="spellEnd"/>
      <w:r w:rsidRPr="00BC1A14">
        <w:t xml:space="preserve"> et al., 2017). As their dementia </w:t>
      </w:r>
      <w:proofErr w:type="gramStart"/>
      <w:r w:rsidRPr="00BC1A14">
        <w:t>advances</w:t>
      </w:r>
      <w:proofErr w:type="gramEnd"/>
      <w:r w:rsidRPr="00BC1A14">
        <w:t xml:space="preserve"> a person will become increasingly dependent on other people for support and supervision in order to manage day to day activities (</w:t>
      </w:r>
      <w:proofErr w:type="spellStart"/>
      <w:r w:rsidRPr="00BC1A14">
        <w:t>Kahle-Wrobleski</w:t>
      </w:r>
      <w:proofErr w:type="spellEnd"/>
      <w:r w:rsidRPr="00BC1A14">
        <w:t xml:space="preserve"> et al., 2015).  As there is currently no effective long-term medical treatment, dementia is predominantly a social care rather than a healthcare issue up until the very late stages and </w:t>
      </w:r>
      <w:proofErr w:type="gramStart"/>
      <w:r w:rsidRPr="00BC1A14">
        <w:t>informal care is often provided by friends and family (Robinson et al., 2015)</w:t>
      </w:r>
      <w:proofErr w:type="gramEnd"/>
      <w:r w:rsidRPr="00BC1A14">
        <w:t>. The emotional and physical stress that informal carers can experience often increases over time as the illness progresses.</w:t>
      </w:r>
      <w:r w:rsidR="00FC0C47">
        <w:t xml:space="preserve"> </w:t>
      </w:r>
      <w:r w:rsidRPr="00BC1A14">
        <w:t xml:space="preserve"> Carer ‘burden’ </w:t>
      </w:r>
      <w:proofErr w:type="gramStart"/>
      <w:r w:rsidRPr="00BC1A14">
        <w:t>has consistently been shown</w:t>
      </w:r>
      <w:proofErr w:type="gramEnd"/>
      <w:r w:rsidRPr="00BC1A14">
        <w:t xml:space="preserve"> to be one of the main predictors of institutional care admission for people with dementia (</w:t>
      </w:r>
      <w:proofErr w:type="spellStart"/>
      <w:r w:rsidRPr="00BC1A14">
        <w:t>Charlesworth</w:t>
      </w:r>
      <w:proofErr w:type="spellEnd"/>
      <w:r w:rsidRPr="00BC1A14">
        <w:t xml:space="preserve">, 2010; Hébert et al., 2001; </w:t>
      </w:r>
      <w:proofErr w:type="spellStart"/>
      <w:r w:rsidRPr="00BC1A14">
        <w:t>Zarit</w:t>
      </w:r>
      <w:proofErr w:type="spellEnd"/>
      <w:r w:rsidRPr="00BC1A14">
        <w:t xml:space="preserve"> et al., 1986).</w:t>
      </w:r>
      <w:r w:rsidR="00FC0C47">
        <w:t xml:space="preserve"> </w:t>
      </w:r>
      <w:r w:rsidRPr="00BC1A14">
        <w:t xml:space="preserve"> Stage of disease progression, level of dependency, and carer capacity to cope are core influencers over demand for social care services in order to support people to remain living at home.  The complexity of the dementia pathway exemplifies a planning challenge encountered in other areas of health and social care. </w:t>
      </w:r>
      <w:r w:rsidR="00FC0C47">
        <w:t xml:space="preserve"> </w:t>
      </w:r>
      <w:r w:rsidRPr="00BC1A14">
        <w:t xml:space="preserve">Variability in disease progression, combined with the mutual </w:t>
      </w:r>
      <w:r w:rsidRPr="00BC1A14">
        <w:lastRenderedPageBreak/>
        <w:t>interaction between care processes and health status makes anticipating the imp</w:t>
      </w:r>
      <w:r w:rsidR="00913744">
        <w:t>a</w:t>
      </w:r>
      <w:r w:rsidRPr="00BC1A14">
        <w:t xml:space="preserve">ct of new services particularly difficult to predict.  </w:t>
      </w:r>
    </w:p>
    <w:p w14:paraId="2F80578A" w14:textId="3ED3180C" w:rsidR="00CD33AB" w:rsidRPr="00BC1A14" w:rsidRDefault="00CD33AB" w:rsidP="000A67E3">
      <w:pPr>
        <w:pStyle w:val="Newparagraph"/>
      </w:pPr>
      <w:r w:rsidRPr="00BC1A14">
        <w:t xml:space="preserve">In recent </w:t>
      </w:r>
      <w:proofErr w:type="gramStart"/>
      <w:r w:rsidR="00B76A72" w:rsidRPr="00BC1A14">
        <w:t>years</w:t>
      </w:r>
      <w:proofErr w:type="gramEnd"/>
      <w:r w:rsidR="00B76A72" w:rsidRPr="00BC1A14">
        <w:t xml:space="preserve"> policy</w:t>
      </w:r>
      <w:r w:rsidRPr="00BC1A14">
        <w:t xml:space="preserve"> makers and care professionals have been looking for new ways to provide care to frail elderly people including those with dementia, offering greater choice over care pathways, while containing costs. </w:t>
      </w:r>
      <w:r w:rsidR="00FC0C47">
        <w:t xml:space="preserve"> </w:t>
      </w:r>
      <w:r w:rsidRPr="00BC1A14">
        <w:t xml:space="preserve">One of these options is telecare, which makes use of personal alarms and sensors such as fall detectors or environmental detectors to help people live independently in the early stages of dementia. </w:t>
      </w:r>
      <w:r w:rsidR="00FC0C47">
        <w:t xml:space="preserve"> </w:t>
      </w:r>
      <w:r w:rsidRPr="00BC1A14">
        <w:t>Telecare works by monitoring for changes and warning the people themselves or raising an alert at a control centre. It aims to help people with dementia to maintain their independence, delaying or even eliminating the need for institutional care (</w:t>
      </w:r>
      <w:proofErr w:type="spellStart"/>
      <w:r w:rsidRPr="00BC1A14">
        <w:t>Siotia</w:t>
      </w:r>
      <w:proofErr w:type="spellEnd"/>
      <w:r w:rsidRPr="00BC1A14">
        <w:t xml:space="preserve"> and Simpson, 2008). Evidence indicates that telecare can reduce the potential for accidents; mediate risks in the home (Clark, 2008); provide service users with increased choice for condition management (</w:t>
      </w:r>
      <w:proofErr w:type="spellStart"/>
      <w:r w:rsidRPr="00BC1A14">
        <w:t>Knipscheer</w:t>
      </w:r>
      <w:proofErr w:type="spellEnd"/>
      <w:r w:rsidRPr="00BC1A14">
        <w:t>, 1994); maintain health through the early detection of deterioration, facilitating accelerated diagnosis and treatment (Wright, 1998); and alleviate carer stress (</w:t>
      </w:r>
      <w:proofErr w:type="spellStart"/>
      <w:r w:rsidRPr="00BC1A14">
        <w:t>Alaszewski</w:t>
      </w:r>
      <w:proofErr w:type="spellEnd"/>
      <w:r w:rsidRPr="00BC1A14">
        <w:t xml:space="preserve"> and </w:t>
      </w:r>
      <w:proofErr w:type="spellStart"/>
      <w:r w:rsidRPr="00BC1A14">
        <w:t>Cappello</w:t>
      </w:r>
      <w:proofErr w:type="spellEnd"/>
      <w:r w:rsidRPr="00BC1A14">
        <w:t xml:space="preserve">, 2006).  There are social and economic (Dowd et al., 2018) and quality of life (Jing et al., (2016) advantages to avoiding institutional care. Studies have associated institutional placement with both accelerated cognitive decline (Wilson et al., 2007), and reduced life expectancy (McClendon et al., 2006). A preference for care at home therefore underpins community care policy across Europe (Tucker et al., 2008; </w:t>
      </w:r>
      <w:proofErr w:type="spellStart"/>
      <w:r w:rsidRPr="00BC1A14">
        <w:t>Wübker</w:t>
      </w:r>
      <w:proofErr w:type="spellEnd"/>
      <w:r w:rsidRPr="00BC1A14">
        <w:t xml:space="preserve"> et al., 2015) and the promotion of telecare as a way to support people in their own home.</w:t>
      </w:r>
    </w:p>
    <w:p w14:paraId="69AB1FF9" w14:textId="3E4FCF68" w:rsidR="00CD33AB" w:rsidRPr="00BC1A14" w:rsidRDefault="00CD33AB" w:rsidP="000A67E3">
      <w:pPr>
        <w:pStyle w:val="Newparagraph"/>
      </w:pPr>
      <w:r w:rsidRPr="00BC1A14">
        <w:t>Despite th</w:t>
      </w:r>
      <w:r w:rsidR="007A6DF6">
        <w:t>is</w:t>
      </w:r>
      <w:r w:rsidRPr="00BC1A14">
        <w:t xml:space="preserve"> </w:t>
      </w:r>
      <w:r w:rsidR="007A6DF6">
        <w:t>extensive</w:t>
      </w:r>
      <w:r w:rsidRPr="00BC1A14">
        <w:t xml:space="preserve"> body of literature describing the benefits of telecare, much of this </w:t>
      </w:r>
      <w:proofErr w:type="gramStart"/>
      <w:r w:rsidRPr="00BC1A14">
        <w:t>is based</w:t>
      </w:r>
      <w:proofErr w:type="gramEnd"/>
      <w:r w:rsidRPr="00BC1A14">
        <w:t xml:space="preserve"> upon anecdotes and short-term trials, which has been insufficient to encourage widespread implementation. Simulation modelling provides an opportunity for policy makers to explore the impact of mainstream telecare delivery and build an evidence base for inform</w:t>
      </w:r>
      <w:r w:rsidR="002C39CB">
        <w:t>ed</w:t>
      </w:r>
      <w:r w:rsidRPr="00BC1A14">
        <w:t xml:space="preserve"> </w:t>
      </w:r>
      <w:proofErr w:type="gramStart"/>
      <w:r w:rsidRPr="00BC1A14">
        <w:t>decision making</w:t>
      </w:r>
      <w:proofErr w:type="gramEnd"/>
      <w:r w:rsidRPr="00BC1A14">
        <w:t>.</w:t>
      </w:r>
    </w:p>
    <w:p w14:paraId="64F6814D" w14:textId="77777777" w:rsidR="00CD33AB" w:rsidRPr="00BC1A14" w:rsidRDefault="00CD33AB" w:rsidP="000A67E3">
      <w:pPr>
        <w:pStyle w:val="Heading1"/>
      </w:pPr>
      <w:r w:rsidRPr="00BC1A14">
        <w:t xml:space="preserve">The </w:t>
      </w:r>
      <w:proofErr w:type="spellStart"/>
      <w:r w:rsidRPr="00BC1A14">
        <w:t>TeleDem</w:t>
      </w:r>
      <w:proofErr w:type="spellEnd"/>
      <w:r w:rsidRPr="00BC1A14">
        <w:t xml:space="preserve"> Model</w:t>
      </w:r>
    </w:p>
    <w:p w14:paraId="0DDBFF26" w14:textId="2C7B67F9" w:rsidR="000C3A6F" w:rsidRDefault="00CD33AB" w:rsidP="00813BEC">
      <w:pPr>
        <w:pStyle w:val="Newparagraph"/>
      </w:pPr>
      <w:r w:rsidRPr="00BC1A14">
        <w:t xml:space="preserve">The aim of the </w:t>
      </w:r>
      <w:proofErr w:type="spellStart"/>
      <w:r w:rsidRPr="00BC1A14">
        <w:t>TeleDem</w:t>
      </w:r>
      <w:proofErr w:type="spellEnd"/>
      <w:r w:rsidRPr="00BC1A14">
        <w:t xml:space="preserve"> model is to evaluate the impact of telecare on the numbers of people with dementia able to remain living within their own homes, rather than entering institutional care.  </w:t>
      </w:r>
      <w:r w:rsidR="007970FE">
        <w:t>It</w:t>
      </w:r>
      <w:r w:rsidRPr="00BC1A14">
        <w:t xml:space="preserve"> </w:t>
      </w:r>
      <w:proofErr w:type="gramStart"/>
      <w:r w:rsidRPr="00BC1A14">
        <w:t>was developed</w:t>
      </w:r>
      <w:proofErr w:type="gramEnd"/>
      <w:r w:rsidRPr="00BC1A14">
        <w:t xml:space="preserve"> in consultation with domain experts involved in the development and delivery of telecare; clearly, it represents a simplified version of the care system.  </w:t>
      </w:r>
      <w:r w:rsidR="002C39CB">
        <w:t xml:space="preserve"> DES </w:t>
      </w:r>
      <w:proofErr w:type="gramStart"/>
      <w:r w:rsidR="002C39CB">
        <w:t>is used</w:t>
      </w:r>
      <w:proofErr w:type="gramEnd"/>
      <w:r w:rsidR="002C39CB">
        <w:t xml:space="preserve"> to model the dementia care pathway, i.e. the services that </w:t>
      </w:r>
      <w:r w:rsidR="002C39CB">
        <w:lastRenderedPageBreak/>
        <w:t>individuals receive</w:t>
      </w:r>
      <w:r w:rsidR="00AF5356">
        <w:t>,</w:t>
      </w:r>
      <w:r w:rsidR="002C39CB">
        <w:t xml:space="preserve"> while </w:t>
      </w:r>
      <w:proofErr w:type="spellStart"/>
      <w:r w:rsidR="002C39CB">
        <w:t>statecharts</w:t>
      </w:r>
      <w:proofErr w:type="spellEnd"/>
      <w:r w:rsidR="002C39CB">
        <w:t xml:space="preserve"> are used to model the individual’s dementia stat</w:t>
      </w:r>
      <w:r w:rsidR="00FF5CBF">
        <w:t>e and</w:t>
      </w:r>
      <w:r w:rsidR="002C39CB">
        <w:t xml:space="preserve"> level of dependency</w:t>
      </w:r>
      <w:r w:rsidR="00795AB3">
        <w:t>,</w:t>
      </w:r>
      <w:r w:rsidR="002C39CB">
        <w:t xml:space="preserve"> and the </w:t>
      </w:r>
      <w:r w:rsidR="00FF5CBF" w:rsidRPr="00BC1A14">
        <w:t xml:space="preserve">level of stress experienced by their carer. </w:t>
      </w:r>
      <w:r w:rsidR="00FF5CBF">
        <w:t xml:space="preserve"> </w:t>
      </w:r>
      <w:r w:rsidRPr="00BC1A14">
        <w:t xml:space="preserve">Figure 1 presents the conceptual </w:t>
      </w:r>
      <w:r w:rsidR="000C3A6F">
        <w:t xml:space="preserve">DES </w:t>
      </w:r>
      <w:r w:rsidRPr="00BC1A14">
        <w:t>model showing the dementia care pathway</w:t>
      </w:r>
      <w:r w:rsidR="000C3A6F">
        <w:t xml:space="preserve">, while Figure 2 shows </w:t>
      </w:r>
      <w:r w:rsidRPr="00BC1A14">
        <w:t xml:space="preserve">the </w:t>
      </w:r>
      <w:r w:rsidR="00813BEC">
        <w:t xml:space="preserve">attributes of each individual, including the </w:t>
      </w:r>
      <w:r w:rsidR="000A67E3">
        <w:t>d</w:t>
      </w:r>
      <w:r w:rsidRPr="00BC1A14">
        <w:t xml:space="preserve">ementia </w:t>
      </w:r>
      <w:proofErr w:type="spellStart"/>
      <w:r w:rsidR="000A67E3">
        <w:t>s</w:t>
      </w:r>
      <w:r w:rsidRPr="00BC1A14">
        <w:t>tatechart</w:t>
      </w:r>
      <w:proofErr w:type="spellEnd"/>
      <w:r w:rsidRPr="00BC1A14">
        <w:t xml:space="preserve"> (in green) and the </w:t>
      </w:r>
      <w:r w:rsidR="000A67E3">
        <w:t>c</w:t>
      </w:r>
      <w:r w:rsidRPr="00BC1A14">
        <w:t xml:space="preserve">arer </w:t>
      </w:r>
      <w:r w:rsidR="000A67E3">
        <w:t>b</w:t>
      </w:r>
      <w:r w:rsidRPr="00BC1A14">
        <w:t xml:space="preserve">urden </w:t>
      </w:r>
      <w:proofErr w:type="spellStart"/>
      <w:r w:rsidR="000A67E3">
        <w:t>s</w:t>
      </w:r>
      <w:r w:rsidRPr="00BC1A14">
        <w:t>tatechart</w:t>
      </w:r>
      <w:proofErr w:type="spellEnd"/>
      <w:r w:rsidRPr="00BC1A14">
        <w:t xml:space="preserve"> (in </w:t>
      </w:r>
      <w:r w:rsidR="000A67E3">
        <w:t xml:space="preserve">blue and </w:t>
      </w:r>
      <w:r w:rsidRPr="00BC1A14">
        <w:t>purple</w:t>
      </w:r>
      <w:r w:rsidRPr="00A27B88">
        <w:t>).</w:t>
      </w:r>
      <w:r w:rsidR="000F6EE7">
        <w:t>Th</w:t>
      </w:r>
      <w:r w:rsidR="00813BEC">
        <w:t>ese services</w:t>
      </w:r>
      <w:r w:rsidR="00AF5356">
        <w:t xml:space="preserve"> </w:t>
      </w:r>
      <w:r w:rsidR="00AF5356" w:rsidRPr="00BC1A14">
        <w:t>do not relate specifically to any region or local authority</w:t>
      </w:r>
      <w:r w:rsidR="000F6EE7">
        <w:t>,</w:t>
      </w:r>
      <w:r w:rsidR="00AF5356" w:rsidRPr="00BC1A14">
        <w:t xml:space="preserve"> but are representative of social care provision in the UK.</w:t>
      </w:r>
      <w:r w:rsidRPr="00BC1A14">
        <w:t xml:space="preserve"> </w:t>
      </w:r>
    </w:p>
    <w:p w14:paraId="3B77702C" w14:textId="07D439EB" w:rsidR="000C3A6F" w:rsidRDefault="000C3A6F" w:rsidP="000F6EE7">
      <w:pPr>
        <w:pStyle w:val="Newparagraph"/>
        <w:jc w:val="center"/>
      </w:pPr>
      <w:r>
        <w:rPr>
          <w:noProof/>
        </w:rPr>
        <w:drawing>
          <wp:inline distT="0" distB="0" distL="0" distR="0" wp14:anchorId="7A85BF9F" wp14:editId="6179ABE7">
            <wp:extent cx="4362768" cy="2679341"/>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7359" cy="2706726"/>
                    </a:xfrm>
                    <a:prstGeom prst="rect">
                      <a:avLst/>
                    </a:prstGeom>
                    <a:noFill/>
                  </pic:spPr>
                </pic:pic>
              </a:graphicData>
            </a:graphic>
          </wp:inline>
        </w:drawing>
      </w:r>
    </w:p>
    <w:p w14:paraId="408543D4" w14:textId="5EE2AF40" w:rsidR="000C3A6F" w:rsidRPr="000A67E3" w:rsidRDefault="000C3A6F" w:rsidP="000A67E3">
      <w:pPr>
        <w:pStyle w:val="Newparagraph"/>
        <w:jc w:val="center"/>
        <w:rPr>
          <w:i/>
          <w:iCs/>
        </w:rPr>
      </w:pPr>
      <w:r w:rsidRPr="000A67E3">
        <w:rPr>
          <w:i/>
          <w:iCs/>
        </w:rPr>
        <w:t xml:space="preserve">Figure 1. </w:t>
      </w:r>
      <w:r w:rsidR="00813BEC">
        <w:rPr>
          <w:i/>
          <w:iCs/>
        </w:rPr>
        <w:t>C</w:t>
      </w:r>
      <w:r w:rsidR="00813BEC" w:rsidRPr="00813BEC">
        <w:rPr>
          <w:i/>
          <w:iCs/>
        </w:rPr>
        <w:t xml:space="preserve">onceptual DES model </w:t>
      </w:r>
      <w:r w:rsidR="00813BEC">
        <w:rPr>
          <w:i/>
          <w:iCs/>
        </w:rPr>
        <w:t>of t</w:t>
      </w:r>
      <w:r w:rsidRPr="000A67E3">
        <w:rPr>
          <w:i/>
          <w:iCs/>
        </w:rPr>
        <w:t>he dementia care pathway</w:t>
      </w:r>
      <w:r w:rsidR="00AF5356">
        <w:rPr>
          <w:i/>
          <w:iCs/>
        </w:rPr>
        <w:t xml:space="preserve"> </w:t>
      </w:r>
    </w:p>
    <w:p w14:paraId="75967F66" w14:textId="7CB65D91" w:rsidR="00AF5356" w:rsidRDefault="00AF5356" w:rsidP="00AF5356">
      <w:pPr>
        <w:pStyle w:val="Newparagraph"/>
      </w:pPr>
      <w:r w:rsidRPr="00BC1A14">
        <w:t>P</w:t>
      </w:r>
      <w:r>
        <w:t>eople</w:t>
      </w:r>
      <w:r w:rsidRPr="00BC1A14">
        <w:t xml:space="preserve"> enter the model at the point that they receive their initial diagnosis</w:t>
      </w:r>
      <w:r>
        <w:t xml:space="preserve">. </w:t>
      </w:r>
      <w:r w:rsidRPr="00BC1A14">
        <w:t xml:space="preserve"> </w:t>
      </w:r>
      <w:r>
        <w:t>A</w:t>
      </w:r>
      <w:r w:rsidRPr="00BC1A14">
        <w:t>t this point, they can be in any of three dementia states</w:t>
      </w:r>
      <w:r>
        <w:t>:</w:t>
      </w:r>
      <w:r w:rsidRPr="00BC1A14">
        <w:t xml:space="preserve"> mild, moderate or severe. On ‘arrival’, each person is assigned a set of unique characteristics, sampled from the UK population aged over 65 with dementia</w:t>
      </w:r>
      <w:r w:rsidR="00746A04">
        <w:t xml:space="preserve"> (Prince et al. 2014)</w:t>
      </w:r>
      <w:r w:rsidRPr="00BC1A14">
        <w:t xml:space="preserve">, and are assigned to the relevant state within the </w:t>
      </w:r>
      <w:r>
        <w:t>d</w:t>
      </w:r>
      <w:r w:rsidRPr="00BC1A14">
        <w:t xml:space="preserve">ementia </w:t>
      </w:r>
      <w:proofErr w:type="spellStart"/>
      <w:r>
        <w:t>s</w:t>
      </w:r>
      <w:r w:rsidRPr="00BC1A14">
        <w:t>tatechart</w:t>
      </w:r>
      <w:proofErr w:type="spellEnd"/>
      <w:r>
        <w:t>, which</w:t>
      </w:r>
      <w:r w:rsidRPr="00BC1A14">
        <w:t xml:space="preserve"> drive</w:t>
      </w:r>
      <w:r>
        <w:t>s</w:t>
      </w:r>
      <w:r w:rsidRPr="00BC1A14">
        <w:t xml:space="preserve"> disease progression.  Changes in </w:t>
      </w:r>
      <w:r>
        <w:t>dementia state</w:t>
      </w:r>
      <w:r w:rsidRPr="00BC1A14">
        <w:t xml:space="preserve"> directly influence the level of dependency, which in turn controls the </w:t>
      </w:r>
      <w:r>
        <w:t>c</w:t>
      </w:r>
      <w:r w:rsidRPr="00BC1A14">
        <w:t xml:space="preserve">arer </w:t>
      </w:r>
      <w:r>
        <w:t>b</w:t>
      </w:r>
      <w:r w:rsidRPr="00BC1A14">
        <w:t xml:space="preserve">urden </w:t>
      </w:r>
      <w:proofErr w:type="spellStart"/>
      <w:r>
        <w:t>s</w:t>
      </w:r>
      <w:r w:rsidRPr="00BC1A14">
        <w:t>tatechart</w:t>
      </w:r>
      <w:proofErr w:type="spellEnd"/>
      <w:r w:rsidRPr="00BC1A14">
        <w:t>.</w:t>
      </w:r>
    </w:p>
    <w:p w14:paraId="12CD37AB" w14:textId="74DE039B" w:rsidR="00F61165" w:rsidRPr="00BC1A14" w:rsidRDefault="00F61165" w:rsidP="00F61165">
      <w:pPr>
        <w:pStyle w:val="Newparagraph"/>
      </w:pPr>
      <w:r w:rsidRPr="00BC1A14">
        <w:t xml:space="preserve">An individual’s unique characteristics govern how they </w:t>
      </w:r>
      <w:proofErr w:type="gramStart"/>
      <w:r w:rsidRPr="00BC1A14">
        <w:t>are routed</w:t>
      </w:r>
      <w:proofErr w:type="gramEnd"/>
      <w:r w:rsidRPr="00BC1A14">
        <w:t xml:space="preserve"> around the </w:t>
      </w:r>
      <w:r>
        <w:t xml:space="preserve">DES </w:t>
      </w:r>
      <w:r w:rsidRPr="00BC1A14">
        <w:t xml:space="preserve">model. If they do not require formal support from a care service at the time of diagnosis, they return home. If they do require assistance, the level of care they require </w:t>
      </w:r>
      <w:proofErr w:type="gramStart"/>
      <w:r w:rsidRPr="00BC1A14">
        <w:t>is reviewed</w:t>
      </w:r>
      <w:proofErr w:type="gramEnd"/>
      <w:r w:rsidRPr="00BC1A14">
        <w:t xml:space="preserve"> and they are referred to one of </w:t>
      </w:r>
      <w:r>
        <w:t xml:space="preserve">the </w:t>
      </w:r>
      <w:r w:rsidRPr="00BC1A14">
        <w:t xml:space="preserve">six care services shown in Table 1.  The first four </w:t>
      </w:r>
      <w:proofErr w:type="gramStart"/>
      <w:r w:rsidRPr="00BC1A14">
        <w:t>are provided</w:t>
      </w:r>
      <w:proofErr w:type="gramEnd"/>
      <w:r w:rsidRPr="00BC1A14">
        <w:t xml:space="preserve"> in the person’s own home, whereas the last two are provided in an institutional care setting.  In practice, the number of visits per day and the level of support provided under Community Care varies enormously from person to person, and this </w:t>
      </w:r>
      <w:proofErr w:type="gramStart"/>
      <w:r w:rsidRPr="00BC1A14">
        <w:t>is sampled</w:t>
      </w:r>
      <w:proofErr w:type="gramEnd"/>
      <w:r w:rsidRPr="00BC1A14">
        <w:t xml:space="preserve"> in </w:t>
      </w:r>
      <w:r w:rsidRPr="00BC1A14">
        <w:lastRenderedPageBreak/>
        <w:t>the model for each individual – see Appendix 1</w:t>
      </w:r>
      <w:r>
        <w:t xml:space="preserve"> for details of the probability distributions used.</w:t>
      </w:r>
    </w:p>
    <w:p w14:paraId="7357043F" w14:textId="3DBFA8A6" w:rsidR="00795AB3" w:rsidRDefault="000F6EE7" w:rsidP="000F6EE7">
      <w:pPr>
        <w:pStyle w:val="Figurecaption"/>
        <w:jc w:val="center"/>
      </w:pPr>
      <w:r>
        <w:rPr>
          <w:noProof/>
        </w:rPr>
        <w:drawing>
          <wp:inline distT="0" distB="0" distL="0" distR="0" wp14:anchorId="56285EF2" wp14:editId="20FEADA6">
            <wp:extent cx="4564876" cy="3103263"/>
            <wp:effectExtent l="0" t="0" r="762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9527" cy="3120021"/>
                    </a:xfrm>
                    <a:prstGeom prst="rect">
                      <a:avLst/>
                    </a:prstGeom>
                    <a:noFill/>
                  </pic:spPr>
                </pic:pic>
              </a:graphicData>
            </a:graphic>
          </wp:inline>
        </w:drawing>
      </w:r>
    </w:p>
    <w:p w14:paraId="0CBDBD45" w14:textId="5E3883B3" w:rsidR="00CD33AB" w:rsidRPr="000A67E3" w:rsidRDefault="00CD33AB" w:rsidP="000A67E3">
      <w:pPr>
        <w:pStyle w:val="Figurecaption"/>
        <w:jc w:val="center"/>
        <w:rPr>
          <w:i/>
          <w:iCs/>
        </w:rPr>
      </w:pPr>
      <w:r w:rsidRPr="000A67E3">
        <w:rPr>
          <w:i/>
          <w:iCs/>
        </w:rPr>
        <w:t xml:space="preserve">Figure </w:t>
      </w:r>
      <w:r w:rsidR="000C3A6F" w:rsidRPr="000A67E3">
        <w:rPr>
          <w:i/>
          <w:iCs/>
        </w:rPr>
        <w:t>2</w:t>
      </w:r>
      <w:r w:rsidRPr="000A67E3">
        <w:rPr>
          <w:i/>
          <w:iCs/>
        </w:rPr>
        <w:t xml:space="preserve">: </w:t>
      </w:r>
      <w:r w:rsidR="00813BEC">
        <w:rPr>
          <w:i/>
          <w:iCs/>
        </w:rPr>
        <w:t>Individual attributes and</w:t>
      </w:r>
      <w:r w:rsidRPr="000A67E3">
        <w:rPr>
          <w:i/>
          <w:iCs/>
        </w:rPr>
        <w:t xml:space="preserve"> </w:t>
      </w:r>
      <w:proofErr w:type="spellStart"/>
      <w:r w:rsidR="000C3A6F" w:rsidRPr="000A67E3">
        <w:rPr>
          <w:i/>
          <w:iCs/>
        </w:rPr>
        <w:t>s</w:t>
      </w:r>
      <w:r w:rsidRPr="000A67E3">
        <w:rPr>
          <w:i/>
          <w:iCs/>
        </w:rPr>
        <w:t>tatecharts</w:t>
      </w:r>
      <w:proofErr w:type="spellEnd"/>
      <w:r w:rsidRPr="000A67E3">
        <w:rPr>
          <w:i/>
          <w:iCs/>
        </w:rPr>
        <w:t xml:space="preserve"> within the </w:t>
      </w:r>
      <w:proofErr w:type="spellStart"/>
      <w:r w:rsidRPr="000A67E3">
        <w:rPr>
          <w:i/>
          <w:iCs/>
        </w:rPr>
        <w:t>TeleDem</w:t>
      </w:r>
      <w:proofErr w:type="spellEnd"/>
      <w:r w:rsidRPr="000A67E3">
        <w:rPr>
          <w:i/>
          <w:iCs/>
        </w:rPr>
        <w:t xml:space="preserve"> </w:t>
      </w:r>
      <w:r w:rsidR="000C3A6F" w:rsidRPr="000A67E3">
        <w:rPr>
          <w:i/>
          <w:iCs/>
        </w:rPr>
        <w:t>s</w:t>
      </w:r>
      <w:r w:rsidRPr="000A67E3">
        <w:rPr>
          <w:i/>
          <w:iCs/>
        </w:rPr>
        <w:t>imulation</w:t>
      </w:r>
    </w:p>
    <w:p w14:paraId="47129CE1" w14:textId="77777777" w:rsidR="00922383" w:rsidRDefault="00922383" w:rsidP="000F6EE7">
      <w:pPr>
        <w:pStyle w:val="Newparagraph"/>
      </w:pPr>
    </w:p>
    <w:tbl>
      <w:tblPr>
        <w:tblStyle w:val="TableGrid"/>
        <w:tblW w:w="8217" w:type="dxa"/>
        <w:tblInd w:w="0" w:type="dxa"/>
        <w:tblLook w:val="04A0" w:firstRow="1" w:lastRow="0" w:firstColumn="1" w:lastColumn="0" w:noHBand="0" w:noVBand="1"/>
      </w:tblPr>
      <w:tblGrid>
        <w:gridCol w:w="2407"/>
        <w:gridCol w:w="5810"/>
      </w:tblGrid>
      <w:tr w:rsidR="000F6EE7" w:rsidRPr="00BC1A14" w14:paraId="219F2CED" w14:textId="77777777" w:rsidTr="00EE4554">
        <w:tc>
          <w:tcPr>
            <w:tcW w:w="2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A35006" w14:textId="77777777" w:rsidR="000F6EE7" w:rsidRPr="00BC1A14" w:rsidRDefault="000F6EE7" w:rsidP="00EE4554">
            <w:pPr>
              <w:pStyle w:val="BodyText"/>
              <w:spacing w:after="0" w:line="240" w:lineRule="auto"/>
              <w:ind w:right="0"/>
            </w:pPr>
            <w:r w:rsidRPr="00BC1A14">
              <w:t>Care Service</w:t>
            </w:r>
          </w:p>
        </w:tc>
        <w:tc>
          <w:tcPr>
            <w:tcW w:w="5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41DBEF" w14:textId="77777777" w:rsidR="000F6EE7" w:rsidRPr="00BC1A14" w:rsidRDefault="000F6EE7" w:rsidP="00EE4554">
            <w:pPr>
              <w:pStyle w:val="BodyText"/>
              <w:spacing w:after="0" w:line="240" w:lineRule="auto"/>
              <w:ind w:right="0"/>
            </w:pPr>
            <w:r w:rsidRPr="00BC1A14">
              <w:t>Description</w:t>
            </w:r>
          </w:p>
        </w:tc>
      </w:tr>
      <w:tr w:rsidR="000F6EE7" w:rsidRPr="00BC1A14" w14:paraId="31C6E987" w14:textId="77777777" w:rsidTr="00EE4554">
        <w:trPr>
          <w:trHeight w:val="791"/>
        </w:trPr>
        <w:tc>
          <w:tcPr>
            <w:tcW w:w="2407" w:type="dxa"/>
            <w:tcBorders>
              <w:top w:val="single" w:sz="4" w:space="0" w:color="auto"/>
              <w:left w:val="single" w:sz="4" w:space="0" w:color="auto"/>
              <w:bottom w:val="single" w:sz="4" w:space="0" w:color="auto"/>
              <w:right w:val="single" w:sz="4" w:space="0" w:color="auto"/>
            </w:tcBorders>
            <w:hideMark/>
          </w:tcPr>
          <w:p w14:paraId="728B566A" w14:textId="77777777" w:rsidR="000F6EE7" w:rsidRPr="00BC1A14" w:rsidRDefault="000F6EE7" w:rsidP="00EE4554">
            <w:pPr>
              <w:pStyle w:val="BodyText"/>
              <w:spacing w:after="0" w:line="240" w:lineRule="auto"/>
              <w:ind w:right="0"/>
              <w:jc w:val="left"/>
            </w:pPr>
            <w:r w:rsidRPr="00BC1A14">
              <w:t>Basic Telecare</w:t>
            </w:r>
          </w:p>
        </w:tc>
        <w:tc>
          <w:tcPr>
            <w:tcW w:w="5810" w:type="dxa"/>
            <w:tcBorders>
              <w:top w:val="single" w:sz="4" w:space="0" w:color="auto"/>
              <w:left w:val="single" w:sz="4" w:space="0" w:color="auto"/>
              <w:bottom w:val="single" w:sz="4" w:space="0" w:color="auto"/>
              <w:right w:val="single" w:sz="4" w:space="0" w:color="auto"/>
            </w:tcBorders>
            <w:hideMark/>
          </w:tcPr>
          <w:p w14:paraId="667F03F0" w14:textId="77777777" w:rsidR="000F6EE7" w:rsidRPr="007970FE" w:rsidRDefault="000F6EE7" w:rsidP="00EE4554">
            <w:pPr>
              <w:pStyle w:val="BodyText"/>
              <w:spacing w:after="0" w:line="240" w:lineRule="auto"/>
              <w:ind w:right="0"/>
            </w:pPr>
            <w:r w:rsidRPr="007970FE">
              <w:t>This service includes a base unit, pendant alarm and up to four additional sensors or devices (e.g. a fall detector, medication dispenser, or GPS tracking device).</w:t>
            </w:r>
          </w:p>
        </w:tc>
      </w:tr>
      <w:tr w:rsidR="000F6EE7" w:rsidRPr="00BC1A14" w14:paraId="08107FCC" w14:textId="77777777" w:rsidTr="00EE4554">
        <w:trPr>
          <w:trHeight w:val="528"/>
        </w:trPr>
        <w:tc>
          <w:tcPr>
            <w:tcW w:w="2407" w:type="dxa"/>
            <w:tcBorders>
              <w:top w:val="single" w:sz="4" w:space="0" w:color="auto"/>
              <w:left w:val="single" w:sz="4" w:space="0" w:color="auto"/>
              <w:bottom w:val="single" w:sz="4" w:space="0" w:color="auto"/>
              <w:right w:val="single" w:sz="4" w:space="0" w:color="auto"/>
            </w:tcBorders>
            <w:hideMark/>
          </w:tcPr>
          <w:p w14:paraId="36F9A3A1" w14:textId="77777777" w:rsidR="000F6EE7" w:rsidRPr="00BC1A14" w:rsidRDefault="000F6EE7" w:rsidP="00EE4554">
            <w:pPr>
              <w:pStyle w:val="BodyText"/>
              <w:spacing w:after="0" w:line="240" w:lineRule="auto"/>
              <w:ind w:right="0"/>
              <w:jc w:val="left"/>
            </w:pPr>
            <w:r w:rsidRPr="00BC1A14">
              <w:t>Community Care</w:t>
            </w:r>
          </w:p>
        </w:tc>
        <w:tc>
          <w:tcPr>
            <w:tcW w:w="5810" w:type="dxa"/>
            <w:tcBorders>
              <w:top w:val="single" w:sz="4" w:space="0" w:color="auto"/>
              <w:left w:val="single" w:sz="4" w:space="0" w:color="auto"/>
              <w:bottom w:val="single" w:sz="4" w:space="0" w:color="auto"/>
              <w:right w:val="single" w:sz="4" w:space="0" w:color="auto"/>
            </w:tcBorders>
            <w:hideMark/>
          </w:tcPr>
          <w:p w14:paraId="22072B2F" w14:textId="77777777" w:rsidR="000F6EE7" w:rsidRPr="007970FE" w:rsidRDefault="000F6EE7" w:rsidP="00EE4554">
            <w:pPr>
              <w:pStyle w:val="BodyText"/>
              <w:spacing w:after="0" w:line="240" w:lineRule="auto"/>
              <w:ind w:right="0"/>
            </w:pPr>
            <w:r w:rsidRPr="007970FE">
              <w:t>One or more visits per day from a care worker to provide help with basic  activities of daily living</w:t>
            </w:r>
            <w:r w:rsidRPr="003E74DE">
              <w:t xml:space="preserve"> (bathing, dressing </w:t>
            </w:r>
            <w:proofErr w:type="spellStart"/>
            <w:r w:rsidRPr="003E74DE">
              <w:t>etc</w:t>
            </w:r>
            <w:proofErr w:type="spellEnd"/>
            <w:r w:rsidRPr="003E74DE">
              <w:t>)</w:t>
            </w:r>
          </w:p>
        </w:tc>
      </w:tr>
      <w:tr w:rsidR="000F6EE7" w:rsidRPr="00BC1A14" w14:paraId="6207642B" w14:textId="77777777" w:rsidTr="00EE4554">
        <w:trPr>
          <w:trHeight w:val="538"/>
        </w:trPr>
        <w:tc>
          <w:tcPr>
            <w:tcW w:w="2407" w:type="dxa"/>
            <w:tcBorders>
              <w:top w:val="single" w:sz="4" w:space="0" w:color="auto"/>
              <w:left w:val="single" w:sz="4" w:space="0" w:color="auto"/>
              <w:bottom w:val="single" w:sz="4" w:space="0" w:color="auto"/>
              <w:right w:val="single" w:sz="4" w:space="0" w:color="auto"/>
            </w:tcBorders>
            <w:hideMark/>
          </w:tcPr>
          <w:p w14:paraId="7C0360CA" w14:textId="77777777" w:rsidR="000F6EE7" w:rsidRPr="00BC1A14" w:rsidRDefault="000F6EE7" w:rsidP="00EE4554">
            <w:pPr>
              <w:pStyle w:val="BodyText"/>
              <w:spacing w:after="0" w:line="240" w:lineRule="auto"/>
              <w:ind w:right="0"/>
              <w:jc w:val="left"/>
            </w:pPr>
            <w:r w:rsidRPr="00BC1A14">
              <w:t xml:space="preserve">Basic Telecare &amp; Community Care </w:t>
            </w:r>
          </w:p>
        </w:tc>
        <w:tc>
          <w:tcPr>
            <w:tcW w:w="5810" w:type="dxa"/>
            <w:tcBorders>
              <w:top w:val="single" w:sz="4" w:space="0" w:color="auto"/>
              <w:left w:val="single" w:sz="4" w:space="0" w:color="auto"/>
              <w:bottom w:val="single" w:sz="4" w:space="0" w:color="auto"/>
              <w:right w:val="single" w:sz="4" w:space="0" w:color="auto"/>
            </w:tcBorders>
            <w:hideMark/>
          </w:tcPr>
          <w:p w14:paraId="28A5219E" w14:textId="77777777" w:rsidR="000F6EE7" w:rsidRPr="003E74DE" w:rsidRDefault="000F6EE7" w:rsidP="00EE4554">
            <w:pPr>
              <w:spacing w:after="0" w:line="240" w:lineRule="auto"/>
              <w:ind w:right="0"/>
              <w:rPr>
                <w:rFonts w:eastAsia="Arial" w:cstheme="minorHAnsi"/>
                <w:sz w:val="22"/>
                <w:szCs w:val="22"/>
                <w:lang w:val="en-US"/>
              </w:rPr>
            </w:pPr>
            <w:r w:rsidRPr="003E74DE">
              <w:rPr>
                <w:rFonts w:eastAsia="Arial" w:cstheme="minorHAnsi"/>
                <w:sz w:val="22"/>
                <w:szCs w:val="22"/>
                <w:lang w:val="en-US"/>
              </w:rPr>
              <w:t xml:space="preserve">Basic telecare service provided alongside community care </w:t>
            </w:r>
          </w:p>
        </w:tc>
      </w:tr>
      <w:tr w:rsidR="000F6EE7" w:rsidRPr="00BC1A14" w14:paraId="76536201" w14:textId="77777777" w:rsidTr="00EE4554">
        <w:trPr>
          <w:trHeight w:val="688"/>
        </w:trPr>
        <w:tc>
          <w:tcPr>
            <w:tcW w:w="2407" w:type="dxa"/>
            <w:tcBorders>
              <w:top w:val="single" w:sz="4" w:space="0" w:color="auto"/>
              <w:left w:val="single" w:sz="4" w:space="0" w:color="auto"/>
              <w:bottom w:val="single" w:sz="4" w:space="0" w:color="auto"/>
              <w:right w:val="single" w:sz="4" w:space="0" w:color="auto"/>
            </w:tcBorders>
            <w:hideMark/>
          </w:tcPr>
          <w:p w14:paraId="509AA12F" w14:textId="77777777" w:rsidR="000F6EE7" w:rsidRPr="00BC1A14" w:rsidRDefault="000F6EE7" w:rsidP="00EE4554">
            <w:pPr>
              <w:pStyle w:val="BodyText"/>
              <w:spacing w:after="0" w:line="240" w:lineRule="auto"/>
              <w:ind w:right="0"/>
              <w:jc w:val="left"/>
            </w:pPr>
            <w:r w:rsidRPr="00BC1A14">
              <w:t>Complex Telecare &amp; Community Care</w:t>
            </w:r>
          </w:p>
        </w:tc>
        <w:tc>
          <w:tcPr>
            <w:tcW w:w="5810" w:type="dxa"/>
            <w:tcBorders>
              <w:top w:val="single" w:sz="4" w:space="0" w:color="auto"/>
              <w:left w:val="single" w:sz="4" w:space="0" w:color="auto"/>
              <w:bottom w:val="single" w:sz="4" w:space="0" w:color="auto"/>
              <w:right w:val="single" w:sz="4" w:space="0" w:color="auto"/>
            </w:tcBorders>
            <w:hideMark/>
          </w:tcPr>
          <w:p w14:paraId="57266090" w14:textId="77777777" w:rsidR="000F6EE7" w:rsidRPr="003E74DE" w:rsidRDefault="000F6EE7" w:rsidP="00EE4554">
            <w:pPr>
              <w:spacing w:after="0" w:line="240" w:lineRule="auto"/>
              <w:ind w:right="0"/>
              <w:rPr>
                <w:rFonts w:eastAsia="Arial" w:cstheme="minorHAnsi"/>
                <w:sz w:val="22"/>
                <w:szCs w:val="22"/>
                <w:lang w:val="en-US"/>
              </w:rPr>
            </w:pPr>
            <w:r w:rsidRPr="003E74DE">
              <w:rPr>
                <w:rFonts w:eastAsia="Arial" w:cstheme="minorHAnsi"/>
                <w:sz w:val="22"/>
                <w:szCs w:val="22"/>
                <w:lang w:val="en-US"/>
              </w:rPr>
              <w:t>Full suite of telecare sensors and devices alongside a base unit.  Only used  alongside community care and in the later stages of dementia</w:t>
            </w:r>
          </w:p>
        </w:tc>
      </w:tr>
      <w:tr w:rsidR="000F6EE7" w:rsidRPr="00BC1A14" w14:paraId="6303200A" w14:textId="77777777" w:rsidTr="00EE4554">
        <w:trPr>
          <w:trHeight w:val="414"/>
        </w:trPr>
        <w:tc>
          <w:tcPr>
            <w:tcW w:w="2407" w:type="dxa"/>
            <w:tcBorders>
              <w:top w:val="single" w:sz="4" w:space="0" w:color="auto"/>
              <w:left w:val="single" w:sz="4" w:space="0" w:color="auto"/>
              <w:bottom w:val="single" w:sz="4" w:space="0" w:color="auto"/>
              <w:right w:val="single" w:sz="4" w:space="0" w:color="auto"/>
            </w:tcBorders>
            <w:hideMark/>
          </w:tcPr>
          <w:p w14:paraId="77E3BD91" w14:textId="77777777" w:rsidR="000F6EE7" w:rsidRPr="00BC1A14" w:rsidRDefault="000F6EE7" w:rsidP="00EE4554">
            <w:pPr>
              <w:pStyle w:val="BodyText"/>
              <w:spacing w:after="0" w:line="240" w:lineRule="auto"/>
              <w:ind w:right="0"/>
              <w:jc w:val="left"/>
            </w:pPr>
            <w:r w:rsidRPr="00BC1A14">
              <w:t>Residential Care</w:t>
            </w:r>
          </w:p>
        </w:tc>
        <w:tc>
          <w:tcPr>
            <w:tcW w:w="5810" w:type="dxa"/>
            <w:tcBorders>
              <w:top w:val="single" w:sz="4" w:space="0" w:color="auto"/>
              <w:left w:val="single" w:sz="4" w:space="0" w:color="auto"/>
              <w:bottom w:val="single" w:sz="4" w:space="0" w:color="auto"/>
              <w:right w:val="single" w:sz="4" w:space="0" w:color="auto"/>
            </w:tcBorders>
            <w:hideMark/>
          </w:tcPr>
          <w:p w14:paraId="76EC5198" w14:textId="77777777" w:rsidR="000F6EE7" w:rsidRPr="007970FE" w:rsidRDefault="000F6EE7" w:rsidP="00EE4554">
            <w:pPr>
              <w:pStyle w:val="BodyText"/>
              <w:spacing w:after="0" w:line="240" w:lineRule="auto"/>
              <w:ind w:right="0"/>
            </w:pPr>
            <w:r w:rsidRPr="007970FE">
              <w:t xml:space="preserve">24/7 support with activities of daily living </w:t>
            </w:r>
          </w:p>
        </w:tc>
      </w:tr>
      <w:tr w:rsidR="000F6EE7" w:rsidRPr="00BC1A14" w14:paraId="7866D472" w14:textId="77777777" w:rsidTr="00EE4554">
        <w:trPr>
          <w:trHeight w:val="428"/>
        </w:trPr>
        <w:tc>
          <w:tcPr>
            <w:tcW w:w="2407" w:type="dxa"/>
            <w:tcBorders>
              <w:top w:val="single" w:sz="4" w:space="0" w:color="auto"/>
              <w:left w:val="single" w:sz="4" w:space="0" w:color="auto"/>
              <w:bottom w:val="single" w:sz="4" w:space="0" w:color="auto"/>
              <w:right w:val="single" w:sz="4" w:space="0" w:color="auto"/>
            </w:tcBorders>
            <w:hideMark/>
          </w:tcPr>
          <w:p w14:paraId="09F10829" w14:textId="77777777" w:rsidR="000F6EE7" w:rsidRPr="00BC1A14" w:rsidRDefault="000F6EE7" w:rsidP="00EE4554">
            <w:pPr>
              <w:pStyle w:val="BodyText"/>
              <w:spacing w:after="0" w:line="240" w:lineRule="auto"/>
              <w:ind w:right="0"/>
              <w:jc w:val="left"/>
            </w:pPr>
            <w:r w:rsidRPr="00BC1A14">
              <w:t>Nursing Home</w:t>
            </w:r>
          </w:p>
        </w:tc>
        <w:tc>
          <w:tcPr>
            <w:tcW w:w="5810" w:type="dxa"/>
            <w:tcBorders>
              <w:top w:val="single" w:sz="4" w:space="0" w:color="auto"/>
              <w:left w:val="single" w:sz="4" w:space="0" w:color="auto"/>
              <w:bottom w:val="single" w:sz="4" w:space="0" w:color="auto"/>
              <w:right w:val="single" w:sz="4" w:space="0" w:color="auto"/>
            </w:tcBorders>
            <w:hideMark/>
          </w:tcPr>
          <w:p w14:paraId="7ED2CF47" w14:textId="77777777" w:rsidR="000F6EE7" w:rsidRPr="007970FE" w:rsidRDefault="000F6EE7" w:rsidP="00EE4554">
            <w:pPr>
              <w:pStyle w:val="BodyText"/>
              <w:spacing w:after="0" w:line="240" w:lineRule="auto"/>
              <w:ind w:right="0"/>
            </w:pPr>
            <w:r w:rsidRPr="007970FE">
              <w:t>For people who require 24/7 nursing care as well as social care support</w:t>
            </w:r>
          </w:p>
        </w:tc>
      </w:tr>
    </w:tbl>
    <w:p w14:paraId="09376DC1" w14:textId="77777777" w:rsidR="000F6EE7" w:rsidRPr="000A67E3" w:rsidRDefault="000F6EE7" w:rsidP="00813BEC">
      <w:pPr>
        <w:pStyle w:val="Newparagraph"/>
        <w:spacing w:before="120" w:after="0"/>
        <w:jc w:val="center"/>
        <w:rPr>
          <w:i/>
          <w:iCs/>
        </w:rPr>
      </w:pPr>
      <w:r w:rsidRPr="000A67E3">
        <w:rPr>
          <w:i/>
          <w:iCs/>
        </w:rPr>
        <w:t xml:space="preserve">Table 1. The </w:t>
      </w:r>
      <w:r>
        <w:rPr>
          <w:i/>
          <w:iCs/>
        </w:rPr>
        <w:t>s</w:t>
      </w:r>
      <w:r w:rsidRPr="000A67E3">
        <w:rPr>
          <w:i/>
          <w:iCs/>
        </w:rPr>
        <w:t xml:space="preserve">ix </w:t>
      </w:r>
      <w:r>
        <w:rPr>
          <w:i/>
          <w:iCs/>
        </w:rPr>
        <w:t>c</w:t>
      </w:r>
      <w:r w:rsidRPr="000A67E3">
        <w:rPr>
          <w:i/>
          <w:iCs/>
        </w:rPr>
        <w:t xml:space="preserve">are </w:t>
      </w:r>
      <w:r>
        <w:rPr>
          <w:i/>
          <w:iCs/>
        </w:rPr>
        <w:t>s</w:t>
      </w:r>
      <w:r w:rsidRPr="000A67E3">
        <w:rPr>
          <w:i/>
          <w:iCs/>
        </w:rPr>
        <w:t xml:space="preserve">ervices </w:t>
      </w:r>
      <w:r>
        <w:rPr>
          <w:i/>
          <w:iCs/>
        </w:rPr>
        <w:t>o</w:t>
      </w:r>
      <w:r w:rsidRPr="000A67E3">
        <w:rPr>
          <w:i/>
          <w:iCs/>
        </w:rPr>
        <w:t xml:space="preserve">ffered in the </w:t>
      </w:r>
      <w:proofErr w:type="spellStart"/>
      <w:r w:rsidRPr="000A67E3">
        <w:rPr>
          <w:i/>
          <w:iCs/>
        </w:rPr>
        <w:t>TeleDem</w:t>
      </w:r>
      <w:proofErr w:type="spellEnd"/>
      <w:r w:rsidRPr="000A67E3">
        <w:rPr>
          <w:i/>
          <w:iCs/>
        </w:rPr>
        <w:t xml:space="preserve"> </w:t>
      </w:r>
      <w:r>
        <w:rPr>
          <w:i/>
          <w:iCs/>
        </w:rPr>
        <w:t>s</w:t>
      </w:r>
      <w:r w:rsidRPr="000A67E3">
        <w:rPr>
          <w:i/>
          <w:iCs/>
        </w:rPr>
        <w:t>imulation</w:t>
      </w:r>
    </w:p>
    <w:p w14:paraId="77426918" w14:textId="627F4DBD" w:rsidR="000C3A6F" w:rsidRPr="00BC1A14" w:rsidRDefault="000C3A6F" w:rsidP="000A67E3">
      <w:pPr>
        <w:pStyle w:val="Newparagraph"/>
      </w:pPr>
      <w:r w:rsidRPr="00BC1A14">
        <w:t xml:space="preserve">A person’s progression through different states in a </w:t>
      </w:r>
      <w:proofErr w:type="spellStart"/>
      <w:r w:rsidRPr="00BC1A14">
        <w:t>statechart</w:t>
      </w:r>
      <w:proofErr w:type="spellEnd"/>
      <w:r w:rsidRPr="00BC1A14">
        <w:t xml:space="preserve"> is independent of their position within the DES, although movement around the DES </w:t>
      </w:r>
      <w:proofErr w:type="gramStart"/>
      <w:r w:rsidRPr="00BC1A14">
        <w:t>can be triggered</w:t>
      </w:r>
      <w:proofErr w:type="gramEnd"/>
      <w:r w:rsidRPr="00BC1A14">
        <w:t xml:space="preserve"> by changes in state. </w:t>
      </w:r>
      <w:r w:rsidR="00AF5356">
        <w:t xml:space="preserve"> </w:t>
      </w:r>
      <w:r w:rsidRPr="00BC1A14">
        <w:t xml:space="preserve">For instance, if a person dies, they </w:t>
      </w:r>
      <w:proofErr w:type="gramStart"/>
      <w:r w:rsidRPr="00BC1A14">
        <w:t>are immediately removed</w:t>
      </w:r>
      <w:proofErr w:type="gramEnd"/>
      <w:r w:rsidRPr="00BC1A14">
        <w:t xml:space="preserve"> from the DES; if a person progresses to a more severe stage of disease, their care needs will change.  If their </w:t>
      </w:r>
      <w:r w:rsidRPr="00BC1A14">
        <w:lastRenderedPageBreak/>
        <w:t>informal carer can no longer cope, the</w:t>
      </w:r>
      <w:r w:rsidR="00AF5356">
        <w:t xml:space="preserve"> patient</w:t>
      </w:r>
      <w:r w:rsidRPr="00BC1A14">
        <w:t xml:space="preserve"> will require referral to a new service and possibly even a move into institutional care, even if their dementia state and their care needs are unchanged. This allows the model to reflect the reality of the care pathway, where the outcomes of assessments, reviews, and referrals to care services </w:t>
      </w:r>
      <w:proofErr w:type="gramStart"/>
      <w:r w:rsidRPr="00BC1A14">
        <w:t>are based</w:t>
      </w:r>
      <w:proofErr w:type="gramEnd"/>
      <w:r w:rsidRPr="00BC1A14">
        <w:t xml:space="preserve"> on each person’s current situation. </w:t>
      </w:r>
    </w:p>
    <w:p w14:paraId="396981B1" w14:textId="4DC717EE" w:rsidR="00055BDD" w:rsidRPr="00BC1A14" w:rsidRDefault="00055BDD" w:rsidP="000A67E3">
      <w:pPr>
        <w:pStyle w:val="Newparagraph"/>
      </w:pPr>
      <w:r w:rsidRPr="00BC1A14">
        <w:t xml:space="preserve">The </w:t>
      </w:r>
      <w:proofErr w:type="spellStart"/>
      <w:r w:rsidRPr="00BC1A14">
        <w:t>statecharts</w:t>
      </w:r>
      <w:proofErr w:type="spellEnd"/>
      <w:r w:rsidRPr="00BC1A14">
        <w:t xml:space="preserve"> update </w:t>
      </w:r>
      <w:r w:rsidR="00813BEC">
        <w:t xml:space="preserve">on a </w:t>
      </w:r>
      <w:r w:rsidRPr="00BC1A14">
        <w:t xml:space="preserve">daily </w:t>
      </w:r>
      <w:r w:rsidR="00813BEC">
        <w:t xml:space="preserve">basis </w:t>
      </w:r>
      <w:r w:rsidRPr="00BC1A14">
        <w:t>as the DES model runs.</w:t>
      </w:r>
      <w:r w:rsidR="00813BEC">
        <w:t xml:space="preserve"> </w:t>
      </w:r>
      <w:r w:rsidRPr="00BC1A14">
        <w:t xml:space="preserve"> As </w:t>
      </w:r>
      <w:r w:rsidR="00795AB3">
        <w:t>an individual</w:t>
      </w:r>
      <w:r w:rsidRPr="00BC1A14">
        <w:t xml:space="preserve"> transitions through the stages of dementia, their level of dependency increases. The model distinguishes six levels of dependency, i.e. two levels of dependency within each of the </w:t>
      </w:r>
      <w:proofErr w:type="gramStart"/>
      <w:r w:rsidRPr="00BC1A14">
        <w:t>three dementia</w:t>
      </w:r>
      <w:proofErr w:type="gramEnd"/>
      <w:r w:rsidRPr="00BC1A14">
        <w:t xml:space="preserve"> stages. The number of hours of support the person requires and the level of carer burden experienced are determined by their level of dependency. Carer burden, measured as a </w:t>
      </w:r>
      <w:proofErr w:type="spellStart"/>
      <w:r w:rsidRPr="00BC1A14">
        <w:t>Zarit</w:t>
      </w:r>
      <w:proofErr w:type="spellEnd"/>
      <w:r w:rsidRPr="00BC1A14">
        <w:t xml:space="preserve"> Burden Inventory (ZBI) score (</w:t>
      </w:r>
      <w:proofErr w:type="spellStart"/>
      <w:r w:rsidRPr="00BC1A14">
        <w:t>Zarit</w:t>
      </w:r>
      <w:proofErr w:type="spellEnd"/>
      <w:r w:rsidRPr="00BC1A14">
        <w:t xml:space="preserve"> et al., 1986), and care status directly influence each person’s position within the Carer Burden </w:t>
      </w:r>
      <w:proofErr w:type="spellStart"/>
      <w:r w:rsidR="000A67E3">
        <w:t>s</w:t>
      </w:r>
      <w:r w:rsidRPr="00BC1A14">
        <w:t>tatechart</w:t>
      </w:r>
      <w:proofErr w:type="spellEnd"/>
      <w:r w:rsidRPr="00BC1A14">
        <w:t xml:space="preserve">. </w:t>
      </w:r>
      <w:r w:rsidR="000A67E3">
        <w:t>As</w:t>
      </w:r>
      <w:r w:rsidRPr="00BC1A14">
        <w:t xml:space="preserve"> carer burden </w:t>
      </w:r>
      <w:r w:rsidR="000A67E3">
        <w:t xml:space="preserve">increases, so does </w:t>
      </w:r>
      <w:r w:rsidRPr="00BC1A14">
        <w:t>the probability of carer collapse and institutional care placement (Hébert et al., 2001).</w:t>
      </w:r>
    </w:p>
    <w:p w14:paraId="1FA122FE" w14:textId="699BD4C4" w:rsidR="00055BDD" w:rsidRPr="00BC1A14" w:rsidRDefault="000F6EE7" w:rsidP="000A67E3">
      <w:pPr>
        <w:pStyle w:val="Newparagraph"/>
      </w:pPr>
      <w:r>
        <w:t xml:space="preserve">When a state change </w:t>
      </w:r>
      <w:proofErr w:type="gramStart"/>
      <w:r>
        <w:t>occurs</w:t>
      </w:r>
      <w:proofErr w:type="gramEnd"/>
      <w:r>
        <w:t xml:space="preserve"> t</w:t>
      </w:r>
      <w:r w:rsidR="00055BDD" w:rsidRPr="00BC1A14">
        <w:t xml:space="preserve">he person is routed to the care service that best meets their needs. ZBI scores within the model </w:t>
      </w:r>
      <w:proofErr w:type="gramStart"/>
      <w:r w:rsidR="00055BDD" w:rsidRPr="00BC1A14">
        <w:t>are recalculated</w:t>
      </w:r>
      <w:proofErr w:type="gramEnd"/>
      <w:r w:rsidR="00055BDD" w:rsidRPr="00BC1A14">
        <w:t xml:space="preserve"> on referral to telecare-based services</w:t>
      </w:r>
      <w:r>
        <w:t>,</w:t>
      </w:r>
      <w:r w:rsidR="00055BDD" w:rsidRPr="00BC1A14">
        <w:t xml:space="preserve"> to reflect the influence of telecare over reducing carer burden. This effect only remains while the person is in receipt of a telecare-based care service.</w:t>
      </w:r>
    </w:p>
    <w:p w14:paraId="03C82CE4" w14:textId="7611A8B3" w:rsidR="00055BDD" w:rsidRPr="00A43A84" w:rsidRDefault="00055BDD" w:rsidP="000A67E3">
      <w:pPr>
        <w:pStyle w:val="Heading2"/>
      </w:pPr>
      <w:bookmarkStart w:id="6" w:name="_Hlk71218119"/>
      <w:r w:rsidRPr="00A43A84">
        <w:t>Model boundaries and input data</w:t>
      </w:r>
    </w:p>
    <w:bookmarkEnd w:id="6"/>
    <w:p w14:paraId="316EC64D" w14:textId="77777777" w:rsidR="00055BDD" w:rsidRPr="00BC1A14" w:rsidRDefault="00055BDD" w:rsidP="000A67E3">
      <w:pPr>
        <w:pStyle w:val="Paragraph"/>
      </w:pPr>
      <w:r w:rsidRPr="00BC1A14">
        <w:t xml:space="preserve">The </w:t>
      </w:r>
      <w:proofErr w:type="spellStart"/>
      <w:r w:rsidRPr="00BC1A14">
        <w:t>TeleDem</w:t>
      </w:r>
      <w:proofErr w:type="spellEnd"/>
      <w:r w:rsidRPr="00BC1A14">
        <w:t xml:space="preserve"> model does not represent a specific locality or population. Characteristics of the cohort </w:t>
      </w:r>
      <w:proofErr w:type="gramStart"/>
      <w:r w:rsidRPr="00BC1A14">
        <w:t>were assigned</w:t>
      </w:r>
      <w:proofErr w:type="gramEnd"/>
      <w:r w:rsidRPr="00BC1A14">
        <w:t xml:space="preserve"> to represent people with </w:t>
      </w:r>
      <w:r w:rsidR="00012E4A" w:rsidRPr="00BC1A14">
        <w:t>Alzheimer’s</w:t>
      </w:r>
      <w:r w:rsidRPr="00BC1A14">
        <w:t xml:space="preserve"> aged 65 years and older from a city with a population of approximately 250,000 people.  The model focuses on the social care system and does not include any interactions with the healthcare system: </w:t>
      </w:r>
      <w:proofErr w:type="gramStart"/>
      <w:r w:rsidRPr="00BC1A14">
        <w:t>neither does it examine</w:t>
      </w:r>
      <w:proofErr w:type="gramEnd"/>
      <w:r w:rsidRPr="00BC1A14">
        <w:t xml:space="preserve"> service capacities or waiting times. Therefore, the availability of all care services (apart from telecare) are assumed </w:t>
      </w:r>
      <w:proofErr w:type="gramStart"/>
      <w:r w:rsidRPr="00BC1A14">
        <w:t>to be unconstrained</w:t>
      </w:r>
      <w:proofErr w:type="gramEnd"/>
      <w:r w:rsidRPr="00BC1A14">
        <w:t>, allowing the model to focus solely on the impact of telecare on the demand for institutional care. Daily occupancy of residential and nursing home beds is the key performance indicator.</w:t>
      </w:r>
    </w:p>
    <w:p w14:paraId="01BA368B" w14:textId="700B1359" w:rsidR="00055BDD" w:rsidRPr="00BC1A14" w:rsidRDefault="00055BDD" w:rsidP="000A67E3">
      <w:pPr>
        <w:pStyle w:val="Newparagraph"/>
      </w:pPr>
      <w:r w:rsidRPr="00BC1A14">
        <w:t xml:space="preserve">The model parameters </w:t>
      </w:r>
      <w:proofErr w:type="gramStart"/>
      <w:r w:rsidRPr="00BC1A14">
        <w:t>were mainly derived</w:t>
      </w:r>
      <w:proofErr w:type="gramEnd"/>
      <w:r w:rsidRPr="00BC1A14">
        <w:t xml:space="preserve"> from the literature, although where data could not be found domain experts provided estimates. Appendix 1 details the data sources by parameter, and Appendix 2 </w:t>
      </w:r>
      <w:r w:rsidR="00F61165">
        <w:t xml:space="preserve">contains a detailed </w:t>
      </w:r>
      <w:r w:rsidRPr="00BC1A14">
        <w:t>list</w:t>
      </w:r>
      <w:r w:rsidR="00F61165">
        <w:t xml:space="preserve"> of</w:t>
      </w:r>
      <w:r w:rsidRPr="00BC1A14">
        <w:t xml:space="preserve"> </w:t>
      </w:r>
      <w:r w:rsidR="00F61165">
        <w:t xml:space="preserve">all </w:t>
      </w:r>
      <w:r w:rsidRPr="00BC1A14">
        <w:t>the model assumptions.</w:t>
      </w:r>
    </w:p>
    <w:p w14:paraId="5FCB194F" w14:textId="77777777" w:rsidR="00055BDD" w:rsidRPr="00BC1A14" w:rsidRDefault="00055BDD" w:rsidP="000A67E3">
      <w:pPr>
        <w:pStyle w:val="Heading2"/>
      </w:pPr>
      <w:r w:rsidRPr="00BC1A14">
        <w:lastRenderedPageBreak/>
        <w:t>Model Implementation</w:t>
      </w:r>
    </w:p>
    <w:p w14:paraId="41B95B1E" w14:textId="5A2CB529" w:rsidR="00AB3269" w:rsidRDefault="00055BDD" w:rsidP="000A67E3">
      <w:pPr>
        <w:pStyle w:val="Paragraph"/>
      </w:pPr>
      <w:bookmarkStart w:id="7" w:name="_Hlk71212303"/>
      <w:r w:rsidRPr="00BC1A14">
        <w:t xml:space="preserve">Figure </w:t>
      </w:r>
      <w:r w:rsidR="000F6EE7">
        <w:t>3</w:t>
      </w:r>
      <w:r w:rsidRPr="00BC1A14">
        <w:t xml:space="preserve"> shows a screenshot of the </w:t>
      </w:r>
      <w:proofErr w:type="spellStart"/>
      <w:r w:rsidRPr="00BC1A14">
        <w:t>TeleDem</w:t>
      </w:r>
      <w:proofErr w:type="spellEnd"/>
      <w:r w:rsidRPr="00BC1A14">
        <w:t xml:space="preserve"> model, with the </w:t>
      </w:r>
      <w:proofErr w:type="spellStart"/>
      <w:r w:rsidRPr="00BC1A14">
        <w:t>statecharts</w:t>
      </w:r>
      <w:proofErr w:type="spellEnd"/>
      <w:r w:rsidRPr="00BC1A14">
        <w:t xml:space="preserve"> to the right of the DES.</w:t>
      </w:r>
      <w:r w:rsidR="00AB3269">
        <w:t xml:space="preserve">  During a run, each coloured rectangle in the </w:t>
      </w:r>
      <w:proofErr w:type="spellStart"/>
      <w:r w:rsidR="00AB3269">
        <w:t>statechart</w:t>
      </w:r>
      <w:proofErr w:type="spellEnd"/>
      <w:r w:rsidR="00AB3269">
        <w:t xml:space="preserve"> </w:t>
      </w:r>
      <w:r w:rsidR="009A461E">
        <w:t>display</w:t>
      </w:r>
      <w:r w:rsidR="00AB3269">
        <w:t xml:space="preserve">s the number of patients currently in that state: </w:t>
      </w:r>
      <w:r w:rsidR="00AB3269" w:rsidRPr="00AB3269">
        <w:t>since this screenshot shows the state of the model at time zero (i.e., before any patients enter the system) they are all</w:t>
      </w:r>
      <w:r w:rsidR="00AB3269">
        <w:t xml:space="preserve"> zero</w:t>
      </w:r>
      <w:r w:rsidR="00AB3269" w:rsidRPr="00AB3269">
        <w:t>.</w:t>
      </w:r>
      <w:r w:rsidR="00AB3269">
        <w:t xml:space="preserve">  </w:t>
      </w:r>
      <w:r w:rsidR="00390735">
        <w:t xml:space="preserve">The six services are represented as activities, each of which requires a resource </w:t>
      </w:r>
      <w:r w:rsidR="00813BEC">
        <w:t>(</w:t>
      </w:r>
      <w:r w:rsidR="00390735">
        <w:t>b</w:t>
      </w:r>
      <w:r w:rsidR="00AB3269" w:rsidRPr="00BC1A14">
        <w:t xml:space="preserve">asic telecare equipment, complex telecare equipment, community care service, </w:t>
      </w:r>
      <w:proofErr w:type="gramStart"/>
      <w:r w:rsidR="00AB3269" w:rsidRPr="00BC1A14">
        <w:t>residential</w:t>
      </w:r>
      <w:proofErr w:type="gramEnd"/>
      <w:r w:rsidR="00AB3269" w:rsidRPr="00BC1A14">
        <w:t xml:space="preserve"> care space and nursing home beds</w:t>
      </w:r>
      <w:r w:rsidR="00813BEC">
        <w:t>)</w:t>
      </w:r>
      <w:r w:rsidR="00AB3269" w:rsidRPr="00BC1A14">
        <w:t>. The simulation uses days as its time unit.</w:t>
      </w:r>
    </w:p>
    <w:p w14:paraId="0832B79C" w14:textId="74A5959C" w:rsidR="009F32E6" w:rsidRDefault="00390735" w:rsidP="000A67E3">
      <w:pPr>
        <w:pStyle w:val="Newparagraph"/>
      </w:pPr>
      <w:bookmarkStart w:id="8" w:name="_Hlk71212052"/>
      <w:bookmarkEnd w:id="7"/>
      <w:r>
        <w:t xml:space="preserve">Technically, states </w:t>
      </w:r>
      <w:proofErr w:type="gramStart"/>
      <w:r>
        <w:t>are implemented</w:t>
      </w:r>
      <w:proofErr w:type="gramEnd"/>
      <w:r>
        <w:t xml:space="preserve"> in Simul8 as ‘work item labels’, i.e. attributes of entities. These labels </w:t>
      </w:r>
      <w:proofErr w:type="gramStart"/>
      <w:r>
        <w:t>are given</w:t>
      </w:r>
      <w:proofErr w:type="gramEnd"/>
      <w:r>
        <w:t xml:space="preserve"> a value of zero or one depending on whether the entity is in that state or not.  </w:t>
      </w:r>
      <w:r w:rsidR="00DB3C55">
        <w:t xml:space="preserve">The modeller specifies the rules governing state transitions, </w:t>
      </w:r>
      <w:proofErr w:type="gramStart"/>
      <w:r w:rsidR="00DB3C55">
        <w:t>and also</w:t>
      </w:r>
      <w:proofErr w:type="gramEnd"/>
      <w:r w:rsidR="00DB3C55">
        <w:t xml:space="preserve"> how frequently the rules are checked.   If a rule is satisfied, the corresponding state change takes place. In the case of </w:t>
      </w:r>
      <w:proofErr w:type="spellStart"/>
      <w:r w:rsidR="00DB3C55">
        <w:t>TeleDem</w:t>
      </w:r>
      <w:proofErr w:type="spellEnd"/>
      <w:r w:rsidR="00DB3C55">
        <w:t xml:space="preserve">, checks </w:t>
      </w:r>
      <w:proofErr w:type="gramStart"/>
      <w:r w:rsidR="00DB3C55">
        <w:t>were performed</w:t>
      </w:r>
      <w:proofErr w:type="gramEnd"/>
      <w:r w:rsidR="00DB3C55">
        <w:t xml:space="preserve"> on a daily basis. </w:t>
      </w:r>
    </w:p>
    <w:p w14:paraId="75D2B276" w14:textId="03988857" w:rsidR="00D41903" w:rsidRPr="00BC1A14" w:rsidRDefault="00DB3C55" w:rsidP="00D41903">
      <w:pPr>
        <w:pStyle w:val="Newparagraph"/>
      </w:pPr>
      <w:bookmarkStart w:id="9" w:name="_Hlk71212183"/>
      <w:bookmarkEnd w:id="8"/>
      <w:r>
        <w:t>U</w:t>
      </w:r>
      <w:r w:rsidR="00390735">
        <w:t xml:space="preserve">nlike standard Simul8, where (for example) routing decisions </w:t>
      </w:r>
      <w:proofErr w:type="gramStart"/>
      <w:r w:rsidR="00390735">
        <w:t>can only be made</w:t>
      </w:r>
      <w:proofErr w:type="gramEnd"/>
      <w:r w:rsidR="00390735">
        <w:t xml:space="preserve"> after an activity has ended, </w:t>
      </w:r>
      <w:proofErr w:type="spellStart"/>
      <w:r w:rsidR="00390735">
        <w:t>statecharts</w:t>
      </w:r>
      <w:proofErr w:type="spellEnd"/>
      <w:r w:rsidR="00390735">
        <w:t xml:space="preserve"> allow routing decisions to be made at any </w:t>
      </w:r>
      <w:r w:rsidR="00A43A84">
        <w:t>point</w:t>
      </w:r>
      <w:r w:rsidR="00390735">
        <w:t>, based on the entity’s status</w:t>
      </w:r>
      <w:r w:rsidR="00390735" w:rsidRPr="00A27B88">
        <w:t xml:space="preserve">. </w:t>
      </w:r>
      <w:r w:rsidR="00A27B88">
        <w:t xml:space="preserve">Events can be triggered based on a person’s state </w:t>
      </w:r>
      <w:r w:rsidR="00A27B88" w:rsidRPr="00A27B88">
        <w:t xml:space="preserve">– </w:t>
      </w:r>
      <w:r w:rsidR="00A27B88" w:rsidRPr="00A27B88">
        <w:rPr>
          <w:bCs/>
        </w:rPr>
        <w:t xml:space="preserve">so using our earlier example of a postoperative patient </w:t>
      </w:r>
      <w:r w:rsidR="00A27B88" w:rsidRPr="00A27B88">
        <w:t>- if the patient develops a wound</w:t>
      </w:r>
      <w:r w:rsidR="00A27B88">
        <w:t xml:space="preserve"> infection in the middle of the activity ‘Post-op stay’, they can immediately be sent to a queue for remedial surgery, rather than having to wait until the end of their previously sampled activity duration.</w:t>
      </w:r>
      <w:r w:rsidR="00A43A84">
        <w:t xml:space="preserve">  </w:t>
      </w:r>
      <w:proofErr w:type="spellStart"/>
      <w:r w:rsidR="00A569D7">
        <w:t>Statecharts</w:t>
      </w:r>
      <w:proofErr w:type="spellEnd"/>
      <w:r w:rsidR="00A569D7">
        <w:t xml:space="preserve"> provide a simple and elegant mechanism for implementing interrupted activities.</w:t>
      </w:r>
      <w:r w:rsidR="00D41903">
        <w:t xml:space="preserve"> The model is available for download as online appendix.</w:t>
      </w:r>
    </w:p>
    <w:p w14:paraId="4892C730" w14:textId="182BF57B" w:rsidR="00A569D7" w:rsidRDefault="00A569D7" w:rsidP="00A569D7">
      <w:pPr>
        <w:pStyle w:val="Paragraph"/>
      </w:pPr>
    </w:p>
    <w:bookmarkEnd w:id="9"/>
    <w:p w14:paraId="6C06C82A" w14:textId="41F058C0" w:rsidR="00AB3269" w:rsidRPr="00AB3269" w:rsidRDefault="00AB3269" w:rsidP="00E973D5">
      <w:pPr>
        <w:pStyle w:val="Newparagraph"/>
      </w:pPr>
    </w:p>
    <w:p w14:paraId="43C0C129" w14:textId="54BF2D7E" w:rsidR="00373010" w:rsidRDefault="00373010" w:rsidP="00F61165">
      <w:pPr>
        <w:pStyle w:val="Figurecaption"/>
        <w:jc w:val="center"/>
      </w:pPr>
      <w:r w:rsidRPr="00BC1A14">
        <w:rPr>
          <w:noProof/>
        </w:rPr>
        <w:lastRenderedPageBreak/>
        <w:drawing>
          <wp:inline distT="0" distB="0" distL="0" distR="0" wp14:anchorId="45410E52" wp14:editId="6BCF2791">
            <wp:extent cx="4017332" cy="8267178"/>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a:off x="0" y="0"/>
                      <a:ext cx="4040455" cy="8314762"/>
                    </a:xfrm>
                    <a:prstGeom prst="rect">
                      <a:avLst/>
                    </a:prstGeom>
                    <a:noFill/>
                    <a:ln>
                      <a:noFill/>
                    </a:ln>
                  </pic:spPr>
                </pic:pic>
              </a:graphicData>
            </a:graphic>
          </wp:inline>
        </w:drawing>
      </w:r>
    </w:p>
    <w:p w14:paraId="6CA961DB" w14:textId="2A975731" w:rsidR="00055BDD" w:rsidRPr="000F6EE7" w:rsidRDefault="00055BDD" w:rsidP="000F6EE7">
      <w:pPr>
        <w:pStyle w:val="Figurecaption"/>
        <w:jc w:val="center"/>
        <w:rPr>
          <w:i/>
          <w:iCs/>
        </w:rPr>
      </w:pPr>
      <w:r w:rsidRPr="000F6EE7">
        <w:rPr>
          <w:i/>
          <w:iCs/>
        </w:rPr>
        <w:t xml:space="preserve">Figure </w:t>
      </w:r>
      <w:r w:rsidR="000F6EE7" w:rsidRPr="000F6EE7">
        <w:rPr>
          <w:i/>
          <w:iCs/>
        </w:rPr>
        <w:t>3.</w:t>
      </w:r>
      <w:r w:rsidRPr="000F6EE7">
        <w:rPr>
          <w:i/>
          <w:iCs/>
        </w:rPr>
        <w:t xml:space="preserve"> Screenshot of the </w:t>
      </w:r>
      <w:proofErr w:type="spellStart"/>
      <w:r w:rsidRPr="000F6EE7">
        <w:rPr>
          <w:i/>
          <w:iCs/>
        </w:rPr>
        <w:t>TeleDem</w:t>
      </w:r>
      <w:proofErr w:type="spellEnd"/>
      <w:r w:rsidRPr="000F6EE7">
        <w:rPr>
          <w:i/>
          <w:iCs/>
        </w:rPr>
        <w:t xml:space="preserve"> Simulation</w:t>
      </w:r>
    </w:p>
    <w:p w14:paraId="03584D36" w14:textId="77777777" w:rsidR="00055BDD" w:rsidRPr="00BC1A14" w:rsidRDefault="00055BDD" w:rsidP="000A67E3">
      <w:pPr>
        <w:pStyle w:val="Heading2"/>
      </w:pPr>
      <w:r w:rsidRPr="00BC1A14">
        <w:lastRenderedPageBreak/>
        <w:t>Verification and Validation</w:t>
      </w:r>
    </w:p>
    <w:p w14:paraId="4A9D4D85" w14:textId="79D7214C" w:rsidR="00055BDD" w:rsidRDefault="00055BDD" w:rsidP="000A67E3">
      <w:pPr>
        <w:pStyle w:val="Paragraph"/>
      </w:pPr>
      <w:r w:rsidRPr="00BC1A14">
        <w:t xml:space="preserve">The model </w:t>
      </w:r>
      <w:proofErr w:type="gramStart"/>
      <w:r w:rsidRPr="00BC1A14">
        <w:t>was built</w:t>
      </w:r>
      <w:proofErr w:type="gramEnd"/>
      <w:r w:rsidRPr="00BC1A14">
        <w:t xml:space="preserve"> incrementally, which allowed each part to be run independently and tested so that problems could be identified and resolved</w:t>
      </w:r>
      <w:r w:rsidR="00813BEC">
        <w:t xml:space="preserve"> quickly</w:t>
      </w:r>
      <w:r w:rsidRPr="00BC1A14">
        <w:t xml:space="preserve">. The structure and logic of the model </w:t>
      </w:r>
      <w:proofErr w:type="gramStart"/>
      <w:r w:rsidRPr="00BC1A14">
        <w:t>were checked</w:t>
      </w:r>
      <w:proofErr w:type="gramEnd"/>
      <w:r w:rsidRPr="00BC1A14">
        <w:t xml:space="preserve"> with experts in Gerontology and dementia care</w:t>
      </w:r>
      <w:r w:rsidR="00CB3879">
        <w:t>,</w:t>
      </w:r>
      <w:r w:rsidRPr="00BC1A14">
        <w:t xml:space="preserve"> as were the simulated patterns of referral.</w:t>
      </w:r>
      <w:r w:rsidR="00A43A84">
        <w:t xml:space="preserve">  </w:t>
      </w:r>
      <w:r w:rsidRPr="00BC1A14">
        <w:t xml:space="preserve">Experiments </w:t>
      </w:r>
      <w:proofErr w:type="gramStart"/>
      <w:r w:rsidRPr="00BC1A14">
        <w:t>were conducted</w:t>
      </w:r>
      <w:proofErr w:type="gramEnd"/>
      <w:r w:rsidRPr="00BC1A14">
        <w:t xml:space="preserve"> to validate model behaviour against the published literature</w:t>
      </w:r>
      <w:r w:rsidR="00C90900">
        <w:t xml:space="preserve">. </w:t>
      </w:r>
      <w:r w:rsidR="00C90900" w:rsidRPr="00C90900">
        <w:t xml:space="preserve">For the purposes of validation, the model </w:t>
      </w:r>
      <w:proofErr w:type="gramStart"/>
      <w:r w:rsidR="00C90900" w:rsidRPr="00C90900">
        <w:t>was run</w:t>
      </w:r>
      <w:proofErr w:type="gramEnd"/>
      <w:r w:rsidR="00C90900" w:rsidRPr="00C90900">
        <w:t xml:space="preserve"> for 25 years with a fixed arrival rate of one person per day and all arrivals in state Mild, </w:t>
      </w:r>
      <w:r w:rsidR="00C90900">
        <w:t xml:space="preserve">in order </w:t>
      </w:r>
      <w:r w:rsidR="00C90900" w:rsidRPr="00C90900">
        <w:t xml:space="preserve">to model </w:t>
      </w:r>
      <w:r w:rsidR="007F55F0">
        <w:t xml:space="preserve">a cohort </w:t>
      </w:r>
      <w:r w:rsidR="00C90900" w:rsidRPr="00C90900">
        <w:t xml:space="preserve">from dementia onset </w:t>
      </w:r>
      <w:r w:rsidR="009A461E">
        <w:t xml:space="preserve">to death </w:t>
      </w:r>
      <w:r w:rsidR="00C90900" w:rsidRPr="00C90900">
        <w:t>and compare with the literature.</w:t>
      </w:r>
      <w:r w:rsidR="00C90900">
        <w:t xml:space="preserve"> </w:t>
      </w:r>
      <w:r w:rsidRPr="00BC1A14">
        <w:t xml:space="preserve">The </w:t>
      </w:r>
      <w:proofErr w:type="spellStart"/>
      <w:r w:rsidRPr="00BC1A14">
        <w:t>TeleDem</w:t>
      </w:r>
      <w:proofErr w:type="spellEnd"/>
      <w:r w:rsidRPr="00BC1A14">
        <w:t xml:space="preserve"> survival times following a diagnosis of dementia were compared to those published in Xie et al. (2008). Table 2 shows median survival by age band produced by the </w:t>
      </w:r>
      <w:proofErr w:type="spellStart"/>
      <w:r w:rsidRPr="00BC1A14">
        <w:t>TeleDem</w:t>
      </w:r>
      <w:proofErr w:type="spellEnd"/>
      <w:r w:rsidRPr="00BC1A14">
        <w:t xml:space="preserve"> Simulation, and in Xie et al. (2008).</w:t>
      </w:r>
    </w:p>
    <w:tbl>
      <w:tblPr>
        <w:tblStyle w:val="TableGrid"/>
        <w:tblW w:w="0" w:type="auto"/>
        <w:jc w:val="center"/>
        <w:tblInd w:w="0" w:type="dxa"/>
        <w:tblLook w:val="04A0" w:firstRow="1" w:lastRow="0" w:firstColumn="1" w:lastColumn="0" w:noHBand="0" w:noVBand="1"/>
      </w:tblPr>
      <w:tblGrid>
        <w:gridCol w:w="1243"/>
        <w:gridCol w:w="1947"/>
        <w:gridCol w:w="1947"/>
        <w:gridCol w:w="1100"/>
        <w:gridCol w:w="1559"/>
      </w:tblGrid>
      <w:tr w:rsidR="00A43A84" w:rsidRPr="00BC1A14" w14:paraId="08D132F0" w14:textId="77777777" w:rsidTr="000A67E3">
        <w:trPr>
          <w:jc w:val="center"/>
        </w:trPr>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3F67" w14:textId="77777777" w:rsidR="00A43A84" w:rsidRPr="00BC1A14" w:rsidRDefault="00A43A84" w:rsidP="00813BEC">
            <w:pPr>
              <w:spacing w:after="0" w:line="240" w:lineRule="auto"/>
              <w:ind w:right="0"/>
            </w:pPr>
          </w:p>
        </w:tc>
        <w:tc>
          <w:tcPr>
            <w:tcW w:w="38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02331" w14:textId="295BA12C" w:rsidR="00A43A84" w:rsidRPr="00BC1A14" w:rsidRDefault="00A43A84" w:rsidP="00813BEC">
            <w:pPr>
              <w:spacing w:after="0" w:line="240" w:lineRule="auto"/>
              <w:ind w:right="0"/>
              <w:jc w:val="center"/>
            </w:pPr>
            <w:r w:rsidRPr="00BC1A14">
              <w:t xml:space="preserve">Xie et al. </w:t>
            </w:r>
            <w:r w:rsidR="00813BEC">
              <w:t>(</w:t>
            </w:r>
            <w:r w:rsidRPr="00BC1A14">
              <w:t>2008</w:t>
            </w:r>
            <w:r w:rsidR="00813BEC">
              <w:t>)</w:t>
            </w:r>
          </w:p>
          <w:p w14:paraId="7362E14B" w14:textId="77777777" w:rsidR="00A43A84" w:rsidRPr="00BC1A14" w:rsidRDefault="00A43A84" w:rsidP="00813BEC">
            <w:pPr>
              <w:spacing w:after="0" w:line="240" w:lineRule="auto"/>
              <w:ind w:right="0"/>
              <w:jc w:val="center"/>
            </w:pPr>
            <w:r w:rsidRPr="00BC1A14">
              <w:t>Median Survival Times and IQR</w:t>
            </w:r>
          </w:p>
        </w:tc>
        <w:tc>
          <w:tcPr>
            <w:tcW w:w="26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69F9ED" w14:textId="4BAD93B1" w:rsidR="00A43A84" w:rsidRPr="00BC1A14" w:rsidRDefault="00A43A84" w:rsidP="00813BEC">
            <w:pPr>
              <w:spacing w:after="0" w:line="240" w:lineRule="auto"/>
              <w:ind w:right="0"/>
              <w:jc w:val="center"/>
            </w:pPr>
            <w:proofErr w:type="spellStart"/>
            <w:r w:rsidRPr="00BC1A14">
              <w:t>TeleDem</w:t>
            </w:r>
            <w:proofErr w:type="spellEnd"/>
            <w:r w:rsidRPr="00BC1A14">
              <w:t xml:space="preserve"> Simulation</w:t>
            </w:r>
          </w:p>
          <w:p w14:paraId="03A5C05C" w14:textId="77777777" w:rsidR="00A43A84" w:rsidRPr="00BC1A14" w:rsidRDefault="00A43A84" w:rsidP="00813BEC">
            <w:pPr>
              <w:spacing w:after="0" w:line="240" w:lineRule="auto"/>
              <w:ind w:right="0"/>
              <w:jc w:val="center"/>
            </w:pPr>
            <w:r w:rsidRPr="00BC1A14">
              <w:t>Median Survival Times</w:t>
            </w:r>
          </w:p>
        </w:tc>
      </w:tr>
      <w:tr w:rsidR="00A43A84" w:rsidRPr="00BC1A14" w14:paraId="0373062B" w14:textId="77777777" w:rsidTr="000A67E3">
        <w:trPr>
          <w:jc w:val="center"/>
        </w:trPr>
        <w:tc>
          <w:tcPr>
            <w:tcW w:w="1243" w:type="dxa"/>
            <w:tcBorders>
              <w:top w:val="single" w:sz="4" w:space="0" w:color="auto"/>
              <w:left w:val="single" w:sz="4" w:space="0" w:color="auto"/>
              <w:bottom w:val="single" w:sz="4" w:space="0" w:color="auto"/>
              <w:right w:val="single" w:sz="4" w:space="0" w:color="auto"/>
            </w:tcBorders>
            <w:vAlign w:val="center"/>
            <w:hideMark/>
          </w:tcPr>
          <w:p w14:paraId="5C9BC66D" w14:textId="77777777" w:rsidR="00A43A84" w:rsidRPr="00BC1A14" w:rsidRDefault="00A43A84" w:rsidP="00813BEC">
            <w:pPr>
              <w:spacing w:after="0" w:line="240" w:lineRule="auto"/>
              <w:ind w:right="0"/>
            </w:pPr>
            <w:r w:rsidRPr="00BC1A14">
              <w:t>Age</w:t>
            </w:r>
          </w:p>
        </w:tc>
        <w:tc>
          <w:tcPr>
            <w:tcW w:w="1947" w:type="dxa"/>
            <w:tcBorders>
              <w:top w:val="single" w:sz="4" w:space="0" w:color="auto"/>
              <w:left w:val="single" w:sz="4" w:space="0" w:color="auto"/>
              <w:bottom w:val="single" w:sz="4" w:space="0" w:color="auto"/>
              <w:right w:val="single" w:sz="4" w:space="0" w:color="auto"/>
            </w:tcBorders>
            <w:vAlign w:val="center"/>
            <w:hideMark/>
          </w:tcPr>
          <w:p w14:paraId="5F182800" w14:textId="77777777" w:rsidR="00A43A84" w:rsidRPr="00BC1A14" w:rsidRDefault="00A43A84" w:rsidP="00813BEC">
            <w:pPr>
              <w:spacing w:after="0" w:line="240" w:lineRule="auto"/>
              <w:ind w:right="0"/>
              <w:jc w:val="center"/>
            </w:pPr>
            <w:r w:rsidRPr="00BC1A14">
              <w:t>Women</w:t>
            </w:r>
          </w:p>
        </w:tc>
        <w:tc>
          <w:tcPr>
            <w:tcW w:w="1947" w:type="dxa"/>
            <w:tcBorders>
              <w:top w:val="single" w:sz="4" w:space="0" w:color="auto"/>
              <w:left w:val="single" w:sz="4" w:space="0" w:color="auto"/>
              <w:bottom w:val="single" w:sz="4" w:space="0" w:color="auto"/>
              <w:right w:val="single" w:sz="4" w:space="0" w:color="auto"/>
            </w:tcBorders>
            <w:vAlign w:val="center"/>
            <w:hideMark/>
          </w:tcPr>
          <w:p w14:paraId="3CC37120" w14:textId="77777777" w:rsidR="00A43A84" w:rsidRPr="00BC1A14" w:rsidRDefault="00A43A84" w:rsidP="00813BEC">
            <w:pPr>
              <w:spacing w:after="0" w:line="240" w:lineRule="auto"/>
              <w:ind w:right="0"/>
              <w:jc w:val="center"/>
            </w:pPr>
            <w:r w:rsidRPr="00BC1A14">
              <w:t>Men</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0D7AC65" w14:textId="77777777" w:rsidR="00A43A84" w:rsidRPr="00BC1A14" w:rsidRDefault="00A43A84" w:rsidP="00813BEC">
            <w:pPr>
              <w:spacing w:after="0" w:line="240" w:lineRule="auto"/>
              <w:ind w:right="0"/>
              <w:jc w:val="center"/>
            </w:pPr>
            <w:r w:rsidRPr="00BC1A14">
              <w:t>Women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FD7B60" w14:textId="77777777" w:rsidR="00A43A84" w:rsidRPr="00BC1A14" w:rsidRDefault="00A43A84" w:rsidP="00813BEC">
            <w:pPr>
              <w:spacing w:after="0" w:line="240" w:lineRule="auto"/>
              <w:ind w:right="0"/>
              <w:jc w:val="center"/>
            </w:pPr>
            <w:r w:rsidRPr="00BC1A14">
              <w:t>Men</w:t>
            </w:r>
          </w:p>
        </w:tc>
      </w:tr>
      <w:tr w:rsidR="00A43A84" w:rsidRPr="00BC1A14" w14:paraId="69D9540B" w14:textId="77777777" w:rsidTr="000A67E3">
        <w:trPr>
          <w:jc w:val="center"/>
        </w:trPr>
        <w:tc>
          <w:tcPr>
            <w:tcW w:w="1243" w:type="dxa"/>
            <w:tcBorders>
              <w:top w:val="single" w:sz="4" w:space="0" w:color="auto"/>
              <w:left w:val="single" w:sz="4" w:space="0" w:color="auto"/>
              <w:bottom w:val="single" w:sz="4" w:space="0" w:color="auto"/>
              <w:right w:val="single" w:sz="4" w:space="0" w:color="auto"/>
            </w:tcBorders>
            <w:vAlign w:val="center"/>
            <w:hideMark/>
          </w:tcPr>
          <w:p w14:paraId="6EC04F7F" w14:textId="77777777" w:rsidR="00A43A84" w:rsidRPr="00BC1A14" w:rsidRDefault="00A43A84" w:rsidP="00813BEC">
            <w:pPr>
              <w:spacing w:after="0" w:line="240" w:lineRule="auto"/>
              <w:ind w:right="0"/>
            </w:pPr>
            <w:r w:rsidRPr="00BC1A14">
              <w:t>65-69</w:t>
            </w:r>
          </w:p>
        </w:tc>
        <w:tc>
          <w:tcPr>
            <w:tcW w:w="1947" w:type="dxa"/>
            <w:tcBorders>
              <w:top w:val="single" w:sz="4" w:space="0" w:color="auto"/>
              <w:left w:val="single" w:sz="4" w:space="0" w:color="auto"/>
              <w:bottom w:val="single" w:sz="4" w:space="0" w:color="auto"/>
              <w:right w:val="single" w:sz="4" w:space="0" w:color="auto"/>
            </w:tcBorders>
            <w:vAlign w:val="center"/>
            <w:hideMark/>
          </w:tcPr>
          <w:p w14:paraId="62B6BDF6" w14:textId="77777777" w:rsidR="00A43A84" w:rsidRPr="00BC1A14" w:rsidRDefault="00A43A84" w:rsidP="00813BEC">
            <w:pPr>
              <w:spacing w:after="0" w:line="240" w:lineRule="auto"/>
              <w:ind w:right="0"/>
              <w:jc w:val="center"/>
            </w:pPr>
            <w:r w:rsidRPr="00BC1A14">
              <w:t>7.5 (4.8 -</w:t>
            </w:r>
            <w:r w:rsidRPr="00BC1A14">
              <w:rPr>
                <w:spacing w:val="-7"/>
              </w:rPr>
              <w:t xml:space="preserve"> </w:t>
            </w:r>
            <w:r w:rsidRPr="00BC1A14">
              <w:t>N/A)</w:t>
            </w:r>
          </w:p>
        </w:tc>
        <w:tc>
          <w:tcPr>
            <w:tcW w:w="1947" w:type="dxa"/>
            <w:tcBorders>
              <w:top w:val="single" w:sz="4" w:space="0" w:color="auto"/>
              <w:left w:val="single" w:sz="4" w:space="0" w:color="auto"/>
              <w:bottom w:val="single" w:sz="4" w:space="0" w:color="auto"/>
              <w:right w:val="single" w:sz="4" w:space="0" w:color="auto"/>
            </w:tcBorders>
            <w:vAlign w:val="center"/>
            <w:hideMark/>
          </w:tcPr>
          <w:p w14:paraId="17A265E7" w14:textId="77777777" w:rsidR="00A43A84" w:rsidRPr="00BC1A14" w:rsidRDefault="00A43A84" w:rsidP="00813BEC">
            <w:pPr>
              <w:spacing w:after="0" w:line="240" w:lineRule="auto"/>
              <w:ind w:right="0"/>
              <w:jc w:val="center"/>
            </w:pPr>
            <w:r w:rsidRPr="00BC1A14">
              <w:t>N/A (9.1-</w:t>
            </w:r>
            <w:r w:rsidRPr="00BC1A14">
              <w:rPr>
                <w:spacing w:val="-8"/>
              </w:rPr>
              <w:t xml:space="preserve"> </w:t>
            </w:r>
            <w:r w:rsidRPr="00BC1A14">
              <w:t>N/A)</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C2C1919" w14:textId="77777777" w:rsidR="00A43A84" w:rsidRPr="00BC1A14" w:rsidRDefault="00A43A84" w:rsidP="00813BEC">
            <w:pPr>
              <w:spacing w:after="0" w:line="240" w:lineRule="auto"/>
              <w:ind w:right="0"/>
              <w:jc w:val="center"/>
            </w:pPr>
            <w:r w:rsidRPr="00BC1A14">
              <w:t>7.3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CBA72D" w14:textId="77777777" w:rsidR="00A43A84" w:rsidRPr="00BC1A14" w:rsidRDefault="00A43A84" w:rsidP="00813BEC">
            <w:pPr>
              <w:spacing w:after="0" w:line="240" w:lineRule="auto"/>
              <w:ind w:right="0"/>
              <w:jc w:val="center"/>
            </w:pPr>
            <w:r w:rsidRPr="00BC1A14">
              <w:t>7.4</w:t>
            </w:r>
          </w:p>
        </w:tc>
      </w:tr>
      <w:tr w:rsidR="00A43A84" w:rsidRPr="00BC1A14" w14:paraId="5DCE7AAF" w14:textId="77777777" w:rsidTr="000A67E3">
        <w:trPr>
          <w:jc w:val="center"/>
        </w:trPr>
        <w:tc>
          <w:tcPr>
            <w:tcW w:w="1243" w:type="dxa"/>
            <w:tcBorders>
              <w:top w:val="single" w:sz="4" w:space="0" w:color="auto"/>
              <w:left w:val="single" w:sz="4" w:space="0" w:color="auto"/>
              <w:bottom w:val="single" w:sz="4" w:space="0" w:color="auto"/>
              <w:right w:val="single" w:sz="4" w:space="0" w:color="auto"/>
            </w:tcBorders>
            <w:vAlign w:val="center"/>
            <w:hideMark/>
          </w:tcPr>
          <w:p w14:paraId="517A1D03" w14:textId="77777777" w:rsidR="00A43A84" w:rsidRPr="00BC1A14" w:rsidRDefault="00A43A84" w:rsidP="00813BEC">
            <w:pPr>
              <w:spacing w:after="0" w:line="240" w:lineRule="auto"/>
              <w:ind w:right="0"/>
            </w:pPr>
            <w:r w:rsidRPr="00BC1A14">
              <w:t>70-79</w:t>
            </w:r>
          </w:p>
        </w:tc>
        <w:tc>
          <w:tcPr>
            <w:tcW w:w="1947" w:type="dxa"/>
            <w:tcBorders>
              <w:top w:val="single" w:sz="4" w:space="0" w:color="auto"/>
              <w:left w:val="single" w:sz="4" w:space="0" w:color="auto"/>
              <w:bottom w:val="single" w:sz="4" w:space="0" w:color="auto"/>
              <w:right w:val="single" w:sz="4" w:space="0" w:color="auto"/>
            </w:tcBorders>
            <w:vAlign w:val="center"/>
            <w:hideMark/>
          </w:tcPr>
          <w:p w14:paraId="54B7CEF6" w14:textId="77777777" w:rsidR="00A43A84" w:rsidRPr="00BC1A14" w:rsidRDefault="00A43A84" w:rsidP="00813BEC">
            <w:pPr>
              <w:spacing w:after="0" w:line="240" w:lineRule="auto"/>
              <w:ind w:right="0"/>
              <w:jc w:val="center"/>
            </w:pPr>
            <w:r w:rsidRPr="00BC1A14">
              <w:t>5.8 (3.6 -</w:t>
            </w:r>
            <w:r w:rsidRPr="00BC1A14">
              <w:rPr>
                <w:spacing w:val="-5"/>
              </w:rPr>
              <w:t xml:space="preserve"> </w:t>
            </w:r>
            <w:r w:rsidRPr="00BC1A14">
              <w:t>8.3)</w:t>
            </w:r>
          </w:p>
        </w:tc>
        <w:tc>
          <w:tcPr>
            <w:tcW w:w="1947" w:type="dxa"/>
            <w:tcBorders>
              <w:top w:val="single" w:sz="4" w:space="0" w:color="auto"/>
              <w:left w:val="single" w:sz="4" w:space="0" w:color="auto"/>
              <w:bottom w:val="single" w:sz="4" w:space="0" w:color="auto"/>
              <w:right w:val="single" w:sz="4" w:space="0" w:color="auto"/>
            </w:tcBorders>
            <w:vAlign w:val="center"/>
            <w:hideMark/>
          </w:tcPr>
          <w:p w14:paraId="2A8B8929" w14:textId="77777777" w:rsidR="00A43A84" w:rsidRPr="00BC1A14" w:rsidRDefault="00A43A84" w:rsidP="00813BEC">
            <w:pPr>
              <w:spacing w:after="0" w:line="240" w:lineRule="auto"/>
              <w:ind w:right="0"/>
              <w:jc w:val="center"/>
            </w:pPr>
            <w:r w:rsidRPr="00BC1A14">
              <w:t>4.6 (3.0 -</w:t>
            </w:r>
            <w:r w:rsidRPr="00BC1A14">
              <w:rPr>
                <w:spacing w:val="-5"/>
              </w:rPr>
              <w:t xml:space="preserve"> </w:t>
            </w:r>
            <w:r w:rsidRPr="00BC1A14">
              <w:t>8.6)</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619C2E9" w14:textId="77777777" w:rsidR="00A43A84" w:rsidRPr="00BC1A14" w:rsidRDefault="00A43A84" w:rsidP="00813BEC">
            <w:pPr>
              <w:spacing w:after="0" w:line="240" w:lineRule="auto"/>
              <w:ind w:right="0"/>
              <w:jc w:val="center"/>
            </w:pPr>
            <w:r w:rsidRPr="00BC1A14">
              <w:t>6.5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573664" w14:textId="77777777" w:rsidR="00A43A84" w:rsidRPr="00BC1A14" w:rsidRDefault="00A43A84" w:rsidP="00813BEC">
            <w:pPr>
              <w:spacing w:after="0" w:line="240" w:lineRule="auto"/>
              <w:ind w:right="0"/>
              <w:jc w:val="center"/>
            </w:pPr>
            <w:r w:rsidRPr="00BC1A14">
              <w:t>5.7</w:t>
            </w:r>
          </w:p>
        </w:tc>
      </w:tr>
      <w:tr w:rsidR="00A43A84" w:rsidRPr="00BC1A14" w14:paraId="05C39DE3" w14:textId="77777777" w:rsidTr="000A67E3">
        <w:trPr>
          <w:jc w:val="center"/>
        </w:trPr>
        <w:tc>
          <w:tcPr>
            <w:tcW w:w="1243" w:type="dxa"/>
            <w:tcBorders>
              <w:top w:val="single" w:sz="4" w:space="0" w:color="auto"/>
              <w:left w:val="single" w:sz="4" w:space="0" w:color="auto"/>
              <w:bottom w:val="single" w:sz="4" w:space="0" w:color="auto"/>
              <w:right w:val="single" w:sz="4" w:space="0" w:color="auto"/>
            </w:tcBorders>
            <w:vAlign w:val="center"/>
            <w:hideMark/>
          </w:tcPr>
          <w:p w14:paraId="55457C0A" w14:textId="77777777" w:rsidR="00A43A84" w:rsidRPr="00BC1A14" w:rsidRDefault="00A43A84" w:rsidP="00813BEC">
            <w:pPr>
              <w:spacing w:after="0" w:line="240" w:lineRule="auto"/>
              <w:ind w:right="0"/>
            </w:pPr>
            <w:r w:rsidRPr="00BC1A14">
              <w:t>80-89</w:t>
            </w:r>
          </w:p>
        </w:tc>
        <w:tc>
          <w:tcPr>
            <w:tcW w:w="1947" w:type="dxa"/>
            <w:tcBorders>
              <w:top w:val="single" w:sz="4" w:space="0" w:color="auto"/>
              <w:left w:val="single" w:sz="4" w:space="0" w:color="auto"/>
              <w:bottom w:val="single" w:sz="4" w:space="0" w:color="auto"/>
              <w:right w:val="single" w:sz="4" w:space="0" w:color="auto"/>
            </w:tcBorders>
            <w:vAlign w:val="center"/>
            <w:hideMark/>
          </w:tcPr>
          <w:p w14:paraId="65B47E1F" w14:textId="77777777" w:rsidR="00A43A84" w:rsidRPr="00BC1A14" w:rsidRDefault="00A43A84" w:rsidP="00813BEC">
            <w:pPr>
              <w:spacing w:after="0" w:line="240" w:lineRule="auto"/>
              <w:ind w:right="0"/>
              <w:jc w:val="center"/>
            </w:pPr>
            <w:r w:rsidRPr="00BC1A14">
              <w:t>4.4 (2.8 -</w:t>
            </w:r>
            <w:r w:rsidRPr="00BC1A14">
              <w:rPr>
                <w:spacing w:val="-5"/>
              </w:rPr>
              <w:t xml:space="preserve"> </w:t>
            </w:r>
            <w:r w:rsidRPr="00BC1A14">
              <w:t>7.0)</w:t>
            </w:r>
          </w:p>
        </w:tc>
        <w:tc>
          <w:tcPr>
            <w:tcW w:w="1947" w:type="dxa"/>
            <w:tcBorders>
              <w:top w:val="single" w:sz="4" w:space="0" w:color="auto"/>
              <w:left w:val="single" w:sz="4" w:space="0" w:color="auto"/>
              <w:bottom w:val="single" w:sz="4" w:space="0" w:color="auto"/>
              <w:right w:val="single" w:sz="4" w:space="0" w:color="auto"/>
            </w:tcBorders>
            <w:vAlign w:val="center"/>
            <w:hideMark/>
          </w:tcPr>
          <w:p w14:paraId="58575A14" w14:textId="77777777" w:rsidR="00A43A84" w:rsidRPr="00BC1A14" w:rsidRDefault="00A43A84" w:rsidP="00813BEC">
            <w:pPr>
              <w:spacing w:after="0" w:line="240" w:lineRule="auto"/>
              <w:ind w:right="0"/>
              <w:jc w:val="center"/>
            </w:pPr>
            <w:r w:rsidRPr="00BC1A14">
              <w:t>3.7 (2.5 -</w:t>
            </w:r>
            <w:r w:rsidRPr="00BC1A14">
              <w:rPr>
                <w:spacing w:val="-5"/>
              </w:rPr>
              <w:t xml:space="preserve"> </w:t>
            </w:r>
            <w:r w:rsidRPr="00BC1A14">
              <w:t>6.3)</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A27A3E8" w14:textId="77777777" w:rsidR="00A43A84" w:rsidRPr="00BC1A14" w:rsidRDefault="00A43A84" w:rsidP="00813BEC">
            <w:pPr>
              <w:spacing w:after="0" w:line="240" w:lineRule="auto"/>
              <w:ind w:right="0"/>
              <w:jc w:val="center"/>
            </w:pPr>
            <w:r w:rsidRPr="00BC1A14">
              <w:t>5.5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C7D1AC" w14:textId="77777777" w:rsidR="00A43A84" w:rsidRPr="00BC1A14" w:rsidRDefault="00A43A84" w:rsidP="00813BEC">
            <w:pPr>
              <w:spacing w:after="0" w:line="240" w:lineRule="auto"/>
              <w:ind w:right="0"/>
              <w:jc w:val="center"/>
            </w:pPr>
            <w:r w:rsidRPr="00BC1A14">
              <w:t>5.1</w:t>
            </w:r>
          </w:p>
        </w:tc>
      </w:tr>
      <w:tr w:rsidR="00A43A84" w:rsidRPr="00BC1A14" w14:paraId="5E11713F" w14:textId="77777777" w:rsidTr="000A67E3">
        <w:trPr>
          <w:jc w:val="center"/>
        </w:trPr>
        <w:tc>
          <w:tcPr>
            <w:tcW w:w="1243" w:type="dxa"/>
            <w:tcBorders>
              <w:top w:val="single" w:sz="4" w:space="0" w:color="auto"/>
              <w:left w:val="single" w:sz="4" w:space="0" w:color="auto"/>
              <w:bottom w:val="single" w:sz="4" w:space="0" w:color="auto"/>
              <w:right w:val="single" w:sz="4" w:space="0" w:color="auto"/>
            </w:tcBorders>
            <w:vAlign w:val="center"/>
            <w:hideMark/>
          </w:tcPr>
          <w:p w14:paraId="3C8CBE3E" w14:textId="77777777" w:rsidR="00A43A84" w:rsidRPr="00BC1A14" w:rsidRDefault="00A43A84" w:rsidP="00813BEC">
            <w:pPr>
              <w:spacing w:after="0" w:line="240" w:lineRule="auto"/>
              <w:ind w:right="0"/>
            </w:pPr>
            <w:r w:rsidRPr="00BC1A14">
              <w:t>&gt;90</w:t>
            </w:r>
          </w:p>
        </w:tc>
        <w:tc>
          <w:tcPr>
            <w:tcW w:w="1947" w:type="dxa"/>
            <w:tcBorders>
              <w:top w:val="single" w:sz="4" w:space="0" w:color="auto"/>
              <w:left w:val="single" w:sz="4" w:space="0" w:color="auto"/>
              <w:bottom w:val="single" w:sz="4" w:space="0" w:color="auto"/>
              <w:right w:val="single" w:sz="4" w:space="0" w:color="auto"/>
            </w:tcBorders>
            <w:vAlign w:val="center"/>
            <w:hideMark/>
          </w:tcPr>
          <w:p w14:paraId="7E6B33E0" w14:textId="77777777" w:rsidR="00A43A84" w:rsidRPr="00BC1A14" w:rsidRDefault="00A43A84" w:rsidP="00813BEC">
            <w:pPr>
              <w:spacing w:after="0" w:line="240" w:lineRule="auto"/>
              <w:ind w:right="0"/>
              <w:jc w:val="center"/>
            </w:pPr>
            <w:r w:rsidRPr="00BC1A14">
              <w:t>3.9 (2.4 -</w:t>
            </w:r>
            <w:r w:rsidRPr="00BC1A14">
              <w:rPr>
                <w:spacing w:val="-5"/>
              </w:rPr>
              <w:t xml:space="preserve"> </w:t>
            </w:r>
            <w:r w:rsidRPr="00BC1A14">
              <w:t>5.2)</w:t>
            </w:r>
          </w:p>
        </w:tc>
        <w:tc>
          <w:tcPr>
            <w:tcW w:w="1947" w:type="dxa"/>
            <w:tcBorders>
              <w:top w:val="single" w:sz="4" w:space="0" w:color="auto"/>
              <w:left w:val="single" w:sz="4" w:space="0" w:color="auto"/>
              <w:bottom w:val="single" w:sz="4" w:space="0" w:color="auto"/>
              <w:right w:val="single" w:sz="4" w:space="0" w:color="auto"/>
            </w:tcBorders>
            <w:vAlign w:val="center"/>
            <w:hideMark/>
          </w:tcPr>
          <w:p w14:paraId="71B21308" w14:textId="77777777" w:rsidR="00A43A84" w:rsidRPr="00BC1A14" w:rsidRDefault="00A43A84" w:rsidP="00813BEC">
            <w:pPr>
              <w:spacing w:after="0" w:line="240" w:lineRule="auto"/>
              <w:ind w:right="0"/>
              <w:jc w:val="center"/>
            </w:pPr>
            <w:r w:rsidRPr="00BC1A14">
              <w:t>3.4 (1.5 -</w:t>
            </w:r>
            <w:r w:rsidRPr="00BC1A14">
              <w:rPr>
                <w:spacing w:val="-5"/>
              </w:rPr>
              <w:t xml:space="preserve"> </w:t>
            </w:r>
            <w:r w:rsidRPr="00BC1A14">
              <w:t>5.5)</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7910115" w14:textId="77777777" w:rsidR="00A43A84" w:rsidRPr="00BC1A14" w:rsidRDefault="00A43A84" w:rsidP="00813BEC">
            <w:pPr>
              <w:spacing w:after="0" w:line="240" w:lineRule="auto"/>
              <w:ind w:right="0"/>
              <w:jc w:val="center"/>
            </w:pPr>
            <w:r w:rsidRPr="00BC1A14">
              <w:t>4.2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E3611C" w14:textId="77777777" w:rsidR="00A43A84" w:rsidRPr="00BC1A14" w:rsidRDefault="00A43A84" w:rsidP="00813BEC">
            <w:pPr>
              <w:spacing w:after="0" w:line="240" w:lineRule="auto"/>
              <w:ind w:right="0"/>
              <w:jc w:val="center"/>
            </w:pPr>
            <w:r w:rsidRPr="00BC1A14">
              <w:t>4.1</w:t>
            </w:r>
          </w:p>
        </w:tc>
      </w:tr>
    </w:tbl>
    <w:p w14:paraId="1F05A1B0" w14:textId="16CCAA66" w:rsidR="00DB3C55" w:rsidRPr="00813BEC" w:rsidRDefault="00DB3C55" w:rsidP="00813BEC">
      <w:pPr>
        <w:pStyle w:val="Figurecaption"/>
        <w:jc w:val="center"/>
        <w:rPr>
          <w:i/>
          <w:iCs/>
        </w:rPr>
      </w:pPr>
      <w:r w:rsidRPr="00813BEC">
        <w:rPr>
          <w:i/>
          <w:iCs/>
        </w:rPr>
        <w:t>Table 2. Median survival by age band</w:t>
      </w:r>
    </w:p>
    <w:p w14:paraId="4E3F3684" w14:textId="509FBA83" w:rsidR="00A43A84" w:rsidRPr="00BC1A14" w:rsidRDefault="00DB3C55" w:rsidP="000A67E3">
      <w:pPr>
        <w:pStyle w:val="Newparagraph"/>
      </w:pPr>
      <w:r w:rsidRPr="00BC1A14">
        <w:t xml:space="preserve">At the end of the run the </w:t>
      </w:r>
      <w:proofErr w:type="spellStart"/>
      <w:r w:rsidRPr="00BC1A14">
        <w:t>TeleDem</w:t>
      </w:r>
      <w:proofErr w:type="spellEnd"/>
      <w:r w:rsidRPr="00BC1A14">
        <w:t xml:space="preserve"> Simulation produced similar proportions of the population at each stage of dementia as reported in the literature (Prince et al., 2014), as shown in Table 3.</w:t>
      </w:r>
    </w:p>
    <w:tbl>
      <w:tblPr>
        <w:tblStyle w:val="TableGrid"/>
        <w:tblW w:w="0" w:type="auto"/>
        <w:tblInd w:w="1271" w:type="dxa"/>
        <w:tblLook w:val="04A0" w:firstRow="1" w:lastRow="0" w:firstColumn="1" w:lastColumn="0" w:noHBand="0" w:noVBand="1"/>
      </w:tblPr>
      <w:tblGrid>
        <w:gridCol w:w="1276"/>
        <w:gridCol w:w="1984"/>
        <w:gridCol w:w="2268"/>
      </w:tblGrid>
      <w:tr w:rsidR="00A43A84" w:rsidRPr="00BC1A14" w14:paraId="67EBAC7B" w14:textId="77777777" w:rsidTr="000A67E3">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B3D8B" w14:textId="77777777" w:rsidR="00A43A84" w:rsidRPr="00BC1A14" w:rsidRDefault="00A43A84" w:rsidP="00813BEC">
            <w:pPr>
              <w:pStyle w:val="BodyText"/>
              <w:spacing w:after="0" w:line="240" w:lineRule="auto"/>
              <w:ind w:right="0"/>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14E44D" w14:textId="46EA1203" w:rsidR="00A43A84" w:rsidRPr="00BC1A14" w:rsidRDefault="00A43A84" w:rsidP="00813BEC">
            <w:pPr>
              <w:pStyle w:val="BodyText"/>
              <w:spacing w:after="0" w:line="240" w:lineRule="auto"/>
              <w:ind w:right="0"/>
              <w:jc w:val="center"/>
              <w:rPr>
                <w:lang w:val="en-GB"/>
              </w:rPr>
            </w:pPr>
            <w:r w:rsidRPr="00BC1A14">
              <w:t xml:space="preserve">Prince et al. </w:t>
            </w:r>
            <w:r w:rsidR="00DB3C55">
              <w:t>(</w:t>
            </w:r>
            <w:r w:rsidRPr="00BC1A14">
              <w:t>2014</w:t>
            </w:r>
            <w:r w:rsidR="00DB3C55">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87198A" w14:textId="77777777" w:rsidR="00A43A84" w:rsidRPr="00BC1A14" w:rsidRDefault="00A43A84" w:rsidP="00813BEC">
            <w:pPr>
              <w:pStyle w:val="BodyText"/>
              <w:spacing w:after="0" w:line="240" w:lineRule="auto"/>
              <w:ind w:right="0"/>
              <w:jc w:val="center"/>
            </w:pPr>
            <w:proofErr w:type="spellStart"/>
            <w:r w:rsidRPr="00BC1A14">
              <w:t>TeleDem</w:t>
            </w:r>
            <w:proofErr w:type="spellEnd"/>
            <w:r w:rsidRPr="00BC1A14">
              <w:t xml:space="preserve"> Simulation</w:t>
            </w:r>
          </w:p>
        </w:tc>
      </w:tr>
      <w:tr w:rsidR="00A43A84" w:rsidRPr="00BC1A14" w14:paraId="1385CA5E" w14:textId="77777777" w:rsidTr="000A67E3">
        <w:tc>
          <w:tcPr>
            <w:tcW w:w="1276" w:type="dxa"/>
            <w:tcBorders>
              <w:top w:val="single" w:sz="4" w:space="0" w:color="auto"/>
              <w:left w:val="single" w:sz="4" w:space="0" w:color="auto"/>
              <w:bottom w:val="single" w:sz="4" w:space="0" w:color="auto"/>
              <w:right w:val="single" w:sz="4" w:space="0" w:color="auto"/>
            </w:tcBorders>
            <w:hideMark/>
          </w:tcPr>
          <w:p w14:paraId="5744D35B" w14:textId="77777777" w:rsidR="00A43A84" w:rsidRPr="00BC1A14" w:rsidRDefault="00A43A84" w:rsidP="00813BEC">
            <w:pPr>
              <w:pStyle w:val="BodyText"/>
              <w:spacing w:after="0" w:line="240" w:lineRule="auto"/>
              <w:ind w:right="0"/>
            </w:pPr>
            <w:r w:rsidRPr="00BC1A14">
              <w:t>Mild</w:t>
            </w:r>
          </w:p>
        </w:tc>
        <w:tc>
          <w:tcPr>
            <w:tcW w:w="1984" w:type="dxa"/>
            <w:tcBorders>
              <w:top w:val="single" w:sz="4" w:space="0" w:color="auto"/>
              <w:left w:val="single" w:sz="4" w:space="0" w:color="auto"/>
              <w:bottom w:val="single" w:sz="4" w:space="0" w:color="auto"/>
              <w:right w:val="single" w:sz="4" w:space="0" w:color="auto"/>
            </w:tcBorders>
            <w:hideMark/>
          </w:tcPr>
          <w:p w14:paraId="066D40C0" w14:textId="77777777" w:rsidR="00A43A84" w:rsidRPr="00BC1A14" w:rsidRDefault="00A43A84" w:rsidP="00813BEC">
            <w:pPr>
              <w:pStyle w:val="BodyText"/>
              <w:spacing w:after="0" w:line="240" w:lineRule="auto"/>
              <w:ind w:right="0"/>
              <w:jc w:val="center"/>
              <w:rPr>
                <w:lang w:val="en-GB"/>
              </w:rPr>
            </w:pPr>
            <w:r w:rsidRPr="00BC1A14">
              <w:t>55.4%</w:t>
            </w:r>
          </w:p>
        </w:tc>
        <w:tc>
          <w:tcPr>
            <w:tcW w:w="2268" w:type="dxa"/>
            <w:tcBorders>
              <w:top w:val="single" w:sz="4" w:space="0" w:color="auto"/>
              <w:left w:val="single" w:sz="4" w:space="0" w:color="auto"/>
              <w:bottom w:val="single" w:sz="4" w:space="0" w:color="auto"/>
              <w:right w:val="single" w:sz="4" w:space="0" w:color="auto"/>
            </w:tcBorders>
            <w:hideMark/>
          </w:tcPr>
          <w:p w14:paraId="2859AE70" w14:textId="77777777" w:rsidR="00A43A84" w:rsidRPr="00BC1A14" w:rsidRDefault="00A43A84" w:rsidP="00813BEC">
            <w:pPr>
              <w:pStyle w:val="BodyText"/>
              <w:spacing w:after="0" w:line="240" w:lineRule="auto"/>
              <w:ind w:right="0"/>
              <w:jc w:val="center"/>
              <w:rPr>
                <w:lang w:val="en-GB"/>
              </w:rPr>
            </w:pPr>
            <w:r w:rsidRPr="00BC1A14">
              <w:t>51%</w:t>
            </w:r>
          </w:p>
        </w:tc>
      </w:tr>
      <w:tr w:rsidR="00A43A84" w:rsidRPr="00BC1A14" w14:paraId="0259652D" w14:textId="77777777" w:rsidTr="000A67E3">
        <w:tc>
          <w:tcPr>
            <w:tcW w:w="1276" w:type="dxa"/>
            <w:tcBorders>
              <w:top w:val="single" w:sz="4" w:space="0" w:color="auto"/>
              <w:left w:val="single" w:sz="4" w:space="0" w:color="auto"/>
              <w:bottom w:val="single" w:sz="4" w:space="0" w:color="auto"/>
              <w:right w:val="single" w:sz="4" w:space="0" w:color="auto"/>
            </w:tcBorders>
            <w:hideMark/>
          </w:tcPr>
          <w:p w14:paraId="0EB13D29" w14:textId="77777777" w:rsidR="00A43A84" w:rsidRPr="00BC1A14" w:rsidRDefault="00A43A84" w:rsidP="00813BEC">
            <w:pPr>
              <w:pStyle w:val="BodyText"/>
              <w:spacing w:after="0" w:line="240" w:lineRule="auto"/>
              <w:ind w:right="0"/>
            </w:pPr>
            <w:r w:rsidRPr="00BC1A14">
              <w:t>Moderate</w:t>
            </w:r>
          </w:p>
        </w:tc>
        <w:tc>
          <w:tcPr>
            <w:tcW w:w="1984" w:type="dxa"/>
            <w:tcBorders>
              <w:top w:val="single" w:sz="4" w:space="0" w:color="auto"/>
              <w:left w:val="single" w:sz="4" w:space="0" w:color="auto"/>
              <w:bottom w:val="single" w:sz="4" w:space="0" w:color="auto"/>
              <w:right w:val="single" w:sz="4" w:space="0" w:color="auto"/>
            </w:tcBorders>
            <w:hideMark/>
          </w:tcPr>
          <w:p w14:paraId="40840C89" w14:textId="77777777" w:rsidR="00A43A84" w:rsidRPr="00BC1A14" w:rsidRDefault="00A43A84" w:rsidP="00813BEC">
            <w:pPr>
              <w:pStyle w:val="BodyText"/>
              <w:spacing w:after="0" w:line="240" w:lineRule="auto"/>
              <w:ind w:right="0"/>
              <w:jc w:val="center"/>
              <w:rPr>
                <w:lang w:val="en-GB"/>
              </w:rPr>
            </w:pPr>
            <w:r w:rsidRPr="00BC1A14">
              <w:t>32.1%</w:t>
            </w:r>
          </w:p>
        </w:tc>
        <w:tc>
          <w:tcPr>
            <w:tcW w:w="2268" w:type="dxa"/>
            <w:tcBorders>
              <w:top w:val="single" w:sz="4" w:space="0" w:color="auto"/>
              <w:left w:val="single" w:sz="4" w:space="0" w:color="auto"/>
              <w:bottom w:val="single" w:sz="4" w:space="0" w:color="auto"/>
              <w:right w:val="single" w:sz="4" w:space="0" w:color="auto"/>
            </w:tcBorders>
            <w:hideMark/>
          </w:tcPr>
          <w:p w14:paraId="24E1B7EA" w14:textId="77777777" w:rsidR="00A43A84" w:rsidRPr="00BC1A14" w:rsidRDefault="00A43A84" w:rsidP="00813BEC">
            <w:pPr>
              <w:pStyle w:val="BodyText"/>
              <w:spacing w:after="0" w:line="240" w:lineRule="auto"/>
              <w:ind w:right="0"/>
              <w:jc w:val="center"/>
              <w:rPr>
                <w:lang w:val="en-GB"/>
              </w:rPr>
            </w:pPr>
            <w:r w:rsidRPr="00BC1A14">
              <w:t>34%</w:t>
            </w:r>
          </w:p>
        </w:tc>
      </w:tr>
      <w:tr w:rsidR="00A43A84" w:rsidRPr="00BC1A14" w14:paraId="4AB5A9D5" w14:textId="77777777" w:rsidTr="000A67E3">
        <w:tc>
          <w:tcPr>
            <w:tcW w:w="1276" w:type="dxa"/>
            <w:tcBorders>
              <w:top w:val="single" w:sz="4" w:space="0" w:color="auto"/>
              <w:left w:val="single" w:sz="4" w:space="0" w:color="auto"/>
              <w:bottom w:val="single" w:sz="4" w:space="0" w:color="auto"/>
              <w:right w:val="single" w:sz="4" w:space="0" w:color="auto"/>
            </w:tcBorders>
            <w:hideMark/>
          </w:tcPr>
          <w:p w14:paraId="3A8B28AB" w14:textId="77777777" w:rsidR="00A43A84" w:rsidRPr="00BC1A14" w:rsidRDefault="00A43A84" w:rsidP="00813BEC">
            <w:pPr>
              <w:pStyle w:val="BodyText"/>
              <w:spacing w:after="0" w:line="240" w:lineRule="auto"/>
              <w:ind w:right="0"/>
            </w:pPr>
            <w:r w:rsidRPr="00BC1A14">
              <w:t>Severe</w:t>
            </w:r>
          </w:p>
        </w:tc>
        <w:tc>
          <w:tcPr>
            <w:tcW w:w="1984" w:type="dxa"/>
            <w:tcBorders>
              <w:top w:val="single" w:sz="4" w:space="0" w:color="auto"/>
              <w:left w:val="single" w:sz="4" w:space="0" w:color="auto"/>
              <w:bottom w:val="single" w:sz="4" w:space="0" w:color="auto"/>
              <w:right w:val="single" w:sz="4" w:space="0" w:color="auto"/>
            </w:tcBorders>
            <w:hideMark/>
          </w:tcPr>
          <w:p w14:paraId="07A4003E" w14:textId="77777777" w:rsidR="00A43A84" w:rsidRPr="00BC1A14" w:rsidRDefault="00A43A84" w:rsidP="00813BEC">
            <w:pPr>
              <w:pStyle w:val="BodyText"/>
              <w:spacing w:after="0" w:line="240" w:lineRule="auto"/>
              <w:ind w:right="0"/>
              <w:jc w:val="center"/>
              <w:rPr>
                <w:lang w:val="en-GB"/>
              </w:rPr>
            </w:pPr>
            <w:r w:rsidRPr="00BC1A14">
              <w:t>12.5%</w:t>
            </w:r>
          </w:p>
        </w:tc>
        <w:tc>
          <w:tcPr>
            <w:tcW w:w="2268" w:type="dxa"/>
            <w:tcBorders>
              <w:top w:val="single" w:sz="4" w:space="0" w:color="auto"/>
              <w:left w:val="single" w:sz="4" w:space="0" w:color="auto"/>
              <w:bottom w:val="single" w:sz="4" w:space="0" w:color="auto"/>
              <w:right w:val="single" w:sz="4" w:space="0" w:color="auto"/>
            </w:tcBorders>
            <w:hideMark/>
          </w:tcPr>
          <w:p w14:paraId="39AA0604" w14:textId="77777777" w:rsidR="00A43A84" w:rsidRPr="00BC1A14" w:rsidRDefault="00A43A84" w:rsidP="00813BEC">
            <w:pPr>
              <w:pStyle w:val="BodyText"/>
              <w:spacing w:after="0" w:line="240" w:lineRule="auto"/>
              <w:ind w:right="0"/>
              <w:jc w:val="center"/>
              <w:rPr>
                <w:lang w:val="en-GB"/>
              </w:rPr>
            </w:pPr>
            <w:r w:rsidRPr="00BC1A14">
              <w:t>15%</w:t>
            </w:r>
          </w:p>
        </w:tc>
      </w:tr>
    </w:tbl>
    <w:p w14:paraId="36413D2D" w14:textId="2956FA88" w:rsidR="00A43A84" w:rsidRPr="00813BEC" w:rsidRDefault="00DB3C55" w:rsidP="00813BEC">
      <w:pPr>
        <w:pStyle w:val="Newparagraph"/>
        <w:spacing w:before="120"/>
        <w:jc w:val="center"/>
        <w:rPr>
          <w:i/>
          <w:iCs/>
        </w:rPr>
      </w:pPr>
      <w:r w:rsidRPr="00813BEC">
        <w:rPr>
          <w:i/>
          <w:iCs/>
        </w:rPr>
        <w:t>Table 3: Proportion of the dementia population by stage</w:t>
      </w:r>
    </w:p>
    <w:p w14:paraId="34B297DC" w14:textId="281C2895" w:rsidR="00DB3C55" w:rsidRPr="00BC1A14" w:rsidRDefault="00CB3879" w:rsidP="000A67E3">
      <w:pPr>
        <w:pStyle w:val="Newparagraph"/>
      </w:pPr>
      <w:r>
        <w:t>At the end of the</w:t>
      </w:r>
      <w:r w:rsidR="00DB3C55" w:rsidRPr="00BC1A14">
        <w:t xml:space="preserve"> 2</w:t>
      </w:r>
      <w:r>
        <w:t>5-</w:t>
      </w:r>
      <w:r w:rsidR="00DB3C55" w:rsidRPr="00BC1A14">
        <w:t>year</w:t>
      </w:r>
      <w:r>
        <w:t xml:space="preserve"> run</w:t>
      </w:r>
      <w:r w:rsidR="00DB3C55" w:rsidRPr="00BC1A14">
        <w:t xml:space="preserve"> 64% of the model</w:t>
      </w:r>
      <w:r>
        <w:t>led</w:t>
      </w:r>
      <w:r w:rsidR="00DB3C55" w:rsidRPr="00BC1A14">
        <w:t xml:space="preserve"> population were living in the community and 36% were living in institutional settings. This is consistent with the estimates produced by Prince et al. (2014), who suggested that in 2014, out of the 805,369 people with dementia in the UK, 61% were living in the community, while 39% lived in institutional care (either residential care homes or nursing homes). The model results </w:t>
      </w:r>
      <w:proofErr w:type="gramStart"/>
      <w:r w:rsidR="00DB3C55" w:rsidRPr="00BC1A14">
        <w:t>were also used</w:t>
      </w:r>
      <w:proofErr w:type="gramEnd"/>
      <w:r w:rsidR="00DB3C55" w:rsidRPr="00BC1A14">
        <w:t xml:space="preserve"> to compare where people were living at each stage of dementia, as shown in Table 4.</w:t>
      </w:r>
    </w:p>
    <w:tbl>
      <w:tblPr>
        <w:tblStyle w:val="TableGrid1"/>
        <w:tblW w:w="0" w:type="auto"/>
        <w:tblInd w:w="562" w:type="dxa"/>
        <w:tblLook w:val="04A0" w:firstRow="1" w:lastRow="0" w:firstColumn="1" w:lastColumn="0" w:noHBand="0" w:noVBand="1"/>
      </w:tblPr>
      <w:tblGrid>
        <w:gridCol w:w="1385"/>
        <w:gridCol w:w="1592"/>
        <w:gridCol w:w="1418"/>
        <w:gridCol w:w="1417"/>
        <w:gridCol w:w="1559"/>
      </w:tblGrid>
      <w:tr w:rsidR="00A43A84" w:rsidRPr="00BC1A14" w14:paraId="465E1E1C" w14:textId="77777777" w:rsidTr="000A67E3">
        <w:tc>
          <w:tcPr>
            <w:tcW w:w="1385" w:type="dxa"/>
            <w:tcBorders>
              <w:top w:val="single" w:sz="4" w:space="0" w:color="auto"/>
              <w:left w:val="single" w:sz="4" w:space="0" w:color="auto"/>
              <w:bottom w:val="single" w:sz="4" w:space="0" w:color="auto"/>
              <w:right w:val="single" w:sz="4" w:space="0" w:color="auto"/>
            </w:tcBorders>
            <w:shd w:val="clear" w:color="auto" w:fill="D9D9D9"/>
          </w:tcPr>
          <w:p w14:paraId="1E88B12F" w14:textId="19D7AA10" w:rsidR="00A43A84" w:rsidRPr="00BC1A14" w:rsidRDefault="00A43A84" w:rsidP="00CB3879">
            <w:pPr>
              <w:spacing w:after="0" w:line="240" w:lineRule="auto"/>
              <w:ind w:right="0"/>
            </w:pPr>
            <w:r w:rsidRPr="00BC1A14">
              <w:lastRenderedPageBreak/>
              <w:t xml:space="preserve"> </w:t>
            </w:r>
          </w:p>
        </w:tc>
        <w:tc>
          <w:tcPr>
            <w:tcW w:w="30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D021224" w14:textId="77777777" w:rsidR="00A43A84" w:rsidRPr="00BC1A14" w:rsidRDefault="00A43A84" w:rsidP="00CB3879">
            <w:pPr>
              <w:spacing w:after="0" w:line="240" w:lineRule="auto"/>
              <w:ind w:right="0"/>
              <w:jc w:val="center"/>
            </w:pPr>
            <w:r w:rsidRPr="00BC1A14">
              <w:t>Prince et al. (2014)</w:t>
            </w:r>
          </w:p>
        </w:tc>
        <w:tc>
          <w:tcPr>
            <w:tcW w:w="297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37EE683" w14:textId="77777777" w:rsidR="00A43A84" w:rsidRPr="00BC1A14" w:rsidRDefault="00A43A84" w:rsidP="00CB3879">
            <w:pPr>
              <w:spacing w:after="0" w:line="240" w:lineRule="auto"/>
              <w:ind w:right="0"/>
              <w:jc w:val="center"/>
            </w:pPr>
            <w:proofErr w:type="spellStart"/>
            <w:r w:rsidRPr="00BC1A14">
              <w:t>TeleDem</w:t>
            </w:r>
            <w:proofErr w:type="spellEnd"/>
            <w:r w:rsidRPr="00BC1A14">
              <w:t xml:space="preserve"> Simulation</w:t>
            </w:r>
          </w:p>
        </w:tc>
      </w:tr>
      <w:tr w:rsidR="00A43A84" w:rsidRPr="00BC1A14" w14:paraId="33307E9E" w14:textId="77777777" w:rsidTr="000A67E3">
        <w:tc>
          <w:tcPr>
            <w:tcW w:w="1385" w:type="dxa"/>
            <w:tcBorders>
              <w:top w:val="single" w:sz="4" w:space="0" w:color="auto"/>
              <w:left w:val="single" w:sz="4" w:space="0" w:color="auto"/>
              <w:bottom w:val="single" w:sz="4" w:space="0" w:color="auto"/>
              <w:right w:val="single" w:sz="4" w:space="0" w:color="auto"/>
            </w:tcBorders>
          </w:tcPr>
          <w:p w14:paraId="23B5EEF1" w14:textId="77777777" w:rsidR="00A43A84" w:rsidRPr="00BC1A14" w:rsidRDefault="00A43A84" w:rsidP="00CB3879">
            <w:pPr>
              <w:spacing w:after="0" w:line="240" w:lineRule="auto"/>
              <w:ind w:right="0"/>
            </w:pPr>
          </w:p>
        </w:tc>
        <w:tc>
          <w:tcPr>
            <w:tcW w:w="1592" w:type="dxa"/>
            <w:tcBorders>
              <w:top w:val="single" w:sz="4" w:space="0" w:color="auto"/>
              <w:left w:val="single" w:sz="4" w:space="0" w:color="auto"/>
              <w:bottom w:val="single" w:sz="4" w:space="0" w:color="auto"/>
              <w:right w:val="single" w:sz="4" w:space="0" w:color="auto"/>
            </w:tcBorders>
            <w:hideMark/>
          </w:tcPr>
          <w:p w14:paraId="159C5411" w14:textId="77777777" w:rsidR="00A43A84" w:rsidRPr="00BC1A14" w:rsidRDefault="00A43A84" w:rsidP="00CB3879">
            <w:pPr>
              <w:spacing w:after="0" w:line="240" w:lineRule="auto"/>
              <w:ind w:right="0"/>
              <w:jc w:val="center"/>
            </w:pPr>
            <w:r w:rsidRPr="00BC1A14">
              <w:t>Institutional</w:t>
            </w:r>
          </w:p>
        </w:tc>
        <w:tc>
          <w:tcPr>
            <w:tcW w:w="1418" w:type="dxa"/>
            <w:tcBorders>
              <w:top w:val="single" w:sz="4" w:space="0" w:color="auto"/>
              <w:left w:val="single" w:sz="4" w:space="0" w:color="auto"/>
              <w:bottom w:val="single" w:sz="4" w:space="0" w:color="auto"/>
              <w:right w:val="single" w:sz="4" w:space="0" w:color="auto"/>
            </w:tcBorders>
            <w:hideMark/>
          </w:tcPr>
          <w:p w14:paraId="2951D2B7" w14:textId="77777777" w:rsidR="00A43A84" w:rsidRPr="00BC1A14" w:rsidRDefault="00A43A84" w:rsidP="00CB3879">
            <w:pPr>
              <w:spacing w:after="0" w:line="240" w:lineRule="auto"/>
              <w:ind w:right="0"/>
              <w:jc w:val="center"/>
            </w:pPr>
            <w:r w:rsidRPr="00BC1A14">
              <w:t>Community</w:t>
            </w:r>
          </w:p>
        </w:tc>
        <w:tc>
          <w:tcPr>
            <w:tcW w:w="1417" w:type="dxa"/>
            <w:tcBorders>
              <w:top w:val="single" w:sz="4" w:space="0" w:color="auto"/>
              <w:left w:val="single" w:sz="4" w:space="0" w:color="auto"/>
              <w:bottom w:val="single" w:sz="4" w:space="0" w:color="auto"/>
              <w:right w:val="single" w:sz="4" w:space="0" w:color="auto"/>
            </w:tcBorders>
            <w:hideMark/>
          </w:tcPr>
          <w:p w14:paraId="430D7558" w14:textId="77777777" w:rsidR="00A43A84" w:rsidRPr="00BC1A14" w:rsidRDefault="00A43A84" w:rsidP="00CB3879">
            <w:pPr>
              <w:spacing w:after="0" w:line="240" w:lineRule="auto"/>
              <w:ind w:right="0"/>
              <w:jc w:val="center"/>
            </w:pPr>
            <w:r w:rsidRPr="00BC1A14">
              <w:t>Institutional</w:t>
            </w:r>
          </w:p>
        </w:tc>
        <w:tc>
          <w:tcPr>
            <w:tcW w:w="1559" w:type="dxa"/>
            <w:tcBorders>
              <w:top w:val="single" w:sz="4" w:space="0" w:color="auto"/>
              <w:left w:val="single" w:sz="4" w:space="0" w:color="auto"/>
              <w:bottom w:val="single" w:sz="4" w:space="0" w:color="auto"/>
              <w:right w:val="single" w:sz="4" w:space="0" w:color="auto"/>
            </w:tcBorders>
            <w:hideMark/>
          </w:tcPr>
          <w:p w14:paraId="765B9A04" w14:textId="77777777" w:rsidR="00A43A84" w:rsidRPr="00BC1A14" w:rsidRDefault="00A43A84" w:rsidP="00CB3879">
            <w:pPr>
              <w:spacing w:after="0" w:line="240" w:lineRule="auto"/>
              <w:ind w:right="0"/>
              <w:jc w:val="center"/>
            </w:pPr>
            <w:r w:rsidRPr="00BC1A14">
              <w:t>Community</w:t>
            </w:r>
          </w:p>
        </w:tc>
      </w:tr>
      <w:tr w:rsidR="00A43A84" w:rsidRPr="00BC1A14" w14:paraId="2BA29380" w14:textId="77777777" w:rsidTr="000A67E3">
        <w:tc>
          <w:tcPr>
            <w:tcW w:w="1385" w:type="dxa"/>
            <w:tcBorders>
              <w:top w:val="single" w:sz="4" w:space="0" w:color="auto"/>
              <w:left w:val="single" w:sz="4" w:space="0" w:color="auto"/>
              <w:bottom w:val="single" w:sz="4" w:space="0" w:color="auto"/>
              <w:right w:val="single" w:sz="4" w:space="0" w:color="auto"/>
            </w:tcBorders>
            <w:hideMark/>
          </w:tcPr>
          <w:p w14:paraId="66765447" w14:textId="77777777" w:rsidR="00A43A84" w:rsidRPr="00BC1A14" w:rsidRDefault="00A43A84" w:rsidP="00CB3879">
            <w:pPr>
              <w:spacing w:after="0" w:line="240" w:lineRule="auto"/>
              <w:ind w:right="0"/>
            </w:pPr>
            <w:r w:rsidRPr="00BC1A14">
              <w:t>Mild</w:t>
            </w:r>
          </w:p>
        </w:tc>
        <w:tc>
          <w:tcPr>
            <w:tcW w:w="1592" w:type="dxa"/>
            <w:tcBorders>
              <w:top w:val="single" w:sz="4" w:space="0" w:color="auto"/>
              <w:left w:val="single" w:sz="4" w:space="0" w:color="auto"/>
              <w:bottom w:val="single" w:sz="4" w:space="0" w:color="auto"/>
              <w:right w:val="single" w:sz="4" w:space="0" w:color="auto"/>
            </w:tcBorders>
            <w:hideMark/>
          </w:tcPr>
          <w:p w14:paraId="648C22AC" w14:textId="77777777" w:rsidR="00A43A84" w:rsidRPr="00BC1A14" w:rsidRDefault="00A43A84" w:rsidP="00CB3879">
            <w:pPr>
              <w:spacing w:after="0" w:line="240" w:lineRule="auto"/>
              <w:ind w:right="0"/>
              <w:jc w:val="center"/>
            </w:pPr>
            <w:r w:rsidRPr="00BC1A14">
              <w:t>21%</w:t>
            </w:r>
          </w:p>
        </w:tc>
        <w:tc>
          <w:tcPr>
            <w:tcW w:w="1418" w:type="dxa"/>
            <w:tcBorders>
              <w:top w:val="single" w:sz="4" w:space="0" w:color="auto"/>
              <w:left w:val="single" w:sz="4" w:space="0" w:color="auto"/>
              <w:bottom w:val="single" w:sz="4" w:space="0" w:color="auto"/>
              <w:right w:val="single" w:sz="4" w:space="0" w:color="auto"/>
            </w:tcBorders>
            <w:hideMark/>
          </w:tcPr>
          <w:p w14:paraId="6F1B1C7D" w14:textId="77777777" w:rsidR="00A43A84" w:rsidRPr="00BC1A14" w:rsidRDefault="00A43A84" w:rsidP="00CB3879">
            <w:pPr>
              <w:spacing w:after="0" w:line="240" w:lineRule="auto"/>
              <w:ind w:right="0"/>
              <w:jc w:val="center"/>
            </w:pPr>
            <w:r w:rsidRPr="00BC1A14">
              <w:t>79%</w:t>
            </w:r>
          </w:p>
        </w:tc>
        <w:tc>
          <w:tcPr>
            <w:tcW w:w="1417" w:type="dxa"/>
            <w:tcBorders>
              <w:top w:val="single" w:sz="4" w:space="0" w:color="auto"/>
              <w:left w:val="single" w:sz="4" w:space="0" w:color="auto"/>
              <w:bottom w:val="single" w:sz="4" w:space="0" w:color="auto"/>
              <w:right w:val="single" w:sz="4" w:space="0" w:color="auto"/>
            </w:tcBorders>
            <w:hideMark/>
          </w:tcPr>
          <w:p w14:paraId="7E20D8D9" w14:textId="77777777" w:rsidR="00A43A84" w:rsidRPr="00BC1A14" w:rsidRDefault="00A43A84" w:rsidP="00CB3879">
            <w:pPr>
              <w:spacing w:after="0" w:line="240" w:lineRule="auto"/>
              <w:ind w:right="0"/>
              <w:jc w:val="center"/>
            </w:pPr>
            <w:r w:rsidRPr="00BC1A14">
              <w:t>15%</w:t>
            </w:r>
          </w:p>
        </w:tc>
        <w:tc>
          <w:tcPr>
            <w:tcW w:w="1559" w:type="dxa"/>
            <w:tcBorders>
              <w:top w:val="single" w:sz="4" w:space="0" w:color="auto"/>
              <w:left w:val="single" w:sz="4" w:space="0" w:color="auto"/>
              <w:bottom w:val="single" w:sz="4" w:space="0" w:color="auto"/>
              <w:right w:val="single" w:sz="4" w:space="0" w:color="auto"/>
            </w:tcBorders>
            <w:hideMark/>
          </w:tcPr>
          <w:p w14:paraId="4D2BFD55" w14:textId="77777777" w:rsidR="00A43A84" w:rsidRPr="00BC1A14" w:rsidRDefault="00A43A84" w:rsidP="00CB3879">
            <w:pPr>
              <w:spacing w:after="0" w:line="240" w:lineRule="auto"/>
              <w:ind w:right="0"/>
              <w:jc w:val="center"/>
            </w:pPr>
            <w:r w:rsidRPr="00BC1A14">
              <w:t>85%</w:t>
            </w:r>
          </w:p>
        </w:tc>
      </w:tr>
      <w:tr w:rsidR="00A43A84" w:rsidRPr="00BC1A14" w14:paraId="5E7809DC" w14:textId="77777777" w:rsidTr="000A67E3">
        <w:tc>
          <w:tcPr>
            <w:tcW w:w="1385" w:type="dxa"/>
            <w:tcBorders>
              <w:top w:val="single" w:sz="4" w:space="0" w:color="auto"/>
              <w:left w:val="single" w:sz="4" w:space="0" w:color="auto"/>
              <w:bottom w:val="single" w:sz="4" w:space="0" w:color="auto"/>
              <w:right w:val="single" w:sz="4" w:space="0" w:color="auto"/>
            </w:tcBorders>
            <w:hideMark/>
          </w:tcPr>
          <w:p w14:paraId="17016560" w14:textId="77777777" w:rsidR="00A43A84" w:rsidRPr="00BC1A14" w:rsidRDefault="00A43A84" w:rsidP="00CB3879">
            <w:pPr>
              <w:spacing w:after="0" w:line="240" w:lineRule="auto"/>
              <w:ind w:right="0"/>
            </w:pPr>
            <w:r w:rsidRPr="00BC1A14">
              <w:t>Moderate</w:t>
            </w:r>
          </w:p>
        </w:tc>
        <w:tc>
          <w:tcPr>
            <w:tcW w:w="1592" w:type="dxa"/>
            <w:tcBorders>
              <w:top w:val="single" w:sz="4" w:space="0" w:color="auto"/>
              <w:left w:val="single" w:sz="4" w:space="0" w:color="auto"/>
              <w:bottom w:val="single" w:sz="4" w:space="0" w:color="auto"/>
              <w:right w:val="single" w:sz="4" w:space="0" w:color="auto"/>
            </w:tcBorders>
            <w:hideMark/>
          </w:tcPr>
          <w:p w14:paraId="2B9ADF7B" w14:textId="77777777" w:rsidR="00A43A84" w:rsidRPr="00BC1A14" w:rsidRDefault="00A43A84" w:rsidP="00CB3879">
            <w:pPr>
              <w:spacing w:after="0" w:line="240" w:lineRule="auto"/>
              <w:ind w:right="0"/>
              <w:jc w:val="center"/>
            </w:pPr>
            <w:r w:rsidRPr="00BC1A14">
              <w:t>48%</w:t>
            </w:r>
          </w:p>
        </w:tc>
        <w:tc>
          <w:tcPr>
            <w:tcW w:w="1418" w:type="dxa"/>
            <w:tcBorders>
              <w:top w:val="single" w:sz="4" w:space="0" w:color="auto"/>
              <w:left w:val="single" w:sz="4" w:space="0" w:color="auto"/>
              <w:bottom w:val="single" w:sz="4" w:space="0" w:color="auto"/>
              <w:right w:val="single" w:sz="4" w:space="0" w:color="auto"/>
            </w:tcBorders>
            <w:hideMark/>
          </w:tcPr>
          <w:p w14:paraId="6F7C2FB9" w14:textId="77777777" w:rsidR="00A43A84" w:rsidRPr="00BC1A14" w:rsidRDefault="00A43A84" w:rsidP="00CB3879">
            <w:pPr>
              <w:spacing w:after="0" w:line="240" w:lineRule="auto"/>
              <w:ind w:right="0"/>
              <w:jc w:val="center"/>
            </w:pPr>
            <w:r w:rsidRPr="00BC1A14">
              <w:t>52%</w:t>
            </w:r>
          </w:p>
        </w:tc>
        <w:tc>
          <w:tcPr>
            <w:tcW w:w="1417" w:type="dxa"/>
            <w:tcBorders>
              <w:top w:val="single" w:sz="4" w:space="0" w:color="auto"/>
              <w:left w:val="single" w:sz="4" w:space="0" w:color="auto"/>
              <w:bottom w:val="single" w:sz="4" w:space="0" w:color="auto"/>
              <w:right w:val="single" w:sz="4" w:space="0" w:color="auto"/>
            </w:tcBorders>
            <w:hideMark/>
          </w:tcPr>
          <w:p w14:paraId="0A3FB556" w14:textId="77777777" w:rsidR="00A43A84" w:rsidRPr="00BC1A14" w:rsidRDefault="00A43A84" w:rsidP="00CB3879">
            <w:pPr>
              <w:spacing w:after="0" w:line="240" w:lineRule="auto"/>
              <w:ind w:right="0"/>
              <w:jc w:val="center"/>
            </w:pPr>
            <w:r w:rsidRPr="00BC1A14">
              <w:t>53%</w:t>
            </w:r>
          </w:p>
        </w:tc>
        <w:tc>
          <w:tcPr>
            <w:tcW w:w="1559" w:type="dxa"/>
            <w:tcBorders>
              <w:top w:val="single" w:sz="4" w:space="0" w:color="auto"/>
              <w:left w:val="single" w:sz="4" w:space="0" w:color="auto"/>
              <w:bottom w:val="single" w:sz="4" w:space="0" w:color="auto"/>
              <w:right w:val="single" w:sz="4" w:space="0" w:color="auto"/>
            </w:tcBorders>
            <w:hideMark/>
          </w:tcPr>
          <w:p w14:paraId="491C51B9" w14:textId="77777777" w:rsidR="00A43A84" w:rsidRPr="00BC1A14" w:rsidRDefault="00A43A84" w:rsidP="00CB3879">
            <w:pPr>
              <w:spacing w:after="0" w:line="240" w:lineRule="auto"/>
              <w:ind w:right="0"/>
              <w:jc w:val="center"/>
            </w:pPr>
            <w:r w:rsidRPr="00BC1A14">
              <w:t>47%</w:t>
            </w:r>
          </w:p>
        </w:tc>
      </w:tr>
      <w:tr w:rsidR="00A43A84" w:rsidRPr="00BC1A14" w14:paraId="776F1DA6" w14:textId="77777777" w:rsidTr="000A67E3">
        <w:tc>
          <w:tcPr>
            <w:tcW w:w="1385" w:type="dxa"/>
            <w:tcBorders>
              <w:top w:val="single" w:sz="4" w:space="0" w:color="auto"/>
              <w:left w:val="single" w:sz="4" w:space="0" w:color="auto"/>
              <w:bottom w:val="single" w:sz="4" w:space="0" w:color="auto"/>
              <w:right w:val="single" w:sz="4" w:space="0" w:color="auto"/>
            </w:tcBorders>
            <w:hideMark/>
          </w:tcPr>
          <w:p w14:paraId="3E1F2D17" w14:textId="77777777" w:rsidR="00A43A84" w:rsidRPr="00BC1A14" w:rsidRDefault="00A43A84" w:rsidP="00CB3879">
            <w:pPr>
              <w:spacing w:after="0" w:line="240" w:lineRule="auto"/>
              <w:ind w:right="0"/>
            </w:pPr>
            <w:r w:rsidRPr="00BC1A14">
              <w:t>Severe</w:t>
            </w:r>
          </w:p>
        </w:tc>
        <w:tc>
          <w:tcPr>
            <w:tcW w:w="1592" w:type="dxa"/>
            <w:tcBorders>
              <w:top w:val="single" w:sz="4" w:space="0" w:color="auto"/>
              <w:left w:val="single" w:sz="4" w:space="0" w:color="auto"/>
              <w:bottom w:val="single" w:sz="4" w:space="0" w:color="auto"/>
              <w:right w:val="single" w:sz="4" w:space="0" w:color="auto"/>
            </w:tcBorders>
            <w:hideMark/>
          </w:tcPr>
          <w:p w14:paraId="4D11A1F9" w14:textId="77777777" w:rsidR="00A43A84" w:rsidRPr="00BC1A14" w:rsidRDefault="00A43A84" w:rsidP="00CB3879">
            <w:pPr>
              <w:spacing w:after="0" w:line="240" w:lineRule="auto"/>
              <w:ind w:right="0"/>
              <w:jc w:val="center"/>
            </w:pPr>
            <w:r w:rsidRPr="00BC1A14">
              <w:t>75%</w:t>
            </w:r>
          </w:p>
        </w:tc>
        <w:tc>
          <w:tcPr>
            <w:tcW w:w="1418" w:type="dxa"/>
            <w:tcBorders>
              <w:top w:val="single" w:sz="4" w:space="0" w:color="auto"/>
              <w:left w:val="single" w:sz="4" w:space="0" w:color="auto"/>
              <w:bottom w:val="single" w:sz="4" w:space="0" w:color="auto"/>
              <w:right w:val="single" w:sz="4" w:space="0" w:color="auto"/>
            </w:tcBorders>
            <w:hideMark/>
          </w:tcPr>
          <w:p w14:paraId="387FA666" w14:textId="77777777" w:rsidR="00A43A84" w:rsidRPr="00BC1A14" w:rsidRDefault="00A43A84" w:rsidP="00CB3879">
            <w:pPr>
              <w:spacing w:after="0" w:line="240" w:lineRule="auto"/>
              <w:ind w:right="0"/>
              <w:jc w:val="center"/>
            </w:pPr>
            <w:r w:rsidRPr="00BC1A14">
              <w:t>25%</w:t>
            </w:r>
          </w:p>
        </w:tc>
        <w:tc>
          <w:tcPr>
            <w:tcW w:w="1417" w:type="dxa"/>
            <w:tcBorders>
              <w:top w:val="single" w:sz="4" w:space="0" w:color="auto"/>
              <w:left w:val="single" w:sz="4" w:space="0" w:color="auto"/>
              <w:bottom w:val="single" w:sz="4" w:space="0" w:color="auto"/>
              <w:right w:val="single" w:sz="4" w:space="0" w:color="auto"/>
            </w:tcBorders>
            <w:hideMark/>
          </w:tcPr>
          <w:p w14:paraId="141F61D6" w14:textId="77777777" w:rsidR="00A43A84" w:rsidRPr="00BC1A14" w:rsidRDefault="00A43A84" w:rsidP="00CB3879">
            <w:pPr>
              <w:spacing w:after="0" w:line="240" w:lineRule="auto"/>
              <w:ind w:right="0"/>
              <w:jc w:val="center"/>
            </w:pPr>
            <w:r w:rsidRPr="00BC1A14">
              <w:t>67%</w:t>
            </w:r>
          </w:p>
        </w:tc>
        <w:tc>
          <w:tcPr>
            <w:tcW w:w="1559" w:type="dxa"/>
            <w:tcBorders>
              <w:top w:val="single" w:sz="4" w:space="0" w:color="auto"/>
              <w:left w:val="single" w:sz="4" w:space="0" w:color="auto"/>
              <w:bottom w:val="single" w:sz="4" w:space="0" w:color="auto"/>
              <w:right w:val="single" w:sz="4" w:space="0" w:color="auto"/>
            </w:tcBorders>
            <w:hideMark/>
          </w:tcPr>
          <w:p w14:paraId="12F90CDC" w14:textId="77777777" w:rsidR="00A43A84" w:rsidRPr="00BC1A14" w:rsidRDefault="00A43A84" w:rsidP="00CB3879">
            <w:pPr>
              <w:spacing w:after="0" w:line="240" w:lineRule="auto"/>
              <w:ind w:right="0"/>
              <w:jc w:val="center"/>
            </w:pPr>
            <w:r w:rsidRPr="00BC1A14">
              <w:t>33%</w:t>
            </w:r>
          </w:p>
        </w:tc>
      </w:tr>
    </w:tbl>
    <w:p w14:paraId="7CD15F50" w14:textId="01A3DA18" w:rsidR="00A43A84" w:rsidRPr="00CB3879" w:rsidRDefault="009F32E6" w:rsidP="00CB3879">
      <w:pPr>
        <w:pStyle w:val="Paragraph"/>
        <w:jc w:val="center"/>
        <w:rPr>
          <w:i/>
          <w:iCs/>
          <w:lang w:eastAsia="en-US"/>
        </w:rPr>
      </w:pPr>
      <w:r w:rsidRPr="00CB3879">
        <w:rPr>
          <w:i/>
          <w:iCs/>
        </w:rPr>
        <w:t>Table 4: Place of residence by dementia stage</w:t>
      </w:r>
    </w:p>
    <w:p w14:paraId="2C834796" w14:textId="77777777" w:rsidR="008975A6" w:rsidRPr="00BC1A14" w:rsidRDefault="008975A6" w:rsidP="000A67E3">
      <w:pPr>
        <w:pStyle w:val="Heading1"/>
      </w:pPr>
      <w:r w:rsidRPr="00BC1A14">
        <w:t>Experimentation</w:t>
      </w:r>
    </w:p>
    <w:p w14:paraId="2CC98E83" w14:textId="064F62EB" w:rsidR="00CB3879" w:rsidRPr="00BC1A14" w:rsidRDefault="008975A6" w:rsidP="00CB3879">
      <w:pPr>
        <w:pStyle w:val="Paragraph"/>
      </w:pPr>
      <w:r w:rsidRPr="00BC1A14">
        <w:t xml:space="preserve">In principle, the </w:t>
      </w:r>
      <w:proofErr w:type="spellStart"/>
      <w:r w:rsidRPr="00BC1A14">
        <w:t>TeleDem</w:t>
      </w:r>
      <w:proofErr w:type="spellEnd"/>
      <w:r w:rsidRPr="00BC1A14">
        <w:t xml:space="preserve"> Simulation </w:t>
      </w:r>
      <w:proofErr w:type="gramStart"/>
      <w:r w:rsidRPr="00BC1A14">
        <w:t>can be used</w:t>
      </w:r>
      <w:proofErr w:type="gramEnd"/>
      <w:r w:rsidRPr="00BC1A14">
        <w:t xml:space="preserve"> to test an extensive range of policy options and scenarios </w:t>
      </w:r>
      <w:r w:rsidR="002463CC">
        <w:t>by</w:t>
      </w:r>
      <w:r w:rsidRPr="00BC1A14">
        <w:t xml:space="preserve"> varying the model inputs and parameters. </w:t>
      </w:r>
      <w:r w:rsidR="002463CC">
        <w:t>In</w:t>
      </w:r>
      <w:r w:rsidRPr="00BC1A14">
        <w:t xml:space="preserve"> this </w:t>
      </w:r>
      <w:proofErr w:type="gramStart"/>
      <w:r w:rsidRPr="00BC1A14">
        <w:t>paper</w:t>
      </w:r>
      <w:proofErr w:type="gramEnd"/>
      <w:r w:rsidRPr="00BC1A14">
        <w:t xml:space="preserve"> we </w:t>
      </w:r>
      <w:r w:rsidR="008F674F">
        <w:t xml:space="preserve">explore the impact on resource use of </w:t>
      </w:r>
      <w:r w:rsidRPr="00BC1A14">
        <w:t>varying the availability of basic versus complex telecare.</w:t>
      </w:r>
      <w:r w:rsidR="002463CC">
        <w:t xml:space="preserve">  </w:t>
      </w:r>
      <w:r w:rsidRPr="00BC1A14">
        <w:t xml:space="preserve">Due to a lack of consensus on </w:t>
      </w:r>
      <w:r w:rsidR="002463CC">
        <w:t>the</w:t>
      </w:r>
      <w:r w:rsidRPr="00BC1A14">
        <w:t xml:space="preserve"> proportion of people with dementia </w:t>
      </w:r>
      <w:r w:rsidR="002463CC">
        <w:t xml:space="preserve">who </w:t>
      </w:r>
      <w:r w:rsidRPr="00BC1A14">
        <w:t xml:space="preserve">would be suitable for and accept telecare, two </w:t>
      </w:r>
      <w:r w:rsidR="00CB3879">
        <w:t>scenarios</w:t>
      </w:r>
      <w:r w:rsidRPr="00BC1A14">
        <w:t xml:space="preserve"> are considered, under which 90% (optimistic) or 10% (conservative) of all referrals to community care will result in the uptake of telecare. For both optimistic and conservative scenarios, we tested three policy options for telecare services to which people with dementia can be referred: basic telecare only</w:t>
      </w:r>
      <w:r w:rsidR="00130C31">
        <w:t xml:space="preserve"> (option 1)</w:t>
      </w:r>
      <w:r w:rsidRPr="00BC1A14">
        <w:t>, complex telecare only</w:t>
      </w:r>
      <w:r w:rsidR="00130C31">
        <w:t xml:space="preserve"> (option 2)</w:t>
      </w:r>
      <w:r w:rsidRPr="00BC1A14">
        <w:t>, and both basic and complex telecare</w:t>
      </w:r>
      <w:r w:rsidR="00130C31">
        <w:t xml:space="preserve"> (option 3)</w:t>
      </w:r>
      <w:r w:rsidRPr="00BC1A14">
        <w:t xml:space="preserve">.  Therefore, </w:t>
      </w:r>
      <w:proofErr w:type="gramStart"/>
      <w:r w:rsidRPr="00BC1A14">
        <w:t>a total of six</w:t>
      </w:r>
      <w:proofErr w:type="gramEnd"/>
      <w:r w:rsidRPr="00BC1A14">
        <w:t xml:space="preserve"> simulation experiments were conducted and tested against </w:t>
      </w:r>
      <w:r w:rsidR="00CB3879">
        <w:t>a</w:t>
      </w:r>
      <w:r w:rsidRPr="00BC1A14">
        <w:t xml:space="preserve"> baseline</w:t>
      </w:r>
      <w:r w:rsidR="00CB3879">
        <w:t xml:space="preserve"> </w:t>
      </w:r>
      <w:r w:rsidR="00CB3879" w:rsidRPr="00BC1A14">
        <w:t>scenario</w:t>
      </w:r>
      <w:r w:rsidR="00CB3879">
        <w:t xml:space="preserve"> in which</w:t>
      </w:r>
      <w:r w:rsidR="00CB3879" w:rsidRPr="00BC1A14">
        <w:t xml:space="preserve"> neither basic nor complex telecare services were available</w:t>
      </w:r>
      <w:r w:rsidRPr="00BC1A14">
        <w:t>.</w:t>
      </w:r>
      <w:r w:rsidR="00CB3879">
        <w:t xml:space="preserve"> </w:t>
      </w:r>
      <w:bookmarkStart w:id="10" w:name="_Hlk71290170"/>
      <w:r w:rsidR="00CB3879" w:rsidRPr="00BC1A14">
        <w:t xml:space="preserve">In all the </w:t>
      </w:r>
      <w:r w:rsidR="00CB3879">
        <w:t>e</w:t>
      </w:r>
      <w:r w:rsidR="00CB3879" w:rsidRPr="00BC1A14">
        <w:t xml:space="preserve">xperiments, the simulation duration was 40 </w:t>
      </w:r>
      <w:proofErr w:type="gramStart"/>
      <w:r w:rsidR="00CB3879" w:rsidRPr="00BC1A14">
        <w:t xml:space="preserve">years </w:t>
      </w:r>
      <w:r w:rsidR="00BC1A70">
        <w:t>which</w:t>
      </w:r>
      <w:proofErr w:type="gramEnd"/>
      <w:r w:rsidR="00BC1A70">
        <w:t xml:space="preserve"> included</w:t>
      </w:r>
      <w:r w:rsidR="00CB3879" w:rsidRPr="00BC1A14">
        <w:t xml:space="preserve"> a warm-up period of 10 years</w:t>
      </w:r>
      <w:r w:rsidR="00BC1A70">
        <w:t xml:space="preserve"> to allow the model to reach steady state</w:t>
      </w:r>
      <w:r w:rsidR="00CB3879" w:rsidRPr="00BC1A14">
        <w:t xml:space="preserve">. </w:t>
      </w:r>
      <w:r w:rsidR="00BC1A70">
        <w:t xml:space="preserve">Given that disease progression </w:t>
      </w:r>
      <w:proofErr w:type="gramStart"/>
      <w:r w:rsidR="00BC1A70">
        <w:t>is measured</w:t>
      </w:r>
      <w:proofErr w:type="gramEnd"/>
      <w:r w:rsidR="00BC1A70">
        <w:t xml:space="preserve"> in years and some activities have equally long durations, a run length of 30 years was considered appropriate.  </w:t>
      </w:r>
      <w:r w:rsidR="00CB3879" w:rsidRPr="00BC1A14">
        <w:t>Each experiment used a trial of 35 runs</w:t>
      </w:r>
      <w:r w:rsidR="00BC1A70">
        <w:t>, calculated using Simul8’s built-in runs calculator</w:t>
      </w:r>
      <w:r w:rsidR="00CB3879" w:rsidRPr="00BC1A14">
        <w:t xml:space="preserve">.    </w:t>
      </w:r>
      <w:bookmarkEnd w:id="10"/>
    </w:p>
    <w:p w14:paraId="517E54BA" w14:textId="578615EF" w:rsidR="00CB3879" w:rsidRDefault="00CB3879" w:rsidP="00CB3879">
      <w:pPr>
        <w:pStyle w:val="Newparagraph"/>
      </w:pPr>
      <w:r w:rsidRPr="00BC1A14">
        <w:t>In the baseline</w:t>
      </w:r>
      <w:r>
        <w:t xml:space="preserve"> scenario,</w:t>
      </w:r>
      <w:r w:rsidRPr="00BC1A14">
        <w:t xml:space="preserve"> </w:t>
      </w:r>
      <w:r>
        <w:t>t</w:t>
      </w:r>
      <w:r w:rsidRPr="00BC1A14">
        <w:t>he mean number of days spent in institutional care for those entering institutional care was 1,174 days (3.2 years)</w:t>
      </w:r>
      <w:r>
        <w:t>,</w:t>
      </w:r>
      <w:r w:rsidRPr="00BC1A14">
        <w:t xml:space="preserve"> with an average stay of 1,027 days (2.8 years) in residential care and 551 days (1.5 years) in nursing homes. The daily resource utilisation</w:t>
      </w:r>
      <w:r>
        <w:t xml:space="preserve"> is</w:t>
      </w:r>
      <w:r w:rsidRPr="00BC1A14">
        <w:t xml:space="preserve"> summarised in Table 5.</w:t>
      </w:r>
    </w:p>
    <w:tbl>
      <w:tblPr>
        <w:tblStyle w:val="TableGrid"/>
        <w:tblW w:w="0" w:type="auto"/>
        <w:jc w:val="center"/>
        <w:tblInd w:w="0" w:type="dxa"/>
        <w:tblLook w:val="04A0" w:firstRow="1" w:lastRow="0" w:firstColumn="1" w:lastColumn="0" w:noHBand="0" w:noVBand="1"/>
      </w:tblPr>
      <w:tblGrid>
        <w:gridCol w:w="1622"/>
        <w:gridCol w:w="1623"/>
        <w:gridCol w:w="1623"/>
        <w:gridCol w:w="1623"/>
        <w:gridCol w:w="1623"/>
      </w:tblGrid>
      <w:tr w:rsidR="00CB3879" w:rsidRPr="00BC1A14" w14:paraId="147102F7" w14:textId="77777777" w:rsidTr="00EE4554">
        <w:trPr>
          <w:jc w:val="center"/>
        </w:trPr>
        <w:tc>
          <w:tcPr>
            <w:tcW w:w="1622" w:type="dxa"/>
            <w:tcBorders>
              <w:top w:val="single" w:sz="4" w:space="0" w:color="auto"/>
              <w:left w:val="single" w:sz="4" w:space="0" w:color="auto"/>
              <w:bottom w:val="single" w:sz="4" w:space="0" w:color="auto"/>
              <w:right w:val="single" w:sz="4" w:space="0" w:color="auto"/>
            </w:tcBorders>
            <w:hideMark/>
          </w:tcPr>
          <w:p w14:paraId="71A73340" w14:textId="77777777" w:rsidR="00CB3879" w:rsidRPr="00BC1A14" w:rsidRDefault="00CB3879" w:rsidP="00CB3879">
            <w:pPr>
              <w:spacing w:after="0" w:line="240" w:lineRule="auto"/>
              <w:ind w:right="0"/>
              <w:jc w:val="center"/>
            </w:pPr>
            <w:r w:rsidRPr="00BC1A14">
              <w:t>Simple Telecare Equipment</w:t>
            </w:r>
          </w:p>
        </w:tc>
        <w:tc>
          <w:tcPr>
            <w:tcW w:w="1623" w:type="dxa"/>
            <w:tcBorders>
              <w:top w:val="single" w:sz="4" w:space="0" w:color="auto"/>
              <w:left w:val="single" w:sz="4" w:space="0" w:color="auto"/>
              <w:bottom w:val="single" w:sz="4" w:space="0" w:color="auto"/>
              <w:right w:val="single" w:sz="4" w:space="0" w:color="auto"/>
            </w:tcBorders>
            <w:hideMark/>
          </w:tcPr>
          <w:p w14:paraId="36661D1B" w14:textId="77777777" w:rsidR="00CB3879" w:rsidRPr="00BC1A14" w:rsidRDefault="00CB3879" w:rsidP="00CB3879">
            <w:pPr>
              <w:spacing w:after="0" w:line="240" w:lineRule="auto"/>
              <w:ind w:right="0"/>
              <w:jc w:val="center"/>
            </w:pPr>
            <w:r w:rsidRPr="00BC1A14">
              <w:t>Community Care Package</w:t>
            </w:r>
          </w:p>
        </w:tc>
        <w:tc>
          <w:tcPr>
            <w:tcW w:w="1623" w:type="dxa"/>
            <w:tcBorders>
              <w:top w:val="single" w:sz="4" w:space="0" w:color="auto"/>
              <w:left w:val="single" w:sz="4" w:space="0" w:color="auto"/>
              <w:bottom w:val="single" w:sz="4" w:space="0" w:color="auto"/>
              <w:right w:val="single" w:sz="4" w:space="0" w:color="auto"/>
            </w:tcBorders>
            <w:hideMark/>
          </w:tcPr>
          <w:p w14:paraId="06775C38" w14:textId="77777777" w:rsidR="00CB3879" w:rsidRPr="00BC1A14" w:rsidRDefault="00CB3879" w:rsidP="00CB3879">
            <w:pPr>
              <w:spacing w:after="0" w:line="240" w:lineRule="auto"/>
              <w:ind w:right="0"/>
              <w:jc w:val="center"/>
            </w:pPr>
            <w:r w:rsidRPr="00BC1A14">
              <w:t>Complex Telecare Equipment</w:t>
            </w:r>
          </w:p>
        </w:tc>
        <w:tc>
          <w:tcPr>
            <w:tcW w:w="1623" w:type="dxa"/>
            <w:tcBorders>
              <w:top w:val="single" w:sz="4" w:space="0" w:color="auto"/>
              <w:left w:val="single" w:sz="4" w:space="0" w:color="auto"/>
              <w:bottom w:val="single" w:sz="4" w:space="0" w:color="auto"/>
              <w:right w:val="single" w:sz="4" w:space="0" w:color="auto"/>
            </w:tcBorders>
            <w:hideMark/>
          </w:tcPr>
          <w:p w14:paraId="2C1987CB" w14:textId="06D9FB1D" w:rsidR="00CB3879" w:rsidRPr="00BC1A14" w:rsidRDefault="00CB3879" w:rsidP="00CB3879">
            <w:pPr>
              <w:spacing w:after="0" w:line="240" w:lineRule="auto"/>
              <w:ind w:right="0"/>
              <w:jc w:val="center"/>
            </w:pPr>
            <w:r w:rsidRPr="00BC1A14">
              <w:t>Residential Care Home</w:t>
            </w:r>
          </w:p>
        </w:tc>
        <w:tc>
          <w:tcPr>
            <w:tcW w:w="1623" w:type="dxa"/>
            <w:tcBorders>
              <w:top w:val="single" w:sz="4" w:space="0" w:color="auto"/>
              <w:left w:val="single" w:sz="4" w:space="0" w:color="auto"/>
              <w:bottom w:val="single" w:sz="4" w:space="0" w:color="auto"/>
              <w:right w:val="single" w:sz="4" w:space="0" w:color="auto"/>
            </w:tcBorders>
            <w:hideMark/>
          </w:tcPr>
          <w:p w14:paraId="6A7B3A1B" w14:textId="77777777" w:rsidR="00CB3879" w:rsidRPr="00BC1A14" w:rsidRDefault="00CB3879" w:rsidP="00CB3879">
            <w:pPr>
              <w:spacing w:after="0" w:line="240" w:lineRule="auto"/>
              <w:ind w:right="0"/>
              <w:jc w:val="center"/>
            </w:pPr>
            <w:r w:rsidRPr="00BC1A14">
              <w:t>Nursing Home Bed</w:t>
            </w:r>
          </w:p>
        </w:tc>
      </w:tr>
      <w:tr w:rsidR="00CB3879" w:rsidRPr="00BC1A14" w14:paraId="399C4C64" w14:textId="77777777" w:rsidTr="00EE4554">
        <w:trPr>
          <w:trHeight w:val="475"/>
          <w:jc w:val="center"/>
        </w:trPr>
        <w:tc>
          <w:tcPr>
            <w:tcW w:w="1622" w:type="dxa"/>
            <w:tcBorders>
              <w:top w:val="single" w:sz="4" w:space="0" w:color="auto"/>
              <w:left w:val="single" w:sz="4" w:space="0" w:color="auto"/>
              <w:bottom w:val="single" w:sz="4" w:space="0" w:color="auto"/>
              <w:right w:val="single" w:sz="4" w:space="0" w:color="auto"/>
            </w:tcBorders>
            <w:vAlign w:val="center"/>
            <w:hideMark/>
          </w:tcPr>
          <w:p w14:paraId="4E8B7973" w14:textId="77777777" w:rsidR="00CB3879" w:rsidRPr="00BC1A14" w:rsidRDefault="00CB3879" w:rsidP="00CB3879">
            <w:pPr>
              <w:spacing w:after="0" w:line="240" w:lineRule="auto"/>
              <w:ind w:right="0"/>
              <w:jc w:val="center"/>
            </w:pPr>
            <w:r>
              <w:t>N/A</w:t>
            </w:r>
          </w:p>
        </w:tc>
        <w:tc>
          <w:tcPr>
            <w:tcW w:w="1623" w:type="dxa"/>
            <w:tcBorders>
              <w:top w:val="single" w:sz="4" w:space="0" w:color="auto"/>
              <w:left w:val="single" w:sz="4" w:space="0" w:color="auto"/>
              <w:bottom w:val="single" w:sz="4" w:space="0" w:color="auto"/>
              <w:right w:val="single" w:sz="4" w:space="0" w:color="auto"/>
            </w:tcBorders>
            <w:hideMark/>
          </w:tcPr>
          <w:p w14:paraId="57BF01B3" w14:textId="77777777" w:rsidR="00CB3879" w:rsidRPr="00BC1A14" w:rsidRDefault="00CB3879" w:rsidP="00CB3879">
            <w:pPr>
              <w:spacing w:after="0" w:line="240" w:lineRule="auto"/>
              <w:ind w:right="0"/>
              <w:jc w:val="center"/>
            </w:pPr>
            <w:r w:rsidRPr="00BC1A14">
              <w:t>3934</w:t>
            </w:r>
          </w:p>
          <w:p w14:paraId="55B11076" w14:textId="77777777" w:rsidR="00CB3879" w:rsidRPr="00BC1A14" w:rsidRDefault="00CB3879" w:rsidP="00CB3879">
            <w:pPr>
              <w:spacing w:after="0" w:line="240" w:lineRule="auto"/>
              <w:ind w:right="0"/>
              <w:jc w:val="center"/>
            </w:pPr>
            <w:r w:rsidRPr="00BC1A14">
              <w:t>(3927-3940)</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4D14FF2" w14:textId="77777777" w:rsidR="00CB3879" w:rsidRPr="00BC1A14" w:rsidRDefault="00CB3879" w:rsidP="00CB3879">
            <w:pPr>
              <w:spacing w:after="0" w:line="240" w:lineRule="auto"/>
              <w:ind w:right="0"/>
              <w:jc w:val="center"/>
            </w:pPr>
            <w:r>
              <w:t>N/A</w:t>
            </w:r>
          </w:p>
        </w:tc>
        <w:tc>
          <w:tcPr>
            <w:tcW w:w="1623" w:type="dxa"/>
            <w:tcBorders>
              <w:top w:val="single" w:sz="4" w:space="0" w:color="auto"/>
              <w:left w:val="single" w:sz="4" w:space="0" w:color="auto"/>
              <w:bottom w:val="single" w:sz="4" w:space="0" w:color="auto"/>
              <w:right w:val="single" w:sz="4" w:space="0" w:color="auto"/>
            </w:tcBorders>
            <w:vAlign w:val="center"/>
            <w:hideMark/>
          </w:tcPr>
          <w:p w14:paraId="6CF4988E" w14:textId="77777777" w:rsidR="00CB3879" w:rsidRPr="00BC1A14" w:rsidRDefault="00CB3879" w:rsidP="00CB3879">
            <w:pPr>
              <w:spacing w:after="0" w:line="240" w:lineRule="auto"/>
              <w:ind w:right="0"/>
              <w:jc w:val="center"/>
            </w:pPr>
            <w:r w:rsidRPr="00BC1A14">
              <w:t>2143</w:t>
            </w:r>
          </w:p>
          <w:p w14:paraId="7E8D6EC7" w14:textId="77777777" w:rsidR="00CB3879" w:rsidRPr="00BC1A14" w:rsidRDefault="00CB3879" w:rsidP="00CB3879">
            <w:pPr>
              <w:spacing w:after="0" w:line="240" w:lineRule="auto"/>
              <w:ind w:right="0"/>
              <w:jc w:val="center"/>
            </w:pPr>
            <w:r w:rsidRPr="00BC1A14">
              <w:t>(2137-2150)</w:t>
            </w:r>
          </w:p>
        </w:tc>
        <w:tc>
          <w:tcPr>
            <w:tcW w:w="1623" w:type="dxa"/>
            <w:tcBorders>
              <w:top w:val="single" w:sz="4" w:space="0" w:color="auto"/>
              <w:left w:val="single" w:sz="4" w:space="0" w:color="auto"/>
              <w:bottom w:val="single" w:sz="4" w:space="0" w:color="auto"/>
              <w:right w:val="single" w:sz="4" w:space="0" w:color="auto"/>
            </w:tcBorders>
            <w:vAlign w:val="center"/>
            <w:hideMark/>
          </w:tcPr>
          <w:p w14:paraId="12DFB76A" w14:textId="77777777" w:rsidR="00CB3879" w:rsidRPr="00BC1A14" w:rsidRDefault="00CB3879" w:rsidP="00CB3879">
            <w:pPr>
              <w:spacing w:after="0" w:line="240" w:lineRule="auto"/>
              <w:ind w:right="0"/>
              <w:jc w:val="center"/>
            </w:pPr>
            <w:r w:rsidRPr="00BC1A14">
              <w:t>766</w:t>
            </w:r>
          </w:p>
          <w:p w14:paraId="2B8C1F5F" w14:textId="77777777" w:rsidR="00CB3879" w:rsidRPr="00BC1A14" w:rsidRDefault="00CB3879" w:rsidP="00CB3879">
            <w:pPr>
              <w:spacing w:after="0" w:line="240" w:lineRule="auto"/>
              <w:ind w:right="0"/>
              <w:jc w:val="center"/>
            </w:pPr>
            <w:r w:rsidRPr="00BC1A14">
              <w:t>(764-769)</w:t>
            </w:r>
          </w:p>
        </w:tc>
      </w:tr>
    </w:tbl>
    <w:p w14:paraId="661E9773" w14:textId="2BCCF810" w:rsidR="00CB3879" w:rsidRPr="00CB3879" w:rsidRDefault="00CB3879" w:rsidP="00CB3879">
      <w:pPr>
        <w:pStyle w:val="Newparagraph"/>
        <w:spacing w:before="120" w:after="0"/>
        <w:jc w:val="center"/>
        <w:rPr>
          <w:i/>
          <w:iCs/>
          <w:lang w:eastAsia="en-US"/>
        </w:rPr>
      </w:pPr>
      <w:r w:rsidRPr="00CB3879">
        <w:rPr>
          <w:i/>
          <w:iCs/>
        </w:rPr>
        <w:t>Table 5: Daily resource utilisation for the baseline scenario</w:t>
      </w:r>
      <w:r>
        <w:rPr>
          <w:i/>
          <w:iCs/>
        </w:rPr>
        <w:t xml:space="preserve"> (mean and 95% CI)</w:t>
      </w:r>
    </w:p>
    <w:p w14:paraId="274728E3" w14:textId="77777777" w:rsidR="008975A6" w:rsidRPr="00BC1A14" w:rsidRDefault="008975A6" w:rsidP="000A67E3">
      <w:pPr>
        <w:pStyle w:val="Heading2"/>
      </w:pPr>
      <w:r w:rsidRPr="00BC1A14">
        <w:lastRenderedPageBreak/>
        <w:t>Results</w:t>
      </w:r>
    </w:p>
    <w:p w14:paraId="6FF8591D" w14:textId="099E2DF5" w:rsidR="008975A6" w:rsidRPr="00BC1A14" w:rsidRDefault="008975A6" w:rsidP="000A67E3">
      <w:pPr>
        <w:pStyle w:val="Paragraph"/>
      </w:pPr>
      <w:r w:rsidRPr="00BC1A14">
        <w:t>The results from these six scenarios and the baseline are summarised in Table 6. The average number of basic telecare resources in use per day under polic</w:t>
      </w:r>
      <w:r w:rsidR="00130C31">
        <w:t>y options</w:t>
      </w:r>
      <w:r w:rsidRPr="00BC1A14">
        <w:t xml:space="preserve"> </w:t>
      </w:r>
      <w:r w:rsidR="00130C31">
        <w:t>1 and 3</w:t>
      </w:r>
      <w:r w:rsidRPr="00BC1A14">
        <w:t xml:space="preserve"> are very similar, indicating that the uptake of basic telecare is relatively unaffected by the addition of complex telecare. This is consistent across both conservative and optimistic scenarios. Similarly, </w:t>
      </w:r>
      <w:r w:rsidR="008F674F">
        <w:t xml:space="preserve">in </w:t>
      </w:r>
      <w:r w:rsidRPr="00BC1A14">
        <w:t xml:space="preserve">the conservative scenario, the average number of complex telecare resources in use per day appears relatively constant, whether offered in isolation or in combination with basic telecare. However, </w:t>
      </w:r>
      <w:r w:rsidR="008F674F">
        <w:t>in</w:t>
      </w:r>
      <w:r w:rsidRPr="00BC1A14">
        <w:t xml:space="preserve"> the optimistic scenario the uptake of complex telecare is higher under policy option </w:t>
      </w:r>
      <w:proofErr w:type="gramStart"/>
      <w:r w:rsidR="00130C31">
        <w:t>3</w:t>
      </w:r>
      <w:proofErr w:type="gramEnd"/>
      <w:r w:rsidRPr="00BC1A14">
        <w:t xml:space="preserve"> compared with policy option </w:t>
      </w:r>
      <w:r w:rsidR="00130C31">
        <w:t>2</w:t>
      </w:r>
      <w:r w:rsidRPr="00BC1A14">
        <w:t>.  A possible explanation for this is that basic telecare reduces the number of people entering institutional care in the early stages of dementia, and thus a larger pool of people remain in the community and are referred to complex telecare services as their disease progresses.</w:t>
      </w:r>
    </w:p>
    <w:tbl>
      <w:tblPr>
        <w:tblStyle w:val="TableGrid"/>
        <w:tblW w:w="0" w:type="auto"/>
        <w:tblInd w:w="0" w:type="dxa"/>
        <w:tblLayout w:type="fixed"/>
        <w:tblLook w:val="04A0" w:firstRow="1" w:lastRow="0" w:firstColumn="1" w:lastColumn="0" w:noHBand="0" w:noVBand="1"/>
      </w:tblPr>
      <w:tblGrid>
        <w:gridCol w:w="1413"/>
        <w:gridCol w:w="1134"/>
        <w:gridCol w:w="850"/>
        <w:gridCol w:w="1134"/>
        <w:gridCol w:w="851"/>
        <w:gridCol w:w="992"/>
        <w:gridCol w:w="1134"/>
        <w:gridCol w:w="851"/>
      </w:tblGrid>
      <w:tr w:rsidR="009F32E6" w:rsidRPr="002463CC" w14:paraId="671E608A" w14:textId="77777777" w:rsidTr="00CB3879">
        <w:tc>
          <w:tcPr>
            <w:tcW w:w="14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A3B2A1" w14:textId="58D1A143" w:rsidR="009F32E6" w:rsidRPr="002463CC" w:rsidRDefault="009F32E6" w:rsidP="00130C31">
            <w:pPr>
              <w:spacing w:after="0" w:line="240" w:lineRule="auto"/>
              <w:ind w:right="0"/>
            </w:pPr>
            <w:r w:rsidRPr="002463CC">
              <w:t>Reporte</w:t>
            </w:r>
            <w:r w:rsidR="00130C31">
              <w:t>d</w:t>
            </w:r>
            <w:r w:rsidRPr="002463CC">
              <w:t xml:space="preserve"> measure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086ED4" w14:textId="77777777" w:rsidR="009F32E6" w:rsidRPr="002463CC" w:rsidRDefault="009F32E6" w:rsidP="00130C31">
            <w:pPr>
              <w:spacing w:after="0" w:line="240" w:lineRule="auto"/>
              <w:ind w:right="0"/>
            </w:pPr>
            <w:r w:rsidRPr="002463CC">
              <w:t>Baseline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909886" w14:textId="77777777" w:rsidR="009F32E6" w:rsidRPr="002463CC" w:rsidRDefault="009F32E6" w:rsidP="00130C31">
            <w:pPr>
              <w:spacing w:after="0" w:line="240" w:lineRule="auto"/>
              <w:ind w:right="0"/>
              <w:jc w:val="center"/>
            </w:pPr>
            <w:r w:rsidRPr="002463CC">
              <w:t>Conservative scenario</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3840E4" w14:textId="77777777" w:rsidR="009F32E6" w:rsidRPr="002463CC" w:rsidRDefault="009F32E6" w:rsidP="00130C31">
            <w:pPr>
              <w:spacing w:after="0" w:line="240" w:lineRule="auto"/>
              <w:ind w:right="0"/>
              <w:jc w:val="center"/>
            </w:pPr>
            <w:r w:rsidRPr="002463CC">
              <w:t>Optimistic scenario</w:t>
            </w:r>
          </w:p>
        </w:tc>
      </w:tr>
      <w:tr w:rsidR="00130C31" w:rsidRPr="002463CC" w14:paraId="4D7FE96B" w14:textId="77777777" w:rsidTr="00CB3879">
        <w:tc>
          <w:tcPr>
            <w:tcW w:w="1413" w:type="dxa"/>
            <w:vMerge/>
            <w:tcBorders>
              <w:top w:val="single" w:sz="4" w:space="0" w:color="auto"/>
              <w:left w:val="single" w:sz="4" w:space="0" w:color="auto"/>
              <w:bottom w:val="single" w:sz="4" w:space="0" w:color="auto"/>
              <w:right w:val="single" w:sz="4" w:space="0" w:color="auto"/>
            </w:tcBorders>
            <w:vAlign w:val="center"/>
          </w:tcPr>
          <w:p w14:paraId="4121C067" w14:textId="77777777" w:rsidR="00130C31" w:rsidRPr="002463CC" w:rsidRDefault="00130C31" w:rsidP="00130C31">
            <w:pPr>
              <w:spacing w:after="0" w:line="240" w:lineRule="auto"/>
            </w:pPr>
          </w:p>
        </w:tc>
        <w:tc>
          <w:tcPr>
            <w:tcW w:w="1134" w:type="dxa"/>
            <w:vMerge/>
            <w:tcBorders>
              <w:top w:val="single" w:sz="4" w:space="0" w:color="auto"/>
              <w:left w:val="single" w:sz="4" w:space="0" w:color="auto"/>
              <w:bottom w:val="single" w:sz="4" w:space="0" w:color="auto"/>
              <w:right w:val="single" w:sz="4" w:space="0" w:color="auto"/>
            </w:tcBorders>
            <w:vAlign w:val="center"/>
          </w:tcPr>
          <w:p w14:paraId="46DEF5DA" w14:textId="77777777" w:rsidR="00130C31" w:rsidRPr="002463CC" w:rsidRDefault="00130C31" w:rsidP="00130C31">
            <w:pPr>
              <w:spacing w:after="0" w:line="240" w:lineRule="auto"/>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8A7C24" w14:textId="3F2A98DE" w:rsidR="00130C31" w:rsidRDefault="00130C31" w:rsidP="00130C31">
            <w:pPr>
              <w:spacing w:after="0" w:line="240" w:lineRule="auto"/>
              <w:ind w:right="0"/>
              <w:jc w:val="center"/>
            </w:pPr>
            <w: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C96A03" w14:textId="6037652C" w:rsidR="00130C31" w:rsidRDefault="00130C31" w:rsidP="00130C31">
            <w:pPr>
              <w:spacing w:after="0" w:line="240" w:lineRule="auto"/>
              <w:ind w:right="0"/>
              <w:jc w:val="center"/>
            </w:pPr>
            <w:r>
              <w:t>2</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F4D585" w14:textId="483131BC" w:rsidR="00130C31" w:rsidRDefault="00130C31" w:rsidP="00130C31">
            <w:pPr>
              <w:spacing w:after="0" w:line="240" w:lineRule="auto"/>
              <w:ind w:right="0"/>
              <w:jc w:val="center"/>
            </w:pPr>
            <w:r>
              <w:t>3</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046C0" w14:textId="224DD097" w:rsidR="00130C31" w:rsidRDefault="00130C31" w:rsidP="00130C31">
            <w:pPr>
              <w:spacing w:after="0" w:line="240" w:lineRule="auto"/>
              <w:ind w:right="0"/>
              <w:jc w:val="center"/>
            </w:pPr>
            <w: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97221E" w14:textId="1E47FBC9" w:rsidR="00130C31" w:rsidRDefault="00130C31" w:rsidP="00130C31">
            <w:pPr>
              <w:spacing w:after="0" w:line="240" w:lineRule="auto"/>
              <w:ind w:right="0"/>
              <w:jc w:val="center"/>
            </w:pPr>
            <w:r>
              <w:t>2</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04C82B" w14:textId="4A931A12" w:rsidR="00130C31" w:rsidRDefault="00130C31" w:rsidP="00130C31">
            <w:pPr>
              <w:spacing w:after="0" w:line="240" w:lineRule="auto"/>
              <w:ind w:right="0"/>
              <w:jc w:val="center"/>
            </w:pPr>
            <w:r>
              <w:t>3</w:t>
            </w:r>
          </w:p>
        </w:tc>
      </w:tr>
      <w:tr w:rsidR="009F32E6" w:rsidRPr="002463CC" w14:paraId="036CADCF" w14:textId="77777777" w:rsidTr="00CB3879">
        <w:tc>
          <w:tcPr>
            <w:tcW w:w="1413" w:type="dxa"/>
            <w:vMerge/>
            <w:tcBorders>
              <w:top w:val="single" w:sz="4" w:space="0" w:color="auto"/>
              <w:left w:val="single" w:sz="4" w:space="0" w:color="auto"/>
              <w:bottom w:val="single" w:sz="4" w:space="0" w:color="auto"/>
              <w:right w:val="single" w:sz="4" w:space="0" w:color="auto"/>
            </w:tcBorders>
            <w:vAlign w:val="center"/>
            <w:hideMark/>
          </w:tcPr>
          <w:p w14:paraId="136A75C3" w14:textId="77777777" w:rsidR="009F32E6" w:rsidRPr="002463CC" w:rsidRDefault="009F32E6" w:rsidP="00130C31">
            <w:pPr>
              <w:spacing w:after="0" w:line="240" w:lineRule="auto"/>
              <w:ind w:right="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347554" w14:textId="77777777" w:rsidR="009F32E6" w:rsidRPr="002463CC" w:rsidRDefault="009F32E6" w:rsidP="00130C31">
            <w:pPr>
              <w:spacing w:after="0" w:line="240" w:lineRule="auto"/>
              <w:ind w:right="0"/>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862042" w14:textId="4E5428BA" w:rsidR="009F32E6" w:rsidRPr="002463CC" w:rsidRDefault="009F32E6" w:rsidP="00130C31">
            <w:pPr>
              <w:spacing w:after="0" w:line="240" w:lineRule="auto"/>
              <w:ind w:right="0"/>
              <w:jc w:val="center"/>
            </w:pPr>
            <w:r w:rsidRPr="002463CC">
              <w:t>Basic only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9070DA" w14:textId="7D669169" w:rsidR="009F32E6" w:rsidRPr="002463CC" w:rsidRDefault="009F32E6" w:rsidP="00130C31">
            <w:pPr>
              <w:spacing w:after="0" w:line="240" w:lineRule="auto"/>
              <w:ind w:right="0"/>
              <w:jc w:val="center"/>
            </w:pPr>
            <w:r w:rsidRPr="002463CC">
              <w:t>Complex only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460BBF" w14:textId="12F69076" w:rsidR="009F32E6" w:rsidRPr="002463CC" w:rsidRDefault="009F32E6" w:rsidP="00130C31">
            <w:pPr>
              <w:spacing w:after="0" w:line="240" w:lineRule="auto"/>
              <w:ind w:right="0"/>
              <w:jc w:val="center"/>
            </w:pPr>
            <w:r w:rsidRPr="002463CC">
              <w:t>Both</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3D9333" w14:textId="577C1EC3" w:rsidR="009F32E6" w:rsidRPr="002463CC" w:rsidRDefault="009F32E6" w:rsidP="00130C31">
            <w:pPr>
              <w:spacing w:after="0" w:line="240" w:lineRule="auto"/>
              <w:ind w:right="0"/>
              <w:jc w:val="center"/>
            </w:pPr>
            <w:r w:rsidRPr="002463CC">
              <w:t>Basic only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44EC2F" w14:textId="70CE2DAD" w:rsidR="009F32E6" w:rsidRPr="002463CC" w:rsidRDefault="009F32E6" w:rsidP="00130C31">
            <w:pPr>
              <w:spacing w:after="0" w:line="240" w:lineRule="auto"/>
              <w:ind w:right="0"/>
              <w:jc w:val="center"/>
            </w:pPr>
            <w:r w:rsidRPr="002463CC">
              <w:t>Complex only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5AD0E" w14:textId="1A366129" w:rsidR="009F32E6" w:rsidRPr="002463CC" w:rsidRDefault="009F32E6" w:rsidP="00130C31">
            <w:pPr>
              <w:spacing w:after="0" w:line="240" w:lineRule="auto"/>
              <w:ind w:right="0"/>
              <w:jc w:val="center"/>
            </w:pPr>
            <w:r w:rsidRPr="002463CC">
              <w:t>Both</w:t>
            </w:r>
          </w:p>
        </w:tc>
      </w:tr>
      <w:tr w:rsidR="009F32E6" w:rsidRPr="002463CC" w14:paraId="476E2976" w14:textId="77777777" w:rsidTr="00CB3879">
        <w:tc>
          <w:tcPr>
            <w:tcW w:w="1413" w:type="dxa"/>
            <w:tcBorders>
              <w:top w:val="single" w:sz="4" w:space="0" w:color="auto"/>
              <w:left w:val="single" w:sz="4" w:space="0" w:color="auto"/>
              <w:bottom w:val="single" w:sz="4" w:space="0" w:color="auto"/>
              <w:right w:val="single" w:sz="4" w:space="0" w:color="auto"/>
            </w:tcBorders>
            <w:vAlign w:val="center"/>
            <w:hideMark/>
          </w:tcPr>
          <w:p w14:paraId="7B5488C1" w14:textId="77777777" w:rsidR="009F32E6" w:rsidRPr="002463CC" w:rsidRDefault="009F32E6" w:rsidP="00130C31">
            <w:pPr>
              <w:spacing w:after="0" w:line="240" w:lineRule="auto"/>
              <w:ind w:right="0"/>
            </w:pPr>
            <w:r w:rsidRPr="002463CC">
              <w:t>Basic telecare equipment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0F5AE8" w14:textId="77777777" w:rsidR="009F32E6" w:rsidRPr="002463CC" w:rsidRDefault="009F32E6" w:rsidP="00130C31">
            <w:pPr>
              <w:spacing w:after="0" w:line="240" w:lineRule="auto"/>
              <w:ind w:right="0"/>
              <w:jc w:val="center"/>
            </w:pPr>
            <w:r w:rsidRPr="002463CC">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1F6DCA" w14:textId="77777777" w:rsidR="009F32E6" w:rsidRPr="002463CC" w:rsidRDefault="009F32E6" w:rsidP="00130C31">
            <w:pPr>
              <w:spacing w:after="0" w:line="240" w:lineRule="auto"/>
              <w:ind w:right="0"/>
              <w:jc w:val="center"/>
            </w:pPr>
            <w:r w:rsidRPr="002463CC">
              <w:t>285</w:t>
            </w:r>
          </w:p>
          <w:p w14:paraId="75C3D3CB" w14:textId="77777777" w:rsidR="009F32E6" w:rsidRPr="002463CC" w:rsidRDefault="009F32E6" w:rsidP="00130C31">
            <w:pPr>
              <w:spacing w:after="0" w:line="240" w:lineRule="auto"/>
              <w:ind w:right="0"/>
              <w:jc w:val="center"/>
            </w:pPr>
            <w:r w:rsidRPr="002463CC">
              <w:t>(282-288)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104C9" w14:textId="77777777" w:rsidR="009F32E6" w:rsidRPr="002463CC" w:rsidRDefault="009F32E6" w:rsidP="00130C31">
            <w:pPr>
              <w:spacing w:after="0" w:line="240" w:lineRule="auto"/>
              <w:ind w:right="0"/>
              <w:jc w:val="center"/>
            </w:pPr>
            <w:r w:rsidRPr="002463CC">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417E8A" w14:textId="77777777" w:rsidR="009F32E6" w:rsidRPr="002463CC" w:rsidRDefault="009F32E6" w:rsidP="00130C31">
            <w:pPr>
              <w:spacing w:after="0" w:line="240" w:lineRule="auto"/>
              <w:ind w:right="0"/>
              <w:jc w:val="center"/>
            </w:pPr>
            <w:r w:rsidRPr="002463CC">
              <w:t>284</w:t>
            </w:r>
          </w:p>
          <w:p w14:paraId="4BA06726" w14:textId="77777777" w:rsidR="009F32E6" w:rsidRPr="002463CC" w:rsidRDefault="009F32E6" w:rsidP="00130C31">
            <w:pPr>
              <w:spacing w:after="0" w:line="240" w:lineRule="auto"/>
              <w:ind w:right="0"/>
              <w:jc w:val="center"/>
            </w:pPr>
            <w:r w:rsidRPr="002463CC">
              <w:t>(281-287)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A1EFAC" w14:textId="77777777" w:rsidR="009F32E6" w:rsidRPr="002463CC" w:rsidRDefault="009F32E6" w:rsidP="00130C31">
            <w:pPr>
              <w:spacing w:after="0" w:line="240" w:lineRule="auto"/>
              <w:ind w:right="0"/>
              <w:jc w:val="center"/>
              <w:rPr>
                <w:lang w:eastAsia="en-GB"/>
              </w:rPr>
            </w:pPr>
            <w:r w:rsidRPr="002463CC">
              <w:rPr>
                <w:lang w:eastAsia="en-GB"/>
              </w:rPr>
              <w:t>2379</w:t>
            </w:r>
          </w:p>
          <w:p w14:paraId="567495A4" w14:textId="77777777" w:rsidR="009F32E6" w:rsidRPr="002463CC" w:rsidRDefault="009F32E6" w:rsidP="00130C31">
            <w:pPr>
              <w:spacing w:after="0" w:line="240" w:lineRule="auto"/>
              <w:ind w:right="0"/>
              <w:jc w:val="center"/>
            </w:pPr>
            <w:r w:rsidRPr="002463CC">
              <w:rPr>
                <w:lang w:eastAsia="en-GB"/>
              </w:rPr>
              <w:t>(2373-2385)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9D8D98" w14:textId="77777777" w:rsidR="009F32E6" w:rsidRPr="002463CC" w:rsidRDefault="009F32E6" w:rsidP="00130C31">
            <w:pPr>
              <w:spacing w:after="0" w:line="240" w:lineRule="auto"/>
              <w:ind w:right="0"/>
              <w:jc w:val="center"/>
            </w:pPr>
            <w:r w:rsidRPr="002463CC">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4DD1F8" w14:textId="77777777" w:rsidR="009F32E6" w:rsidRPr="002463CC" w:rsidRDefault="009F32E6" w:rsidP="00130C31">
            <w:pPr>
              <w:spacing w:after="0" w:line="240" w:lineRule="auto"/>
              <w:ind w:right="0"/>
              <w:jc w:val="center"/>
            </w:pPr>
            <w:r w:rsidRPr="002463CC">
              <w:t>2378</w:t>
            </w:r>
          </w:p>
          <w:p w14:paraId="587CD116" w14:textId="77777777" w:rsidR="009F32E6" w:rsidRPr="002463CC" w:rsidRDefault="009F32E6" w:rsidP="00130C31">
            <w:pPr>
              <w:spacing w:after="0" w:line="240" w:lineRule="auto"/>
              <w:ind w:right="0"/>
              <w:jc w:val="center"/>
            </w:pPr>
            <w:r w:rsidRPr="002463CC">
              <w:t>(2371-2384)</w:t>
            </w:r>
          </w:p>
        </w:tc>
      </w:tr>
      <w:tr w:rsidR="009F32E6" w:rsidRPr="002463CC" w14:paraId="243E7955" w14:textId="77777777" w:rsidTr="00CB3879">
        <w:tc>
          <w:tcPr>
            <w:tcW w:w="1413" w:type="dxa"/>
            <w:tcBorders>
              <w:top w:val="single" w:sz="4" w:space="0" w:color="auto"/>
              <w:left w:val="single" w:sz="4" w:space="0" w:color="auto"/>
              <w:bottom w:val="single" w:sz="4" w:space="0" w:color="auto"/>
              <w:right w:val="single" w:sz="4" w:space="0" w:color="auto"/>
            </w:tcBorders>
            <w:vAlign w:val="center"/>
            <w:hideMark/>
          </w:tcPr>
          <w:p w14:paraId="68395FFE" w14:textId="77777777" w:rsidR="009F32E6" w:rsidRPr="002463CC" w:rsidRDefault="009F32E6" w:rsidP="00130C31">
            <w:pPr>
              <w:spacing w:after="0" w:line="240" w:lineRule="auto"/>
              <w:ind w:right="0"/>
            </w:pPr>
            <w:r w:rsidRPr="002463CC">
              <w:t>Complex telecare equipment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248217" w14:textId="77777777" w:rsidR="009F32E6" w:rsidRPr="002463CC" w:rsidRDefault="009F32E6" w:rsidP="00130C31">
            <w:pPr>
              <w:spacing w:after="0" w:line="240" w:lineRule="auto"/>
              <w:ind w:right="0"/>
              <w:jc w:val="center"/>
            </w:pPr>
            <w:r w:rsidRPr="002463CC">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9F9F00" w14:textId="77777777" w:rsidR="009F32E6" w:rsidRPr="002463CC" w:rsidRDefault="009F32E6" w:rsidP="00130C31">
            <w:pPr>
              <w:spacing w:after="0" w:line="240" w:lineRule="auto"/>
              <w:ind w:right="0"/>
              <w:jc w:val="center"/>
            </w:pPr>
            <w:r w:rsidRPr="002463CC">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A3732E" w14:textId="77777777" w:rsidR="009F32E6" w:rsidRPr="002463CC" w:rsidRDefault="009F32E6" w:rsidP="00130C31">
            <w:pPr>
              <w:spacing w:after="0" w:line="240" w:lineRule="auto"/>
              <w:ind w:right="0"/>
              <w:jc w:val="center"/>
            </w:pPr>
            <w:r w:rsidRPr="002463CC">
              <w:t>159</w:t>
            </w:r>
          </w:p>
          <w:p w14:paraId="1E867DAF" w14:textId="77777777" w:rsidR="009F32E6" w:rsidRPr="002463CC" w:rsidRDefault="009F32E6" w:rsidP="00130C31">
            <w:pPr>
              <w:spacing w:after="0" w:line="240" w:lineRule="auto"/>
              <w:ind w:right="0"/>
              <w:jc w:val="center"/>
            </w:pPr>
            <w:r w:rsidRPr="002463CC">
              <w:t>(157-160)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90717A" w14:textId="77777777" w:rsidR="009F32E6" w:rsidRPr="002463CC" w:rsidRDefault="009F32E6" w:rsidP="00130C31">
            <w:pPr>
              <w:spacing w:after="0" w:line="240" w:lineRule="auto"/>
              <w:ind w:right="0"/>
              <w:jc w:val="center"/>
            </w:pPr>
            <w:r w:rsidRPr="002463CC">
              <w:t>160</w:t>
            </w:r>
          </w:p>
          <w:p w14:paraId="485E1310" w14:textId="77777777" w:rsidR="009F32E6" w:rsidRPr="002463CC" w:rsidRDefault="009F32E6" w:rsidP="00130C31">
            <w:pPr>
              <w:spacing w:after="0" w:line="240" w:lineRule="auto"/>
              <w:ind w:right="0"/>
              <w:jc w:val="center"/>
            </w:pPr>
            <w:r w:rsidRPr="002463CC">
              <w:t>(158-162)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0E1A10" w14:textId="77777777" w:rsidR="009F32E6" w:rsidRPr="002463CC" w:rsidRDefault="009F32E6" w:rsidP="00130C31">
            <w:pPr>
              <w:spacing w:after="0" w:line="240" w:lineRule="auto"/>
              <w:ind w:right="0"/>
              <w:jc w:val="center"/>
            </w:pPr>
            <w:r w:rsidRPr="002463CC">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0ABC12" w14:textId="77777777" w:rsidR="009F32E6" w:rsidRPr="002463CC" w:rsidRDefault="009F32E6" w:rsidP="00130C31">
            <w:pPr>
              <w:spacing w:after="0" w:line="240" w:lineRule="auto"/>
              <w:ind w:right="0"/>
              <w:jc w:val="center"/>
            </w:pPr>
            <w:r w:rsidRPr="002463CC">
              <w:t>1430</w:t>
            </w:r>
          </w:p>
          <w:p w14:paraId="4ADDB35D" w14:textId="77777777" w:rsidR="009F32E6" w:rsidRPr="002463CC" w:rsidRDefault="009F32E6" w:rsidP="00130C31">
            <w:pPr>
              <w:spacing w:after="0" w:line="240" w:lineRule="auto"/>
              <w:ind w:right="0"/>
              <w:jc w:val="center"/>
            </w:pPr>
            <w:r w:rsidRPr="002463CC">
              <w:t>(1425-1434)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36D2CC" w14:textId="77777777" w:rsidR="009F32E6" w:rsidRPr="002463CC" w:rsidRDefault="009F32E6" w:rsidP="00130C31">
            <w:pPr>
              <w:spacing w:after="0" w:line="240" w:lineRule="auto"/>
              <w:ind w:right="0"/>
              <w:jc w:val="center"/>
            </w:pPr>
            <w:r w:rsidRPr="002463CC">
              <w:t>1483</w:t>
            </w:r>
          </w:p>
          <w:p w14:paraId="7041B80B" w14:textId="77777777" w:rsidR="009F32E6" w:rsidRPr="002463CC" w:rsidRDefault="009F32E6" w:rsidP="00130C31">
            <w:pPr>
              <w:spacing w:after="0" w:line="240" w:lineRule="auto"/>
              <w:ind w:right="0"/>
              <w:jc w:val="center"/>
            </w:pPr>
            <w:r w:rsidRPr="002463CC">
              <w:t>(1478-1487)</w:t>
            </w:r>
          </w:p>
        </w:tc>
      </w:tr>
      <w:tr w:rsidR="009F32E6" w:rsidRPr="002463CC" w14:paraId="589CAB67" w14:textId="77777777" w:rsidTr="00CB3879">
        <w:trPr>
          <w:trHeight w:val="662"/>
        </w:trPr>
        <w:tc>
          <w:tcPr>
            <w:tcW w:w="1413" w:type="dxa"/>
            <w:tcBorders>
              <w:top w:val="single" w:sz="4" w:space="0" w:color="auto"/>
              <w:left w:val="single" w:sz="4" w:space="0" w:color="auto"/>
              <w:bottom w:val="single" w:sz="4" w:space="0" w:color="auto"/>
              <w:right w:val="single" w:sz="4" w:space="0" w:color="auto"/>
            </w:tcBorders>
            <w:vAlign w:val="center"/>
            <w:hideMark/>
          </w:tcPr>
          <w:p w14:paraId="0BC164C2" w14:textId="77777777" w:rsidR="009F32E6" w:rsidRPr="002463CC" w:rsidRDefault="009F32E6" w:rsidP="00130C31">
            <w:pPr>
              <w:spacing w:after="0" w:line="240" w:lineRule="auto"/>
              <w:ind w:right="0"/>
            </w:pPr>
            <w:r w:rsidRPr="002463CC">
              <w:t>Community care package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4326C5" w14:textId="77777777" w:rsidR="009F32E6" w:rsidRPr="002463CC" w:rsidRDefault="009F32E6" w:rsidP="00130C31">
            <w:pPr>
              <w:spacing w:after="0" w:line="240" w:lineRule="auto"/>
              <w:ind w:right="0"/>
              <w:jc w:val="center"/>
              <w:rPr>
                <w:lang w:eastAsia="en-GB"/>
              </w:rPr>
            </w:pPr>
            <w:r w:rsidRPr="002463CC">
              <w:rPr>
                <w:lang w:eastAsia="en-GB"/>
              </w:rPr>
              <w:t>3934</w:t>
            </w:r>
          </w:p>
          <w:p w14:paraId="4C330133" w14:textId="77777777" w:rsidR="009F32E6" w:rsidRPr="002463CC" w:rsidRDefault="009F32E6" w:rsidP="00130C31">
            <w:pPr>
              <w:spacing w:after="0" w:line="240" w:lineRule="auto"/>
              <w:ind w:right="0"/>
              <w:jc w:val="center"/>
            </w:pPr>
            <w:r w:rsidRPr="002463CC">
              <w:rPr>
                <w:lang w:eastAsia="en-GB"/>
              </w:rPr>
              <w:t>(3928-3941)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C1CCC1" w14:textId="77777777" w:rsidR="009F32E6" w:rsidRPr="002463CC" w:rsidRDefault="009F32E6" w:rsidP="00130C31">
            <w:pPr>
              <w:spacing w:after="0" w:line="240" w:lineRule="auto"/>
              <w:ind w:right="0"/>
              <w:jc w:val="center"/>
              <w:rPr>
                <w:lang w:eastAsia="en-GB"/>
              </w:rPr>
            </w:pPr>
            <w:r w:rsidRPr="002463CC">
              <w:rPr>
                <w:lang w:eastAsia="en-GB"/>
              </w:rPr>
              <w:t>3761</w:t>
            </w:r>
          </w:p>
          <w:p w14:paraId="34D8F00A" w14:textId="77777777" w:rsidR="009F32E6" w:rsidRPr="002463CC" w:rsidRDefault="009F32E6" w:rsidP="00130C31">
            <w:pPr>
              <w:spacing w:after="0" w:line="240" w:lineRule="auto"/>
              <w:ind w:right="0"/>
              <w:jc w:val="center"/>
            </w:pPr>
            <w:r w:rsidRPr="002463CC">
              <w:rPr>
                <w:lang w:eastAsia="en-GB"/>
              </w:rPr>
              <w:t>(3751-3770)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7D8701" w14:textId="77777777" w:rsidR="009F32E6" w:rsidRPr="002463CC" w:rsidRDefault="009F32E6" w:rsidP="00130C31">
            <w:pPr>
              <w:spacing w:after="0" w:line="240" w:lineRule="auto"/>
              <w:ind w:right="0"/>
              <w:jc w:val="center"/>
              <w:rPr>
                <w:lang w:eastAsia="en-GB"/>
              </w:rPr>
            </w:pPr>
            <w:r w:rsidRPr="002463CC">
              <w:rPr>
                <w:lang w:eastAsia="en-GB"/>
              </w:rPr>
              <w:t>4936</w:t>
            </w:r>
          </w:p>
          <w:p w14:paraId="47B0DCE5" w14:textId="77777777" w:rsidR="009F32E6" w:rsidRPr="002463CC" w:rsidRDefault="009F32E6" w:rsidP="00130C31">
            <w:pPr>
              <w:spacing w:after="0" w:line="240" w:lineRule="auto"/>
              <w:ind w:right="0"/>
              <w:jc w:val="center"/>
            </w:pPr>
            <w:r w:rsidRPr="002463CC">
              <w:rPr>
                <w:lang w:eastAsia="en-GB"/>
              </w:rPr>
              <w:t>(3927-3945)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172B7C" w14:textId="77777777" w:rsidR="009F32E6" w:rsidRPr="002463CC" w:rsidRDefault="009F32E6" w:rsidP="00130C31">
            <w:pPr>
              <w:spacing w:after="0" w:line="240" w:lineRule="auto"/>
              <w:ind w:right="0"/>
              <w:jc w:val="center"/>
              <w:rPr>
                <w:lang w:eastAsia="en-GB"/>
              </w:rPr>
            </w:pPr>
            <w:r w:rsidRPr="002463CC">
              <w:rPr>
                <w:lang w:eastAsia="en-GB"/>
              </w:rPr>
              <w:t>3771</w:t>
            </w:r>
          </w:p>
          <w:p w14:paraId="7EEC27BC" w14:textId="77777777" w:rsidR="009F32E6" w:rsidRPr="002463CC" w:rsidRDefault="009F32E6" w:rsidP="00130C31">
            <w:pPr>
              <w:spacing w:after="0" w:line="240" w:lineRule="auto"/>
              <w:ind w:right="0"/>
              <w:jc w:val="center"/>
            </w:pPr>
            <w:r w:rsidRPr="002463CC">
              <w:rPr>
                <w:lang w:eastAsia="en-GB"/>
              </w:rPr>
              <w:t>(3761 -3780)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BD4285" w14:textId="77777777" w:rsidR="009F32E6" w:rsidRPr="002463CC" w:rsidRDefault="009F32E6" w:rsidP="00130C31">
            <w:pPr>
              <w:spacing w:after="0" w:line="240" w:lineRule="auto"/>
              <w:ind w:right="0"/>
              <w:jc w:val="center"/>
              <w:rPr>
                <w:lang w:eastAsia="en-GB"/>
              </w:rPr>
            </w:pPr>
            <w:r w:rsidRPr="002463CC">
              <w:rPr>
                <w:lang w:eastAsia="en-GB"/>
              </w:rPr>
              <w:t>2424</w:t>
            </w:r>
          </w:p>
          <w:p w14:paraId="2BADBF76" w14:textId="77777777" w:rsidR="009F32E6" w:rsidRPr="002463CC" w:rsidRDefault="009F32E6" w:rsidP="00130C31">
            <w:pPr>
              <w:spacing w:after="0" w:line="240" w:lineRule="auto"/>
              <w:ind w:right="0"/>
              <w:jc w:val="center"/>
            </w:pPr>
            <w:r w:rsidRPr="002463CC">
              <w:rPr>
                <w:lang w:eastAsia="en-GB"/>
              </w:rPr>
              <w:t>(2418-2431)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96CEDC" w14:textId="77777777" w:rsidR="009F32E6" w:rsidRPr="002463CC" w:rsidRDefault="009F32E6" w:rsidP="00130C31">
            <w:pPr>
              <w:spacing w:after="0" w:line="240" w:lineRule="auto"/>
              <w:ind w:right="0"/>
              <w:jc w:val="center"/>
              <w:rPr>
                <w:lang w:eastAsia="en-GB"/>
              </w:rPr>
            </w:pPr>
            <w:r w:rsidRPr="002463CC">
              <w:rPr>
                <w:lang w:eastAsia="en-GB"/>
              </w:rPr>
              <w:t>4054</w:t>
            </w:r>
          </w:p>
          <w:p w14:paraId="0B8AA238" w14:textId="77777777" w:rsidR="009F32E6" w:rsidRPr="002463CC" w:rsidRDefault="009F32E6" w:rsidP="00130C31">
            <w:pPr>
              <w:spacing w:after="0" w:line="240" w:lineRule="auto"/>
              <w:ind w:right="0"/>
              <w:jc w:val="center"/>
            </w:pPr>
            <w:r w:rsidRPr="002463CC">
              <w:rPr>
                <w:lang w:eastAsia="en-GB"/>
              </w:rPr>
              <w:t>(4046-4062)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7DFF15" w14:textId="77777777" w:rsidR="009F32E6" w:rsidRPr="002463CC" w:rsidRDefault="009F32E6" w:rsidP="00130C31">
            <w:pPr>
              <w:spacing w:after="0" w:line="240" w:lineRule="auto"/>
              <w:ind w:right="0"/>
              <w:jc w:val="center"/>
              <w:rPr>
                <w:lang w:eastAsia="en-GB"/>
              </w:rPr>
            </w:pPr>
            <w:r w:rsidRPr="002463CC">
              <w:rPr>
                <w:lang w:eastAsia="en-GB"/>
              </w:rPr>
              <w:t>2560</w:t>
            </w:r>
          </w:p>
          <w:p w14:paraId="5CAFA012" w14:textId="77777777" w:rsidR="009F32E6" w:rsidRPr="002463CC" w:rsidRDefault="009F32E6" w:rsidP="00130C31">
            <w:pPr>
              <w:spacing w:after="0" w:line="240" w:lineRule="auto"/>
              <w:ind w:right="0"/>
              <w:jc w:val="center"/>
            </w:pPr>
            <w:r w:rsidRPr="002463CC">
              <w:rPr>
                <w:lang w:eastAsia="en-GB"/>
              </w:rPr>
              <w:t>(2554-2565)</w:t>
            </w:r>
          </w:p>
        </w:tc>
      </w:tr>
      <w:tr w:rsidR="009F32E6" w:rsidRPr="002463CC" w14:paraId="307702E0" w14:textId="77777777" w:rsidTr="00CB3879">
        <w:tc>
          <w:tcPr>
            <w:tcW w:w="1413" w:type="dxa"/>
            <w:tcBorders>
              <w:top w:val="single" w:sz="4" w:space="0" w:color="auto"/>
              <w:left w:val="single" w:sz="4" w:space="0" w:color="auto"/>
              <w:bottom w:val="single" w:sz="4" w:space="0" w:color="auto"/>
              <w:right w:val="single" w:sz="4" w:space="0" w:color="auto"/>
            </w:tcBorders>
            <w:vAlign w:val="center"/>
            <w:hideMark/>
          </w:tcPr>
          <w:p w14:paraId="0D687898" w14:textId="77777777" w:rsidR="009F32E6" w:rsidRPr="002463CC" w:rsidRDefault="009F32E6" w:rsidP="00130C31">
            <w:pPr>
              <w:spacing w:after="0" w:line="240" w:lineRule="auto"/>
              <w:ind w:right="0"/>
            </w:pPr>
            <w:r w:rsidRPr="002463CC">
              <w:t>Residential care home space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E72174" w14:textId="77777777" w:rsidR="009F32E6" w:rsidRPr="002463CC" w:rsidRDefault="009F32E6" w:rsidP="00130C31">
            <w:pPr>
              <w:spacing w:after="0" w:line="240" w:lineRule="auto"/>
              <w:ind w:right="0"/>
              <w:jc w:val="center"/>
              <w:rPr>
                <w:lang w:eastAsia="en-GB"/>
              </w:rPr>
            </w:pPr>
            <w:r w:rsidRPr="002463CC">
              <w:rPr>
                <w:lang w:eastAsia="en-GB"/>
              </w:rPr>
              <w:t>2143</w:t>
            </w:r>
          </w:p>
          <w:p w14:paraId="6CFB4EDB" w14:textId="77777777" w:rsidR="009F32E6" w:rsidRPr="002463CC" w:rsidRDefault="009F32E6" w:rsidP="00130C31">
            <w:pPr>
              <w:spacing w:after="0" w:line="240" w:lineRule="auto"/>
              <w:ind w:right="0"/>
              <w:jc w:val="center"/>
            </w:pPr>
            <w:r w:rsidRPr="002463CC">
              <w:rPr>
                <w:lang w:eastAsia="en-GB"/>
              </w:rPr>
              <w:t>(2137-2150)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0D212C" w14:textId="77777777" w:rsidR="009F32E6" w:rsidRPr="002463CC" w:rsidRDefault="009F32E6" w:rsidP="00130C31">
            <w:pPr>
              <w:spacing w:after="0" w:line="240" w:lineRule="auto"/>
              <w:ind w:right="0"/>
              <w:jc w:val="center"/>
              <w:rPr>
                <w:lang w:eastAsia="en-GB"/>
              </w:rPr>
            </w:pPr>
            <w:r w:rsidRPr="002463CC">
              <w:rPr>
                <w:lang w:eastAsia="en-GB"/>
              </w:rPr>
              <w:t>2124</w:t>
            </w:r>
          </w:p>
          <w:p w14:paraId="12BE40F8" w14:textId="77777777" w:rsidR="009F32E6" w:rsidRPr="002463CC" w:rsidRDefault="009F32E6" w:rsidP="00130C31">
            <w:pPr>
              <w:spacing w:after="0" w:line="240" w:lineRule="auto"/>
              <w:ind w:right="0"/>
              <w:jc w:val="center"/>
            </w:pPr>
            <w:r w:rsidRPr="002463CC">
              <w:rPr>
                <w:lang w:eastAsia="en-GB"/>
              </w:rPr>
              <w:t>(2116-2132)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F357A" w14:textId="77777777" w:rsidR="009F32E6" w:rsidRPr="002463CC" w:rsidRDefault="009F32E6" w:rsidP="00130C31">
            <w:pPr>
              <w:spacing w:after="0" w:line="240" w:lineRule="auto"/>
              <w:ind w:right="0"/>
              <w:jc w:val="center"/>
              <w:rPr>
                <w:lang w:eastAsia="en-GB"/>
              </w:rPr>
            </w:pPr>
            <w:r w:rsidRPr="002463CC">
              <w:rPr>
                <w:lang w:eastAsia="en-GB"/>
              </w:rPr>
              <w:t>2132</w:t>
            </w:r>
          </w:p>
          <w:p w14:paraId="5343401C" w14:textId="77777777" w:rsidR="009F32E6" w:rsidRPr="002463CC" w:rsidRDefault="009F32E6" w:rsidP="00130C31">
            <w:pPr>
              <w:spacing w:after="0" w:line="240" w:lineRule="auto"/>
              <w:ind w:right="0"/>
              <w:jc w:val="center"/>
            </w:pPr>
            <w:r w:rsidRPr="002463CC">
              <w:rPr>
                <w:lang w:eastAsia="en-GB"/>
              </w:rPr>
              <w:t>(2125-2140)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FF620A" w14:textId="77777777" w:rsidR="009F32E6" w:rsidRPr="002463CC" w:rsidRDefault="009F32E6" w:rsidP="00130C31">
            <w:pPr>
              <w:spacing w:after="0" w:line="240" w:lineRule="auto"/>
              <w:ind w:right="0"/>
              <w:jc w:val="center"/>
              <w:rPr>
                <w:lang w:eastAsia="en-GB"/>
              </w:rPr>
            </w:pPr>
            <w:r w:rsidRPr="002463CC">
              <w:rPr>
                <w:lang w:eastAsia="en-GB"/>
              </w:rPr>
              <w:t>2113</w:t>
            </w:r>
          </w:p>
          <w:p w14:paraId="4160FABD" w14:textId="77777777" w:rsidR="009F32E6" w:rsidRPr="002463CC" w:rsidRDefault="009F32E6" w:rsidP="00130C31">
            <w:pPr>
              <w:spacing w:after="0" w:line="240" w:lineRule="auto"/>
              <w:ind w:right="0"/>
              <w:jc w:val="center"/>
            </w:pPr>
            <w:r w:rsidRPr="002463CC">
              <w:rPr>
                <w:lang w:eastAsia="en-GB"/>
              </w:rPr>
              <w:t>(2105-2121)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800E16" w14:textId="77777777" w:rsidR="009F32E6" w:rsidRPr="002463CC" w:rsidRDefault="009F32E6" w:rsidP="00130C31">
            <w:pPr>
              <w:spacing w:after="0" w:line="240" w:lineRule="auto"/>
              <w:ind w:right="0"/>
              <w:jc w:val="center"/>
              <w:rPr>
                <w:lang w:eastAsia="en-GB"/>
              </w:rPr>
            </w:pPr>
            <w:r w:rsidRPr="002463CC">
              <w:rPr>
                <w:lang w:eastAsia="en-GB"/>
              </w:rPr>
              <w:t>1987</w:t>
            </w:r>
          </w:p>
          <w:p w14:paraId="0BA92B47" w14:textId="77777777" w:rsidR="009F32E6" w:rsidRPr="002463CC" w:rsidRDefault="009F32E6" w:rsidP="00130C31">
            <w:pPr>
              <w:spacing w:after="0" w:line="240" w:lineRule="auto"/>
              <w:ind w:right="0"/>
              <w:jc w:val="center"/>
            </w:pPr>
            <w:r w:rsidRPr="002463CC">
              <w:rPr>
                <w:lang w:eastAsia="en-GB"/>
              </w:rPr>
              <w:t>(1980-1993)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EDE8A1" w14:textId="77777777" w:rsidR="009F32E6" w:rsidRPr="002463CC" w:rsidRDefault="009F32E6" w:rsidP="00130C31">
            <w:pPr>
              <w:spacing w:after="0" w:line="240" w:lineRule="auto"/>
              <w:ind w:right="0"/>
              <w:jc w:val="center"/>
              <w:rPr>
                <w:lang w:eastAsia="en-GB"/>
              </w:rPr>
            </w:pPr>
            <w:r w:rsidRPr="002463CC">
              <w:rPr>
                <w:lang w:eastAsia="en-GB"/>
              </w:rPr>
              <w:t>2050</w:t>
            </w:r>
          </w:p>
          <w:p w14:paraId="09025E47" w14:textId="77777777" w:rsidR="009F32E6" w:rsidRPr="002463CC" w:rsidRDefault="009F32E6" w:rsidP="00130C31">
            <w:pPr>
              <w:spacing w:after="0" w:line="240" w:lineRule="auto"/>
              <w:ind w:right="0"/>
              <w:jc w:val="center"/>
            </w:pPr>
            <w:r w:rsidRPr="002463CC">
              <w:rPr>
                <w:lang w:eastAsia="en-GB"/>
              </w:rPr>
              <w:t>(2044-2057)</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E791F3" w14:textId="77777777" w:rsidR="009F32E6" w:rsidRPr="002463CC" w:rsidRDefault="009F32E6" w:rsidP="00130C31">
            <w:pPr>
              <w:spacing w:after="0" w:line="240" w:lineRule="auto"/>
              <w:ind w:right="0"/>
              <w:jc w:val="center"/>
              <w:rPr>
                <w:lang w:eastAsia="en-GB"/>
              </w:rPr>
            </w:pPr>
            <w:r w:rsidRPr="002463CC">
              <w:rPr>
                <w:lang w:eastAsia="en-GB"/>
              </w:rPr>
              <w:t>1892</w:t>
            </w:r>
          </w:p>
          <w:p w14:paraId="60D6EE0B" w14:textId="77777777" w:rsidR="009F32E6" w:rsidRPr="002463CC" w:rsidRDefault="009F32E6" w:rsidP="00130C31">
            <w:pPr>
              <w:spacing w:after="0" w:line="240" w:lineRule="auto"/>
              <w:ind w:right="0"/>
              <w:jc w:val="center"/>
            </w:pPr>
            <w:r w:rsidRPr="002463CC">
              <w:rPr>
                <w:lang w:eastAsia="en-GB"/>
              </w:rPr>
              <w:t>(1885-1899)</w:t>
            </w:r>
          </w:p>
        </w:tc>
      </w:tr>
      <w:tr w:rsidR="009F32E6" w:rsidRPr="002463CC" w14:paraId="77BEEABB" w14:textId="77777777" w:rsidTr="00CB3879">
        <w:trPr>
          <w:trHeight w:val="505"/>
        </w:trPr>
        <w:tc>
          <w:tcPr>
            <w:tcW w:w="1413" w:type="dxa"/>
            <w:tcBorders>
              <w:top w:val="single" w:sz="4" w:space="0" w:color="auto"/>
              <w:left w:val="single" w:sz="4" w:space="0" w:color="auto"/>
              <w:bottom w:val="single" w:sz="4" w:space="0" w:color="auto"/>
              <w:right w:val="single" w:sz="4" w:space="0" w:color="auto"/>
            </w:tcBorders>
            <w:vAlign w:val="center"/>
            <w:hideMark/>
          </w:tcPr>
          <w:p w14:paraId="60B60DE9" w14:textId="77777777" w:rsidR="009F32E6" w:rsidRPr="002463CC" w:rsidRDefault="009F32E6" w:rsidP="00130C31">
            <w:pPr>
              <w:spacing w:after="0" w:line="240" w:lineRule="auto"/>
              <w:ind w:right="0"/>
            </w:pPr>
            <w:r w:rsidRPr="002463CC">
              <w:t>Nursing home bed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4088DF" w14:textId="77777777" w:rsidR="009F32E6" w:rsidRPr="002463CC" w:rsidRDefault="009F32E6" w:rsidP="00130C31">
            <w:pPr>
              <w:spacing w:after="0" w:line="240" w:lineRule="auto"/>
              <w:ind w:right="0"/>
              <w:jc w:val="center"/>
              <w:rPr>
                <w:lang w:eastAsia="en-GB"/>
              </w:rPr>
            </w:pPr>
            <w:r w:rsidRPr="002463CC">
              <w:rPr>
                <w:lang w:eastAsia="en-GB"/>
              </w:rPr>
              <w:t>766</w:t>
            </w:r>
          </w:p>
          <w:p w14:paraId="1DCFBC10" w14:textId="77777777" w:rsidR="009F32E6" w:rsidRPr="002463CC" w:rsidRDefault="009F32E6" w:rsidP="00130C31">
            <w:pPr>
              <w:spacing w:after="0" w:line="240" w:lineRule="auto"/>
              <w:ind w:right="0"/>
              <w:jc w:val="center"/>
            </w:pPr>
            <w:r w:rsidRPr="002463CC">
              <w:rPr>
                <w:lang w:eastAsia="en-GB"/>
              </w:rPr>
              <w:t>(764-769)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6E7E9D" w14:textId="77777777" w:rsidR="009F32E6" w:rsidRPr="002463CC" w:rsidRDefault="009F32E6" w:rsidP="00130C31">
            <w:pPr>
              <w:spacing w:after="0" w:line="240" w:lineRule="auto"/>
              <w:ind w:right="0"/>
              <w:jc w:val="center"/>
              <w:rPr>
                <w:lang w:eastAsia="en-GB"/>
              </w:rPr>
            </w:pPr>
            <w:r w:rsidRPr="002463CC">
              <w:rPr>
                <w:lang w:eastAsia="en-GB"/>
              </w:rPr>
              <w:t>762</w:t>
            </w:r>
          </w:p>
          <w:p w14:paraId="3AFC2DD8" w14:textId="77777777" w:rsidR="009F32E6" w:rsidRPr="002463CC" w:rsidRDefault="009F32E6" w:rsidP="00130C31">
            <w:pPr>
              <w:spacing w:after="0" w:line="240" w:lineRule="auto"/>
              <w:ind w:right="0"/>
              <w:jc w:val="center"/>
            </w:pPr>
            <w:r w:rsidRPr="002463CC">
              <w:rPr>
                <w:lang w:eastAsia="en-GB"/>
              </w:rPr>
              <w:t>(759-765)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778504" w14:textId="77777777" w:rsidR="009F32E6" w:rsidRPr="002463CC" w:rsidRDefault="009F32E6" w:rsidP="00130C31">
            <w:pPr>
              <w:spacing w:after="0" w:line="240" w:lineRule="auto"/>
              <w:ind w:right="0"/>
              <w:jc w:val="center"/>
              <w:rPr>
                <w:lang w:eastAsia="en-GB"/>
              </w:rPr>
            </w:pPr>
            <w:r w:rsidRPr="002463CC">
              <w:rPr>
                <w:lang w:eastAsia="en-GB"/>
              </w:rPr>
              <w:t>758</w:t>
            </w:r>
          </w:p>
          <w:p w14:paraId="3F36EA95" w14:textId="77777777" w:rsidR="009F32E6" w:rsidRPr="002463CC" w:rsidRDefault="009F32E6" w:rsidP="00130C31">
            <w:pPr>
              <w:spacing w:after="0" w:line="240" w:lineRule="auto"/>
              <w:ind w:right="0"/>
              <w:jc w:val="center"/>
            </w:pPr>
            <w:r w:rsidRPr="002463CC">
              <w:rPr>
                <w:lang w:eastAsia="en-GB"/>
              </w:rPr>
              <w:t>(755-761)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D220FC" w14:textId="77777777" w:rsidR="009F32E6" w:rsidRPr="002463CC" w:rsidRDefault="009F32E6" w:rsidP="00130C31">
            <w:pPr>
              <w:spacing w:after="0" w:line="240" w:lineRule="auto"/>
              <w:ind w:right="0"/>
              <w:jc w:val="center"/>
              <w:rPr>
                <w:lang w:eastAsia="en-GB"/>
              </w:rPr>
            </w:pPr>
            <w:r w:rsidRPr="002463CC">
              <w:rPr>
                <w:lang w:eastAsia="en-GB"/>
              </w:rPr>
              <w:t>756</w:t>
            </w:r>
          </w:p>
          <w:p w14:paraId="704828A1" w14:textId="77777777" w:rsidR="009F32E6" w:rsidRPr="002463CC" w:rsidRDefault="009F32E6" w:rsidP="00130C31">
            <w:pPr>
              <w:spacing w:after="0" w:line="240" w:lineRule="auto"/>
              <w:ind w:right="0"/>
              <w:jc w:val="center"/>
            </w:pPr>
            <w:r w:rsidRPr="002463CC">
              <w:rPr>
                <w:lang w:eastAsia="en-GB"/>
              </w:rPr>
              <w:t>(753-759)</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4B9476" w14:textId="77777777" w:rsidR="009F32E6" w:rsidRPr="002463CC" w:rsidRDefault="009F32E6" w:rsidP="00130C31">
            <w:pPr>
              <w:spacing w:after="0" w:line="240" w:lineRule="auto"/>
              <w:ind w:right="0"/>
              <w:jc w:val="center"/>
              <w:rPr>
                <w:lang w:eastAsia="en-GB"/>
              </w:rPr>
            </w:pPr>
            <w:r w:rsidRPr="002463CC">
              <w:rPr>
                <w:lang w:eastAsia="en-GB"/>
              </w:rPr>
              <w:t>757</w:t>
            </w:r>
          </w:p>
          <w:p w14:paraId="3D8B42F7" w14:textId="77777777" w:rsidR="009F32E6" w:rsidRPr="002463CC" w:rsidRDefault="009F32E6" w:rsidP="00130C31">
            <w:pPr>
              <w:spacing w:after="0" w:line="240" w:lineRule="auto"/>
              <w:ind w:right="0"/>
              <w:jc w:val="center"/>
            </w:pPr>
            <w:r w:rsidRPr="002463CC">
              <w:rPr>
                <w:lang w:eastAsia="en-GB"/>
              </w:rPr>
              <w:t>(754-760)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94DE3D" w14:textId="77777777" w:rsidR="009F32E6" w:rsidRPr="002463CC" w:rsidRDefault="009F32E6" w:rsidP="00130C31">
            <w:pPr>
              <w:spacing w:after="0" w:line="240" w:lineRule="auto"/>
              <w:ind w:right="0"/>
              <w:jc w:val="center"/>
              <w:rPr>
                <w:lang w:eastAsia="en-GB"/>
              </w:rPr>
            </w:pPr>
            <w:r w:rsidRPr="002463CC">
              <w:rPr>
                <w:lang w:eastAsia="en-GB"/>
              </w:rPr>
              <w:t>728</w:t>
            </w:r>
          </w:p>
          <w:p w14:paraId="441EA233" w14:textId="77777777" w:rsidR="009F32E6" w:rsidRPr="002463CC" w:rsidRDefault="009F32E6" w:rsidP="00130C31">
            <w:pPr>
              <w:spacing w:after="0" w:line="240" w:lineRule="auto"/>
              <w:ind w:right="0"/>
              <w:jc w:val="center"/>
            </w:pPr>
            <w:r w:rsidRPr="002463CC">
              <w:rPr>
                <w:lang w:eastAsia="en-GB"/>
              </w:rPr>
              <w:t>(725-732)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4168C6" w14:textId="77777777" w:rsidR="009F32E6" w:rsidRPr="002463CC" w:rsidRDefault="009F32E6" w:rsidP="00130C31">
            <w:pPr>
              <w:spacing w:after="0" w:line="240" w:lineRule="auto"/>
              <w:ind w:right="0"/>
              <w:jc w:val="center"/>
              <w:rPr>
                <w:lang w:eastAsia="en-GB"/>
              </w:rPr>
            </w:pPr>
            <w:r w:rsidRPr="002463CC">
              <w:rPr>
                <w:lang w:eastAsia="en-GB"/>
              </w:rPr>
              <w:t>722</w:t>
            </w:r>
          </w:p>
          <w:p w14:paraId="765D637F" w14:textId="77777777" w:rsidR="009F32E6" w:rsidRPr="002463CC" w:rsidRDefault="009F32E6" w:rsidP="00130C31">
            <w:pPr>
              <w:spacing w:after="0" w:line="240" w:lineRule="auto"/>
              <w:ind w:right="0"/>
              <w:jc w:val="center"/>
            </w:pPr>
            <w:r w:rsidRPr="002463CC">
              <w:rPr>
                <w:lang w:eastAsia="en-GB"/>
              </w:rPr>
              <w:t>(719-725)</w:t>
            </w:r>
          </w:p>
        </w:tc>
      </w:tr>
    </w:tbl>
    <w:p w14:paraId="050E812C" w14:textId="49E0B503" w:rsidR="009F32E6" w:rsidRPr="00CB3879" w:rsidRDefault="009F32E6" w:rsidP="00130C31">
      <w:pPr>
        <w:pStyle w:val="Figurecaption"/>
        <w:spacing w:before="120" w:after="0" w:line="240" w:lineRule="auto"/>
        <w:jc w:val="center"/>
        <w:rPr>
          <w:i/>
          <w:iCs/>
        </w:rPr>
      </w:pPr>
      <w:r w:rsidRPr="00CB3879">
        <w:rPr>
          <w:i/>
          <w:iCs/>
        </w:rPr>
        <w:t>Table 6: The impact of basic versus complex telecare on the daily usage of each care service (mean and 95% CI)</w:t>
      </w:r>
    </w:p>
    <w:p w14:paraId="692104A4" w14:textId="77777777" w:rsidR="00130C31" w:rsidRDefault="00130C31" w:rsidP="000A67E3">
      <w:pPr>
        <w:pStyle w:val="Newparagraph"/>
      </w:pPr>
    </w:p>
    <w:p w14:paraId="0A01F938" w14:textId="76850BC2" w:rsidR="008975A6" w:rsidRPr="00BC1A14" w:rsidRDefault="008975A6" w:rsidP="000A67E3">
      <w:pPr>
        <w:pStyle w:val="Newparagraph"/>
      </w:pPr>
      <w:r w:rsidRPr="00BC1A14">
        <w:t xml:space="preserve">Policy options that include basic telecare reduce the average daily utilisation of community care packages, compared </w:t>
      </w:r>
      <w:r w:rsidR="009F32E6">
        <w:t>with</w:t>
      </w:r>
      <w:r w:rsidRPr="00BC1A14">
        <w:t xml:space="preserve"> the baseline. This is because basic telecare offers a direct alternative to community care in the earlier stages of dementia.  In contrast, </w:t>
      </w:r>
      <w:r w:rsidRPr="00BC1A14">
        <w:lastRenderedPageBreak/>
        <w:t xml:space="preserve">complex telecare increases the uptake of community care, because (when combined with community care) it reduces the number of admissions to residential care.  </w:t>
      </w:r>
    </w:p>
    <w:p w14:paraId="08C29417" w14:textId="1E51CB01" w:rsidR="008975A6" w:rsidRPr="00BC1A14" w:rsidRDefault="008975A6" w:rsidP="000A67E3">
      <w:pPr>
        <w:pStyle w:val="Newparagraph"/>
      </w:pPr>
      <w:r w:rsidRPr="00BC1A14">
        <w:t xml:space="preserve">All telecare policy options reduce the average daily occupancy of residential care home places and nursing home beds. Unsurprisingly, the impact of telecare is greater under the optimistic scenario. </w:t>
      </w:r>
      <w:r w:rsidR="00130C31">
        <w:t xml:space="preserve"> P</w:t>
      </w:r>
      <w:r w:rsidRPr="00BC1A14">
        <w:t xml:space="preserve">olicy option </w:t>
      </w:r>
      <w:r w:rsidR="00130C31">
        <w:t>3</w:t>
      </w:r>
      <w:r w:rsidRPr="00BC1A14">
        <w:t xml:space="preserve"> has the greatest impact. However, </w:t>
      </w:r>
      <w:r w:rsidR="00130C31">
        <w:t>option 1</w:t>
      </w:r>
      <w:r w:rsidRPr="00BC1A14">
        <w:t xml:space="preserve"> has a greater impact on the average occupancy of residential care places than </w:t>
      </w:r>
      <w:r w:rsidR="00130C31">
        <w:t>option 2</w:t>
      </w:r>
      <w:r w:rsidRPr="00BC1A14">
        <w:t xml:space="preserve">. The converse is true for nursing home beds, with Complex </w:t>
      </w:r>
      <w:proofErr w:type="gramStart"/>
      <w:r w:rsidR="00130C31">
        <w:t>O</w:t>
      </w:r>
      <w:r w:rsidRPr="00BC1A14">
        <w:t>nly</w:t>
      </w:r>
      <w:proofErr w:type="gramEnd"/>
      <w:r w:rsidRPr="00BC1A14">
        <w:t xml:space="preserve"> having the greater impact.  Under the optimistic scenario, policy option </w:t>
      </w:r>
      <w:r w:rsidR="008F674F">
        <w:t>3</w:t>
      </w:r>
      <w:r w:rsidRPr="00BC1A14">
        <w:t xml:space="preserve"> has the greatest impact on demand for institutional care in general, with a reduction in the average daily occupancy of 10.16%.  Policy option </w:t>
      </w:r>
      <w:r w:rsidR="008F674F">
        <w:t>2</w:t>
      </w:r>
      <w:r w:rsidRPr="00BC1A14">
        <w:t xml:space="preserve"> had the second largest impact, with a reduction of 5.69% (see Figure </w:t>
      </w:r>
      <w:r w:rsidR="00203AF9">
        <w:t>4</w:t>
      </w:r>
      <w:r w:rsidRPr="00BC1A14">
        <w:t>).</w:t>
      </w:r>
    </w:p>
    <w:p w14:paraId="629FF4C4" w14:textId="26AB311C" w:rsidR="009F32E6" w:rsidRPr="00BC1A14" w:rsidRDefault="002463CC" w:rsidP="00130C31">
      <w:pPr>
        <w:pStyle w:val="Caption"/>
        <w:jc w:val="center"/>
        <w:rPr>
          <w:color w:val="auto"/>
        </w:rPr>
      </w:pPr>
      <w:r>
        <w:rPr>
          <w:noProof/>
          <w:lang w:eastAsia="en-GB"/>
        </w:rPr>
        <w:drawing>
          <wp:inline distT="0" distB="0" distL="0" distR="0" wp14:anchorId="1087B469" wp14:editId="00C252F9">
            <wp:extent cx="4133528" cy="1482247"/>
            <wp:effectExtent l="0" t="0" r="635" b="3810"/>
            <wp:docPr id="5" name="Chart 5">
              <a:extLst xmlns:a="http://schemas.openxmlformats.org/drawingml/2006/main">
                <a:ext uri="{FF2B5EF4-FFF2-40B4-BE49-F238E27FC236}">
                  <a16:creationId xmlns:a16="http://schemas.microsoft.com/office/drawing/2014/main" id="{9ADCE89C-31DA-4EAA-8BFA-A707106AF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25232E" w14:textId="386FFA70" w:rsidR="009F32E6" w:rsidRPr="00130C31" w:rsidRDefault="009F32E6" w:rsidP="008F674F">
      <w:pPr>
        <w:pStyle w:val="Figurecaption"/>
        <w:spacing w:line="240" w:lineRule="auto"/>
        <w:jc w:val="center"/>
        <w:rPr>
          <w:i/>
          <w:iCs/>
        </w:rPr>
      </w:pPr>
      <w:r w:rsidRPr="00130C31">
        <w:rPr>
          <w:i/>
          <w:iCs/>
        </w:rPr>
        <w:t xml:space="preserve">Figure </w:t>
      </w:r>
      <w:r w:rsidR="00203AF9">
        <w:rPr>
          <w:i/>
          <w:iCs/>
        </w:rPr>
        <w:t>4</w:t>
      </w:r>
      <w:r w:rsidRPr="00130C31">
        <w:rPr>
          <w:i/>
          <w:iCs/>
        </w:rPr>
        <w:t>: Percentage change from baseline in the average daily occupancy of institutional care beds (residential care and nursing home combined)</w:t>
      </w:r>
    </w:p>
    <w:p w14:paraId="28FE6F5F" w14:textId="77777777" w:rsidR="008975A6" w:rsidRPr="00BC1A14" w:rsidRDefault="008975A6" w:rsidP="000A67E3">
      <w:pPr>
        <w:pStyle w:val="Heading2"/>
      </w:pPr>
      <w:r w:rsidRPr="00BC1A14">
        <w:t>Cost implications</w:t>
      </w:r>
    </w:p>
    <w:p w14:paraId="04B0D963" w14:textId="4EB1902B" w:rsidR="005253C7" w:rsidRDefault="008975A6" w:rsidP="008F674F">
      <w:pPr>
        <w:pStyle w:val="Paragraph"/>
      </w:pPr>
      <w:r w:rsidRPr="00BC1A14">
        <w:t xml:space="preserve">In both the conservative and optimistic scenarios, telecare reduces the daily use of institutional care resources. Figure </w:t>
      </w:r>
      <w:r w:rsidR="00203AF9">
        <w:t>5</w:t>
      </w:r>
      <w:r w:rsidRPr="00BC1A14">
        <w:t xml:space="preserve"> presents the overall costs of delivering telecare, irrespective of whether the local authority pays for care, or the person covers the cost themselves.</w:t>
      </w:r>
    </w:p>
    <w:p w14:paraId="01840551" w14:textId="499F70A2" w:rsidR="005253C7" w:rsidRPr="00BC1A14" w:rsidRDefault="005253C7" w:rsidP="000A67E3">
      <w:r w:rsidRPr="00BC1A14">
        <w:rPr>
          <w:rFonts w:eastAsiaTheme="minorHAnsi"/>
          <w:noProof/>
        </w:rPr>
        <w:drawing>
          <wp:inline distT="0" distB="0" distL="0" distR="0" wp14:anchorId="05F33EDD" wp14:editId="0568066B">
            <wp:extent cx="4628498" cy="1536526"/>
            <wp:effectExtent l="0" t="0" r="1270" b="6985"/>
            <wp:docPr id="9483" name="Chart 9483">
              <a:extLst xmlns:a="http://schemas.openxmlformats.org/drawingml/2006/main">
                <a:ext uri="{FF2B5EF4-FFF2-40B4-BE49-F238E27FC236}">
                  <a16:creationId xmlns:a16="http://schemas.microsoft.com/office/drawing/2014/main" id="{8F317F76-9133-4BA2-AC68-3EFCE78BA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CCA56E" w14:textId="0E930DE8" w:rsidR="005253C7" w:rsidRPr="008F674F" w:rsidRDefault="005253C7" w:rsidP="008F674F">
      <w:pPr>
        <w:pStyle w:val="Figurecaption"/>
        <w:spacing w:line="240" w:lineRule="auto"/>
        <w:jc w:val="center"/>
        <w:rPr>
          <w:i/>
          <w:iCs/>
        </w:rPr>
      </w:pPr>
      <w:r w:rsidRPr="008F674F">
        <w:rPr>
          <w:i/>
          <w:iCs/>
        </w:rPr>
        <w:t xml:space="preserve">Figure </w:t>
      </w:r>
      <w:r w:rsidR="00203AF9">
        <w:rPr>
          <w:i/>
          <w:iCs/>
        </w:rPr>
        <w:t>5</w:t>
      </w:r>
      <w:r w:rsidRPr="008F674F">
        <w:rPr>
          <w:i/>
          <w:iCs/>
        </w:rPr>
        <w:t>: Percentage change from baseline in annual resourcing costs for providing dementia care services</w:t>
      </w:r>
    </w:p>
    <w:p w14:paraId="7B884154" w14:textId="216E09CC" w:rsidR="001F167D" w:rsidRPr="00BC1A14" w:rsidRDefault="001F167D" w:rsidP="008F6291">
      <w:pPr>
        <w:pStyle w:val="Newparagraph"/>
      </w:pPr>
      <w:r w:rsidRPr="00BC1A14">
        <w:lastRenderedPageBreak/>
        <w:t xml:space="preserve">The results show that policy option </w:t>
      </w:r>
      <w:r w:rsidR="008F674F">
        <w:t>3</w:t>
      </w:r>
      <w:r w:rsidRPr="00BC1A14">
        <w:t xml:space="preserve"> </w:t>
      </w:r>
      <w:r w:rsidR="008F674F">
        <w:t>leads to</w:t>
      </w:r>
      <w:r w:rsidRPr="00BC1A14">
        <w:t xml:space="preserve"> the greatest savings. However, the savings associated with </w:t>
      </w:r>
      <w:r w:rsidR="008F674F">
        <w:t xml:space="preserve">option 2 </w:t>
      </w:r>
      <w:r w:rsidRPr="00BC1A14">
        <w:t>are close behind.  Offering both complex and basic telecare together reduces annual expenditure on care provision for the dementia care pathway by 1.64% in the conservative scenario</w:t>
      </w:r>
      <w:r w:rsidR="008F674F">
        <w:t xml:space="preserve">, </w:t>
      </w:r>
      <w:r w:rsidR="008F674F" w:rsidRPr="00BC1A14">
        <w:t>compared to baseline</w:t>
      </w:r>
      <w:r w:rsidRPr="00BC1A14">
        <w:t xml:space="preserve">. This equates to an annual saving of nearly £2.5m for this population. The equivalent reduction of 12.21% </w:t>
      </w:r>
      <w:r w:rsidR="008F674F">
        <w:t>in</w:t>
      </w:r>
      <w:r w:rsidRPr="00BC1A14">
        <w:t xml:space="preserve"> the optimistic scenario represents an annual saving of around £18.5m.</w:t>
      </w:r>
      <w:r w:rsidR="008F6291">
        <w:t xml:space="preserve"> </w:t>
      </w:r>
      <w:r w:rsidRPr="00BC1A14">
        <w:t>The introduction of basic telecare results in annual savings just over £2m (1.38% reduction compared to baseline) under the conservative scenario and around £16.5m (10.93% reduction compared to baseline) under the optimistic scenario.  By comparison, complex telecare alone has the smallest impact on spending, with a reduction of 0.38% (roughly £2m) in the conservative scenario and 1.47% (£2.2m) under the optimistic scenario, when compared to baseline. The additional cost of supporting a larger proportion of the dementia population with complex telecare equipment combined with community care limits the impact of any savings resulting from lower occupancy of institutional care beds.</w:t>
      </w:r>
    </w:p>
    <w:p w14:paraId="5137B3A0" w14:textId="36B3B939" w:rsidR="001F167D" w:rsidRPr="00BC1A14" w:rsidRDefault="001F167D" w:rsidP="000A67E3">
      <w:pPr>
        <w:pStyle w:val="Heading1"/>
      </w:pPr>
      <w:r w:rsidRPr="00BC1A14">
        <w:t xml:space="preserve">Implications for </w:t>
      </w:r>
      <w:r w:rsidR="008F674F">
        <w:t>d</w:t>
      </w:r>
      <w:r w:rsidRPr="00BC1A14">
        <w:t>ementia care</w:t>
      </w:r>
    </w:p>
    <w:p w14:paraId="60F2EFDE" w14:textId="1568AFAF" w:rsidR="001F167D" w:rsidRPr="00BC1A14" w:rsidRDefault="00F61165" w:rsidP="000A67E3">
      <w:pPr>
        <w:pStyle w:val="Paragraph"/>
      </w:pPr>
      <w:r>
        <w:t>The scenarios tested in section 6 are of course illustrative, but t</w:t>
      </w:r>
      <w:r w:rsidR="001F167D" w:rsidRPr="00BC1A14">
        <w:t xml:space="preserve">he results </w:t>
      </w:r>
      <w:r>
        <w:t>show</w:t>
      </w:r>
      <w:r w:rsidR="001F167D" w:rsidRPr="00BC1A14">
        <w:t xml:space="preserve"> that telecare could provide significant cost savings even if uptake is relatively low</w:t>
      </w:r>
      <w:r w:rsidR="008F6291">
        <w:t xml:space="preserve">, and that </w:t>
      </w:r>
      <w:r w:rsidR="001F167D" w:rsidRPr="00BC1A14">
        <w:t xml:space="preserve">for local authorities to maximise the impact of telecare services, they need to invest in both basic and complex equipment. If, however, a decision maker </w:t>
      </w:r>
      <w:r w:rsidR="008F674F">
        <w:t>was only able</w:t>
      </w:r>
      <w:r w:rsidR="001F167D" w:rsidRPr="00BC1A14">
        <w:t xml:space="preserve"> to choose one of these, they should prioritise basic equipment offered in the earlier stages of dementia, therefore preventing unnecessary early admissions, as the cost savings </w:t>
      </w:r>
      <w:r w:rsidR="008F674F">
        <w:t>un</w:t>
      </w:r>
      <w:r w:rsidR="001F167D" w:rsidRPr="00BC1A14">
        <w:t xml:space="preserve">der policy option </w:t>
      </w:r>
      <w:r w:rsidR="008F674F">
        <w:t>1</w:t>
      </w:r>
      <w:r w:rsidR="001F167D" w:rsidRPr="00BC1A14">
        <w:t xml:space="preserve"> are greater </w:t>
      </w:r>
      <w:proofErr w:type="gramStart"/>
      <w:r w:rsidR="001F167D" w:rsidRPr="00BC1A14">
        <w:t xml:space="preserve">than those under </w:t>
      </w:r>
      <w:r w:rsidR="008F674F">
        <w:t>option 2</w:t>
      </w:r>
      <w:proofErr w:type="gramEnd"/>
      <w:r w:rsidR="001F167D" w:rsidRPr="00BC1A14">
        <w:t>.</w:t>
      </w:r>
    </w:p>
    <w:p w14:paraId="62E90352" w14:textId="77777777" w:rsidR="001F167D" w:rsidRPr="00BC1A14" w:rsidRDefault="001F167D" w:rsidP="000A67E3">
      <w:pPr>
        <w:pStyle w:val="Newparagraph"/>
      </w:pPr>
      <w:r w:rsidRPr="00BC1A14">
        <w:t xml:space="preserve">The </w:t>
      </w:r>
      <w:proofErr w:type="spellStart"/>
      <w:r w:rsidRPr="00BC1A14">
        <w:t>TeleDem</w:t>
      </w:r>
      <w:proofErr w:type="spellEnd"/>
      <w:r w:rsidRPr="00BC1A14">
        <w:t xml:space="preserve"> simulation provides a platform to test different scenarios and policy options, which would enable decision makers to understand the impact of changes on the wider system and the cost implications. It allows the exploration of policy options over extended </w:t>
      </w:r>
      <w:proofErr w:type="gramStart"/>
      <w:r w:rsidRPr="00BC1A14">
        <w:t>time frames</w:t>
      </w:r>
      <w:proofErr w:type="gramEnd"/>
      <w:r w:rsidRPr="00BC1A14">
        <w:t>, which provides the opportunity to investigate the longer-term implications of the interventions, which can be missed during short term pilot studies.</w:t>
      </w:r>
    </w:p>
    <w:p w14:paraId="20313B4E" w14:textId="20DC66EF" w:rsidR="001F167D" w:rsidRPr="00BC1A14" w:rsidRDefault="001F167D" w:rsidP="000A67E3">
      <w:pPr>
        <w:pStyle w:val="Heading1"/>
      </w:pPr>
      <w:r w:rsidRPr="00BC1A14">
        <w:t xml:space="preserve">Implications for modelling: combining DES and </w:t>
      </w:r>
      <w:proofErr w:type="spellStart"/>
      <w:r w:rsidRPr="00BC1A14">
        <w:t>statecharts</w:t>
      </w:r>
      <w:proofErr w:type="spellEnd"/>
    </w:p>
    <w:p w14:paraId="357AA373" w14:textId="78EEA549" w:rsidR="00475F8D" w:rsidRDefault="001F167D" w:rsidP="00D21B96">
      <w:pPr>
        <w:pStyle w:val="Newparagraph"/>
      </w:pPr>
      <w:bookmarkStart w:id="11" w:name="_Hlk71217581"/>
      <w:r w:rsidRPr="00BC1A14">
        <w:t xml:space="preserve">The </w:t>
      </w:r>
      <w:proofErr w:type="spellStart"/>
      <w:r w:rsidRPr="00BC1A14">
        <w:t>TeleDem</w:t>
      </w:r>
      <w:proofErr w:type="spellEnd"/>
      <w:r w:rsidRPr="00BC1A14">
        <w:t xml:space="preserve"> </w:t>
      </w:r>
      <w:r w:rsidR="005253C7">
        <w:t>model</w:t>
      </w:r>
      <w:r w:rsidRPr="00BC1A14">
        <w:t xml:space="preserve"> </w:t>
      </w:r>
      <w:r w:rsidR="005253C7">
        <w:t xml:space="preserve">demonstrates how simulation </w:t>
      </w:r>
      <w:r w:rsidR="005C5E0F" w:rsidRPr="00BC1A14">
        <w:t xml:space="preserve">can </w:t>
      </w:r>
      <w:r w:rsidRPr="00BC1A14">
        <w:t>tak</w:t>
      </w:r>
      <w:r w:rsidR="005253C7">
        <w:t>e</w:t>
      </w:r>
      <w:r w:rsidRPr="00BC1A14">
        <w:t xml:space="preserve"> into account both individual level variability in terms of disease progression </w:t>
      </w:r>
      <w:r w:rsidR="005253C7">
        <w:t>(</w:t>
      </w:r>
      <w:r w:rsidRPr="00BC1A14">
        <w:t>and</w:t>
      </w:r>
      <w:r w:rsidR="005253C7">
        <w:t>, in th</w:t>
      </w:r>
      <w:r w:rsidR="00D21B96">
        <w:t>e</w:t>
      </w:r>
      <w:r w:rsidR="005253C7">
        <w:t xml:space="preserve"> case</w:t>
      </w:r>
      <w:r w:rsidR="00D21B96">
        <w:t xml:space="preserve"> of dementia</w:t>
      </w:r>
      <w:r w:rsidR="005253C7">
        <w:t xml:space="preserve">, </w:t>
      </w:r>
      <w:r w:rsidRPr="00BC1A14">
        <w:t xml:space="preserve">carer </w:t>
      </w:r>
      <w:r w:rsidRPr="00BC1A14">
        <w:lastRenderedPageBreak/>
        <w:t>burden</w:t>
      </w:r>
      <w:r w:rsidR="005253C7">
        <w:t>)</w:t>
      </w:r>
      <w:r w:rsidRPr="00BC1A14">
        <w:t xml:space="preserve"> as well as process variability along the care pathway</w:t>
      </w:r>
      <w:r w:rsidR="005253C7">
        <w:t xml:space="preserve">, while retaining a considerable degree of transparency for non-technical stakeholders.  </w:t>
      </w:r>
      <w:r w:rsidRPr="00BC1A14">
        <w:t xml:space="preserve">The progression of </w:t>
      </w:r>
      <w:r w:rsidR="005253C7">
        <w:t>disease</w:t>
      </w:r>
      <w:r w:rsidRPr="00BC1A14">
        <w:t xml:space="preserve"> in an individual </w:t>
      </w:r>
      <w:r w:rsidR="00A569D7">
        <w:t>determines</w:t>
      </w:r>
      <w:r w:rsidRPr="00BC1A14">
        <w:t xml:space="preserve"> </w:t>
      </w:r>
      <w:r w:rsidR="00A569D7">
        <w:t>what</w:t>
      </w:r>
      <w:r w:rsidRPr="00BC1A14">
        <w:t xml:space="preserve"> care they re</w:t>
      </w:r>
      <w:r w:rsidR="008F6291">
        <w:t>quir</w:t>
      </w:r>
      <w:r w:rsidRPr="00BC1A14">
        <w:t xml:space="preserve">e, but the rate at which </w:t>
      </w:r>
      <w:r w:rsidR="005253C7">
        <w:t>diseases</w:t>
      </w:r>
      <w:r w:rsidRPr="00BC1A14">
        <w:t xml:space="preserve"> progress can vary greatly between individuals. Building disease progression into a </w:t>
      </w:r>
      <w:r w:rsidR="008F6291">
        <w:t>standard</w:t>
      </w:r>
      <w:r w:rsidRPr="00BC1A14">
        <w:t xml:space="preserve"> DES </w:t>
      </w:r>
      <w:r w:rsidR="00E973D5">
        <w:t xml:space="preserve">model </w:t>
      </w:r>
      <w:r w:rsidRPr="00BC1A14">
        <w:t>requires complex logic</w:t>
      </w:r>
      <w:r w:rsidR="008F6291">
        <w:t>, particularly when treatment process activities have to be interrupted if a patient’s health status changes</w:t>
      </w:r>
      <w:r w:rsidRPr="00BC1A14">
        <w:t xml:space="preserve">.  </w:t>
      </w:r>
      <w:proofErr w:type="gramStart"/>
      <w:r w:rsidR="008F6291">
        <w:t xml:space="preserve">This is less of an issue if the process activities are all </w:t>
      </w:r>
      <w:r w:rsidR="00E973D5">
        <w:t xml:space="preserve">relatively </w:t>
      </w:r>
      <w:r w:rsidR="008F6291">
        <w:t>short in duration, as for example in a model of an Emergency Department</w:t>
      </w:r>
      <w:r w:rsidR="00475F8D">
        <w:t>:</w:t>
      </w:r>
      <w:r w:rsidR="008F6291">
        <w:t xml:space="preserve"> </w:t>
      </w:r>
      <w:r w:rsidR="00475F8D">
        <w:t>in such cases</w:t>
      </w:r>
      <w:r w:rsidR="008F6291">
        <w:t xml:space="preserve"> </w:t>
      </w:r>
      <w:r w:rsidR="00E973D5">
        <w:t xml:space="preserve">it is </w:t>
      </w:r>
      <w:r w:rsidR="00475F8D">
        <w:t xml:space="preserve">a </w:t>
      </w:r>
      <w:r w:rsidR="00E973D5">
        <w:t xml:space="preserve">reasonable </w:t>
      </w:r>
      <w:r w:rsidR="00475F8D">
        <w:t xml:space="preserve">approximation to reality </w:t>
      </w:r>
      <w:r w:rsidR="00E973D5">
        <w:t xml:space="preserve">to </w:t>
      </w:r>
      <w:r w:rsidR="008F6291">
        <w:t>wait until the end of an activity to check the patient’s health status</w:t>
      </w:r>
      <w:r w:rsidR="00475F8D">
        <w:t>,</w:t>
      </w:r>
      <w:r w:rsidR="008F6291">
        <w:t xml:space="preserve"> and then route them to the appropriate place in the care pathway.</w:t>
      </w:r>
      <w:proofErr w:type="gramEnd"/>
      <w:r w:rsidR="008F6291">
        <w:t xml:space="preserve"> </w:t>
      </w:r>
      <w:r w:rsidR="00E973D5">
        <w:t xml:space="preserve"> However, </w:t>
      </w:r>
      <w:r w:rsidR="008F6291">
        <w:t xml:space="preserve">if process activities </w:t>
      </w:r>
      <w:proofErr w:type="gramStart"/>
      <w:r w:rsidR="00E973D5">
        <w:t>are measured</w:t>
      </w:r>
      <w:proofErr w:type="gramEnd"/>
      <w:r w:rsidR="00E973D5">
        <w:t xml:space="preserve"> in months or years rather than minutes, waiting until </w:t>
      </w:r>
      <w:r w:rsidR="00475F8D">
        <w:t>such activities</w:t>
      </w:r>
      <w:r w:rsidR="00E973D5">
        <w:t xml:space="preserve"> </w:t>
      </w:r>
      <w:r w:rsidR="00D21B96">
        <w:t xml:space="preserve">end before reassessing the patient’s care needs </w:t>
      </w:r>
      <w:r w:rsidR="00E973D5">
        <w:t xml:space="preserve">is not a realistic way to represent what actually happens in practice. </w:t>
      </w:r>
      <w:r w:rsidR="00D21B96">
        <w:t xml:space="preserve"> Hence </w:t>
      </w:r>
      <w:proofErr w:type="spellStart"/>
      <w:r w:rsidR="00D21B96">
        <w:t>s</w:t>
      </w:r>
      <w:r w:rsidRPr="00BC1A14">
        <w:t>tatecharts</w:t>
      </w:r>
      <w:proofErr w:type="spellEnd"/>
      <w:r w:rsidRPr="00BC1A14">
        <w:t xml:space="preserve"> lend themselves </w:t>
      </w:r>
      <w:r w:rsidR="00D21B96">
        <w:t xml:space="preserve">particularly well </w:t>
      </w:r>
      <w:r w:rsidRPr="00BC1A14">
        <w:t xml:space="preserve">to </w:t>
      </w:r>
      <w:r w:rsidR="00D21B96">
        <w:t>long-term condi</w:t>
      </w:r>
      <w:r w:rsidRPr="00BC1A14">
        <w:t xml:space="preserve">tions </w:t>
      </w:r>
      <w:r w:rsidR="00D21B96">
        <w:t xml:space="preserve">like dementia, </w:t>
      </w:r>
      <w:r w:rsidRPr="00BC1A14">
        <w:t xml:space="preserve">where patients </w:t>
      </w:r>
      <w:r w:rsidR="005253C7">
        <w:t>(</w:t>
      </w:r>
      <w:r w:rsidRPr="00BC1A14">
        <w:t>or</w:t>
      </w:r>
      <w:r w:rsidR="005253C7">
        <w:t>, in the</w:t>
      </w:r>
      <w:r w:rsidRPr="00BC1A14">
        <w:t xml:space="preserve"> </w:t>
      </w:r>
      <w:r w:rsidR="005253C7">
        <w:t xml:space="preserve">case of </w:t>
      </w:r>
      <w:r w:rsidRPr="00BC1A14">
        <w:t>social care</w:t>
      </w:r>
      <w:r w:rsidR="005253C7">
        <w:t>,</w:t>
      </w:r>
      <w:r w:rsidRPr="00BC1A14">
        <w:t xml:space="preserve"> service users</w:t>
      </w:r>
      <w:r w:rsidR="005253C7">
        <w:t>)</w:t>
      </w:r>
      <w:r w:rsidRPr="00BC1A14">
        <w:t xml:space="preserve"> </w:t>
      </w:r>
      <w:r w:rsidR="00475F8D">
        <w:t xml:space="preserve">follow a care pathway </w:t>
      </w:r>
      <w:r w:rsidR="00D21B96">
        <w:t>for a number</w:t>
      </w:r>
      <w:r w:rsidR="00475F8D">
        <w:t xml:space="preserve"> of years and receive the same service for </w:t>
      </w:r>
      <w:r w:rsidR="00D21B96">
        <w:t>an extended period</w:t>
      </w:r>
      <w:r w:rsidR="00C24F6C">
        <w:t xml:space="preserve"> if their health remains the same</w:t>
      </w:r>
      <w:r w:rsidR="00D21B96">
        <w:t xml:space="preserve">. </w:t>
      </w:r>
    </w:p>
    <w:p w14:paraId="385D2B4D" w14:textId="48508EA3" w:rsidR="001F167D" w:rsidRPr="00BC1A14" w:rsidRDefault="00D21B96" w:rsidP="00A569D7">
      <w:pPr>
        <w:pStyle w:val="Paragraph"/>
      </w:pPr>
      <w:r>
        <w:t xml:space="preserve">While healthcare is </w:t>
      </w:r>
      <w:r w:rsidR="00735CF5">
        <w:t xml:space="preserve">perhaps the most </w:t>
      </w:r>
      <w:r>
        <w:t xml:space="preserve">obvious application area where the route that </w:t>
      </w:r>
      <w:r w:rsidR="00B5689C">
        <w:t xml:space="preserve">an </w:t>
      </w:r>
      <w:r>
        <w:t>entit</w:t>
      </w:r>
      <w:r w:rsidR="00B5689C">
        <w:t>y</w:t>
      </w:r>
      <w:r>
        <w:t xml:space="preserve"> follow</w:t>
      </w:r>
      <w:r w:rsidR="00B5689C">
        <w:t>s</w:t>
      </w:r>
      <w:r>
        <w:t xml:space="preserve"> through some queueing network depends on </w:t>
      </w:r>
      <w:r w:rsidR="00B5689C">
        <w:t>its</w:t>
      </w:r>
      <w:r>
        <w:t xml:space="preserve"> </w:t>
      </w:r>
      <w:r w:rsidR="001F167D" w:rsidRPr="00BC1A14">
        <w:t>stat</w:t>
      </w:r>
      <w:r w:rsidR="00C24F6C">
        <w:t>us</w:t>
      </w:r>
      <w:r w:rsidR="00663221">
        <w:t>,</w:t>
      </w:r>
      <w:r>
        <w:t xml:space="preserve"> </w:t>
      </w:r>
      <w:r w:rsidR="00B5689C">
        <w:t>and stat</w:t>
      </w:r>
      <w:r w:rsidR="00C24F6C">
        <w:t>us</w:t>
      </w:r>
      <w:r w:rsidR="00B5689C">
        <w:t xml:space="preserve"> can change </w:t>
      </w:r>
      <w:r w:rsidR="00C24F6C">
        <w:t xml:space="preserve">at any time </w:t>
      </w:r>
      <w:r w:rsidR="00B5689C">
        <w:t xml:space="preserve">independently of </w:t>
      </w:r>
      <w:r w:rsidR="00C24F6C">
        <w:t xml:space="preserve">the entity’s location within the queueing network, </w:t>
      </w:r>
      <w:r w:rsidR="00B5689C">
        <w:t xml:space="preserve">the same is true in other application domains.  </w:t>
      </w:r>
      <w:r w:rsidR="00C24F6C">
        <w:t xml:space="preserve">A vehicle </w:t>
      </w:r>
      <w:r w:rsidR="00663221">
        <w:t>transporting perishable goods</w:t>
      </w:r>
      <w:r w:rsidR="00C24F6C">
        <w:t xml:space="preserve"> in a distribution network may break down </w:t>
      </w:r>
      <w:proofErr w:type="spellStart"/>
      <w:r w:rsidR="00735CF5">
        <w:t>en</w:t>
      </w:r>
      <w:proofErr w:type="spellEnd"/>
      <w:r w:rsidR="00735CF5">
        <w:t xml:space="preserve"> route </w:t>
      </w:r>
      <w:r w:rsidR="00C24F6C">
        <w:t>if it has not been properly maintained</w:t>
      </w:r>
      <w:r w:rsidR="00663221">
        <w:t>,</w:t>
      </w:r>
      <w:r w:rsidR="00C24F6C">
        <w:t xml:space="preserve"> or it may be involved in a road traffic accident</w:t>
      </w:r>
      <w:r w:rsidR="00663221">
        <w:t>:</w:t>
      </w:r>
      <w:r w:rsidR="00C24F6C">
        <w:t xml:space="preserve"> </w:t>
      </w:r>
      <w:r w:rsidR="00663221">
        <w:t xml:space="preserve">in either case the goods may degrade and lose value (partially or completely) due to the delay.  </w:t>
      </w:r>
      <w:r w:rsidR="0099332A">
        <w:t>I</w:t>
      </w:r>
      <w:r w:rsidR="00D20EBF">
        <w:t>tems in a</w:t>
      </w:r>
      <w:r w:rsidR="00663221">
        <w:t xml:space="preserve"> </w:t>
      </w:r>
      <w:r w:rsidR="00A569D7">
        <w:t>manufacturing</w:t>
      </w:r>
      <w:r w:rsidR="00663221">
        <w:t xml:space="preserve"> process</w:t>
      </w:r>
      <w:r w:rsidR="00D20EBF">
        <w:t xml:space="preserve"> may </w:t>
      </w:r>
      <w:r w:rsidR="0099332A">
        <w:t>change</w:t>
      </w:r>
      <w:r w:rsidR="00D20EBF">
        <w:t xml:space="preserve"> priority</w:t>
      </w:r>
      <w:r w:rsidR="0099332A">
        <w:t xml:space="preserve"> if an order is received:</w:t>
      </w:r>
      <w:r w:rsidR="00D20EBF">
        <w:t xml:space="preserve"> activities </w:t>
      </w:r>
      <w:r w:rsidR="0099332A">
        <w:t>already</w:t>
      </w:r>
      <w:r w:rsidR="00D20EBF">
        <w:t xml:space="preserve"> under way on low-priority items may need to be interrupted in order to process high-priority item</w:t>
      </w:r>
      <w:r w:rsidR="00A569D7">
        <w:t>s</w:t>
      </w:r>
      <w:r w:rsidR="0099332A">
        <w:t>, or different machine</w:t>
      </w:r>
      <w:r w:rsidR="00A569D7">
        <w:t>s</w:t>
      </w:r>
      <w:r w:rsidR="0099332A">
        <w:t xml:space="preserve"> used for certain activities to expedite production. </w:t>
      </w:r>
      <w:r w:rsidR="00D20EBF">
        <w:t xml:space="preserve"> </w:t>
      </w:r>
      <w:proofErr w:type="spellStart"/>
      <w:r w:rsidR="00A569D7">
        <w:t>S</w:t>
      </w:r>
      <w:r w:rsidR="00D20EBF">
        <w:t>tatechart</w:t>
      </w:r>
      <w:r w:rsidR="0099332A">
        <w:t>s</w:t>
      </w:r>
      <w:proofErr w:type="spellEnd"/>
      <w:r w:rsidR="00D20EBF">
        <w:t xml:space="preserve"> </w:t>
      </w:r>
      <w:r w:rsidR="00A569D7">
        <w:t>that</w:t>
      </w:r>
      <w:r w:rsidR="00D20EBF">
        <w:t xml:space="preserve"> represent the </w:t>
      </w:r>
      <w:r w:rsidR="00A569D7">
        <w:t xml:space="preserve">current </w:t>
      </w:r>
      <w:r w:rsidR="0099332A">
        <w:t xml:space="preserve">shelf life of perishable goods, or the </w:t>
      </w:r>
      <w:r w:rsidR="00EE4554">
        <w:t xml:space="preserve">current </w:t>
      </w:r>
      <w:r w:rsidR="00D20EBF">
        <w:t xml:space="preserve">priority </w:t>
      </w:r>
      <w:r w:rsidR="0099332A">
        <w:t xml:space="preserve">status of </w:t>
      </w:r>
      <w:r w:rsidR="00D20EBF">
        <w:t>items</w:t>
      </w:r>
      <w:r w:rsidR="0099332A">
        <w:t>,</w:t>
      </w:r>
      <w:r w:rsidR="00D20EBF">
        <w:t xml:space="preserve"> provide a realistic way to </w:t>
      </w:r>
      <w:r w:rsidR="0099332A">
        <w:t xml:space="preserve">model </w:t>
      </w:r>
      <w:r w:rsidR="00A569D7">
        <w:t>such</w:t>
      </w:r>
      <w:r w:rsidR="0099332A">
        <w:t xml:space="preserve"> systems.</w:t>
      </w:r>
      <w:r w:rsidR="00A569D7">
        <w:t xml:space="preserve">  </w:t>
      </w:r>
      <w:r w:rsidR="001F167D" w:rsidRPr="00BC1A14">
        <w:t xml:space="preserve">Combining </w:t>
      </w:r>
      <w:proofErr w:type="spellStart"/>
      <w:r w:rsidR="001F167D" w:rsidRPr="00BC1A14">
        <w:t>statecharts</w:t>
      </w:r>
      <w:proofErr w:type="spellEnd"/>
      <w:r w:rsidR="001F167D" w:rsidRPr="00BC1A14">
        <w:t xml:space="preserve"> with DES allows individual level realism to be combined with the structural robustness of traditional DES, but, crucially, in a format that is transparent and easy to communicate to stakeholders.</w:t>
      </w:r>
    </w:p>
    <w:bookmarkEnd w:id="11"/>
    <w:p w14:paraId="6C1EBFEB" w14:textId="77777777" w:rsidR="00830A23" w:rsidRPr="00BC1A14" w:rsidRDefault="00113B42" w:rsidP="000A67E3">
      <w:pPr>
        <w:pStyle w:val="Heading1"/>
      </w:pPr>
      <w:r w:rsidRPr="00BC1A14">
        <w:lastRenderedPageBreak/>
        <w:t>Acknowledgments</w:t>
      </w:r>
    </w:p>
    <w:p w14:paraId="72B58FDB" w14:textId="77777777" w:rsidR="001D0751" w:rsidRPr="00BC1A14" w:rsidRDefault="00113B42" w:rsidP="000A67E3">
      <w:pPr>
        <w:pStyle w:val="Paragraph"/>
      </w:pPr>
      <w:r w:rsidRPr="00BC1A14">
        <w:t xml:space="preserve"> </w:t>
      </w:r>
      <w:r w:rsidR="00830A23" w:rsidRPr="00BC1A14">
        <w:t xml:space="preserve">This work originally formed part of the Care Life Cycle (CLC) Project; a five-year multidisciplinary research programme funded by the Engineering and Physical Sciences Research Council (EPSRC) (2010-15, grant number EP/H021698/1). We would like to thank </w:t>
      </w:r>
      <w:proofErr w:type="spellStart"/>
      <w:r w:rsidR="00830A23" w:rsidRPr="00BC1A14">
        <w:t>Dr.</w:t>
      </w:r>
      <w:proofErr w:type="spellEnd"/>
      <w:r w:rsidR="00830A23" w:rsidRPr="00BC1A14">
        <w:t xml:space="preserve"> Eldon Spackman</w:t>
      </w:r>
      <w:r w:rsidR="001D0751" w:rsidRPr="00BC1A14">
        <w:t>, who</w:t>
      </w:r>
      <w:r w:rsidR="00830A23" w:rsidRPr="00BC1A14">
        <w:t xml:space="preserve"> kindly provided an Excel spreadsheet version of the model used in Spackman et al., (2012), which allowed </w:t>
      </w:r>
      <w:r w:rsidR="001D0751" w:rsidRPr="00BC1A14">
        <w:t xml:space="preserve">us to apply the transition rates within our dementia </w:t>
      </w:r>
      <w:proofErr w:type="spellStart"/>
      <w:r w:rsidR="001D0751" w:rsidRPr="00BC1A14">
        <w:t>statechart</w:t>
      </w:r>
      <w:proofErr w:type="spellEnd"/>
      <w:r w:rsidR="00830A23" w:rsidRPr="00BC1A14">
        <w:t>.</w:t>
      </w:r>
      <w:r w:rsidR="001D0751" w:rsidRPr="00BC1A14">
        <w:t xml:space="preserve"> </w:t>
      </w:r>
      <w:r w:rsidR="00830A23" w:rsidRPr="00BC1A14">
        <w:t xml:space="preserve">We </w:t>
      </w:r>
      <w:r w:rsidR="001D0751" w:rsidRPr="00BC1A14">
        <w:t xml:space="preserve">would </w:t>
      </w:r>
      <w:r w:rsidR="00830A23" w:rsidRPr="00BC1A14">
        <w:t>also</w:t>
      </w:r>
      <w:r w:rsidR="001D0751" w:rsidRPr="00BC1A14">
        <w:t xml:space="preserve"> like to</w:t>
      </w:r>
      <w:r w:rsidR="00830A23" w:rsidRPr="00BC1A14">
        <w:t xml:space="preserve"> thank the system experts who participated in </w:t>
      </w:r>
      <w:proofErr w:type="gramStart"/>
      <w:r w:rsidR="00830A23" w:rsidRPr="00BC1A14">
        <w:t xml:space="preserve">interviews </w:t>
      </w:r>
      <w:r w:rsidR="00D85C45" w:rsidRPr="00BC1A14">
        <w:t>which</w:t>
      </w:r>
      <w:proofErr w:type="gramEnd"/>
      <w:r w:rsidR="00D85C45" w:rsidRPr="00BC1A14">
        <w:t xml:space="preserve"> informed the model design and inputs</w:t>
      </w:r>
      <w:r w:rsidR="00830A23" w:rsidRPr="00BC1A14">
        <w:t xml:space="preserve">. </w:t>
      </w:r>
      <w:r w:rsidR="001D0751" w:rsidRPr="00BC1A14">
        <w:t xml:space="preserve">Finally, we thank </w:t>
      </w:r>
      <w:proofErr w:type="spellStart"/>
      <w:r w:rsidR="001D0751" w:rsidRPr="00BC1A14">
        <w:t>Dr.</w:t>
      </w:r>
      <w:proofErr w:type="spellEnd"/>
      <w:r w:rsidR="001D0751" w:rsidRPr="00BC1A14">
        <w:t xml:space="preserve"> Martin Kunc for his insightful comments on an earlier version of this paper.</w:t>
      </w:r>
    </w:p>
    <w:bookmarkEnd w:id="1"/>
    <w:p w14:paraId="3A5CBD92" w14:textId="77777777" w:rsidR="001D0751" w:rsidRPr="00BC1A14" w:rsidRDefault="001D0751" w:rsidP="000A67E3">
      <w:pPr>
        <w:pStyle w:val="Newparagraph"/>
      </w:pPr>
    </w:p>
    <w:p w14:paraId="12E14B01" w14:textId="6B306281" w:rsidR="009317D9" w:rsidRDefault="009317D9" w:rsidP="00EE4554">
      <w:pPr>
        <w:pStyle w:val="Heading1"/>
        <w:rPr>
          <w:rFonts w:eastAsia="DengXian Light"/>
          <w:lang w:eastAsia="en-US"/>
        </w:rPr>
      </w:pPr>
      <w:r w:rsidRPr="00BC1A14">
        <w:rPr>
          <w:rFonts w:eastAsia="DengXian Light"/>
          <w:lang w:eastAsia="en-US"/>
        </w:rPr>
        <w:t>References</w:t>
      </w:r>
    </w:p>
    <w:p w14:paraId="720D6201" w14:textId="73C8C117" w:rsidR="00EE4554" w:rsidRPr="00EE4554" w:rsidRDefault="00EE4554" w:rsidP="00EE4554">
      <w:pPr>
        <w:spacing w:line="240" w:lineRule="auto"/>
        <w:jc w:val="left"/>
        <w:rPr>
          <w:rFonts w:eastAsia="DengXian Light"/>
          <w:lang w:eastAsia="en-US"/>
        </w:rPr>
      </w:pPr>
      <w:proofErr w:type="spellStart"/>
      <w:r w:rsidRPr="00EE4554">
        <w:rPr>
          <w:rFonts w:eastAsia="DengXian Light"/>
          <w:lang w:eastAsia="en-US"/>
        </w:rPr>
        <w:t>Alaszewski</w:t>
      </w:r>
      <w:proofErr w:type="spellEnd"/>
      <w:r w:rsidRPr="00EE4554">
        <w:rPr>
          <w:rFonts w:eastAsia="DengXian Light"/>
          <w:lang w:eastAsia="en-US"/>
        </w:rPr>
        <w:t xml:space="preserve">, A. and </w:t>
      </w:r>
      <w:proofErr w:type="spellStart"/>
      <w:r w:rsidRPr="00EE4554">
        <w:rPr>
          <w:rFonts w:eastAsia="DengXian Light"/>
          <w:lang w:eastAsia="en-US"/>
        </w:rPr>
        <w:t>Cappello</w:t>
      </w:r>
      <w:proofErr w:type="spellEnd"/>
      <w:r w:rsidRPr="00EE4554">
        <w:rPr>
          <w:rFonts w:eastAsia="DengXian Light"/>
          <w:lang w:eastAsia="en-US"/>
        </w:rPr>
        <w:t>, R. (2006)</w:t>
      </w:r>
      <w:r w:rsidR="00F61165">
        <w:rPr>
          <w:rFonts w:eastAsia="DengXian Light"/>
          <w:lang w:eastAsia="en-US"/>
        </w:rPr>
        <w:t>.</w:t>
      </w:r>
      <w:r w:rsidRPr="00EE4554">
        <w:rPr>
          <w:rFonts w:eastAsia="DengXian Light"/>
          <w:lang w:eastAsia="en-US"/>
        </w:rPr>
        <w:t xml:space="preserve"> Piloting telecare in Kent County council: The key lessons’</w:t>
      </w:r>
      <w:r w:rsidR="00F61165">
        <w:rPr>
          <w:rFonts w:eastAsia="DengXian Light"/>
          <w:lang w:eastAsia="en-US"/>
        </w:rPr>
        <w:t xml:space="preserve">. </w:t>
      </w:r>
      <w:r w:rsidRPr="00EE4554">
        <w:rPr>
          <w:rFonts w:eastAsia="DengXian Light"/>
          <w:lang w:eastAsia="en-US"/>
        </w:rPr>
        <w:t xml:space="preserve">Centre for Health Services Studies, University of Kent [Online]. Available at https://www.kent.ac.uk/chss/docs/Alaszewski_PilotingTelecare_Dec_2006.pdf (Accessed </w:t>
      </w:r>
      <w:r w:rsidR="00F61165">
        <w:rPr>
          <w:rFonts w:eastAsia="DengXian Light"/>
          <w:lang w:eastAsia="en-US"/>
        </w:rPr>
        <w:t>07.05.</w:t>
      </w:r>
      <w:r w:rsidRPr="00EE4554">
        <w:rPr>
          <w:rFonts w:eastAsia="DengXian Light"/>
          <w:lang w:eastAsia="en-US"/>
        </w:rPr>
        <w:t>20</w:t>
      </w:r>
      <w:r w:rsidR="00F61165">
        <w:rPr>
          <w:rFonts w:eastAsia="DengXian Light"/>
          <w:lang w:eastAsia="en-US"/>
        </w:rPr>
        <w:t>2</w:t>
      </w:r>
      <w:r w:rsidRPr="00EE4554">
        <w:rPr>
          <w:rFonts w:eastAsia="DengXian Light"/>
          <w:lang w:eastAsia="en-US"/>
        </w:rPr>
        <w:t>1).</w:t>
      </w:r>
    </w:p>
    <w:p w14:paraId="6E0A70C3" w14:textId="17F185D8" w:rsidR="00EE4554" w:rsidRPr="00EE4554" w:rsidRDefault="00EE4554" w:rsidP="00EE4554">
      <w:pPr>
        <w:spacing w:line="240" w:lineRule="auto"/>
        <w:jc w:val="left"/>
        <w:rPr>
          <w:rFonts w:eastAsia="DengXian Light"/>
          <w:lang w:eastAsia="en-US"/>
        </w:rPr>
      </w:pPr>
      <w:r w:rsidRPr="00EE4554">
        <w:rPr>
          <w:rFonts w:eastAsia="DengXian Light"/>
          <w:lang w:eastAsia="en-US"/>
        </w:rPr>
        <w:t xml:space="preserve">Ansah, J. P., Matchar, D. B., Love, S. R., Malhotra, R., Do, Y. K., Chan, A. and </w:t>
      </w:r>
      <w:proofErr w:type="spellStart"/>
      <w:r w:rsidRPr="00EE4554">
        <w:rPr>
          <w:rFonts w:eastAsia="DengXian Light"/>
          <w:lang w:eastAsia="en-US"/>
        </w:rPr>
        <w:t>Eberlein</w:t>
      </w:r>
      <w:proofErr w:type="spellEnd"/>
      <w:r w:rsidRPr="00EE4554">
        <w:rPr>
          <w:rFonts w:eastAsia="DengXian Light"/>
          <w:lang w:eastAsia="en-US"/>
        </w:rPr>
        <w:t>, R. (2013)</w:t>
      </w:r>
      <w:r w:rsidR="003554B8">
        <w:rPr>
          <w:rFonts w:eastAsia="DengXian Light"/>
          <w:lang w:eastAsia="en-US"/>
        </w:rPr>
        <w:t>.</w:t>
      </w:r>
      <w:r w:rsidRPr="00EE4554">
        <w:rPr>
          <w:rFonts w:eastAsia="DengXian Light"/>
          <w:lang w:eastAsia="en-US"/>
        </w:rPr>
        <w:t xml:space="preserve"> Simulating the Impact of Long-Term Care Policy on Family Eldercare Hours</w:t>
      </w:r>
      <w:r w:rsidR="0075664E">
        <w:rPr>
          <w:rFonts w:eastAsia="DengXian Light"/>
          <w:lang w:eastAsia="en-US"/>
        </w:rPr>
        <w:t>.</w:t>
      </w:r>
      <w:r w:rsidRPr="00EE4554">
        <w:rPr>
          <w:rFonts w:eastAsia="DengXian Light"/>
          <w:lang w:eastAsia="en-US"/>
        </w:rPr>
        <w:t xml:space="preserve"> Health Services Research, 48</w:t>
      </w:r>
      <w:r w:rsidR="0075664E">
        <w:rPr>
          <w:rFonts w:eastAsia="DengXian Light"/>
          <w:lang w:eastAsia="en-US"/>
        </w:rPr>
        <w:t xml:space="preserve">, </w:t>
      </w:r>
      <w:r w:rsidRPr="00EE4554">
        <w:rPr>
          <w:rFonts w:eastAsia="DengXian Light"/>
          <w:lang w:eastAsia="en-US"/>
        </w:rPr>
        <w:t>773–79</w:t>
      </w:r>
      <w:r w:rsidR="003554B8">
        <w:rPr>
          <w:rFonts w:eastAsia="DengXian Light"/>
          <w:lang w:eastAsia="en-US"/>
        </w:rPr>
        <w:t>1.</w:t>
      </w:r>
      <w:r w:rsidRPr="00EE4554">
        <w:rPr>
          <w:rFonts w:eastAsia="DengXian Light"/>
          <w:lang w:eastAsia="en-US"/>
        </w:rPr>
        <w:t xml:space="preserve"> DOI: 10.1111/1475-6773.12030.</w:t>
      </w:r>
    </w:p>
    <w:p w14:paraId="2194E513" w14:textId="50358C0C" w:rsidR="00EE4554" w:rsidRDefault="00EE4554" w:rsidP="00EE4554">
      <w:pPr>
        <w:spacing w:line="240" w:lineRule="auto"/>
        <w:jc w:val="left"/>
        <w:rPr>
          <w:rFonts w:eastAsia="DengXian Light"/>
          <w:lang w:eastAsia="en-US"/>
        </w:rPr>
      </w:pPr>
      <w:r w:rsidRPr="003554B8">
        <w:rPr>
          <w:rFonts w:eastAsia="DengXian Light"/>
          <w:lang w:val="it-IT" w:eastAsia="en-US"/>
        </w:rPr>
        <w:t>Barocco, F., Spallazzi, M., Concari, L., Gardini, S., Pelosi, A. and Caffarra, P. (2017)</w:t>
      </w:r>
      <w:r w:rsidR="003554B8" w:rsidRPr="003554B8">
        <w:rPr>
          <w:rFonts w:eastAsia="DengXian Light"/>
          <w:lang w:val="it-IT" w:eastAsia="en-US"/>
        </w:rPr>
        <w:t>.</w:t>
      </w:r>
      <w:r w:rsidRPr="003554B8">
        <w:rPr>
          <w:rFonts w:eastAsia="DengXian Light"/>
          <w:lang w:val="it-IT" w:eastAsia="en-US"/>
        </w:rPr>
        <w:t xml:space="preserve"> </w:t>
      </w:r>
      <w:r w:rsidRPr="00EE4554">
        <w:rPr>
          <w:rFonts w:eastAsia="DengXian Light"/>
          <w:lang w:eastAsia="en-US"/>
        </w:rPr>
        <w:t xml:space="preserve">The Progression of </w:t>
      </w:r>
      <w:proofErr w:type="gramStart"/>
      <w:r w:rsidRPr="00EE4554">
        <w:rPr>
          <w:rFonts w:eastAsia="DengXian Light"/>
          <w:lang w:eastAsia="en-US"/>
        </w:rPr>
        <w:t>Alzheimer’s Disease</w:t>
      </w:r>
      <w:proofErr w:type="gramEnd"/>
      <w:r w:rsidRPr="00EE4554">
        <w:rPr>
          <w:rFonts w:eastAsia="DengXian Light"/>
          <w:lang w:eastAsia="en-US"/>
        </w:rPr>
        <w:t>: Are Fast Decliners Really Fast? A Four-Year Follow-Up</w:t>
      </w:r>
      <w:r w:rsidR="003554B8">
        <w:rPr>
          <w:rFonts w:eastAsia="DengXian Light"/>
          <w:lang w:eastAsia="en-US"/>
        </w:rPr>
        <w:t xml:space="preserve">. </w:t>
      </w:r>
      <w:r w:rsidRPr="00EE4554">
        <w:rPr>
          <w:rFonts w:eastAsia="DengXian Light"/>
          <w:lang w:eastAsia="en-US"/>
        </w:rPr>
        <w:t xml:space="preserve"> Journal of </w:t>
      </w:r>
      <w:proofErr w:type="gramStart"/>
      <w:r w:rsidRPr="00EE4554">
        <w:rPr>
          <w:rFonts w:eastAsia="DengXian Light"/>
          <w:lang w:eastAsia="en-US"/>
        </w:rPr>
        <w:t xml:space="preserve">Alzheimer’s </w:t>
      </w:r>
      <w:r w:rsidR="003554B8">
        <w:rPr>
          <w:rFonts w:eastAsia="DengXian Light"/>
          <w:lang w:eastAsia="en-US"/>
        </w:rPr>
        <w:t>D</w:t>
      </w:r>
      <w:r w:rsidRPr="00EE4554">
        <w:rPr>
          <w:rFonts w:eastAsia="DengXian Light"/>
          <w:lang w:eastAsia="en-US"/>
        </w:rPr>
        <w:t>isease</w:t>
      </w:r>
      <w:proofErr w:type="gramEnd"/>
      <w:r w:rsidR="003554B8">
        <w:rPr>
          <w:rFonts w:eastAsia="DengXian Light"/>
          <w:lang w:eastAsia="en-US"/>
        </w:rPr>
        <w:t>,</w:t>
      </w:r>
      <w:r w:rsidRPr="00EE4554">
        <w:rPr>
          <w:rFonts w:eastAsia="DengXian Light"/>
          <w:lang w:eastAsia="en-US"/>
        </w:rPr>
        <w:t xml:space="preserve"> 57</w:t>
      </w:r>
      <w:r w:rsidR="003554B8">
        <w:rPr>
          <w:rFonts w:eastAsia="DengXian Light"/>
          <w:lang w:eastAsia="en-US"/>
        </w:rPr>
        <w:t>(</w:t>
      </w:r>
      <w:r w:rsidRPr="00EE4554">
        <w:rPr>
          <w:rFonts w:eastAsia="DengXian Light"/>
          <w:lang w:eastAsia="en-US"/>
        </w:rPr>
        <w:t>3</w:t>
      </w:r>
      <w:r w:rsidR="003554B8">
        <w:rPr>
          <w:rFonts w:eastAsia="DengXian Light"/>
          <w:lang w:eastAsia="en-US"/>
        </w:rPr>
        <w:t>)</w:t>
      </w:r>
      <w:r w:rsidR="0075664E">
        <w:rPr>
          <w:rFonts w:eastAsia="DengXian Light"/>
          <w:lang w:eastAsia="en-US"/>
        </w:rPr>
        <w:t xml:space="preserve">, </w:t>
      </w:r>
      <w:r w:rsidRPr="00EE4554">
        <w:rPr>
          <w:rFonts w:eastAsia="DengXian Light"/>
          <w:lang w:eastAsia="en-US"/>
        </w:rPr>
        <w:t>775–786</w:t>
      </w:r>
      <w:r w:rsidR="003554B8">
        <w:rPr>
          <w:rFonts w:eastAsia="DengXian Light"/>
          <w:lang w:eastAsia="en-US"/>
        </w:rPr>
        <w:t>.</w:t>
      </w:r>
      <w:r w:rsidRPr="00EE4554">
        <w:rPr>
          <w:rFonts w:eastAsia="DengXian Light"/>
          <w:lang w:eastAsia="en-US"/>
        </w:rPr>
        <w:t xml:space="preserve"> DOI: 10.3233/JAD-161264.</w:t>
      </w:r>
    </w:p>
    <w:p w14:paraId="6824C3AC" w14:textId="5E1B92FB" w:rsidR="00EE4554" w:rsidRPr="00EE4554" w:rsidRDefault="00EE4554" w:rsidP="00EE4554">
      <w:pPr>
        <w:spacing w:line="240" w:lineRule="auto"/>
        <w:jc w:val="left"/>
        <w:rPr>
          <w:rFonts w:eastAsia="DengXian Light"/>
          <w:lang w:eastAsia="en-US"/>
        </w:rPr>
      </w:pPr>
      <w:r w:rsidRPr="00EE4554">
        <w:rPr>
          <w:rFonts w:eastAsia="DengXian Light"/>
          <w:lang w:eastAsia="en-US"/>
        </w:rPr>
        <w:t>Bayer, S., Barlow, J. and Curry, R. (2007)</w:t>
      </w:r>
      <w:r w:rsidR="003554B8">
        <w:rPr>
          <w:rFonts w:eastAsia="DengXian Light"/>
          <w:lang w:eastAsia="en-US"/>
        </w:rPr>
        <w:t>.</w:t>
      </w:r>
      <w:r w:rsidRPr="00EE4554">
        <w:rPr>
          <w:rFonts w:eastAsia="DengXian Light"/>
          <w:lang w:eastAsia="en-US"/>
        </w:rPr>
        <w:t xml:space="preserve"> ‘Assessing the impact of a care innovation: telecare’, System Dynamics Review, 23</w:t>
      </w:r>
      <w:r w:rsidR="003554B8">
        <w:rPr>
          <w:rFonts w:eastAsia="DengXian Light"/>
          <w:lang w:eastAsia="en-US"/>
        </w:rPr>
        <w:t>(</w:t>
      </w:r>
      <w:r w:rsidRPr="00EE4554">
        <w:rPr>
          <w:rFonts w:eastAsia="DengXian Light"/>
          <w:lang w:eastAsia="en-US"/>
        </w:rPr>
        <w:t>1</w:t>
      </w:r>
      <w:r w:rsidR="003554B8">
        <w:rPr>
          <w:rFonts w:eastAsia="DengXian Light"/>
          <w:lang w:eastAsia="en-US"/>
        </w:rPr>
        <w:t>)</w:t>
      </w:r>
      <w:r w:rsidR="0075664E">
        <w:rPr>
          <w:rFonts w:eastAsia="DengXian Light"/>
          <w:lang w:eastAsia="en-US"/>
        </w:rPr>
        <w:t xml:space="preserve">, </w:t>
      </w:r>
      <w:r w:rsidRPr="00EE4554">
        <w:rPr>
          <w:rFonts w:eastAsia="DengXian Light"/>
          <w:lang w:eastAsia="en-US"/>
        </w:rPr>
        <w:t>61–80</w:t>
      </w:r>
      <w:r w:rsidR="003554B8">
        <w:rPr>
          <w:rFonts w:eastAsia="DengXian Light"/>
          <w:lang w:eastAsia="en-US"/>
        </w:rPr>
        <w:t>.</w:t>
      </w:r>
      <w:r w:rsidRPr="00EE4554">
        <w:rPr>
          <w:rFonts w:eastAsia="DengXian Light"/>
          <w:lang w:eastAsia="en-US"/>
        </w:rPr>
        <w:t xml:space="preserve"> DOI: 10.1002/sdr.361.</w:t>
      </w:r>
    </w:p>
    <w:p w14:paraId="4AD60787" w14:textId="0C66578E" w:rsidR="00EE4554" w:rsidRPr="00EE4554" w:rsidRDefault="00EE4554" w:rsidP="00EE4554">
      <w:pPr>
        <w:spacing w:line="240" w:lineRule="auto"/>
        <w:jc w:val="left"/>
        <w:rPr>
          <w:rFonts w:eastAsia="DengXian Light"/>
          <w:lang w:eastAsia="en-US"/>
        </w:rPr>
      </w:pPr>
      <w:proofErr w:type="spellStart"/>
      <w:r w:rsidRPr="00EE4554">
        <w:rPr>
          <w:rFonts w:eastAsia="DengXian Light"/>
          <w:lang w:eastAsia="en-US"/>
        </w:rPr>
        <w:t>Bjørneby</w:t>
      </w:r>
      <w:proofErr w:type="spellEnd"/>
      <w:r w:rsidRPr="00EE4554">
        <w:rPr>
          <w:rFonts w:eastAsia="DengXian Light"/>
          <w:lang w:eastAsia="en-US"/>
        </w:rPr>
        <w:t xml:space="preserve">, S., </w:t>
      </w:r>
      <w:proofErr w:type="spellStart"/>
      <w:r w:rsidRPr="00EE4554">
        <w:rPr>
          <w:rFonts w:eastAsia="DengXian Light"/>
          <w:lang w:eastAsia="en-US"/>
        </w:rPr>
        <w:t>Topo</w:t>
      </w:r>
      <w:proofErr w:type="spellEnd"/>
      <w:r w:rsidRPr="00EE4554">
        <w:rPr>
          <w:rFonts w:eastAsia="DengXian Light"/>
          <w:lang w:eastAsia="en-US"/>
        </w:rPr>
        <w:t xml:space="preserve">, P. and </w:t>
      </w:r>
      <w:proofErr w:type="spellStart"/>
      <w:r w:rsidRPr="00EE4554">
        <w:rPr>
          <w:rFonts w:eastAsia="DengXian Light"/>
          <w:lang w:eastAsia="en-US"/>
        </w:rPr>
        <w:t>Holthe</w:t>
      </w:r>
      <w:proofErr w:type="spellEnd"/>
      <w:r w:rsidRPr="00EE4554">
        <w:rPr>
          <w:rFonts w:eastAsia="DengXian Light"/>
          <w:lang w:eastAsia="en-US"/>
        </w:rPr>
        <w:t>, T. (1999)</w:t>
      </w:r>
      <w:r w:rsidR="003554B8">
        <w:rPr>
          <w:rFonts w:eastAsia="DengXian Light"/>
          <w:lang w:eastAsia="en-US"/>
        </w:rPr>
        <w:t>.</w:t>
      </w:r>
      <w:r w:rsidRPr="00EE4554">
        <w:rPr>
          <w:rFonts w:eastAsia="DengXian Light"/>
          <w:lang w:eastAsia="en-US"/>
        </w:rPr>
        <w:t xml:space="preserve"> Technology Ethics and Dementia</w:t>
      </w:r>
      <w:r w:rsidR="003554B8">
        <w:rPr>
          <w:rFonts w:eastAsia="DengXian Light"/>
          <w:lang w:eastAsia="en-US"/>
        </w:rPr>
        <w:t>.</w:t>
      </w:r>
      <w:r w:rsidRPr="00EE4554">
        <w:rPr>
          <w:rFonts w:eastAsia="DengXian Light"/>
          <w:lang w:eastAsia="en-US"/>
        </w:rPr>
        <w:t xml:space="preserve"> A Guidebook on how to Apply Technology in Dementia Care. The Norwegian Centre for Dementia Research, SEM Norway.</w:t>
      </w:r>
    </w:p>
    <w:p w14:paraId="437C63B1" w14:textId="2699538F" w:rsidR="00EE4554" w:rsidRPr="00EE4554" w:rsidRDefault="00EE4554" w:rsidP="00EE4554">
      <w:pPr>
        <w:spacing w:line="240" w:lineRule="auto"/>
        <w:jc w:val="left"/>
        <w:rPr>
          <w:rFonts w:eastAsia="DengXian Light"/>
          <w:lang w:eastAsia="en-US"/>
        </w:rPr>
      </w:pPr>
      <w:r w:rsidRPr="00EE4554">
        <w:rPr>
          <w:rFonts w:eastAsia="DengXian Light"/>
          <w:lang w:eastAsia="en-US"/>
        </w:rPr>
        <w:t xml:space="preserve">Brailsford, S. C., </w:t>
      </w:r>
      <w:proofErr w:type="spellStart"/>
      <w:r w:rsidRPr="00EE4554">
        <w:rPr>
          <w:rFonts w:eastAsia="DengXian Light"/>
          <w:lang w:eastAsia="en-US"/>
        </w:rPr>
        <w:t>Eldabi</w:t>
      </w:r>
      <w:proofErr w:type="spellEnd"/>
      <w:r w:rsidRPr="00EE4554">
        <w:rPr>
          <w:rFonts w:eastAsia="DengXian Light"/>
          <w:lang w:eastAsia="en-US"/>
        </w:rPr>
        <w:t xml:space="preserve">, T., Kunc, M., </w:t>
      </w:r>
      <w:proofErr w:type="spellStart"/>
      <w:r w:rsidRPr="00EE4554">
        <w:rPr>
          <w:rFonts w:eastAsia="DengXian Light"/>
          <w:lang w:eastAsia="en-US"/>
        </w:rPr>
        <w:t>Mustafee</w:t>
      </w:r>
      <w:proofErr w:type="spellEnd"/>
      <w:r w:rsidRPr="00EE4554">
        <w:rPr>
          <w:rFonts w:eastAsia="DengXian Light"/>
          <w:lang w:eastAsia="en-US"/>
        </w:rPr>
        <w:t>, N. and Osorio, A. F. (2019)</w:t>
      </w:r>
      <w:r w:rsidR="0075664E">
        <w:rPr>
          <w:rFonts w:eastAsia="DengXian Light"/>
          <w:lang w:eastAsia="en-US"/>
        </w:rPr>
        <w:t>.</w:t>
      </w:r>
      <w:r w:rsidRPr="00EE4554">
        <w:rPr>
          <w:rFonts w:eastAsia="DengXian Light"/>
          <w:lang w:eastAsia="en-US"/>
        </w:rPr>
        <w:t xml:space="preserve"> Hybrid simulation modelling in operational research: A state-of-the-art review</w:t>
      </w:r>
      <w:r w:rsidR="0075664E">
        <w:rPr>
          <w:rFonts w:eastAsia="DengXian Light"/>
          <w:lang w:eastAsia="en-US"/>
        </w:rPr>
        <w:t xml:space="preserve">. </w:t>
      </w:r>
      <w:r w:rsidRPr="00EE4554">
        <w:rPr>
          <w:rFonts w:eastAsia="DengXian Light"/>
          <w:lang w:eastAsia="en-US"/>
        </w:rPr>
        <w:t xml:space="preserve"> European Journal of Operational Research, 278</w:t>
      </w:r>
      <w:r w:rsidR="0075664E">
        <w:rPr>
          <w:rFonts w:eastAsia="DengXian Light"/>
          <w:lang w:eastAsia="en-US"/>
        </w:rPr>
        <w:t>(</w:t>
      </w:r>
      <w:r w:rsidRPr="00EE4554">
        <w:rPr>
          <w:rFonts w:eastAsia="DengXian Light"/>
          <w:lang w:eastAsia="en-US"/>
        </w:rPr>
        <w:t>3</w:t>
      </w:r>
      <w:r w:rsidR="0075664E">
        <w:rPr>
          <w:rFonts w:eastAsia="DengXian Light"/>
          <w:lang w:eastAsia="en-US"/>
        </w:rPr>
        <w:t>)</w:t>
      </w:r>
      <w:proofErr w:type="gramStart"/>
      <w:r w:rsidR="0075664E">
        <w:rPr>
          <w:rFonts w:eastAsia="DengXian Light"/>
          <w:lang w:eastAsia="en-US"/>
        </w:rPr>
        <w:t>,</w:t>
      </w:r>
      <w:r w:rsidRPr="00EE4554">
        <w:rPr>
          <w:rFonts w:eastAsia="DengXian Light"/>
          <w:lang w:eastAsia="en-US"/>
        </w:rPr>
        <w:t>721</w:t>
      </w:r>
      <w:proofErr w:type="gramEnd"/>
      <w:r w:rsidRPr="00EE4554">
        <w:rPr>
          <w:rFonts w:eastAsia="DengXian Light"/>
          <w:lang w:eastAsia="en-US"/>
        </w:rPr>
        <w:t>–737</w:t>
      </w:r>
      <w:r w:rsidR="0075664E">
        <w:rPr>
          <w:rFonts w:eastAsia="DengXian Light"/>
          <w:lang w:eastAsia="en-US"/>
        </w:rPr>
        <w:t xml:space="preserve">. </w:t>
      </w:r>
      <w:r w:rsidRPr="00EE4554">
        <w:rPr>
          <w:rFonts w:eastAsia="DengXian Light"/>
          <w:lang w:eastAsia="en-US"/>
        </w:rPr>
        <w:t xml:space="preserve"> DOI: 10.1016/j.ejor.2018.10.025.</w:t>
      </w:r>
    </w:p>
    <w:p w14:paraId="160962E8" w14:textId="14A57058" w:rsidR="00EE4554" w:rsidRPr="00EE4554" w:rsidRDefault="00EE4554" w:rsidP="00EE4554">
      <w:pPr>
        <w:spacing w:line="240" w:lineRule="auto"/>
        <w:jc w:val="left"/>
        <w:rPr>
          <w:rFonts w:eastAsia="DengXian Light"/>
          <w:lang w:eastAsia="en-US"/>
        </w:rPr>
      </w:pPr>
      <w:r w:rsidRPr="00EE4554">
        <w:rPr>
          <w:rFonts w:eastAsia="DengXian Light"/>
          <w:lang w:eastAsia="en-US"/>
        </w:rPr>
        <w:t xml:space="preserve">Brailsford, S., Viana, J., </w:t>
      </w:r>
      <w:proofErr w:type="spellStart"/>
      <w:r w:rsidRPr="00EE4554">
        <w:rPr>
          <w:rFonts w:eastAsia="DengXian Light"/>
          <w:lang w:eastAsia="en-US"/>
        </w:rPr>
        <w:t>Rossiter</w:t>
      </w:r>
      <w:proofErr w:type="spellEnd"/>
      <w:r w:rsidRPr="00EE4554">
        <w:rPr>
          <w:rFonts w:eastAsia="DengXian Light"/>
          <w:lang w:eastAsia="en-US"/>
        </w:rPr>
        <w:t xml:space="preserve">, S., Channon, A. A. and </w:t>
      </w:r>
      <w:proofErr w:type="spellStart"/>
      <w:r w:rsidRPr="00EE4554">
        <w:rPr>
          <w:rFonts w:eastAsia="DengXian Light"/>
          <w:lang w:eastAsia="en-US"/>
        </w:rPr>
        <w:t>Lotery</w:t>
      </w:r>
      <w:proofErr w:type="spellEnd"/>
      <w:r w:rsidRPr="00EE4554">
        <w:rPr>
          <w:rFonts w:eastAsia="DengXian Light"/>
          <w:lang w:eastAsia="en-US"/>
        </w:rPr>
        <w:t>, A. J. (2013)</w:t>
      </w:r>
      <w:r w:rsidR="0075664E">
        <w:rPr>
          <w:rFonts w:eastAsia="DengXian Light"/>
          <w:lang w:eastAsia="en-US"/>
        </w:rPr>
        <w:t>.</w:t>
      </w:r>
      <w:r w:rsidRPr="00EE4554">
        <w:rPr>
          <w:rFonts w:eastAsia="DengXian Light"/>
          <w:lang w:eastAsia="en-US"/>
        </w:rPr>
        <w:t xml:space="preserve"> Hybrid simulation for health and social care: The way forward, or more trouble than </w:t>
      </w:r>
      <w:proofErr w:type="gramStart"/>
      <w:r w:rsidRPr="00EE4554">
        <w:rPr>
          <w:rFonts w:eastAsia="DengXian Light"/>
          <w:lang w:eastAsia="en-US"/>
        </w:rPr>
        <w:t>it’s</w:t>
      </w:r>
      <w:proofErr w:type="gramEnd"/>
      <w:r w:rsidRPr="00EE4554">
        <w:rPr>
          <w:rFonts w:eastAsia="DengXian Light"/>
          <w:lang w:eastAsia="en-US"/>
        </w:rPr>
        <w:t xml:space="preserve"> worth? </w:t>
      </w:r>
      <w:r w:rsidR="0075664E">
        <w:rPr>
          <w:rFonts w:eastAsia="DengXian Light"/>
          <w:lang w:eastAsia="en-US"/>
        </w:rPr>
        <w:t xml:space="preserve">Proceedings of the </w:t>
      </w:r>
      <w:r w:rsidRPr="00EE4554">
        <w:rPr>
          <w:rFonts w:eastAsia="DengXian Light"/>
          <w:lang w:eastAsia="en-US"/>
        </w:rPr>
        <w:t>2013 Winter Simulation Conference, pp. 258–269</w:t>
      </w:r>
      <w:r w:rsidR="0075664E">
        <w:rPr>
          <w:rFonts w:eastAsia="DengXian Light"/>
          <w:lang w:eastAsia="en-US"/>
        </w:rPr>
        <w:t xml:space="preserve">. </w:t>
      </w:r>
      <w:r w:rsidRPr="00EE4554">
        <w:rPr>
          <w:rFonts w:eastAsia="DengXian Light"/>
          <w:lang w:eastAsia="en-US"/>
        </w:rPr>
        <w:t xml:space="preserve"> DOI: 10.1109/WSC.2013.6721425.</w:t>
      </w:r>
    </w:p>
    <w:p w14:paraId="18E93F24" w14:textId="44594286" w:rsidR="00EE4554" w:rsidRPr="00EE4554" w:rsidRDefault="00EE4554" w:rsidP="00EE4554">
      <w:pPr>
        <w:spacing w:line="240" w:lineRule="auto"/>
        <w:jc w:val="left"/>
        <w:rPr>
          <w:rFonts w:eastAsia="DengXian Light"/>
          <w:lang w:eastAsia="en-US"/>
        </w:rPr>
      </w:pPr>
      <w:proofErr w:type="spellStart"/>
      <w:r w:rsidRPr="00EE4554">
        <w:rPr>
          <w:rFonts w:eastAsia="DengXian Light"/>
          <w:lang w:eastAsia="en-US"/>
        </w:rPr>
        <w:t>Charlesworth</w:t>
      </w:r>
      <w:proofErr w:type="spellEnd"/>
      <w:r w:rsidRPr="00EE4554">
        <w:rPr>
          <w:rFonts w:eastAsia="DengXian Light"/>
          <w:lang w:eastAsia="en-US"/>
        </w:rPr>
        <w:t>, G. (2010)</w:t>
      </w:r>
      <w:r w:rsidR="0075664E">
        <w:rPr>
          <w:rFonts w:eastAsia="DengXian Light"/>
          <w:lang w:eastAsia="en-US"/>
        </w:rPr>
        <w:t>.</w:t>
      </w:r>
      <w:r w:rsidRPr="00EE4554">
        <w:rPr>
          <w:rFonts w:eastAsia="DengXian Light"/>
          <w:lang w:eastAsia="en-US"/>
        </w:rPr>
        <w:t xml:space="preserve"> Living at Home. </w:t>
      </w:r>
      <w:r w:rsidR="0075664E">
        <w:rPr>
          <w:rFonts w:eastAsia="DengXian Light"/>
          <w:lang w:eastAsia="en-US"/>
        </w:rPr>
        <w:t>Chapter 16 of</w:t>
      </w:r>
      <w:r w:rsidRPr="00EE4554">
        <w:rPr>
          <w:rFonts w:eastAsia="DengXian Light"/>
          <w:lang w:eastAsia="en-US"/>
        </w:rPr>
        <w:t xml:space="preserve"> Downs, M. and Bowers, B. (</w:t>
      </w:r>
      <w:proofErr w:type="spellStart"/>
      <w:r w:rsidRPr="00EE4554">
        <w:rPr>
          <w:rFonts w:eastAsia="DengXian Light"/>
          <w:lang w:eastAsia="en-US"/>
        </w:rPr>
        <w:t>eds</w:t>
      </w:r>
      <w:proofErr w:type="spellEnd"/>
      <w:r w:rsidRPr="00EE4554">
        <w:rPr>
          <w:rFonts w:eastAsia="DengXian Light"/>
          <w:lang w:eastAsia="en-US"/>
        </w:rPr>
        <w:t xml:space="preserve">), </w:t>
      </w:r>
      <w:r w:rsidRPr="0075664E">
        <w:rPr>
          <w:rFonts w:eastAsia="DengXian Light"/>
          <w:i/>
          <w:iCs/>
          <w:lang w:eastAsia="en-US"/>
        </w:rPr>
        <w:t>Excellence in Dementia Care: Research Into Practice</w:t>
      </w:r>
      <w:r w:rsidRPr="00EE4554">
        <w:rPr>
          <w:rFonts w:eastAsia="DengXian Light"/>
          <w:lang w:eastAsia="en-US"/>
        </w:rPr>
        <w:t xml:space="preserve">, </w:t>
      </w:r>
      <w:r w:rsidR="00D26E9C">
        <w:rPr>
          <w:rFonts w:eastAsia="DengXian Light"/>
          <w:lang w:eastAsia="en-US"/>
        </w:rPr>
        <w:t>1</w:t>
      </w:r>
      <w:r w:rsidR="00D26E9C" w:rsidRPr="00D26E9C">
        <w:rPr>
          <w:rFonts w:eastAsia="DengXian Light"/>
          <w:vertAlign w:val="superscript"/>
          <w:lang w:eastAsia="en-US"/>
        </w:rPr>
        <w:t>st</w:t>
      </w:r>
      <w:r w:rsidR="00D26E9C">
        <w:rPr>
          <w:rFonts w:eastAsia="DengXian Light"/>
          <w:lang w:eastAsia="en-US"/>
        </w:rPr>
        <w:t xml:space="preserve"> </w:t>
      </w:r>
      <w:proofErr w:type="gramStart"/>
      <w:r w:rsidRPr="00EE4554">
        <w:rPr>
          <w:rFonts w:eastAsia="DengXian Light"/>
          <w:lang w:eastAsia="en-US"/>
        </w:rPr>
        <w:t>edition.,</w:t>
      </w:r>
      <w:proofErr w:type="gramEnd"/>
      <w:r w:rsidRPr="00EE4554">
        <w:rPr>
          <w:rFonts w:eastAsia="DengXian Light"/>
          <w:lang w:eastAsia="en-US"/>
        </w:rPr>
        <w:t xml:space="preserve"> Maidenhead, Open University Press, pp. 285–300.</w:t>
      </w:r>
    </w:p>
    <w:p w14:paraId="66E6E5DB" w14:textId="18BA6723" w:rsidR="00EE4554" w:rsidRPr="00EE4554" w:rsidRDefault="00EE4554" w:rsidP="005A140D">
      <w:pPr>
        <w:spacing w:line="240" w:lineRule="auto"/>
        <w:jc w:val="left"/>
        <w:rPr>
          <w:rFonts w:eastAsia="DengXian Light"/>
          <w:lang w:eastAsia="en-US"/>
        </w:rPr>
      </w:pPr>
      <w:r w:rsidRPr="00EE4554">
        <w:rPr>
          <w:rFonts w:eastAsia="DengXian Light"/>
          <w:lang w:eastAsia="en-US"/>
        </w:rPr>
        <w:lastRenderedPageBreak/>
        <w:t>Clark, M. (2008)</w:t>
      </w:r>
      <w:r w:rsidR="0075664E">
        <w:rPr>
          <w:rFonts w:eastAsia="DengXian Light"/>
          <w:lang w:eastAsia="en-US"/>
        </w:rPr>
        <w:t>.</w:t>
      </w:r>
      <w:r w:rsidRPr="00EE4554">
        <w:rPr>
          <w:rFonts w:eastAsia="DengXian Light"/>
          <w:lang w:eastAsia="en-US"/>
        </w:rPr>
        <w:t xml:space="preserve"> Telecare and dementia: a summary of performance assessment responses from 150 social care authorities in England, Telecare Learning and Improvement Network.</w:t>
      </w:r>
    </w:p>
    <w:p w14:paraId="430CEC48" w14:textId="7E49772E" w:rsidR="00EE4554" w:rsidRPr="00EE4554" w:rsidRDefault="00EE4554" w:rsidP="00EE4554">
      <w:pPr>
        <w:spacing w:line="240" w:lineRule="auto"/>
        <w:jc w:val="left"/>
        <w:rPr>
          <w:rFonts w:eastAsia="DengXian Light"/>
          <w:lang w:eastAsia="en-US"/>
        </w:rPr>
      </w:pPr>
      <w:r w:rsidRPr="00EE4554">
        <w:rPr>
          <w:rFonts w:eastAsia="DengXian Light"/>
          <w:lang w:eastAsia="en-US"/>
        </w:rPr>
        <w:t>Desai, M. S., Penn, M. L., Brailsford, S. and Chipulu, M. (2008)</w:t>
      </w:r>
      <w:r w:rsidR="0075664E">
        <w:rPr>
          <w:rFonts w:eastAsia="DengXian Light"/>
          <w:lang w:eastAsia="en-US"/>
        </w:rPr>
        <w:t>.</w:t>
      </w:r>
      <w:r w:rsidRPr="00EE4554">
        <w:rPr>
          <w:rFonts w:eastAsia="DengXian Light"/>
          <w:lang w:eastAsia="en-US"/>
        </w:rPr>
        <w:t xml:space="preserve"> Modelling of Hampshire Adult Services</w:t>
      </w:r>
      <w:r w:rsidR="00D26E9C">
        <w:rPr>
          <w:rFonts w:eastAsia="DengXian Light"/>
          <w:lang w:eastAsia="en-US"/>
        </w:rPr>
        <w:t xml:space="preserve">: </w:t>
      </w:r>
      <w:r w:rsidRPr="00EE4554">
        <w:rPr>
          <w:rFonts w:eastAsia="DengXian Light"/>
          <w:lang w:eastAsia="en-US"/>
        </w:rPr>
        <w:t>gearing up for future demands</w:t>
      </w:r>
      <w:r w:rsidR="005A140D">
        <w:rPr>
          <w:rFonts w:eastAsia="DengXian Light"/>
          <w:lang w:eastAsia="en-US"/>
        </w:rPr>
        <w:t>.</w:t>
      </w:r>
      <w:r w:rsidRPr="00EE4554">
        <w:rPr>
          <w:rFonts w:eastAsia="DengXian Light"/>
          <w:lang w:eastAsia="en-US"/>
        </w:rPr>
        <w:t xml:space="preserve"> Health Care Management Science, 11</w:t>
      </w:r>
      <w:r w:rsidR="0075664E">
        <w:rPr>
          <w:rFonts w:eastAsia="DengXian Light"/>
          <w:lang w:eastAsia="en-US"/>
        </w:rPr>
        <w:t>(</w:t>
      </w:r>
      <w:r w:rsidRPr="00EE4554">
        <w:rPr>
          <w:rFonts w:eastAsia="DengXian Light"/>
          <w:lang w:eastAsia="en-US"/>
        </w:rPr>
        <w:t>2</w:t>
      </w:r>
      <w:r w:rsidR="0075664E">
        <w:rPr>
          <w:rFonts w:eastAsia="DengXian Light"/>
          <w:lang w:eastAsia="en-US"/>
        </w:rPr>
        <w:t>)</w:t>
      </w:r>
      <w:proofErr w:type="gramStart"/>
      <w:r w:rsidR="00D26E9C">
        <w:rPr>
          <w:rFonts w:eastAsia="DengXian Light"/>
          <w:lang w:eastAsia="en-US"/>
        </w:rPr>
        <w:t>,</w:t>
      </w:r>
      <w:r w:rsidRPr="00EE4554">
        <w:rPr>
          <w:rFonts w:eastAsia="DengXian Light"/>
          <w:lang w:eastAsia="en-US"/>
        </w:rPr>
        <w:t>167</w:t>
      </w:r>
      <w:proofErr w:type="gramEnd"/>
      <w:r w:rsidRPr="00EE4554">
        <w:rPr>
          <w:rFonts w:eastAsia="DengXian Light"/>
          <w:lang w:eastAsia="en-US"/>
        </w:rPr>
        <w:t>–176.</w:t>
      </w:r>
    </w:p>
    <w:p w14:paraId="61D16B4F" w14:textId="4DEC75EA" w:rsidR="00EE4554" w:rsidRPr="00EE4554" w:rsidRDefault="00EE4554" w:rsidP="00EE4554">
      <w:pPr>
        <w:spacing w:line="240" w:lineRule="auto"/>
        <w:jc w:val="left"/>
        <w:rPr>
          <w:rFonts w:eastAsia="DengXian Light"/>
          <w:lang w:eastAsia="en-US"/>
        </w:rPr>
      </w:pPr>
      <w:r w:rsidRPr="00EE4554">
        <w:rPr>
          <w:rFonts w:eastAsia="DengXian Light"/>
          <w:lang w:eastAsia="en-US"/>
        </w:rPr>
        <w:t xml:space="preserve">Dowd, W. N., Cowell, A. J., Regan, D., Moran, K., </w:t>
      </w:r>
      <w:proofErr w:type="spellStart"/>
      <w:r w:rsidRPr="00EE4554">
        <w:rPr>
          <w:rFonts w:eastAsia="DengXian Light"/>
          <w:lang w:eastAsia="en-US"/>
        </w:rPr>
        <w:t>Slevin</w:t>
      </w:r>
      <w:proofErr w:type="spellEnd"/>
      <w:r w:rsidRPr="00EE4554">
        <w:rPr>
          <w:rFonts w:eastAsia="DengXian Light"/>
          <w:lang w:eastAsia="en-US"/>
        </w:rPr>
        <w:t>, P., Doyle, G. and Bray, J. W. (2018)</w:t>
      </w:r>
      <w:r w:rsidR="0075664E">
        <w:rPr>
          <w:rFonts w:eastAsia="DengXian Light"/>
          <w:lang w:eastAsia="en-US"/>
        </w:rPr>
        <w:t>.</w:t>
      </w:r>
      <w:r w:rsidRPr="00EE4554">
        <w:rPr>
          <w:rFonts w:eastAsia="DengXian Light"/>
          <w:lang w:eastAsia="en-US"/>
        </w:rPr>
        <w:t xml:space="preserve"> An </w:t>
      </w:r>
      <w:r w:rsidR="005A140D" w:rsidRPr="00EE4554">
        <w:rPr>
          <w:rFonts w:eastAsia="DengXian Light"/>
          <w:lang w:eastAsia="en-US"/>
        </w:rPr>
        <w:t>exploratory cost-effectiveness analysis of the connected health intervention to improve care for people with dementia: a simulation analysis</w:t>
      </w:r>
      <w:r w:rsidR="0075664E">
        <w:rPr>
          <w:rFonts w:eastAsia="DengXian Light"/>
          <w:lang w:eastAsia="en-US"/>
        </w:rPr>
        <w:t>.</w:t>
      </w:r>
      <w:r w:rsidRPr="00EE4554">
        <w:rPr>
          <w:rFonts w:eastAsia="DengXian Light"/>
          <w:lang w:eastAsia="en-US"/>
        </w:rPr>
        <w:t xml:space="preserve"> Health Services and Outcomes Research Methodology, 18</w:t>
      </w:r>
      <w:r w:rsidR="00D26E9C">
        <w:rPr>
          <w:rFonts w:eastAsia="DengXian Light"/>
          <w:lang w:eastAsia="en-US"/>
        </w:rPr>
        <w:t>(</w:t>
      </w:r>
      <w:r w:rsidRPr="00EE4554">
        <w:rPr>
          <w:rFonts w:eastAsia="DengXian Light"/>
          <w:lang w:eastAsia="en-US"/>
        </w:rPr>
        <w:t>1</w:t>
      </w:r>
      <w:r w:rsidR="00D26E9C">
        <w:rPr>
          <w:rFonts w:eastAsia="DengXian Light"/>
          <w:lang w:eastAsia="en-US"/>
        </w:rPr>
        <w:t>)</w:t>
      </w:r>
      <w:r w:rsidRPr="00EE4554">
        <w:rPr>
          <w:rFonts w:eastAsia="DengXian Light"/>
          <w:lang w:eastAsia="en-US"/>
        </w:rPr>
        <w:t>, 47–62</w:t>
      </w:r>
      <w:r w:rsidR="00D26E9C">
        <w:rPr>
          <w:rFonts w:eastAsia="DengXian Light"/>
          <w:lang w:eastAsia="en-US"/>
        </w:rPr>
        <w:t>.</w:t>
      </w:r>
      <w:r w:rsidRPr="00EE4554">
        <w:rPr>
          <w:rFonts w:eastAsia="DengXian Light"/>
          <w:lang w:eastAsia="en-US"/>
        </w:rPr>
        <w:t xml:space="preserve"> DOI: 10.1007/s10742-017-0175-y.</w:t>
      </w:r>
    </w:p>
    <w:p w14:paraId="5773A232" w14:textId="6A7F3265" w:rsidR="00EE4554" w:rsidRPr="00EE4554" w:rsidRDefault="00EE4554" w:rsidP="00EE4554">
      <w:pPr>
        <w:spacing w:line="240" w:lineRule="auto"/>
        <w:jc w:val="left"/>
        <w:rPr>
          <w:rFonts w:eastAsia="DengXian Light"/>
          <w:lang w:eastAsia="en-US"/>
        </w:rPr>
      </w:pPr>
      <w:proofErr w:type="spellStart"/>
      <w:r w:rsidRPr="00EE4554">
        <w:rPr>
          <w:rFonts w:eastAsia="DengXian Light"/>
          <w:lang w:eastAsia="en-US"/>
        </w:rPr>
        <w:t>Harpring</w:t>
      </w:r>
      <w:proofErr w:type="spellEnd"/>
      <w:r w:rsidRPr="00EE4554">
        <w:rPr>
          <w:rFonts w:eastAsia="DengXian Light"/>
          <w:lang w:eastAsia="en-US"/>
        </w:rPr>
        <w:t>, R., Evans, G. W., Barber, R. and Deck, S. M. (2014)</w:t>
      </w:r>
      <w:r w:rsidR="00D26E9C">
        <w:rPr>
          <w:rFonts w:eastAsia="DengXian Light"/>
          <w:lang w:eastAsia="en-US"/>
        </w:rPr>
        <w:t>.</w:t>
      </w:r>
      <w:r w:rsidRPr="00EE4554">
        <w:rPr>
          <w:rFonts w:eastAsia="DengXian Light"/>
          <w:lang w:eastAsia="en-US"/>
        </w:rPr>
        <w:t xml:space="preserve"> Improving efficiency in social services with discrete event simulation</w:t>
      </w:r>
      <w:r w:rsidR="00D26E9C">
        <w:rPr>
          <w:rFonts w:eastAsia="DengXian Light"/>
          <w:lang w:eastAsia="en-US"/>
        </w:rPr>
        <w:t>.</w:t>
      </w:r>
      <w:r w:rsidRPr="00EE4554">
        <w:rPr>
          <w:rFonts w:eastAsia="DengXian Light"/>
          <w:lang w:eastAsia="en-US"/>
        </w:rPr>
        <w:t xml:space="preserve"> Computers &amp; Industrial Engineering, </w:t>
      </w:r>
      <w:r w:rsidR="00D26E9C">
        <w:rPr>
          <w:rFonts w:eastAsia="DengXian Light"/>
          <w:lang w:eastAsia="en-US"/>
        </w:rPr>
        <w:t>7</w:t>
      </w:r>
      <w:r w:rsidRPr="00EE4554">
        <w:rPr>
          <w:rFonts w:eastAsia="DengXian Light"/>
          <w:lang w:eastAsia="en-US"/>
        </w:rPr>
        <w:t>0, 159–167. DOI: 10.1016/j.cie.2014.01.016.</w:t>
      </w:r>
    </w:p>
    <w:p w14:paraId="0A224F9A" w14:textId="2D2C0D5F" w:rsidR="00EE4554" w:rsidRPr="00EE4554" w:rsidRDefault="00EE4554" w:rsidP="00EE4554">
      <w:pPr>
        <w:spacing w:line="240" w:lineRule="auto"/>
        <w:jc w:val="left"/>
        <w:rPr>
          <w:rFonts w:eastAsia="DengXian Light"/>
          <w:lang w:eastAsia="en-US"/>
        </w:rPr>
      </w:pPr>
      <w:r w:rsidRPr="00EE4554">
        <w:rPr>
          <w:rFonts w:eastAsia="DengXian Light"/>
          <w:lang w:eastAsia="en-US"/>
        </w:rPr>
        <w:t>Hébert, R., Dubois, M.-F., Wolfson, C., Chambers, L. and Cohen, C. (2001)</w:t>
      </w:r>
      <w:r w:rsidR="00D26E9C">
        <w:rPr>
          <w:rFonts w:eastAsia="DengXian Light"/>
          <w:lang w:eastAsia="en-US"/>
        </w:rPr>
        <w:t>.</w:t>
      </w:r>
      <w:r w:rsidRPr="00EE4554">
        <w:rPr>
          <w:rFonts w:eastAsia="DengXian Light"/>
          <w:lang w:eastAsia="en-US"/>
        </w:rPr>
        <w:t xml:space="preserve"> </w:t>
      </w:r>
      <w:r w:rsidR="00D26E9C">
        <w:rPr>
          <w:rFonts w:eastAsia="DengXian Light"/>
          <w:lang w:eastAsia="en-US"/>
        </w:rPr>
        <w:t>F</w:t>
      </w:r>
      <w:r w:rsidR="00D26E9C" w:rsidRPr="00EE4554">
        <w:rPr>
          <w:rFonts w:eastAsia="DengXian Light"/>
          <w:lang w:eastAsia="en-US"/>
        </w:rPr>
        <w:t xml:space="preserve">actors associated with long-term institutionalization of older people with dementia data from </w:t>
      </w:r>
      <w:r w:rsidRPr="00EE4554">
        <w:rPr>
          <w:rFonts w:eastAsia="DengXian Light"/>
          <w:lang w:eastAsia="en-US"/>
        </w:rPr>
        <w:t>the Canadian Study of Health and Aging</w:t>
      </w:r>
      <w:r w:rsidR="00D26E9C">
        <w:rPr>
          <w:rFonts w:eastAsia="DengXian Light"/>
          <w:lang w:eastAsia="en-US"/>
        </w:rPr>
        <w:t>.</w:t>
      </w:r>
      <w:r w:rsidRPr="00EE4554">
        <w:rPr>
          <w:rFonts w:eastAsia="DengXian Light"/>
          <w:lang w:eastAsia="en-US"/>
        </w:rPr>
        <w:t xml:space="preserve"> The Journal of Gerontology: Series A, 56</w:t>
      </w:r>
      <w:r w:rsidR="00D26E9C">
        <w:rPr>
          <w:rFonts w:eastAsia="DengXian Light"/>
          <w:lang w:eastAsia="en-US"/>
        </w:rPr>
        <w:t>(</w:t>
      </w:r>
      <w:r w:rsidRPr="00EE4554">
        <w:rPr>
          <w:rFonts w:eastAsia="DengXian Light"/>
          <w:lang w:eastAsia="en-US"/>
        </w:rPr>
        <w:t>11</w:t>
      </w:r>
      <w:r w:rsidR="00D26E9C">
        <w:rPr>
          <w:rFonts w:eastAsia="DengXian Light"/>
          <w:lang w:eastAsia="en-US"/>
        </w:rPr>
        <w:t>)</w:t>
      </w:r>
      <w:r w:rsidRPr="00EE4554">
        <w:rPr>
          <w:rFonts w:eastAsia="DengXian Light"/>
          <w:lang w:eastAsia="en-US"/>
        </w:rPr>
        <w:t>, 693–699. DOI: 10.1093/</w:t>
      </w:r>
      <w:proofErr w:type="spellStart"/>
      <w:r w:rsidRPr="00EE4554">
        <w:rPr>
          <w:rFonts w:eastAsia="DengXian Light"/>
          <w:lang w:eastAsia="en-US"/>
        </w:rPr>
        <w:t>gerona</w:t>
      </w:r>
      <w:proofErr w:type="spellEnd"/>
      <w:r w:rsidRPr="00EE4554">
        <w:rPr>
          <w:rFonts w:eastAsia="DengXian Light"/>
          <w:lang w:eastAsia="en-US"/>
        </w:rPr>
        <w:t>/56.11.M693.</w:t>
      </w:r>
    </w:p>
    <w:p w14:paraId="197BBDB7" w14:textId="77777777" w:rsidR="00EE4554" w:rsidRPr="00EE4554" w:rsidRDefault="00EE4554" w:rsidP="00EE4554">
      <w:pPr>
        <w:spacing w:line="240" w:lineRule="auto"/>
        <w:jc w:val="left"/>
        <w:rPr>
          <w:rFonts w:eastAsia="DengXian Light"/>
          <w:lang w:eastAsia="en-US"/>
        </w:rPr>
      </w:pPr>
      <w:proofErr w:type="spellStart"/>
      <w:r w:rsidRPr="00EE4554">
        <w:rPr>
          <w:rFonts w:eastAsia="DengXian Light"/>
          <w:lang w:eastAsia="en-US"/>
        </w:rPr>
        <w:t>Iliffe</w:t>
      </w:r>
      <w:proofErr w:type="spellEnd"/>
      <w:r w:rsidRPr="00EE4554">
        <w:rPr>
          <w:rFonts w:eastAsia="DengXian Light"/>
          <w:lang w:eastAsia="en-US"/>
        </w:rPr>
        <w:t xml:space="preserve">, S. and </w:t>
      </w:r>
      <w:proofErr w:type="spellStart"/>
      <w:r w:rsidRPr="00EE4554">
        <w:rPr>
          <w:rFonts w:eastAsia="DengXian Light"/>
          <w:lang w:eastAsia="en-US"/>
        </w:rPr>
        <w:t>Drennan</w:t>
      </w:r>
      <w:proofErr w:type="spellEnd"/>
      <w:r w:rsidRPr="00EE4554">
        <w:rPr>
          <w:rFonts w:eastAsia="DengXian Light"/>
          <w:lang w:eastAsia="en-US"/>
        </w:rPr>
        <w:t>, V. (2001) Primary Care and Dementia, London, Jessica Kingsley.</w:t>
      </w:r>
    </w:p>
    <w:p w14:paraId="7997DB1C" w14:textId="5FBA89D7" w:rsidR="005A140D" w:rsidRDefault="005A140D" w:rsidP="00EE4554">
      <w:pPr>
        <w:spacing w:line="240" w:lineRule="auto"/>
        <w:jc w:val="left"/>
        <w:rPr>
          <w:rFonts w:eastAsia="DengXian Light"/>
          <w:lang w:eastAsia="en-US"/>
        </w:rPr>
      </w:pPr>
      <w:r w:rsidRPr="005A140D">
        <w:rPr>
          <w:rFonts w:eastAsia="DengXian Light"/>
          <w:lang w:eastAsia="en-US"/>
        </w:rPr>
        <w:t>Jackson, M. C</w:t>
      </w:r>
      <w:proofErr w:type="gramStart"/>
      <w:r w:rsidRPr="005A140D">
        <w:rPr>
          <w:rFonts w:eastAsia="DengXian Light"/>
          <w:lang w:eastAsia="en-US"/>
        </w:rPr>
        <w:t>. ,</w:t>
      </w:r>
      <w:proofErr w:type="gramEnd"/>
      <w:r w:rsidRPr="005A140D">
        <w:rPr>
          <w:rFonts w:eastAsia="DengXian Light"/>
          <w:lang w:eastAsia="en-US"/>
        </w:rPr>
        <w:t xml:space="preserve"> &amp; Keys, P. (1984). Towards a system of systems methodologies. Journal of the Operational Research Society, 35 (6), 473–486.</w:t>
      </w:r>
    </w:p>
    <w:p w14:paraId="3B29D745" w14:textId="543E6AE6" w:rsidR="00EE4554" w:rsidRPr="00EE4554" w:rsidRDefault="00EE4554" w:rsidP="00EE4554">
      <w:pPr>
        <w:spacing w:line="240" w:lineRule="auto"/>
        <w:jc w:val="left"/>
        <w:rPr>
          <w:rFonts w:eastAsia="DengXian Light"/>
          <w:lang w:eastAsia="en-US"/>
        </w:rPr>
      </w:pPr>
      <w:r w:rsidRPr="00EE4554">
        <w:rPr>
          <w:rFonts w:eastAsia="DengXian Light"/>
          <w:lang w:eastAsia="en-US"/>
        </w:rPr>
        <w:t xml:space="preserve">Jagger, C., Matthews, R., Lindesay, J., Robinson, T., Croft, P. and </w:t>
      </w:r>
      <w:proofErr w:type="spellStart"/>
      <w:r w:rsidRPr="00EE4554">
        <w:rPr>
          <w:rFonts w:eastAsia="DengXian Light"/>
          <w:lang w:eastAsia="en-US"/>
        </w:rPr>
        <w:t>Brayne</w:t>
      </w:r>
      <w:proofErr w:type="spellEnd"/>
      <w:r w:rsidRPr="00EE4554">
        <w:rPr>
          <w:rFonts w:eastAsia="DengXian Light"/>
          <w:lang w:eastAsia="en-US"/>
        </w:rPr>
        <w:t xml:space="preserve">, C. (2009) </w:t>
      </w:r>
      <w:proofErr w:type="gramStart"/>
      <w:r w:rsidRPr="00EE4554">
        <w:rPr>
          <w:rFonts w:eastAsia="DengXian Light"/>
          <w:lang w:eastAsia="en-US"/>
        </w:rPr>
        <w:t>The</w:t>
      </w:r>
      <w:proofErr w:type="gramEnd"/>
      <w:r w:rsidRPr="00EE4554">
        <w:rPr>
          <w:rFonts w:eastAsia="DengXian Light"/>
          <w:lang w:eastAsia="en-US"/>
        </w:rPr>
        <w:t xml:space="preserve"> effect of dementia trends and treatments on longevity and disability: a simulation model based on the MRC Cognitive Function and Ageing Study (MRC CFAS)</w:t>
      </w:r>
      <w:r w:rsidR="00D26E9C">
        <w:rPr>
          <w:rFonts w:eastAsia="DengXian Light"/>
          <w:lang w:eastAsia="en-US"/>
        </w:rPr>
        <w:t xml:space="preserve">. </w:t>
      </w:r>
      <w:r w:rsidRPr="00EE4554">
        <w:rPr>
          <w:rFonts w:eastAsia="DengXian Light"/>
          <w:lang w:eastAsia="en-US"/>
        </w:rPr>
        <w:t xml:space="preserve"> Age and Ageing, 38</w:t>
      </w:r>
      <w:r w:rsidR="00D26E9C">
        <w:rPr>
          <w:rFonts w:eastAsia="DengXian Light"/>
          <w:lang w:eastAsia="en-US"/>
        </w:rPr>
        <w:t>(</w:t>
      </w:r>
      <w:r w:rsidRPr="00EE4554">
        <w:rPr>
          <w:rFonts w:eastAsia="DengXian Light"/>
          <w:lang w:eastAsia="en-US"/>
        </w:rPr>
        <w:t>3</w:t>
      </w:r>
      <w:r w:rsidR="00D26E9C">
        <w:rPr>
          <w:rFonts w:eastAsia="DengXian Light"/>
          <w:lang w:eastAsia="en-US"/>
        </w:rPr>
        <w:t>)</w:t>
      </w:r>
      <w:proofErr w:type="gramStart"/>
      <w:r w:rsidRPr="00EE4554">
        <w:rPr>
          <w:rFonts w:eastAsia="DengXian Light"/>
          <w:lang w:eastAsia="en-US"/>
        </w:rPr>
        <w:t>,319</w:t>
      </w:r>
      <w:proofErr w:type="gramEnd"/>
      <w:r w:rsidRPr="00EE4554">
        <w:rPr>
          <w:rFonts w:eastAsia="DengXian Light"/>
          <w:lang w:eastAsia="en-US"/>
        </w:rPr>
        <w:t>–325. DOI: 10.1093/ageing/afp016.</w:t>
      </w:r>
    </w:p>
    <w:p w14:paraId="4F3437F9" w14:textId="127B412C" w:rsidR="00EE4554" w:rsidRPr="00EE4554" w:rsidRDefault="00EE4554" w:rsidP="00EE4554">
      <w:pPr>
        <w:spacing w:line="240" w:lineRule="auto"/>
        <w:jc w:val="left"/>
        <w:rPr>
          <w:rFonts w:eastAsia="DengXian Light"/>
          <w:lang w:eastAsia="en-US"/>
        </w:rPr>
      </w:pPr>
      <w:r w:rsidRPr="00EE4554">
        <w:rPr>
          <w:rFonts w:eastAsia="DengXian Light"/>
          <w:lang w:eastAsia="en-US"/>
        </w:rPr>
        <w:t>Jing, W., Willis, R. and Feng, Z. (2016)</w:t>
      </w:r>
      <w:r w:rsidR="005A140D">
        <w:rPr>
          <w:rFonts w:eastAsia="DengXian Light"/>
          <w:lang w:eastAsia="en-US"/>
        </w:rPr>
        <w:t>.</w:t>
      </w:r>
      <w:r w:rsidRPr="00EE4554">
        <w:rPr>
          <w:rFonts w:eastAsia="DengXian Light"/>
          <w:lang w:eastAsia="en-US"/>
        </w:rPr>
        <w:t xml:space="preserve"> Factors influencing quality of life of elderly people with dementia and care implications: A systematic review</w:t>
      </w:r>
      <w:r w:rsidR="005A140D">
        <w:rPr>
          <w:rFonts w:eastAsia="DengXian Light"/>
          <w:lang w:eastAsia="en-US"/>
        </w:rPr>
        <w:t xml:space="preserve">. </w:t>
      </w:r>
      <w:r w:rsidRPr="00EE4554">
        <w:rPr>
          <w:rFonts w:eastAsia="DengXian Light"/>
          <w:lang w:eastAsia="en-US"/>
        </w:rPr>
        <w:t xml:space="preserve"> Archives of Gerontology and Geriatrics, 66, 23–41. DOI: 10.1016/j.archger.2016.04.009.</w:t>
      </w:r>
    </w:p>
    <w:p w14:paraId="2154375B" w14:textId="6476D99C" w:rsidR="00EE4554" w:rsidRPr="00EE4554" w:rsidRDefault="00EE4554" w:rsidP="00EE4554">
      <w:pPr>
        <w:spacing w:line="240" w:lineRule="auto"/>
        <w:jc w:val="left"/>
        <w:rPr>
          <w:rFonts w:eastAsia="DengXian Light"/>
          <w:lang w:eastAsia="en-US"/>
        </w:rPr>
      </w:pPr>
      <w:proofErr w:type="spellStart"/>
      <w:r w:rsidRPr="00EE4554">
        <w:rPr>
          <w:rFonts w:eastAsia="DengXian Light"/>
          <w:lang w:eastAsia="en-US"/>
        </w:rPr>
        <w:t>Kahle-Wrobleski</w:t>
      </w:r>
      <w:proofErr w:type="spellEnd"/>
      <w:r w:rsidRPr="00EE4554">
        <w:rPr>
          <w:rFonts w:eastAsia="DengXian Light"/>
          <w:lang w:eastAsia="en-US"/>
        </w:rPr>
        <w:t xml:space="preserve">, K., Andrews, J. S., </w:t>
      </w:r>
      <w:proofErr w:type="spellStart"/>
      <w:r w:rsidRPr="00EE4554">
        <w:rPr>
          <w:rFonts w:eastAsia="DengXian Light"/>
          <w:lang w:eastAsia="en-US"/>
        </w:rPr>
        <w:t>Belger</w:t>
      </w:r>
      <w:proofErr w:type="spellEnd"/>
      <w:r w:rsidRPr="00EE4554">
        <w:rPr>
          <w:rFonts w:eastAsia="DengXian Light"/>
          <w:lang w:eastAsia="en-US"/>
        </w:rPr>
        <w:t xml:space="preserve">, M., Gauthier, S., Stern, Y., </w:t>
      </w:r>
      <w:proofErr w:type="spellStart"/>
      <w:r w:rsidRPr="00EE4554">
        <w:rPr>
          <w:rFonts w:eastAsia="DengXian Light"/>
          <w:lang w:eastAsia="en-US"/>
        </w:rPr>
        <w:t>Rentz</w:t>
      </w:r>
      <w:proofErr w:type="spellEnd"/>
      <w:r w:rsidRPr="00EE4554">
        <w:rPr>
          <w:rFonts w:eastAsia="DengXian Light"/>
          <w:lang w:eastAsia="en-US"/>
        </w:rPr>
        <w:t xml:space="preserve">, D. M. and </w:t>
      </w:r>
      <w:proofErr w:type="spellStart"/>
      <w:r w:rsidRPr="00EE4554">
        <w:rPr>
          <w:rFonts w:eastAsia="DengXian Light"/>
          <w:lang w:eastAsia="en-US"/>
        </w:rPr>
        <w:t>Galasko</w:t>
      </w:r>
      <w:proofErr w:type="spellEnd"/>
      <w:r w:rsidRPr="00EE4554">
        <w:rPr>
          <w:rFonts w:eastAsia="DengXian Light"/>
          <w:lang w:eastAsia="en-US"/>
        </w:rPr>
        <w:t>, D. (2015)</w:t>
      </w:r>
      <w:r w:rsidR="005A140D">
        <w:rPr>
          <w:rFonts w:eastAsia="DengXian Light"/>
          <w:lang w:eastAsia="en-US"/>
        </w:rPr>
        <w:t>.</w:t>
      </w:r>
      <w:r w:rsidRPr="00EE4554">
        <w:rPr>
          <w:rFonts w:eastAsia="DengXian Light"/>
          <w:lang w:eastAsia="en-US"/>
        </w:rPr>
        <w:t xml:space="preserve"> Clinical and economic characteristics of milestones along the continuum of Alzheimer’s disease: transforming functional scores into levels of dependence</w:t>
      </w:r>
      <w:r w:rsidR="005A140D">
        <w:rPr>
          <w:rFonts w:eastAsia="DengXian Light"/>
          <w:lang w:eastAsia="en-US"/>
        </w:rPr>
        <w:t xml:space="preserve">. </w:t>
      </w:r>
      <w:r w:rsidRPr="00EE4554">
        <w:rPr>
          <w:rFonts w:eastAsia="DengXian Light"/>
          <w:lang w:eastAsia="en-US"/>
        </w:rPr>
        <w:t xml:space="preserve"> J. Prev. </w:t>
      </w:r>
      <w:proofErr w:type="spellStart"/>
      <w:r w:rsidRPr="00EE4554">
        <w:rPr>
          <w:rFonts w:eastAsia="DengXian Light"/>
          <w:lang w:eastAsia="en-US"/>
        </w:rPr>
        <w:t>Alzheimers</w:t>
      </w:r>
      <w:proofErr w:type="spellEnd"/>
      <w:r w:rsidRPr="00EE4554">
        <w:rPr>
          <w:rFonts w:eastAsia="DengXian Light"/>
          <w:lang w:eastAsia="en-US"/>
        </w:rPr>
        <w:t xml:space="preserve"> Dis., 2</w:t>
      </w:r>
      <w:r w:rsidR="005A140D">
        <w:rPr>
          <w:rFonts w:eastAsia="DengXian Light"/>
          <w:lang w:eastAsia="en-US"/>
        </w:rPr>
        <w:t>(</w:t>
      </w:r>
      <w:r w:rsidRPr="00EE4554">
        <w:rPr>
          <w:rFonts w:eastAsia="DengXian Light"/>
          <w:lang w:eastAsia="en-US"/>
        </w:rPr>
        <w:t>2</w:t>
      </w:r>
      <w:r w:rsidR="005A140D">
        <w:rPr>
          <w:rFonts w:eastAsia="DengXian Light"/>
          <w:lang w:eastAsia="en-US"/>
        </w:rPr>
        <w:t>)</w:t>
      </w:r>
      <w:r w:rsidRPr="00EE4554">
        <w:rPr>
          <w:rFonts w:eastAsia="DengXian Light"/>
          <w:lang w:eastAsia="en-US"/>
        </w:rPr>
        <w:t>, 115–120.</w:t>
      </w:r>
    </w:p>
    <w:p w14:paraId="2270D6F4" w14:textId="27A9F89F" w:rsidR="00EE4554" w:rsidRPr="00EE4554" w:rsidRDefault="00EE4554" w:rsidP="00EE4554">
      <w:pPr>
        <w:spacing w:line="240" w:lineRule="auto"/>
        <w:jc w:val="left"/>
        <w:rPr>
          <w:rFonts w:eastAsia="DengXian Light"/>
          <w:lang w:eastAsia="en-US"/>
        </w:rPr>
      </w:pPr>
      <w:proofErr w:type="spellStart"/>
      <w:r w:rsidRPr="00EE4554">
        <w:rPr>
          <w:rFonts w:eastAsia="DengXian Light"/>
          <w:lang w:eastAsia="en-US"/>
        </w:rPr>
        <w:t>Katsaliaki</w:t>
      </w:r>
      <w:proofErr w:type="spellEnd"/>
      <w:r w:rsidRPr="00EE4554">
        <w:rPr>
          <w:rFonts w:eastAsia="DengXian Light"/>
          <w:lang w:eastAsia="en-US"/>
        </w:rPr>
        <w:t xml:space="preserve">, K. and </w:t>
      </w:r>
      <w:proofErr w:type="spellStart"/>
      <w:r w:rsidRPr="00EE4554">
        <w:rPr>
          <w:rFonts w:eastAsia="DengXian Light"/>
          <w:lang w:eastAsia="en-US"/>
        </w:rPr>
        <w:t>Mustafee</w:t>
      </w:r>
      <w:proofErr w:type="spellEnd"/>
      <w:r w:rsidRPr="00EE4554">
        <w:rPr>
          <w:rFonts w:eastAsia="DengXian Light"/>
          <w:lang w:eastAsia="en-US"/>
        </w:rPr>
        <w:t>, N. (2011)</w:t>
      </w:r>
      <w:r w:rsidR="005A140D">
        <w:rPr>
          <w:rFonts w:eastAsia="DengXian Light"/>
          <w:lang w:eastAsia="en-US"/>
        </w:rPr>
        <w:t>.</w:t>
      </w:r>
      <w:r w:rsidRPr="00EE4554">
        <w:rPr>
          <w:rFonts w:eastAsia="DengXian Light"/>
          <w:lang w:eastAsia="en-US"/>
        </w:rPr>
        <w:t xml:space="preserve"> Applications of simulation within the healthcare context</w:t>
      </w:r>
      <w:r w:rsidR="005A140D">
        <w:rPr>
          <w:rFonts w:eastAsia="DengXian Light"/>
          <w:lang w:eastAsia="en-US"/>
        </w:rPr>
        <w:t xml:space="preserve">. </w:t>
      </w:r>
      <w:r w:rsidRPr="00EE4554">
        <w:rPr>
          <w:rFonts w:eastAsia="DengXian Light"/>
          <w:lang w:eastAsia="en-US"/>
        </w:rPr>
        <w:t xml:space="preserve"> Journal of the Operational Research Society, 62</w:t>
      </w:r>
      <w:r w:rsidR="005A140D">
        <w:rPr>
          <w:rFonts w:eastAsia="DengXian Light"/>
          <w:lang w:eastAsia="en-US"/>
        </w:rPr>
        <w:t>(</w:t>
      </w:r>
      <w:r w:rsidRPr="00EE4554">
        <w:rPr>
          <w:rFonts w:eastAsia="DengXian Light"/>
          <w:lang w:eastAsia="en-US"/>
        </w:rPr>
        <w:t>8</w:t>
      </w:r>
      <w:r w:rsidR="005A140D">
        <w:rPr>
          <w:rFonts w:eastAsia="DengXian Light"/>
          <w:lang w:eastAsia="en-US"/>
        </w:rPr>
        <w:t>)</w:t>
      </w:r>
      <w:r w:rsidRPr="00EE4554">
        <w:rPr>
          <w:rFonts w:eastAsia="DengXian Light"/>
          <w:lang w:eastAsia="en-US"/>
        </w:rPr>
        <w:t>, 1431–1451</w:t>
      </w:r>
      <w:r w:rsidR="005A140D">
        <w:rPr>
          <w:rFonts w:eastAsia="DengXian Light"/>
          <w:lang w:eastAsia="en-US"/>
        </w:rPr>
        <w:t>.</w:t>
      </w:r>
      <w:r w:rsidRPr="00EE4554">
        <w:rPr>
          <w:rFonts w:eastAsia="DengXian Light"/>
          <w:lang w:eastAsia="en-US"/>
        </w:rPr>
        <w:t xml:space="preserve"> DOI: 10.1057/jors.2010.20.</w:t>
      </w:r>
    </w:p>
    <w:p w14:paraId="519348D1" w14:textId="5D707647" w:rsidR="00EE4554" w:rsidRPr="00EE4554" w:rsidRDefault="00EE4554" w:rsidP="00EE4554">
      <w:pPr>
        <w:spacing w:line="240" w:lineRule="auto"/>
        <w:jc w:val="left"/>
        <w:rPr>
          <w:rFonts w:eastAsia="DengXian Light"/>
          <w:lang w:eastAsia="en-US"/>
        </w:rPr>
      </w:pPr>
      <w:proofErr w:type="spellStart"/>
      <w:r w:rsidRPr="00EE4554">
        <w:rPr>
          <w:rFonts w:eastAsia="DengXian Light"/>
          <w:lang w:eastAsia="en-US"/>
        </w:rPr>
        <w:t>Knipscheer</w:t>
      </w:r>
      <w:proofErr w:type="spellEnd"/>
      <w:r w:rsidRPr="00EE4554">
        <w:rPr>
          <w:rFonts w:eastAsia="DengXian Light"/>
          <w:lang w:eastAsia="en-US"/>
        </w:rPr>
        <w:t>, K. (1994)</w:t>
      </w:r>
      <w:r w:rsidR="005A140D">
        <w:rPr>
          <w:rFonts w:eastAsia="DengXian Light"/>
          <w:lang w:eastAsia="en-US"/>
        </w:rPr>
        <w:t>.</w:t>
      </w:r>
      <w:r w:rsidRPr="00EE4554">
        <w:rPr>
          <w:rFonts w:eastAsia="DengXian Light"/>
          <w:lang w:eastAsia="en-US"/>
        </w:rPr>
        <w:t xml:space="preserve"> </w:t>
      </w:r>
      <w:r w:rsidRPr="005A140D">
        <w:rPr>
          <w:rFonts w:eastAsia="DengXian Light"/>
          <w:i/>
          <w:iCs/>
          <w:lang w:eastAsia="en-US"/>
        </w:rPr>
        <w:t>Elderly, elderly disabled and technology</w:t>
      </w:r>
      <w:r w:rsidR="005A140D">
        <w:rPr>
          <w:rFonts w:eastAsia="DengXian Light"/>
          <w:i/>
          <w:iCs/>
          <w:lang w:eastAsia="en-US"/>
        </w:rPr>
        <w:t>.</w:t>
      </w:r>
      <w:r w:rsidRPr="00EE4554">
        <w:rPr>
          <w:rFonts w:eastAsia="DengXian Light"/>
          <w:lang w:eastAsia="en-US"/>
        </w:rPr>
        <w:t xml:space="preserve"> Brussels, </w:t>
      </w:r>
      <w:proofErr w:type="spellStart"/>
      <w:r w:rsidRPr="00EE4554">
        <w:rPr>
          <w:rFonts w:eastAsia="DengXian Light"/>
          <w:lang w:eastAsia="en-US"/>
        </w:rPr>
        <w:t>Gummerus</w:t>
      </w:r>
      <w:proofErr w:type="spellEnd"/>
      <w:r w:rsidRPr="00EE4554">
        <w:rPr>
          <w:rFonts w:eastAsia="DengXian Light"/>
          <w:lang w:eastAsia="en-US"/>
        </w:rPr>
        <w:t xml:space="preserve"> Printing.</w:t>
      </w:r>
    </w:p>
    <w:p w14:paraId="091B7B1D" w14:textId="19214B13" w:rsidR="00EE4554" w:rsidRPr="00EE4554" w:rsidRDefault="00EE4554" w:rsidP="00EE4554">
      <w:pPr>
        <w:spacing w:line="240" w:lineRule="auto"/>
        <w:jc w:val="left"/>
        <w:rPr>
          <w:rFonts w:eastAsia="DengXian Light"/>
          <w:lang w:eastAsia="en-US"/>
        </w:rPr>
      </w:pPr>
      <w:proofErr w:type="spellStart"/>
      <w:r w:rsidRPr="00EE4554">
        <w:rPr>
          <w:rFonts w:eastAsia="DengXian Light"/>
          <w:lang w:eastAsia="en-US"/>
        </w:rPr>
        <w:t>Larrañaga</w:t>
      </w:r>
      <w:proofErr w:type="spellEnd"/>
      <w:r w:rsidRPr="00EE4554">
        <w:rPr>
          <w:rFonts w:eastAsia="DengXian Light"/>
          <w:lang w:eastAsia="en-US"/>
        </w:rPr>
        <w:t xml:space="preserve">, I., </w:t>
      </w:r>
      <w:proofErr w:type="spellStart"/>
      <w:r w:rsidRPr="00EE4554">
        <w:rPr>
          <w:rFonts w:eastAsia="DengXian Light"/>
          <w:lang w:eastAsia="en-US"/>
        </w:rPr>
        <w:t>Stafylas</w:t>
      </w:r>
      <w:proofErr w:type="spellEnd"/>
      <w:r w:rsidRPr="00EE4554">
        <w:rPr>
          <w:rFonts w:eastAsia="DengXian Light"/>
          <w:lang w:eastAsia="en-US"/>
        </w:rPr>
        <w:t xml:space="preserve">, P., </w:t>
      </w:r>
      <w:proofErr w:type="spellStart"/>
      <w:r w:rsidRPr="00EE4554">
        <w:rPr>
          <w:rFonts w:eastAsia="DengXian Light"/>
          <w:lang w:eastAsia="en-US"/>
        </w:rPr>
        <w:t>Fullaondo</w:t>
      </w:r>
      <w:proofErr w:type="spellEnd"/>
      <w:r w:rsidRPr="00EE4554">
        <w:rPr>
          <w:rFonts w:eastAsia="DengXian Light"/>
          <w:lang w:eastAsia="en-US"/>
        </w:rPr>
        <w:t xml:space="preserve">, A., </w:t>
      </w:r>
      <w:proofErr w:type="spellStart"/>
      <w:r w:rsidRPr="00EE4554">
        <w:rPr>
          <w:rFonts w:eastAsia="DengXian Light"/>
          <w:lang w:eastAsia="en-US"/>
        </w:rPr>
        <w:t>Apuzzo</w:t>
      </w:r>
      <w:proofErr w:type="spellEnd"/>
      <w:r w:rsidRPr="00EE4554">
        <w:rPr>
          <w:rFonts w:eastAsia="DengXian Light"/>
          <w:lang w:eastAsia="en-US"/>
        </w:rPr>
        <w:t>, G. M. and Mar, J. (2018)</w:t>
      </w:r>
      <w:r w:rsidR="005A140D">
        <w:rPr>
          <w:rFonts w:eastAsia="DengXian Light"/>
          <w:lang w:eastAsia="en-US"/>
        </w:rPr>
        <w:t>.</w:t>
      </w:r>
      <w:r w:rsidRPr="00EE4554">
        <w:rPr>
          <w:rFonts w:eastAsia="DengXian Light"/>
          <w:lang w:eastAsia="en-US"/>
        </w:rPr>
        <w:t xml:space="preserve"> Economic </w:t>
      </w:r>
      <w:r w:rsidR="005A140D" w:rsidRPr="00EE4554">
        <w:rPr>
          <w:rFonts w:eastAsia="DengXian Light"/>
          <w:lang w:eastAsia="en-US"/>
        </w:rPr>
        <w:t xml:space="preserve">evaluation of an integrated health and social care program for heart failure through </w:t>
      </w:r>
      <w:r w:rsidR="005A140D">
        <w:rPr>
          <w:rFonts w:eastAsia="DengXian Light"/>
          <w:lang w:eastAsia="en-US"/>
        </w:rPr>
        <w:t>two</w:t>
      </w:r>
      <w:r w:rsidR="005A140D" w:rsidRPr="00EE4554">
        <w:rPr>
          <w:rFonts w:eastAsia="DengXian Light"/>
          <w:lang w:eastAsia="en-US"/>
        </w:rPr>
        <w:t xml:space="preserve"> different </w:t>
      </w:r>
      <w:proofErr w:type="spellStart"/>
      <w:r w:rsidR="005A140D" w:rsidRPr="00EE4554">
        <w:rPr>
          <w:rFonts w:eastAsia="DengXian Light"/>
          <w:lang w:eastAsia="en-US"/>
        </w:rPr>
        <w:t>modeling</w:t>
      </w:r>
      <w:proofErr w:type="spellEnd"/>
      <w:r w:rsidR="005A140D" w:rsidRPr="00EE4554">
        <w:rPr>
          <w:rFonts w:eastAsia="DengXian Light"/>
          <w:lang w:eastAsia="en-US"/>
        </w:rPr>
        <w:t xml:space="preserve"> techniques</w:t>
      </w:r>
      <w:r w:rsidR="005A140D">
        <w:rPr>
          <w:rFonts w:eastAsia="DengXian Light"/>
          <w:lang w:eastAsia="en-US"/>
        </w:rPr>
        <w:t>.</w:t>
      </w:r>
      <w:r w:rsidRPr="00EE4554">
        <w:rPr>
          <w:rFonts w:eastAsia="DengXian Light"/>
          <w:lang w:eastAsia="en-US"/>
        </w:rPr>
        <w:t xml:space="preserve"> Health Services Research and Managerial Epidemiology</w:t>
      </w:r>
      <w:proofErr w:type="gramStart"/>
      <w:r w:rsidRPr="00EE4554">
        <w:rPr>
          <w:rFonts w:eastAsia="DengXian Light"/>
          <w:lang w:eastAsia="en-US"/>
        </w:rPr>
        <w:t>,  5</w:t>
      </w:r>
      <w:proofErr w:type="gramEnd"/>
      <w:r w:rsidRPr="00EE4554">
        <w:rPr>
          <w:rFonts w:eastAsia="DengXian Light"/>
          <w:lang w:eastAsia="en-US"/>
        </w:rPr>
        <w:t>, 2333392818795795 [Online</w:t>
      </w:r>
      <w:r w:rsidR="005A140D">
        <w:rPr>
          <w:rFonts w:eastAsia="DengXian Light"/>
          <w:lang w:eastAsia="en-US"/>
        </w:rPr>
        <w:t xml:space="preserve"> only</w:t>
      </w:r>
      <w:r w:rsidRPr="00EE4554">
        <w:rPr>
          <w:rFonts w:eastAsia="DengXian Light"/>
          <w:lang w:eastAsia="en-US"/>
        </w:rPr>
        <w:t>]. DOI: 10.1177/2333392818795795.</w:t>
      </w:r>
    </w:p>
    <w:p w14:paraId="7E4EAE7F" w14:textId="02A18CC4" w:rsidR="00EE4554" w:rsidRPr="00EE4554" w:rsidRDefault="00EE4554" w:rsidP="00EE4554">
      <w:pPr>
        <w:spacing w:line="240" w:lineRule="auto"/>
        <w:jc w:val="left"/>
        <w:rPr>
          <w:rFonts w:eastAsia="DengXian Light"/>
          <w:lang w:eastAsia="en-US"/>
        </w:rPr>
      </w:pPr>
      <w:proofErr w:type="spellStart"/>
      <w:r w:rsidRPr="00EE4554">
        <w:rPr>
          <w:rFonts w:eastAsia="DengXian Light"/>
          <w:lang w:eastAsia="en-US"/>
        </w:rPr>
        <w:t>Lebcir</w:t>
      </w:r>
      <w:proofErr w:type="spellEnd"/>
      <w:r w:rsidRPr="00EE4554">
        <w:rPr>
          <w:rFonts w:eastAsia="DengXian Light"/>
          <w:lang w:eastAsia="en-US"/>
        </w:rPr>
        <w:t xml:space="preserve">, R., </w:t>
      </w:r>
      <w:proofErr w:type="spellStart"/>
      <w:r w:rsidRPr="00EE4554">
        <w:rPr>
          <w:rFonts w:eastAsia="DengXian Light"/>
          <w:lang w:eastAsia="en-US"/>
        </w:rPr>
        <w:t>Demir</w:t>
      </w:r>
      <w:proofErr w:type="spellEnd"/>
      <w:r w:rsidRPr="00EE4554">
        <w:rPr>
          <w:rFonts w:eastAsia="DengXian Light"/>
          <w:lang w:eastAsia="en-US"/>
        </w:rPr>
        <w:t xml:space="preserve">, E., Ahmad, R., </w:t>
      </w:r>
      <w:proofErr w:type="spellStart"/>
      <w:r w:rsidRPr="00EE4554">
        <w:rPr>
          <w:rFonts w:eastAsia="DengXian Light"/>
          <w:lang w:eastAsia="en-US"/>
        </w:rPr>
        <w:t>Vasilakis</w:t>
      </w:r>
      <w:proofErr w:type="spellEnd"/>
      <w:r w:rsidRPr="00EE4554">
        <w:rPr>
          <w:rFonts w:eastAsia="DengXian Light"/>
          <w:lang w:eastAsia="en-US"/>
        </w:rPr>
        <w:t>, C. and Southern, D. (2017)</w:t>
      </w:r>
      <w:r w:rsidR="005A140D">
        <w:rPr>
          <w:rFonts w:eastAsia="DengXian Light"/>
          <w:lang w:eastAsia="en-US"/>
        </w:rPr>
        <w:t>.</w:t>
      </w:r>
      <w:r w:rsidRPr="00EE4554">
        <w:rPr>
          <w:rFonts w:eastAsia="DengXian Light"/>
          <w:lang w:eastAsia="en-US"/>
        </w:rPr>
        <w:t xml:space="preserve"> A discrete event simulation model to evaluate the use of community services in the treatment of </w:t>
      </w:r>
      <w:r w:rsidRPr="00EE4554">
        <w:rPr>
          <w:rFonts w:eastAsia="DengXian Light"/>
          <w:lang w:eastAsia="en-US"/>
        </w:rPr>
        <w:lastRenderedPageBreak/>
        <w:t>patients with Parkinson’s disease in the United Kingdom</w:t>
      </w:r>
      <w:r w:rsidR="005A140D">
        <w:rPr>
          <w:rFonts w:eastAsia="DengXian Light"/>
          <w:lang w:eastAsia="en-US"/>
        </w:rPr>
        <w:t>.</w:t>
      </w:r>
      <w:r w:rsidRPr="00EE4554">
        <w:rPr>
          <w:rFonts w:eastAsia="DengXian Light"/>
          <w:lang w:eastAsia="en-US"/>
        </w:rPr>
        <w:t xml:space="preserve"> BMC Health Services Research, 17</w:t>
      </w:r>
      <w:r w:rsidR="005A140D">
        <w:rPr>
          <w:rFonts w:eastAsia="DengXian Light"/>
          <w:lang w:eastAsia="en-US"/>
        </w:rPr>
        <w:t>(</w:t>
      </w:r>
      <w:r w:rsidRPr="00EE4554">
        <w:rPr>
          <w:rFonts w:eastAsia="DengXian Light"/>
          <w:lang w:eastAsia="en-US"/>
        </w:rPr>
        <w:t>50</w:t>
      </w:r>
      <w:r w:rsidR="005A140D">
        <w:rPr>
          <w:rFonts w:eastAsia="DengXian Light"/>
          <w:lang w:eastAsia="en-US"/>
        </w:rPr>
        <w:t>)</w:t>
      </w:r>
      <w:r w:rsidRPr="00EE4554">
        <w:rPr>
          <w:rFonts w:eastAsia="DengXian Light"/>
          <w:lang w:eastAsia="en-US"/>
        </w:rPr>
        <w:t>, 1–14. DOI: 10.1186/s12913-017-1994-9.</w:t>
      </w:r>
    </w:p>
    <w:p w14:paraId="2B89295C" w14:textId="48C66D2E" w:rsidR="00EE4554" w:rsidRPr="00EE4554" w:rsidRDefault="00EE4554" w:rsidP="00EE4554">
      <w:pPr>
        <w:spacing w:line="240" w:lineRule="auto"/>
        <w:jc w:val="left"/>
        <w:rPr>
          <w:rFonts w:eastAsia="DengXian Light"/>
          <w:lang w:eastAsia="en-US"/>
        </w:rPr>
      </w:pPr>
      <w:proofErr w:type="spellStart"/>
      <w:r w:rsidRPr="00EE4554">
        <w:rPr>
          <w:rFonts w:eastAsia="DengXian Light"/>
          <w:lang w:eastAsia="en-US"/>
        </w:rPr>
        <w:t>Macal</w:t>
      </w:r>
      <w:proofErr w:type="spellEnd"/>
      <w:r w:rsidRPr="00EE4554">
        <w:rPr>
          <w:rFonts w:eastAsia="DengXian Light"/>
          <w:lang w:eastAsia="en-US"/>
        </w:rPr>
        <w:t>, C. M. and North, M. J. (2010)</w:t>
      </w:r>
      <w:r w:rsidR="00195B73">
        <w:rPr>
          <w:rFonts w:eastAsia="DengXian Light"/>
          <w:lang w:eastAsia="en-US"/>
        </w:rPr>
        <w:t>.</w:t>
      </w:r>
      <w:r w:rsidRPr="00EE4554">
        <w:rPr>
          <w:rFonts w:eastAsia="DengXian Light"/>
          <w:lang w:eastAsia="en-US"/>
        </w:rPr>
        <w:t xml:space="preserve"> Tutorial on agent-based modelling and simulation</w:t>
      </w:r>
      <w:r w:rsidR="00195B73">
        <w:rPr>
          <w:rFonts w:eastAsia="DengXian Light"/>
          <w:lang w:eastAsia="en-US"/>
        </w:rPr>
        <w:t>.</w:t>
      </w:r>
      <w:r w:rsidRPr="00EE4554">
        <w:rPr>
          <w:rFonts w:eastAsia="DengXian Light"/>
          <w:lang w:eastAsia="en-US"/>
        </w:rPr>
        <w:t xml:space="preserve"> Journal of Simulation, 4</w:t>
      </w:r>
      <w:r w:rsidR="00195B73">
        <w:rPr>
          <w:rFonts w:eastAsia="DengXian Light"/>
          <w:lang w:eastAsia="en-US"/>
        </w:rPr>
        <w:t>(</w:t>
      </w:r>
      <w:r w:rsidRPr="00EE4554">
        <w:rPr>
          <w:rFonts w:eastAsia="DengXian Light"/>
          <w:lang w:eastAsia="en-US"/>
        </w:rPr>
        <w:t>3</w:t>
      </w:r>
      <w:r w:rsidR="00195B73">
        <w:rPr>
          <w:rFonts w:eastAsia="DengXian Light"/>
          <w:lang w:eastAsia="en-US"/>
        </w:rPr>
        <w:t>)</w:t>
      </w:r>
      <w:r w:rsidRPr="00EE4554">
        <w:rPr>
          <w:rFonts w:eastAsia="DengXian Light"/>
          <w:lang w:eastAsia="en-US"/>
        </w:rPr>
        <w:t xml:space="preserve">, </w:t>
      </w:r>
      <w:r w:rsidR="00195B73">
        <w:rPr>
          <w:rFonts w:eastAsia="DengXian Light"/>
          <w:lang w:eastAsia="en-US"/>
        </w:rPr>
        <w:t>1</w:t>
      </w:r>
      <w:r w:rsidRPr="00EE4554">
        <w:rPr>
          <w:rFonts w:eastAsia="DengXian Light"/>
          <w:lang w:eastAsia="en-US"/>
        </w:rPr>
        <w:t>51–162. DOI: 10.1057/jos.2010.3.</w:t>
      </w:r>
    </w:p>
    <w:p w14:paraId="48048590" w14:textId="5592A4B6" w:rsidR="00EE4554" w:rsidRPr="00EE4554" w:rsidRDefault="00EE4554" w:rsidP="00EE4554">
      <w:pPr>
        <w:spacing w:line="240" w:lineRule="auto"/>
        <w:jc w:val="left"/>
        <w:rPr>
          <w:rFonts w:eastAsia="DengXian Light"/>
          <w:lang w:eastAsia="en-US"/>
        </w:rPr>
      </w:pPr>
      <w:proofErr w:type="spellStart"/>
      <w:r w:rsidRPr="00EE4554">
        <w:rPr>
          <w:rFonts w:eastAsia="DengXian Light"/>
          <w:lang w:eastAsia="en-US"/>
        </w:rPr>
        <w:t>Maroufkhani</w:t>
      </w:r>
      <w:proofErr w:type="spellEnd"/>
      <w:r w:rsidRPr="00EE4554">
        <w:rPr>
          <w:rFonts w:eastAsia="DengXian Light"/>
          <w:lang w:eastAsia="en-US"/>
        </w:rPr>
        <w:t xml:space="preserve">, A., </w:t>
      </w:r>
      <w:proofErr w:type="spellStart"/>
      <w:r w:rsidRPr="00EE4554">
        <w:rPr>
          <w:rFonts w:eastAsia="DengXian Light"/>
          <w:lang w:eastAsia="en-US"/>
        </w:rPr>
        <w:t>Lanzarone</w:t>
      </w:r>
      <w:proofErr w:type="spellEnd"/>
      <w:r w:rsidRPr="00EE4554">
        <w:rPr>
          <w:rFonts w:eastAsia="DengXian Light"/>
          <w:lang w:eastAsia="en-US"/>
        </w:rPr>
        <w:t xml:space="preserve">, E., </w:t>
      </w:r>
      <w:proofErr w:type="spellStart"/>
      <w:r w:rsidRPr="00EE4554">
        <w:rPr>
          <w:rFonts w:eastAsia="DengXian Light"/>
          <w:lang w:eastAsia="en-US"/>
        </w:rPr>
        <w:t>Castelnovo</w:t>
      </w:r>
      <w:proofErr w:type="spellEnd"/>
      <w:r w:rsidRPr="00EE4554">
        <w:rPr>
          <w:rFonts w:eastAsia="DengXian Light"/>
          <w:lang w:eastAsia="en-US"/>
        </w:rPr>
        <w:t xml:space="preserve">, C. and Di </w:t>
      </w:r>
      <w:proofErr w:type="spellStart"/>
      <w:r w:rsidRPr="00EE4554">
        <w:rPr>
          <w:rFonts w:eastAsia="DengXian Light"/>
          <w:lang w:eastAsia="en-US"/>
        </w:rPr>
        <w:t>Mascolo</w:t>
      </w:r>
      <w:proofErr w:type="spellEnd"/>
      <w:r w:rsidRPr="00EE4554">
        <w:rPr>
          <w:rFonts w:eastAsia="DengXian Light"/>
          <w:lang w:eastAsia="en-US"/>
        </w:rPr>
        <w:t xml:space="preserve">, M. (2016) ‘A </w:t>
      </w:r>
      <w:r w:rsidR="00195B73" w:rsidRPr="00EE4554">
        <w:rPr>
          <w:rFonts w:eastAsia="DengXian Light"/>
          <w:lang w:eastAsia="en-US"/>
        </w:rPr>
        <w:t>discrete event simulation model for the admission of patients to a home care rehabilitation service’</w:t>
      </w:r>
      <w:r w:rsidRPr="00EE4554">
        <w:rPr>
          <w:rFonts w:eastAsia="DengXian Light"/>
          <w:lang w:eastAsia="en-US"/>
        </w:rPr>
        <w:t xml:space="preserve">, in Matta, A., </w:t>
      </w:r>
      <w:proofErr w:type="spellStart"/>
      <w:r w:rsidRPr="00EE4554">
        <w:rPr>
          <w:rFonts w:eastAsia="DengXian Light"/>
          <w:lang w:eastAsia="en-US"/>
        </w:rPr>
        <w:t>Sahin</w:t>
      </w:r>
      <w:proofErr w:type="spellEnd"/>
      <w:r w:rsidRPr="00EE4554">
        <w:rPr>
          <w:rFonts w:eastAsia="DengXian Light"/>
          <w:lang w:eastAsia="en-US"/>
        </w:rPr>
        <w:t xml:space="preserve">, E., Li, J., </w:t>
      </w:r>
      <w:proofErr w:type="spellStart"/>
      <w:r w:rsidRPr="00EE4554">
        <w:rPr>
          <w:rFonts w:eastAsia="DengXian Light"/>
          <w:lang w:eastAsia="en-US"/>
        </w:rPr>
        <w:t>Guinet</w:t>
      </w:r>
      <w:proofErr w:type="spellEnd"/>
      <w:r w:rsidRPr="00EE4554">
        <w:rPr>
          <w:rFonts w:eastAsia="DengXian Light"/>
          <w:lang w:eastAsia="en-US"/>
        </w:rPr>
        <w:t xml:space="preserve">, A., and </w:t>
      </w:r>
      <w:proofErr w:type="spellStart"/>
      <w:r w:rsidRPr="00EE4554">
        <w:rPr>
          <w:rFonts w:eastAsia="DengXian Light"/>
          <w:lang w:eastAsia="en-US"/>
        </w:rPr>
        <w:t>Vandaele</w:t>
      </w:r>
      <w:proofErr w:type="spellEnd"/>
      <w:r w:rsidRPr="00EE4554">
        <w:rPr>
          <w:rFonts w:eastAsia="DengXian Light"/>
          <w:lang w:eastAsia="en-US"/>
        </w:rPr>
        <w:t>, N. J. (</w:t>
      </w:r>
      <w:proofErr w:type="spellStart"/>
      <w:r w:rsidRPr="00EE4554">
        <w:rPr>
          <w:rFonts w:eastAsia="DengXian Light"/>
          <w:lang w:eastAsia="en-US"/>
        </w:rPr>
        <w:t>eds</w:t>
      </w:r>
      <w:proofErr w:type="spellEnd"/>
      <w:r w:rsidRPr="00EE4554">
        <w:rPr>
          <w:rFonts w:eastAsia="DengXian Light"/>
          <w:lang w:eastAsia="en-US"/>
        </w:rPr>
        <w:t xml:space="preserve">), </w:t>
      </w:r>
      <w:r w:rsidRPr="00195B73">
        <w:rPr>
          <w:rFonts w:eastAsia="DengXian Light"/>
          <w:i/>
          <w:iCs/>
          <w:lang w:eastAsia="en-US"/>
        </w:rPr>
        <w:t>Health Care Systems Engineering for Scientists and Practitioners</w:t>
      </w:r>
      <w:r w:rsidRPr="00EE4554">
        <w:rPr>
          <w:rFonts w:eastAsia="DengXian Light"/>
          <w:lang w:eastAsia="en-US"/>
        </w:rPr>
        <w:t>, Springer Proceedings in Mathematics &amp; Statistics, Cham, Springer International Publishing, vol. 169.</w:t>
      </w:r>
    </w:p>
    <w:p w14:paraId="7084C8AA" w14:textId="3AC993AB" w:rsidR="00EE4554" w:rsidRPr="00EE4554" w:rsidRDefault="00EE4554" w:rsidP="00EE4554">
      <w:pPr>
        <w:spacing w:line="240" w:lineRule="auto"/>
        <w:jc w:val="left"/>
        <w:rPr>
          <w:rFonts w:eastAsia="DengXian Light"/>
          <w:lang w:eastAsia="en-US"/>
        </w:rPr>
      </w:pPr>
      <w:r w:rsidRPr="00EE4554">
        <w:rPr>
          <w:rFonts w:eastAsia="DengXian Light"/>
          <w:lang w:eastAsia="en-US"/>
        </w:rPr>
        <w:t xml:space="preserve">McClendon, M. J., Smyth, K. A. and </w:t>
      </w:r>
      <w:proofErr w:type="spellStart"/>
      <w:r w:rsidRPr="00EE4554">
        <w:rPr>
          <w:rFonts w:eastAsia="DengXian Light"/>
          <w:lang w:eastAsia="en-US"/>
        </w:rPr>
        <w:t>Neundorfer</w:t>
      </w:r>
      <w:proofErr w:type="spellEnd"/>
      <w:r w:rsidRPr="00EE4554">
        <w:rPr>
          <w:rFonts w:eastAsia="DengXian Light"/>
          <w:lang w:eastAsia="en-US"/>
        </w:rPr>
        <w:t>, M. M. (2006)</w:t>
      </w:r>
      <w:r w:rsidR="00195B73">
        <w:rPr>
          <w:rFonts w:eastAsia="DengXian Light"/>
          <w:lang w:eastAsia="en-US"/>
        </w:rPr>
        <w:t xml:space="preserve">. </w:t>
      </w:r>
      <w:r w:rsidRPr="00EE4554">
        <w:rPr>
          <w:rFonts w:eastAsia="DengXian Light"/>
          <w:lang w:eastAsia="en-US"/>
        </w:rPr>
        <w:t xml:space="preserve"> Long-term-care placement and survival of persons with Alzheimer’s disease</w:t>
      </w:r>
      <w:r w:rsidR="00195B73">
        <w:rPr>
          <w:rFonts w:eastAsia="DengXian Light"/>
          <w:lang w:eastAsia="en-US"/>
        </w:rPr>
        <w:t xml:space="preserve">. </w:t>
      </w:r>
      <w:r w:rsidRPr="00EE4554">
        <w:rPr>
          <w:rFonts w:eastAsia="DengXian Light"/>
          <w:lang w:eastAsia="en-US"/>
        </w:rPr>
        <w:t xml:space="preserve"> The Journals of Gerontology. Series B, Psychological Sciences and Social Sciences, 61</w:t>
      </w:r>
      <w:r w:rsidR="00195B73">
        <w:rPr>
          <w:rFonts w:eastAsia="DengXian Light"/>
          <w:lang w:eastAsia="en-US"/>
        </w:rPr>
        <w:t>(</w:t>
      </w:r>
      <w:r w:rsidRPr="00EE4554">
        <w:rPr>
          <w:rFonts w:eastAsia="DengXian Light"/>
          <w:lang w:eastAsia="en-US"/>
        </w:rPr>
        <w:t>4</w:t>
      </w:r>
      <w:r w:rsidR="00195B73">
        <w:rPr>
          <w:rFonts w:eastAsia="DengXian Light"/>
          <w:lang w:eastAsia="en-US"/>
        </w:rPr>
        <w:t>)</w:t>
      </w:r>
      <w:r w:rsidRPr="00EE4554">
        <w:rPr>
          <w:rFonts w:eastAsia="DengXian Light"/>
          <w:lang w:eastAsia="en-US"/>
        </w:rPr>
        <w:t>, 220–227.</w:t>
      </w:r>
    </w:p>
    <w:p w14:paraId="4535F5AF" w14:textId="2BE505DD" w:rsidR="00EE4554" w:rsidRPr="00EE4554" w:rsidRDefault="00EE4554" w:rsidP="00EE4554">
      <w:pPr>
        <w:spacing w:line="240" w:lineRule="auto"/>
        <w:jc w:val="left"/>
        <w:rPr>
          <w:rFonts w:eastAsia="DengXian Light"/>
          <w:lang w:eastAsia="en-US"/>
        </w:rPr>
      </w:pPr>
      <w:r w:rsidRPr="00EE4554">
        <w:rPr>
          <w:rFonts w:eastAsia="DengXian Light"/>
          <w:lang w:eastAsia="en-US"/>
        </w:rPr>
        <w:t>Morgan, J. S., Howick, S. &amp; Belton, V.</w:t>
      </w:r>
      <w:r w:rsidR="00195B73">
        <w:rPr>
          <w:rFonts w:eastAsia="DengXian Light"/>
          <w:lang w:eastAsia="en-US"/>
        </w:rPr>
        <w:t xml:space="preserve"> (2017). </w:t>
      </w:r>
      <w:r w:rsidRPr="00EE4554">
        <w:rPr>
          <w:rFonts w:eastAsia="DengXian Light"/>
          <w:lang w:eastAsia="en-US"/>
        </w:rPr>
        <w:t xml:space="preserve"> A toolkit of designs for mixing Discrete Event Simulation and System Dynamics. European Journal of Operational Research 257, 907-918.</w:t>
      </w:r>
    </w:p>
    <w:p w14:paraId="3E0E504B" w14:textId="6DB3DCAB" w:rsidR="00EE4554" w:rsidRPr="00EE4554" w:rsidRDefault="00EE4554" w:rsidP="00EE4554">
      <w:pPr>
        <w:spacing w:line="240" w:lineRule="auto"/>
        <w:jc w:val="left"/>
        <w:rPr>
          <w:rFonts w:eastAsia="DengXian Light"/>
          <w:lang w:eastAsia="en-US"/>
        </w:rPr>
      </w:pPr>
      <w:r w:rsidRPr="00EE4554">
        <w:rPr>
          <w:rFonts w:eastAsia="DengXian Light"/>
          <w:lang w:eastAsia="en-US"/>
        </w:rPr>
        <w:t>Onggo, S. (2012)</w:t>
      </w:r>
      <w:r w:rsidR="00195B73">
        <w:rPr>
          <w:rFonts w:eastAsia="DengXian Light"/>
          <w:lang w:eastAsia="en-US"/>
        </w:rPr>
        <w:t>.</w:t>
      </w:r>
      <w:r w:rsidRPr="00EE4554">
        <w:rPr>
          <w:rFonts w:eastAsia="DengXian Light"/>
          <w:lang w:eastAsia="en-US"/>
        </w:rPr>
        <w:t xml:space="preserve"> Adult Social Care Workforce Analysis in England: A System Dynamics Approach</w:t>
      </w:r>
      <w:r w:rsidR="00195B73">
        <w:rPr>
          <w:rFonts w:eastAsia="DengXian Light"/>
          <w:lang w:eastAsia="en-US"/>
        </w:rPr>
        <w:t>.</w:t>
      </w:r>
      <w:r w:rsidRPr="00EE4554">
        <w:rPr>
          <w:rFonts w:eastAsia="DengXian Light"/>
          <w:lang w:eastAsia="en-US"/>
        </w:rPr>
        <w:t xml:space="preserve"> International Journal of System Dynamics Applications, 1</w:t>
      </w:r>
      <w:r w:rsidR="00195B73">
        <w:rPr>
          <w:rFonts w:eastAsia="DengXian Light"/>
          <w:lang w:eastAsia="en-US"/>
        </w:rPr>
        <w:t>(</w:t>
      </w:r>
      <w:r w:rsidRPr="00EE4554">
        <w:rPr>
          <w:rFonts w:eastAsia="DengXian Light"/>
          <w:lang w:eastAsia="en-US"/>
        </w:rPr>
        <w:t>4</w:t>
      </w:r>
      <w:r w:rsidR="00195B73">
        <w:rPr>
          <w:rFonts w:eastAsia="DengXian Light"/>
          <w:lang w:eastAsia="en-US"/>
        </w:rPr>
        <w:t>)</w:t>
      </w:r>
      <w:r w:rsidRPr="00EE4554">
        <w:rPr>
          <w:rFonts w:eastAsia="DengXian Light"/>
          <w:lang w:eastAsia="en-US"/>
        </w:rPr>
        <w:t>, 1–20. DOI: 10.4018/ijsda.2012100101.</w:t>
      </w:r>
    </w:p>
    <w:p w14:paraId="7D488E09" w14:textId="317D8012" w:rsidR="00EE4554" w:rsidRPr="00EE4554" w:rsidRDefault="00EE4554" w:rsidP="00EE4554">
      <w:pPr>
        <w:spacing w:line="240" w:lineRule="auto"/>
        <w:jc w:val="left"/>
        <w:rPr>
          <w:rFonts w:eastAsia="DengXian Light"/>
          <w:lang w:eastAsia="en-US"/>
        </w:rPr>
      </w:pPr>
      <w:r w:rsidRPr="00DB5D3C">
        <w:rPr>
          <w:rFonts w:eastAsia="DengXian Light"/>
          <w:lang w:eastAsia="en-US"/>
        </w:rPr>
        <w:t xml:space="preserve">Patel, A., </w:t>
      </w:r>
      <w:proofErr w:type="spellStart"/>
      <w:r w:rsidRPr="00DB5D3C">
        <w:rPr>
          <w:rFonts w:eastAsia="DengXian Light"/>
          <w:lang w:eastAsia="en-US"/>
        </w:rPr>
        <w:t>Berdunov</w:t>
      </w:r>
      <w:proofErr w:type="spellEnd"/>
      <w:r w:rsidRPr="00DB5D3C">
        <w:rPr>
          <w:rFonts w:eastAsia="DengXian Light"/>
          <w:lang w:eastAsia="en-US"/>
        </w:rPr>
        <w:t xml:space="preserve">, V., </w:t>
      </w:r>
      <w:proofErr w:type="spellStart"/>
      <w:r w:rsidRPr="00DB5D3C">
        <w:rPr>
          <w:rFonts w:eastAsia="DengXian Light"/>
          <w:lang w:eastAsia="en-US"/>
        </w:rPr>
        <w:t>Quayyum</w:t>
      </w:r>
      <w:proofErr w:type="spellEnd"/>
      <w:r w:rsidRPr="00DB5D3C">
        <w:rPr>
          <w:rFonts w:eastAsia="DengXian Light"/>
          <w:lang w:eastAsia="en-US"/>
        </w:rPr>
        <w:t>, Z., King, D., Knapp, M. and Wittenberg, R. (2020)</w:t>
      </w:r>
      <w:r w:rsidR="00E90A4E" w:rsidRPr="00DB5D3C">
        <w:rPr>
          <w:rFonts w:eastAsia="DengXian Light"/>
          <w:lang w:eastAsia="en-US"/>
        </w:rPr>
        <w:t>.</w:t>
      </w:r>
      <w:r w:rsidRPr="00DB5D3C">
        <w:rPr>
          <w:rFonts w:eastAsia="DengXian Light"/>
          <w:lang w:eastAsia="en-US"/>
        </w:rPr>
        <w:t xml:space="preserve"> </w:t>
      </w:r>
      <w:r w:rsidRPr="00EE4554">
        <w:rPr>
          <w:rFonts w:eastAsia="DengXian Light"/>
          <w:lang w:eastAsia="en-US"/>
        </w:rPr>
        <w:t>Estimated societal costs of stroke in the UK based on a discrete event simulation</w:t>
      </w:r>
      <w:r w:rsidR="00E90A4E">
        <w:rPr>
          <w:rFonts w:eastAsia="DengXian Light"/>
          <w:lang w:eastAsia="en-US"/>
        </w:rPr>
        <w:t>.</w:t>
      </w:r>
      <w:r w:rsidRPr="00EE4554">
        <w:rPr>
          <w:rFonts w:eastAsia="DengXian Light"/>
          <w:lang w:eastAsia="en-US"/>
        </w:rPr>
        <w:t xml:space="preserve"> Age and Ageing, 49</w:t>
      </w:r>
      <w:r w:rsidR="00E90A4E">
        <w:rPr>
          <w:rFonts w:eastAsia="DengXian Light"/>
          <w:lang w:eastAsia="en-US"/>
        </w:rPr>
        <w:t>(</w:t>
      </w:r>
      <w:r w:rsidRPr="00EE4554">
        <w:rPr>
          <w:rFonts w:eastAsia="DengXian Light"/>
          <w:lang w:eastAsia="en-US"/>
        </w:rPr>
        <w:t>2</w:t>
      </w:r>
      <w:r w:rsidR="00E90A4E">
        <w:rPr>
          <w:rFonts w:eastAsia="DengXian Light"/>
          <w:lang w:eastAsia="en-US"/>
        </w:rPr>
        <w:t>)</w:t>
      </w:r>
      <w:r w:rsidRPr="00EE4554">
        <w:rPr>
          <w:rFonts w:eastAsia="DengXian Light"/>
          <w:lang w:eastAsia="en-US"/>
        </w:rPr>
        <w:t>, 270–276. DOI: 10.1093/ageing/afz162.</w:t>
      </w:r>
    </w:p>
    <w:p w14:paraId="637DF0BE" w14:textId="2206D373" w:rsidR="00EE4554" w:rsidRPr="00EE4554" w:rsidRDefault="00EE4554" w:rsidP="00EE4554">
      <w:pPr>
        <w:spacing w:line="240" w:lineRule="auto"/>
        <w:jc w:val="left"/>
        <w:rPr>
          <w:rFonts w:eastAsia="DengXian Light"/>
          <w:lang w:eastAsia="en-US"/>
        </w:rPr>
      </w:pPr>
      <w:r w:rsidRPr="00EE4554">
        <w:rPr>
          <w:rFonts w:eastAsia="DengXian Light"/>
          <w:lang w:eastAsia="en-US"/>
        </w:rPr>
        <w:t xml:space="preserve">Prince, M., Knapp, M., </w:t>
      </w:r>
      <w:proofErr w:type="spellStart"/>
      <w:r w:rsidRPr="00EE4554">
        <w:rPr>
          <w:rFonts w:eastAsia="DengXian Light"/>
          <w:lang w:eastAsia="en-US"/>
        </w:rPr>
        <w:t>Guerchet</w:t>
      </w:r>
      <w:proofErr w:type="spellEnd"/>
      <w:r w:rsidRPr="00EE4554">
        <w:rPr>
          <w:rFonts w:eastAsia="DengXian Light"/>
          <w:lang w:eastAsia="en-US"/>
        </w:rPr>
        <w:t xml:space="preserve">, M., </w:t>
      </w:r>
      <w:proofErr w:type="spellStart"/>
      <w:r w:rsidRPr="00EE4554">
        <w:rPr>
          <w:rFonts w:eastAsia="DengXian Light"/>
          <w:lang w:eastAsia="en-US"/>
        </w:rPr>
        <w:t>McCrone</w:t>
      </w:r>
      <w:proofErr w:type="spellEnd"/>
      <w:r w:rsidRPr="00EE4554">
        <w:rPr>
          <w:rFonts w:eastAsia="DengXian Light"/>
          <w:lang w:eastAsia="en-US"/>
        </w:rPr>
        <w:t xml:space="preserve">, P., </w:t>
      </w:r>
      <w:proofErr w:type="spellStart"/>
      <w:r w:rsidRPr="00EE4554">
        <w:rPr>
          <w:rFonts w:eastAsia="DengXian Light"/>
          <w:lang w:eastAsia="en-US"/>
        </w:rPr>
        <w:t>Prina</w:t>
      </w:r>
      <w:proofErr w:type="spellEnd"/>
      <w:r w:rsidRPr="00EE4554">
        <w:rPr>
          <w:rFonts w:eastAsia="DengXian Light"/>
          <w:lang w:eastAsia="en-US"/>
        </w:rPr>
        <w:t xml:space="preserve">, M., Comas-Herrera, A., Wittenberg, R., </w:t>
      </w:r>
      <w:proofErr w:type="spellStart"/>
      <w:r w:rsidRPr="00EE4554">
        <w:rPr>
          <w:rFonts w:eastAsia="DengXian Light"/>
          <w:lang w:eastAsia="en-US"/>
        </w:rPr>
        <w:t>Adelaja</w:t>
      </w:r>
      <w:proofErr w:type="spellEnd"/>
      <w:r w:rsidRPr="00EE4554">
        <w:rPr>
          <w:rFonts w:eastAsia="DengXian Light"/>
          <w:lang w:eastAsia="en-US"/>
        </w:rPr>
        <w:t xml:space="preserve">, B., Hu, B., King, D., </w:t>
      </w:r>
      <w:proofErr w:type="spellStart"/>
      <w:r w:rsidRPr="00EE4554">
        <w:rPr>
          <w:rFonts w:eastAsia="DengXian Light"/>
          <w:lang w:eastAsia="en-US"/>
        </w:rPr>
        <w:t>Rehill</w:t>
      </w:r>
      <w:proofErr w:type="spellEnd"/>
      <w:r w:rsidRPr="00EE4554">
        <w:rPr>
          <w:rFonts w:eastAsia="DengXian Light"/>
          <w:lang w:eastAsia="en-US"/>
        </w:rPr>
        <w:t xml:space="preserve">, A. and </w:t>
      </w:r>
      <w:proofErr w:type="spellStart"/>
      <w:r w:rsidRPr="00EE4554">
        <w:rPr>
          <w:rFonts w:eastAsia="DengXian Light"/>
          <w:lang w:eastAsia="en-US"/>
        </w:rPr>
        <w:t>Salimkumar</w:t>
      </w:r>
      <w:proofErr w:type="spellEnd"/>
      <w:r w:rsidRPr="00EE4554">
        <w:rPr>
          <w:rFonts w:eastAsia="DengXian Light"/>
          <w:lang w:eastAsia="en-US"/>
        </w:rPr>
        <w:t>, D. (2014)</w:t>
      </w:r>
      <w:r w:rsidR="00E90A4E">
        <w:rPr>
          <w:rFonts w:eastAsia="DengXian Light"/>
          <w:lang w:eastAsia="en-US"/>
        </w:rPr>
        <w:t>.</w:t>
      </w:r>
      <w:r w:rsidRPr="00EE4554">
        <w:rPr>
          <w:rFonts w:eastAsia="DengXian Light"/>
          <w:lang w:eastAsia="en-US"/>
        </w:rPr>
        <w:t xml:space="preserve"> </w:t>
      </w:r>
      <w:r w:rsidRPr="00E90A4E">
        <w:rPr>
          <w:rFonts w:eastAsia="DengXian Light"/>
          <w:i/>
          <w:iCs/>
          <w:lang w:eastAsia="en-US"/>
        </w:rPr>
        <w:t>Dementia UK: Second Edition</w:t>
      </w:r>
      <w:r w:rsidRPr="00EE4554">
        <w:rPr>
          <w:rFonts w:eastAsia="DengXian Light"/>
          <w:lang w:eastAsia="en-US"/>
        </w:rPr>
        <w:t xml:space="preserve">. Available at https://www.alzheimers.org.uk/download/downloads/id/2323/dementia_uk_update.pdf (Accessed </w:t>
      </w:r>
      <w:r w:rsidR="00E90A4E">
        <w:rPr>
          <w:rFonts w:eastAsia="DengXian Light"/>
          <w:lang w:eastAsia="en-US"/>
        </w:rPr>
        <w:t>0</w:t>
      </w:r>
      <w:r w:rsidRPr="00EE4554">
        <w:rPr>
          <w:rFonts w:eastAsia="DengXian Light"/>
          <w:lang w:eastAsia="en-US"/>
        </w:rPr>
        <w:t>7</w:t>
      </w:r>
      <w:r w:rsidR="00E90A4E">
        <w:rPr>
          <w:rFonts w:eastAsia="DengXian Light"/>
          <w:lang w:eastAsia="en-US"/>
        </w:rPr>
        <w:t>.05.21</w:t>
      </w:r>
      <w:r w:rsidRPr="00EE4554">
        <w:rPr>
          <w:rFonts w:eastAsia="DengXian Light"/>
          <w:lang w:eastAsia="en-US"/>
        </w:rPr>
        <w:t>).</w:t>
      </w:r>
    </w:p>
    <w:p w14:paraId="4875F005" w14:textId="0392B5FF" w:rsidR="00EE4554" w:rsidRPr="00EE4554" w:rsidRDefault="00EE4554" w:rsidP="00EE4554">
      <w:pPr>
        <w:spacing w:line="240" w:lineRule="auto"/>
        <w:jc w:val="left"/>
        <w:rPr>
          <w:rFonts w:eastAsia="DengXian Light"/>
          <w:lang w:eastAsia="en-US"/>
        </w:rPr>
      </w:pPr>
      <w:r w:rsidRPr="00EE4554">
        <w:rPr>
          <w:rFonts w:eastAsia="DengXian Light"/>
          <w:lang w:eastAsia="en-US"/>
        </w:rPr>
        <w:t>Robinson, L., Tang, E. and Taylor, J.-P. (2015)</w:t>
      </w:r>
      <w:r w:rsidR="00E90A4E">
        <w:rPr>
          <w:rFonts w:eastAsia="DengXian Light"/>
          <w:lang w:eastAsia="en-US"/>
        </w:rPr>
        <w:t>.</w:t>
      </w:r>
      <w:r w:rsidRPr="00EE4554">
        <w:rPr>
          <w:rFonts w:eastAsia="DengXian Light"/>
          <w:lang w:eastAsia="en-US"/>
        </w:rPr>
        <w:t xml:space="preserve"> Dementia: timely diagnosis and early intervention</w:t>
      </w:r>
      <w:r w:rsidR="00E90A4E">
        <w:rPr>
          <w:rFonts w:eastAsia="DengXian Light"/>
          <w:lang w:eastAsia="en-US"/>
        </w:rPr>
        <w:t xml:space="preserve">. </w:t>
      </w:r>
      <w:r w:rsidRPr="00EE4554">
        <w:rPr>
          <w:rFonts w:eastAsia="DengXian Light"/>
          <w:lang w:eastAsia="en-US"/>
        </w:rPr>
        <w:t xml:space="preserve"> BMJ, 350</w:t>
      </w:r>
      <w:r w:rsidR="00E90A4E">
        <w:rPr>
          <w:rFonts w:eastAsia="DengXian Light"/>
          <w:lang w:eastAsia="en-US"/>
        </w:rPr>
        <w:t>,</w:t>
      </w:r>
      <w:r w:rsidRPr="00EE4554">
        <w:rPr>
          <w:rFonts w:eastAsia="DengXian Light"/>
          <w:lang w:eastAsia="en-US"/>
        </w:rPr>
        <w:t xml:space="preserve"> 3029. DOI: 10.1136/bmj.h3029.</w:t>
      </w:r>
    </w:p>
    <w:p w14:paraId="79D28C7E" w14:textId="4B1C9F19" w:rsidR="00EE4554" w:rsidRPr="00EE4554" w:rsidRDefault="00EE4554" w:rsidP="00EE4554">
      <w:pPr>
        <w:spacing w:line="240" w:lineRule="auto"/>
        <w:jc w:val="left"/>
        <w:rPr>
          <w:rFonts w:eastAsia="DengXian Light"/>
          <w:lang w:eastAsia="en-US"/>
        </w:rPr>
      </w:pPr>
      <w:proofErr w:type="spellStart"/>
      <w:r w:rsidRPr="00EE4554">
        <w:rPr>
          <w:rFonts w:eastAsia="DengXian Light"/>
          <w:lang w:eastAsia="en-US"/>
        </w:rPr>
        <w:t>Siebers</w:t>
      </w:r>
      <w:proofErr w:type="spellEnd"/>
      <w:r w:rsidRPr="00EE4554">
        <w:rPr>
          <w:rFonts w:eastAsia="DengXian Light"/>
          <w:lang w:eastAsia="en-US"/>
        </w:rPr>
        <w:t xml:space="preserve">, P.O., </w:t>
      </w:r>
      <w:proofErr w:type="spellStart"/>
      <w:r w:rsidRPr="00EE4554">
        <w:rPr>
          <w:rFonts w:eastAsia="DengXian Light"/>
          <w:lang w:eastAsia="en-US"/>
        </w:rPr>
        <w:t>Macal</w:t>
      </w:r>
      <w:proofErr w:type="spellEnd"/>
      <w:r w:rsidRPr="00EE4554">
        <w:rPr>
          <w:rFonts w:eastAsia="DengXian Light"/>
          <w:lang w:eastAsia="en-US"/>
        </w:rPr>
        <w:t xml:space="preserve">, C.M., Garnett, J., Buxton, D. and </w:t>
      </w:r>
      <w:proofErr w:type="spellStart"/>
      <w:r w:rsidRPr="00EE4554">
        <w:rPr>
          <w:rFonts w:eastAsia="DengXian Light"/>
          <w:lang w:eastAsia="en-US"/>
        </w:rPr>
        <w:t>Pidd</w:t>
      </w:r>
      <w:proofErr w:type="spellEnd"/>
      <w:r w:rsidRPr="00EE4554">
        <w:rPr>
          <w:rFonts w:eastAsia="DengXian Light"/>
          <w:lang w:eastAsia="en-US"/>
        </w:rPr>
        <w:t xml:space="preserve">, M. (2010). Discrete-event simulation is </w:t>
      </w:r>
      <w:proofErr w:type="gramStart"/>
      <w:r w:rsidRPr="00EE4554">
        <w:rPr>
          <w:rFonts w:eastAsia="DengXian Light"/>
          <w:lang w:eastAsia="en-US"/>
        </w:rPr>
        <w:t>dead,</w:t>
      </w:r>
      <w:proofErr w:type="gramEnd"/>
      <w:r w:rsidRPr="00EE4554">
        <w:rPr>
          <w:rFonts w:eastAsia="DengXian Light"/>
          <w:lang w:eastAsia="en-US"/>
        </w:rPr>
        <w:t xml:space="preserve"> long live agent-based simulation! Journal of Simulation 4(3): 204–210</w:t>
      </w:r>
      <w:r w:rsidR="00E90A4E">
        <w:rPr>
          <w:rFonts w:eastAsia="DengXian Light"/>
          <w:lang w:eastAsia="en-US"/>
        </w:rPr>
        <w:t>.</w:t>
      </w:r>
    </w:p>
    <w:p w14:paraId="6387076A" w14:textId="6ABA8CE3" w:rsidR="00EE4554" w:rsidRPr="00EE4554" w:rsidRDefault="00EE4554" w:rsidP="00EE4554">
      <w:pPr>
        <w:spacing w:line="240" w:lineRule="auto"/>
        <w:jc w:val="left"/>
        <w:rPr>
          <w:rFonts w:eastAsia="DengXian Light"/>
          <w:lang w:eastAsia="en-US"/>
        </w:rPr>
      </w:pPr>
      <w:r w:rsidRPr="00EE4554">
        <w:rPr>
          <w:rFonts w:eastAsia="DengXian Light"/>
          <w:lang w:eastAsia="en-US"/>
        </w:rPr>
        <w:t>Singh, P., Hussain, R., Khan, A., Irwin, L. and Foskey, R. (2014)</w:t>
      </w:r>
      <w:r w:rsidR="00E90A4E">
        <w:rPr>
          <w:rFonts w:eastAsia="DengXian Light"/>
          <w:lang w:eastAsia="en-US"/>
        </w:rPr>
        <w:t>.</w:t>
      </w:r>
      <w:r w:rsidRPr="00EE4554">
        <w:rPr>
          <w:rFonts w:eastAsia="DengXian Light"/>
          <w:lang w:eastAsia="en-US"/>
        </w:rPr>
        <w:t xml:space="preserve"> Dementia </w:t>
      </w:r>
      <w:r w:rsidR="00E90A4E" w:rsidRPr="00EE4554">
        <w:rPr>
          <w:rFonts w:eastAsia="DengXian Light"/>
          <w:lang w:eastAsia="en-US"/>
        </w:rPr>
        <w:t>care: intersecting informal family care and formal care system</w:t>
      </w:r>
      <w:r w:rsidRPr="00EE4554">
        <w:rPr>
          <w:rFonts w:eastAsia="DengXian Light"/>
          <w:lang w:eastAsia="en-US"/>
        </w:rPr>
        <w:t>s</w:t>
      </w:r>
      <w:r w:rsidR="00E90A4E">
        <w:rPr>
          <w:rFonts w:eastAsia="DengXian Light"/>
          <w:lang w:eastAsia="en-US"/>
        </w:rPr>
        <w:t xml:space="preserve">. </w:t>
      </w:r>
      <w:r w:rsidRPr="00EE4554">
        <w:rPr>
          <w:rFonts w:eastAsia="DengXian Light"/>
          <w:lang w:eastAsia="en-US"/>
        </w:rPr>
        <w:t xml:space="preserve"> Journal of Aging Research</w:t>
      </w:r>
      <w:proofErr w:type="gramStart"/>
      <w:r w:rsidRPr="00EE4554">
        <w:rPr>
          <w:rFonts w:eastAsia="DengXian Light"/>
          <w:lang w:eastAsia="en-US"/>
        </w:rPr>
        <w:t>,  2014</w:t>
      </w:r>
      <w:proofErr w:type="gramEnd"/>
      <w:r w:rsidRPr="00EE4554">
        <w:rPr>
          <w:rFonts w:eastAsia="DengXian Light"/>
          <w:lang w:eastAsia="en-US"/>
        </w:rPr>
        <w:t>, 1–9. DOI: 10.1155/2014/486521.</w:t>
      </w:r>
    </w:p>
    <w:p w14:paraId="4E344A32" w14:textId="4F684E9C" w:rsidR="00EE4554" w:rsidRPr="00EE4554" w:rsidRDefault="00EE4554" w:rsidP="00EE4554">
      <w:pPr>
        <w:spacing w:line="240" w:lineRule="auto"/>
        <w:jc w:val="left"/>
        <w:rPr>
          <w:rFonts w:eastAsia="DengXian Light"/>
          <w:lang w:eastAsia="en-US"/>
        </w:rPr>
      </w:pPr>
      <w:proofErr w:type="spellStart"/>
      <w:r w:rsidRPr="00EE4554">
        <w:rPr>
          <w:rFonts w:eastAsia="DengXian Light"/>
          <w:lang w:eastAsia="en-US"/>
        </w:rPr>
        <w:t>Siotia</w:t>
      </w:r>
      <w:proofErr w:type="spellEnd"/>
      <w:r w:rsidRPr="00EE4554">
        <w:rPr>
          <w:rFonts w:eastAsia="DengXian Light"/>
          <w:lang w:eastAsia="en-US"/>
        </w:rPr>
        <w:t>, R. and Simpson, C. (2008)</w:t>
      </w:r>
      <w:r w:rsidR="00E90A4E">
        <w:rPr>
          <w:rFonts w:eastAsia="DengXian Light"/>
          <w:lang w:eastAsia="en-US"/>
        </w:rPr>
        <w:t>.</w:t>
      </w:r>
      <w:r w:rsidRPr="00EE4554">
        <w:rPr>
          <w:rFonts w:eastAsia="DengXian Light"/>
          <w:lang w:eastAsia="en-US"/>
        </w:rPr>
        <w:t xml:space="preserve"> Applying telecare in dementia: what psychiatrists need to </w:t>
      </w:r>
      <w:proofErr w:type="gramStart"/>
      <w:r w:rsidRPr="00EE4554">
        <w:rPr>
          <w:rFonts w:eastAsia="DengXian Light"/>
          <w:lang w:eastAsia="en-US"/>
        </w:rPr>
        <w:t>know</w:t>
      </w:r>
      <w:r w:rsidR="00E90A4E">
        <w:rPr>
          <w:rFonts w:eastAsia="DengXian Light"/>
          <w:lang w:eastAsia="en-US"/>
        </w:rPr>
        <w:t>.</w:t>
      </w:r>
      <w:proofErr w:type="gramEnd"/>
      <w:r w:rsidRPr="00EE4554">
        <w:rPr>
          <w:rFonts w:eastAsia="DengXian Light"/>
          <w:lang w:eastAsia="en-US"/>
        </w:rPr>
        <w:t xml:space="preserve"> Advances in Psychiatric Treatment, </w:t>
      </w:r>
      <w:r w:rsidR="00E90A4E">
        <w:rPr>
          <w:rFonts w:eastAsia="DengXian Light"/>
          <w:lang w:eastAsia="en-US"/>
        </w:rPr>
        <w:t>1</w:t>
      </w:r>
      <w:r w:rsidRPr="00EE4554">
        <w:rPr>
          <w:rFonts w:eastAsia="DengXian Light"/>
          <w:lang w:eastAsia="en-US"/>
        </w:rPr>
        <w:t>4</w:t>
      </w:r>
      <w:r w:rsidR="00E90A4E">
        <w:rPr>
          <w:rFonts w:eastAsia="DengXian Light"/>
          <w:lang w:eastAsia="en-US"/>
        </w:rPr>
        <w:t>(</w:t>
      </w:r>
      <w:r w:rsidRPr="00EE4554">
        <w:rPr>
          <w:rFonts w:eastAsia="DengXian Light"/>
          <w:lang w:eastAsia="en-US"/>
        </w:rPr>
        <w:t>5</w:t>
      </w:r>
      <w:r w:rsidR="00E90A4E">
        <w:rPr>
          <w:rFonts w:eastAsia="DengXian Light"/>
          <w:lang w:eastAsia="en-US"/>
        </w:rPr>
        <w:t>)</w:t>
      </w:r>
      <w:r w:rsidRPr="00EE4554">
        <w:rPr>
          <w:rFonts w:eastAsia="DengXian Light"/>
          <w:lang w:eastAsia="en-US"/>
        </w:rPr>
        <w:t>, 382–388. DOI: 10.1192/apt.bp.107.003566.</w:t>
      </w:r>
    </w:p>
    <w:p w14:paraId="2C67FE99" w14:textId="23C41C73" w:rsidR="00EE4554" w:rsidRPr="00EE4554" w:rsidRDefault="00EE4554" w:rsidP="00EE4554">
      <w:pPr>
        <w:spacing w:line="240" w:lineRule="auto"/>
        <w:jc w:val="left"/>
        <w:rPr>
          <w:rFonts w:eastAsia="DengXian Light"/>
          <w:lang w:eastAsia="en-US"/>
        </w:rPr>
      </w:pPr>
      <w:r w:rsidRPr="00EE4554">
        <w:rPr>
          <w:rFonts w:eastAsia="DengXian Light"/>
          <w:lang w:eastAsia="en-US"/>
        </w:rPr>
        <w:t xml:space="preserve">Spackman, D. E., </w:t>
      </w:r>
      <w:proofErr w:type="spellStart"/>
      <w:r w:rsidRPr="00EE4554">
        <w:rPr>
          <w:rFonts w:eastAsia="DengXian Light"/>
          <w:lang w:eastAsia="en-US"/>
        </w:rPr>
        <w:t>Kadiyala</w:t>
      </w:r>
      <w:proofErr w:type="spellEnd"/>
      <w:r w:rsidRPr="00EE4554">
        <w:rPr>
          <w:rFonts w:eastAsia="DengXian Light"/>
          <w:lang w:eastAsia="en-US"/>
        </w:rPr>
        <w:t xml:space="preserve">, S., Neumann, P. J., </w:t>
      </w:r>
      <w:proofErr w:type="spellStart"/>
      <w:r w:rsidRPr="00EE4554">
        <w:rPr>
          <w:rFonts w:eastAsia="DengXian Light"/>
          <w:lang w:eastAsia="en-US"/>
        </w:rPr>
        <w:t>Veenstra</w:t>
      </w:r>
      <w:proofErr w:type="spellEnd"/>
      <w:r w:rsidRPr="00EE4554">
        <w:rPr>
          <w:rFonts w:eastAsia="DengXian Light"/>
          <w:lang w:eastAsia="en-US"/>
        </w:rPr>
        <w:t>, D. L. and Sullivan, S. D. (2012)</w:t>
      </w:r>
      <w:r w:rsidR="00E90A4E">
        <w:rPr>
          <w:rFonts w:eastAsia="DengXian Light"/>
          <w:lang w:eastAsia="en-US"/>
        </w:rPr>
        <w:t>.</w:t>
      </w:r>
      <w:r w:rsidRPr="00EE4554">
        <w:rPr>
          <w:rFonts w:eastAsia="DengXian Light"/>
          <w:lang w:eastAsia="en-US"/>
        </w:rPr>
        <w:t xml:space="preserve"> Measuring Alzheimer disease progression with transition probabilities: estimates from NACC-UDS. Current Alzheimer Research, 9</w:t>
      </w:r>
      <w:r w:rsidR="00E90A4E">
        <w:rPr>
          <w:rFonts w:eastAsia="DengXian Light"/>
          <w:lang w:eastAsia="en-US"/>
        </w:rPr>
        <w:t>(</w:t>
      </w:r>
      <w:r w:rsidRPr="00EE4554">
        <w:rPr>
          <w:rFonts w:eastAsia="DengXian Light"/>
          <w:lang w:eastAsia="en-US"/>
        </w:rPr>
        <w:t>9</w:t>
      </w:r>
      <w:r w:rsidR="00E90A4E">
        <w:rPr>
          <w:rFonts w:eastAsia="DengXian Light"/>
          <w:lang w:eastAsia="en-US"/>
        </w:rPr>
        <w:t>)</w:t>
      </w:r>
      <w:r w:rsidRPr="00EE4554">
        <w:rPr>
          <w:rFonts w:eastAsia="DengXian Light"/>
          <w:lang w:eastAsia="en-US"/>
        </w:rPr>
        <w:t xml:space="preserve">, </w:t>
      </w:r>
      <w:r w:rsidR="00E90A4E">
        <w:rPr>
          <w:rFonts w:eastAsia="DengXian Light"/>
          <w:lang w:eastAsia="en-US"/>
        </w:rPr>
        <w:t>1</w:t>
      </w:r>
      <w:r w:rsidRPr="00EE4554">
        <w:rPr>
          <w:rFonts w:eastAsia="DengXian Light"/>
          <w:lang w:eastAsia="en-US"/>
        </w:rPr>
        <w:t>050–</w:t>
      </w:r>
      <w:r w:rsidR="00E90A4E">
        <w:rPr>
          <w:rFonts w:eastAsia="DengXian Light"/>
          <w:lang w:eastAsia="en-US"/>
        </w:rPr>
        <w:t>5</w:t>
      </w:r>
      <w:r w:rsidRPr="00EE4554">
        <w:rPr>
          <w:rFonts w:eastAsia="DengXian Light"/>
          <w:lang w:eastAsia="en-US"/>
        </w:rPr>
        <w:t>8. DOI: 10.2174/156720512803569046.</w:t>
      </w:r>
    </w:p>
    <w:p w14:paraId="2C9F100C" w14:textId="08BB98C1" w:rsidR="00EE4554" w:rsidRPr="00EE4554" w:rsidRDefault="00EE4554" w:rsidP="00EE4554">
      <w:pPr>
        <w:spacing w:line="240" w:lineRule="auto"/>
        <w:jc w:val="left"/>
        <w:rPr>
          <w:rFonts w:eastAsia="DengXian Light"/>
          <w:lang w:eastAsia="en-US"/>
        </w:rPr>
      </w:pPr>
      <w:proofErr w:type="spellStart"/>
      <w:r w:rsidRPr="00EE4554">
        <w:rPr>
          <w:rFonts w:eastAsia="DengXian Light"/>
          <w:lang w:eastAsia="en-US"/>
        </w:rPr>
        <w:t>Standfield</w:t>
      </w:r>
      <w:proofErr w:type="spellEnd"/>
      <w:r w:rsidRPr="00EE4554">
        <w:rPr>
          <w:rFonts w:eastAsia="DengXian Light"/>
          <w:lang w:eastAsia="en-US"/>
        </w:rPr>
        <w:t xml:space="preserve">, L., </w:t>
      </w:r>
      <w:proofErr w:type="spellStart"/>
      <w:r w:rsidRPr="00EE4554">
        <w:rPr>
          <w:rFonts w:eastAsia="DengXian Light"/>
          <w:lang w:eastAsia="en-US"/>
        </w:rPr>
        <w:t>Comans</w:t>
      </w:r>
      <w:proofErr w:type="spellEnd"/>
      <w:r w:rsidRPr="00EE4554">
        <w:rPr>
          <w:rFonts w:eastAsia="DengXian Light"/>
          <w:lang w:eastAsia="en-US"/>
        </w:rPr>
        <w:t xml:space="preserve">, T. and </w:t>
      </w:r>
      <w:proofErr w:type="spellStart"/>
      <w:r w:rsidRPr="00EE4554">
        <w:rPr>
          <w:rFonts w:eastAsia="DengXian Light"/>
          <w:lang w:eastAsia="en-US"/>
        </w:rPr>
        <w:t>Scuffham</w:t>
      </w:r>
      <w:proofErr w:type="spellEnd"/>
      <w:r w:rsidRPr="00EE4554">
        <w:rPr>
          <w:rFonts w:eastAsia="DengXian Light"/>
          <w:lang w:eastAsia="en-US"/>
        </w:rPr>
        <w:t>, P. A. (2019)</w:t>
      </w:r>
      <w:r w:rsidR="00E90A4E">
        <w:rPr>
          <w:rFonts w:eastAsia="DengXian Light"/>
          <w:lang w:eastAsia="en-US"/>
        </w:rPr>
        <w:t>.</w:t>
      </w:r>
      <w:r w:rsidRPr="00EE4554">
        <w:rPr>
          <w:rFonts w:eastAsia="DengXian Light"/>
          <w:lang w:eastAsia="en-US"/>
        </w:rPr>
        <w:t xml:space="preserve"> Simulation of health care and related costs in people with dementia in Australia, Australian Health Review: A </w:t>
      </w:r>
      <w:r w:rsidRPr="00EE4554">
        <w:rPr>
          <w:rFonts w:eastAsia="DengXian Light"/>
          <w:lang w:eastAsia="en-US"/>
        </w:rPr>
        <w:lastRenderedPageBreak/>
        <w:t>Publication of the Australian Hospital Association, 43</w:t>
      </w:r>
      <w:r w:rsidR="00E90A4E">
        <w:rPr>
          <w:rFonts w:eastAsia="DengXian Light"/>
          <w:lang w:eastAsia="en-US"/>
        </w:rPr>
        <w:t>(</w:t>
      </w:r>
      <w:r w:rsidRPr="00EE4554">
        <w:rPr>
          <w:rFonts w:eastAsia="DengXian Light"/>
          <w:lang w:eastAsia="en-US"/>
        </w:rPr>
        <w:t>5</w:t>
      </w:r>
      <w:r w:rsidR="00E90A4E">
        <w:rPr>
          <w:rFonts w:eastAsia="DengXian Light"/>
          <w:lang w:eastAsia="en-US"/>
        </w:rPr>
        <w:t>)</w:t>
      </w:r>
      <w:r w:rsidRPr="00EE4554">
        <w:rPr>
          <w:rFonts w:eastAsia="DengXian Light"/>
          <w:lang w:eastAsia="en-US"/>
        </w:rPr>
        <w:t>, 531–539. DOI: 10.1071/AH18022.</w:t>
      </w:r>
    </w:p>
    <w:p w14:paraId="6D375561" w14:textId="5097EE24" w:rsidR="00EE4554" w:rsidRPr="00EE4554" w:rsidRDefault="00EE4554" w:rsidP="00EE4554">
      <w:pPr>
        <w:spacing w:line="240" w:lineRule="auto"/>
        <w:jc w:val="left"/>
        <w:rPr>
          <w:rFonts w:eastAsia="DengXian Light"/>
          <w:lang w:eastAsia="en-US"/>
        </w:rPr>
      </w:pPr>
      <w:r w:rsidRPr="00EE4554">
        <w:rPr>
          <w:rFonts w:eastAsia="DengXian Light"/>
          <w:lang w:eastAsia="en-US"/>
        </w:rPr>
        <w:t xml:space="preserve">Thompson, J. P., Riley, C. M. and </w:t>
      </w:r>
      <w:proofErr w:type="spellStart"/>
      <w:r w:rsidRPr="00EE4554">
        <w:rPr>
          <w:rFonts w:eastAsia="DengXian Light"/>
          <w:lang w:eastAsia="en-US"/>
        </w:rPr>
        <w:t>Eberlein</w:t>
      </w:r>
      <w:proofErr w:type="spellEnd"/>
      <w:r w:rsidRPr="00EE4554">
        <w:rPr>
          <w:rFonts w:eastAsia="DengXian Light"/>
          <w:lang w:eastAsia="en-US"/>
        </w:rPr>
        <w:t>, R. L. (2013)</w:t>
      </w:r>
      <w:r w:rsidR="00551899">
        <w:rPr>
          <w:rFonts w:eastAsia="DengXian Light"/>
          <w:lang w:eastAsia="en-US"/>
        </w:rPr>
        <w:t>.</w:t>
      </w:r>
      <w:r w:rsidRPr="00EE4554">
        <w:rPr>
          <w:rFonts w:eastAsia="DengXian Light"/>
          <w:lang w:eastAsia="en-US"/>
        </w:rPr>
        <w:t xml:space="preserve"> Modelling </w:t>
      </w:r>
      <w:r w:rsidR="00551899" w:rsidRPr="00EE4554">
        <w:rPr>
          <w:rFonts w:eastAsia="DengXian Light"/>
          <w:lang w:eastAsia="en-US"/>
        </w:rPr>
        <w:t>for insight: the case of dementia</w:t>
      </w:r>
      <w:r w:rsidRPr="00EE4554">
        <w:rPr>
          <w:rFonts w:eastAsia="DengXian Light"/>
          <w:lang w:eastAsia="en-US"/>
        </w:rPr>
        <w:t xml:space="preserve"> in Singapore</w:t>
      </w:r>
      <w:r w:rsidR="00551899">
        <w:rPr>
          <w:rFonts w:eastAsia="DengXian Light"/>
          <w:lang w:eastAsia="en-US"/>
        </w:rPr>
        <w:t xml:space="preserve">. </w:t>
      </w:r>
      <w:r w:rsidRPr="00EE4554">
        <w:rPr>
          <w:rFonts w:eastAsia="DengXian Light"/>
          <w:lang w:eastAsia="en-US"/>
        </w:rPr>
        <w:t xml:space="preserve"> Systems Research and </w:t>
      </w:r>
      <w:proofErr w:type="spellStart"/>
      <w:r w:rsidRPr="00EE4554">
        <w:rPr>
          <w:rFonts w:eastAsia="DengXian Light"/>
          <w:lang w:eastAsia="en-US"/>
        </w:rPr>
        <w:t>Behavioral</w:t>
      </w:r>
      <w:proofErr w:type="spellEnd"/>
      <w:r w:rsidRPr="00EE4554">
        <w:rPr>
          <w:rFonts w:eastAsia="DengXian Light"/>
          <w:lang w:eastAsia="en-US"/>
        </w:rPr>
        <w:t xml:space="preserve"> Science, 31</w:t>
      </w:r>
      <w:r w:rsidR="00551899">
        <w:rPr>
          <w:rFonts w:eastAsia="DengXian Light"/>
          <w:lang w:eastAsia="en-US"/>
        </w:rPr>
        <w:t>(</w:t>
      </w:r>
      <w:r w:rsidRPr="00EE4554">
        <w:rPr>
          <w:rFonts w:eastAsia="DengXian Light"/>
          <w:lang w:eastAsia="en-US"/>
        </w:rPr>
        <w:t>2</w:t>
      </w:r>
      <w:r w:rsidR="00551899">
        <w:rPr>
          <w:rFonts w:eastAsia="DengXian Light"/>
          <w:lang w:eastAsia="en-US"/>
        </w:rPr>
        <w:t>)</w:t>
      </w:r>
      <w:r w:rsidRPr="00EE4554">
        <w:rPr>
          <w:rFonts w:eastAsia="DengXian Light"/>
          <w:lang w:eastAsia="en-US"/>
        </w:rPr>
        <w:t>, 227–235. DOI: 10.1002/sres.2202.</w:t>
      </w:r>
    </w:p>
    <w:p w14:paraId="781229DB" w14:textId="5CE70C03" w:rsidR="00EE4554" w:rsidRDefault="00EE4554" w:rsidP="00EE4554">
      <w:pPr>
        <w:spacing w:line="240" w:lineRule="auto"/>
        <w:jc w:val="left"/>
        <w:rPr>
          <w:rFonts w:eastAsia="DengXian Light"/>
          <w:lang w:eastAsia="en-US"/>
        </w:rPr>
      </w:pPr>
      <w:r w:rsidRPr="00EE4554">
        <w:rPr>
          <w:rFonts w:eastAsia="DengXian Light"/>
          <w:lang w:eastAsia="en-US"/>
        </w:rPr>
        <w:t>Tucker, S., Hughes, J., Burns, A. and Challis, D. (2008)</w:t>
      </w:r>
      <w:r w:rsidR="00551899">
        <w:rPr>
          <w:rFonts w:eastAsia="DengXian Light"/>
          <w:lang w:eastAsia="en-US"/>
        </w:rPr>
        <w:t>.</w:t>
      </w:r>
      <w:r w:rsidRPr="00EE4554">
        <w:rPr>
          <w:rFonts w:eastAsia="DengXian Light"/>
          <w:lang w:eastAsia="en-US"/>
        </w:rPr>
        <w:t xml:space="preserve"> The balance of care: Reconfiguring services for older people with mental health problems</w:t>
      </w:r>
      <w:r w:rsidR="00551899">
        <w:rPr>
          <w:rFonts w:eastAsia="DengXian Light"/>
          <w:lang w:eastAsia="en-US"/>
        </w:rPr>
        <w:t>.</w:t>
      </w:r>
      <w:r w:rsidRPr="00EE4554">
        <w:rPr>
          <w:rFonts w:eastAsia="DengXian Light"/>
          <w:lang w:eastAsia="en-US"/>
        </w:rPr>
        <w:t xml:space="preserve"> Aging &amp; Mental Health, 12</w:t>
      </w:r>
      <w:r w:rsidR="00551899">
        <w:rPr>
          <w:rFonts w:eastAsia="DengXian Light"/>
          <w:lang w:eastAsia="en-US"/>
        </w:rPr>
        <w:t>(</w:t>
      </w:r>
      <w:r w:rsidRPr="00EE4554">
        <w:rPr>
          <w:rFonts w:eastAsia="DengXian Light"/>
          <w:lang w:eastAsia="en-US"/>
        </w:rPr>
        <w:t>1</w:t>
      </w:r>
      <w:r w:rsidR="00551899">
        <w:rPr>
          <w:rFonts w:eastAsia="DengXian Light"/>
          <w:lang w:eastAsia="en-US"/>
        </w:rPr>
        <w:t>)</w:t>
      </w:r>
      <w:r w:rsidRPr="00EE4554">
        <w:rPr>
          <w:rFonts w:eastAsia="DengXian Light"/>
          <w:lang w:eastAsia="en-US"/>
        </w:rPr>
        <w:t>, 81–91. DOI: 10.1080/13607860701366038.</w:t>
      </w:r>
    </w:p>
    <w:p w14:paraId="26C4A9AE" w14:textId="702D0FFE" w:rsidR="00AA184C" w:rsidRDefault="00AA184C" w:rsidP="00EE4554">
      <w:pPr>
        <w:spacing w:line="240" w:lineRule="auto"/>
        <w:jc w:val="left"/>
        <w:rPr>
          <w:rFonts w:eastAsia="DengXian Light"/>
          <w:lang w:eastAsia="en-US"/>
        </w:rPr>
      </w:pPr>
      <w:r w:rsidRPr="00AA184C">
        <w:rPr>
          <w:rFonts w:eastAsia="DengXian Light"/>
          <w:lang w:eastAsia="en-US"/>
        </w:rPr>
        <w:t xml:space="preserve">Viana, J., Brailsford, S. C., Harindra, V. &amp; Harper, P. R. </w:t>
      </w:r>
      <w:r>
        <w:rPr>
          <w:rFonts w:eastAsia="DengXian Light"/>
          <w:lang w:eastAsia="en-US"/>
        </w:rPr>
        <w:t xml:space="preserve">(2014). </w:t>
      </w:r>
      <w:r w:rsidRPr="00AA184C">
        <w:rPr>
          <w:rFonts w:eastAsia="DengXian Light"/>
          <w:lang w:eastAsia="en-US"/>
        </w:rPr>
        <w:t>Combining discrete-event simulation and system dynamics in a healthcare setting: A composite model for Chlamydia infection. European Journal of Operational Research 237, 196–206.</w:t>
      </w:r>
    </w:p>
    <w:p w14:paraId="0BCB644F" w14:textId="3F174771" w:rsidR="00AA184C" w:rsidRPr="00EE4554" w:rsidRDefault="00AA184C" w:rsidP="00EE4554">
      <w:pPr>
        <w:spacing w:line="240" w:lineRule="auto"/>
        <w:jc w:val="left"/>
        <w:rPr>
          <w:rFonts w:eastAsia="DengXian Light"/>
          <w:lang w:eastAsia="en-US"/>
        </w:rPr>
      </w:pPr>
      <w:proofErr w:type="spellStart"/>
      <w:r w:rsidRPr="00AA184C">
        <w:rPr>
          <w:rFonts w:eastAsia="DengXian Light"/>
          <w:lang w:eastAsia="en-US"/>
        </w:rPr>
        <w:t>Vickland</w:t>
      </w:r>
      <w:proofErr w:type="spellEnd"/>
      <w:r w:rsidRPr="00AA184C">
        <w:rPr>
          <w:rFonts w:eastAsia="DengXian Light"/>
          <w:lang w:eastAsia="en-US"/>
        </w:rPr>
        <w:t xml:space="preserve">, V. and </w:t>
      </w:r>
      <w:proofErr w:type="spellStart"/>
      <w:r w:rsidRPr="00AA184C">
        <w:rPr>
          <w:rFonts w:eastAsia="DengXian Light"/>
          <w:lang w:eastAsia="en-US"/>
        </w:rPr>
        <w:t>Brodaty</w:t>
      </w:r>
      <w:proofErr w:type="spellEnd"/>
      <w:r w:rsidRPr="00AA184C">
        <w:rPr>
          <w:rFonts w:eastAsia="DengXian Light"/>
          <w:lang w:eastAsia="en-US"/>
        </w:rPr>
        <w:t>, H. (2008)</w:t>
      </w:r>
      <w:r>
        <w:rPr>
          <w:rFonts w:eastAsia="DengXian Light"/>
          <w:lang w:eastAsia="en-US"/>
        </w:rPr>
        <w:t>.</w:t>
      </w:r>
      <w:r w:rsidRPr="00AA184C">
        <w:rPr>
          <w:rFonts w:eastAsia="DengXian Light"/>
          <w:lang w:eastAsia="en-US"/>
        </w:rPr>
        <w:t xml:space="preserve"> Application of </w:t>
      </w:r>
      <w:proofErr w:type="spellStart"/>
      <w:r w:rsidRPr="00AA184C">
        <w:rPr>
          <w:rFonts w:eastAsia="DengXian Light"/>
          <w:lang w:eastAsia="en-US"/>
        </w:rPr>
        <w:t>statecharts</w:t>
      </w:r>
      <w:proofErr w:type="spellEnd"/>
      <w:r w:rsidRPr="00AA184C">
        <w:rPr>
          <w:rFonts w:eastAsia="DengXian Light"/>
          <w:lang w:eastAsia="en-US"/>
        </w:rPr>
        <w:t xml:space="preserve"> and agent based modelling in </w:t>
      </w:r>
      <w:r>
        <w:rPr>
          <w:rFonts w:eastAsia="DengXian Light"/>
          <w:lang w:eastAsia="en-US"/>
        </w:rPr>
        <w:t xml:space="preserve">representing clinically relevant aspects of </w:t>
      </w:r>
      <w:r w:rsidRPr="00AA184C">
        <w:rPr>
          <w:rFonts w:eastAsia="DengXian Light"/>
          <w:lang w:eastAsia="en-US"/>
        </w:rPr>
        <w:t xml:space="preserve">dementia and depression in </w:t>
      </w:r>
      <w:r>
        <w:rPr>
          <w:rFonts w:eastAsia="DengXian Light"/>
          <w:lang w:eastAsia="en-US"/>
        </w:rPr>
        <w:t>A</w:t>
      </w:r>
      <w:r w:rsidRPr="00AA184C">
        <w:rPr>
          <w:rFonts w:eastAsia="DengXian Light"/>
          <w:lang w:eastAsia="en-US"/>
        </w:rPr>
        <w:t>lzheimer’s disease.</w:t>
      </w:r>
      <w:r>
        <w:rPr>
          <w:rFonts w:eastAsia="DengXian Light"/>
          <w:lang w:eastAsia="en-US"/>
        </w:rPr>
        <w:t xml:space="preserve"> </w:t>
      </w:r>
      <w:r w:rsidR="00AE5C16" w:rsidRPr="00AE5C16">
        <w:rPr>
          <w:rFonts w:eastAsia="DengXian Light"/>
          <w:lang w:eastAsia="en-US"/>
        </w:rPr>
        <w:t xml:space="preserve">Proceedings of the </w:t>
      </w:r>
      <w:proofErr w:type="gramStart"/>
      <w:r w:rsidR="00AE5C16" w:rsidRPr="00AE5C16">
        <w:rPr>
          <w:rFonts w:eastAsia="DengXian Light"/>
          <w:lang w:eastAsia="en-US"/>
        </w:rPr>
        <w:t>2nd</w:t>
      </w:r>
      <w:proofErr w:type="gramEnd"/>
      <w:r w:rsidR="00AE5C16" w:rsidRPr="00AE5C16">
        <w:rPr>
          <w:rFonts w:eastAsia="DengXian Light"/>
          <w:lang w:eastAsia="en-US"/>
        </w:rPr>
        <w:t xml:space="preserve"> International Multi-Conference on Society, Cybernetics and Informatics, Orlando Florida USA, pp. 93 </w:t>
      </w:r>
      <w:r w:rsidR="00AE5C16">
        <w:rPr>
          <w:rFonts w:eastAsia="DengXian Light"/>
          <w:lang w:eastAsia="en-US"/>
        </w:rPr>
        <w:t>–</w:t>
      </w:r>
      <w:r w:rsidR="00AE5C16" w:rsidRPr="00AE5C16">
        <w:rPr>
          <w:rFonts w:eastAsia="DengXian Light"/>
          <w:lang w:eastAsia="en-US"/>
        </w:rPr>
        <w:t xml:space="preserve"> 97</w:t>
      </w:r>
      <w:r w:rsidR="00AE5C16">
        <w:rPr>
          <w:rFonts w:eastAsia="DengXian Light"/>
          <w:lang w:eastAsia="en-US"/>
        </w:rPr>
        <w:t>.</w:t>
      </w:r>
    </w:p>
    <w:p w14:paraId="0D7BC73E" w14:textId="35147AEB" w:rsidR="00EE4554" w:rsidRDefault="00EE4554" w:rsidP="00EE4554">
      <w:pPr>
        <w:spacing w:line="240" w:lineRule="auto"/>
        <w:jc w:val="left"/>
        <w:rPr>
          <w:rFonts w:eastAsia="DengXian Light"/>
          <w:lang w:eastAsia="en-US"/>
        </w:rPr>
      </w:pPr>
      <w:r w:rsidRPr="00EE4554">
        <w:rPr>
          <w:rFonts w:eastAsia="DengXian Light"/>
          <w:lang w:eastAsia="en-US"/>
        </w:rPr>
        <w:t>Wilson, R. S., McCann, J. J., Li, Y., Aggarwal, N. T., Gilley, D. W. and Evans, D. A. (2007)</w:t>
      </w:r>
      <w:r w:rsidR="00551899">
        <w:rPr>
          <w:rFonts w:eastAsia="DengXian Light"/>
          <w:lang w:eastAsia="en-US"/>
        </w:rPr>
        <w:t>.</w:t>
      </w:r>
      <w:r w:rsidRPr="00EE4554">
        <w:rPr>
          <w:rFonts w:eastAsia="DengXian Light"/>
          <w:lang w:eastAsia="en-US"/>
        </w:rPr>
        <w:t xml:space="preserve"> Nursing home placement, day care use, and cognitive decline in Alzheimer’s disease</w:t>
      </w:r>
      <w:r w:rsidR="00551899">
        <w:rPr>
          <w:rFonts w:eastAsia="DengXian Light"/>
          <w:lang w:eastAsia="en-US"/>
        </w:rPr>
        <w:t xml:space="preserve">. </w:t>
      </w:r>
      <w:r w:rsidRPr="00EE4554">
        <w:rPr>
          <w:rFonts w:eastAsia="DengXian Light"/>
          <w:lang w:eastAsia="en-US"/>
        </w:rPr>
        <w:t xml:space="preserve"> The American Journal of Psychiatry, 164</w:t>
      </w:r>
      <w:r w:rsidR="00551899">
        <w:rPr>
          <w:rFonts w:eastAsia="DengXian Light"/>
          <w:lang w:eastAsia="en-US"/>
        </w:rPr>
        <w:t>(</w:t>
      </w:r>
      <w:r w:rsidRPr="00EE4554">
        <w:rPr>
          <w:rFonts w:eastAsia="DengXian Light"/>
          <w:lang w:eastAsia="en-US"/>
        </w:rPr>
        <w:t>6</w:t>
      </w:r>
      <w:r w:rsidR="00551899">
        <w:rPr>
          <w:rFonts w:eastAsia="DengXian Light"/>
          <w:lang w:eastAsia="en-US"/>
        </w:rPr>
        <w:t>)</w:t>
      </w:r>
      <w:r w:rsidRPr="00EE4554">
        <w:rPr>
          <w:rFonts w:eastAsia="DengXian Light"/>
          <w:lang w:eastAsia="en-US"/>
        </w:rPr>
        <w:t>, 910–915. DOI: 10.1176/ajp.2007.164.6.910.</w:t>
      </w:r>
    </w:p>
    <w:p w14:paraId="6DBC6382" w14:textId="322D5A31" w:rsidR="004D2DD1" w:rsidRPr="004D2DD1" w:rsidRDefault="004D2DD1" w:rsidP="00EE4554">
      <w:pPr>
        <w:spacing w:line="240" w:lineRule="auto"/>
        <w:jc w:val="left"/>
        <w:rPr>
          <w:rFonts w:eastAsia="DengXian Light"/>
          <w:lang w:eastAsia="en-US"/>
        </w:rPr>
      </w:pPr>
      <w:proofErr w:type="spellStart"/>
      <w:r w:rsidRPr="004D2DD1">
        <w:rPr>
          <w:rFonts w:eastAsia="DengXian Light"/>
          <w:lang w:eastAsia="en-US"/>
        </w:rPr>
        <w:t>Wolstenholme</w:t>
      </w:r>
      <w:proofErr w:type="spellEnd"/>
      <w:r w:rsidRPr="004D2DD1">
        <w:rPr>
          <w:rFonts w:eastAsia="DengXian Light"/>
          <w:lang w:eastAsia="en-US"/>
        </w:rPr>
        <w:t xml:space="preserve">, E.F., Monk, D., </w:t>
      </w:r>
      <w:proofErr w:type="spellStart"/>
      <w:r w:rsidRPr="004D2DD1">
        <w:rPr>
          <w:rFonts w:eastAsia="DengXian Light"/>
          <w:lang w:eastAsia="en-US"/>
        </w:rPr>
        <w:t>McKelvie</w:t>
      </w:r>
      <w:proofErr w:type="spellEnd"/>
      <w:r w:rsidRPr="004D2DD1">
        <w:rPr>
          <w:rFonts w:eastAsia="DengXian Light"/>
          <w:lang w:eastAsia="en-US"/>
        </w:rPr>
        <w:t>, D., Smith, G. (2007)</w:t>
      </w:r>
      <w:r>
        <w:rPr>
          <w:rFonts w:eastAsia="DengXian Light"/>
          <w:lang w:eastAsia="en-US"/>
        </w:rPr>
        <w:t>.</w:t>
      </w:r>
      <w:r w:rsidRPr="004D2DD1">
        <w:rPr>
          <w:rFonts w:eastAsia="DengXian Light"/>
          <w:lang w:eastAsia="en-US"/>
        </w:rPr>
        <w:t xml:space="preserve"> Influencing and interpreting health and social care policy in the UK</w:t>
      </w:r>
      <w:r>
        <w:rPr>
          <w:rFonts w:eastAsia="DengXian Light"/>
          <w:lang w:eastAsia="en-US"/>
        </w:rPr>
        <w:t xml:space="preserve">.  In: </w:t>
      </w:r>
      <w:r w:rsidRPr="004D2DD1">
        <w:rPr>
          <w:rFonts w:eastAsia="DengXian Light"/>
          <w:lang w:eastAsia="en-US"/>
        </w:rPr>
        <w:t xml:space="preserve"> Complex Decision Making: Theory and Practice</w:t>
      </w:r>
      <w:r>
        <w:rPr>
          <w:rFonts w:eastAsia="DengXian Light"/>
          <w:lang w:eastAsia="en-US"/>
        </w:rPr>
        <w:t xml:space="preserve">. Symmetric SD.  Available at </w:t>
      </w:r>
      <w:hyperlink r:id="rId16" w:history="1">
        <w:r w:rsidRPr="00B9350E">
          <w:rPr>
            <w:rStyle w:val="Hyperlink"/>
            <w:rFonts w:eastAsia="DengXian Light"/>
            <w:lang w:eastAsia="en-US"/>
          </w:rPr>
          <w:t>http://www.symmetricpartnership.co.uk/userfiles/Documents/13Influencing_and_Interpreting_Health_and_Social_Care_Policy_in_the_UK.pdf</w:t>
        </w:r>
      </w:hyperlink>
      <w:r w:rsidRPr="004D2DD1">
        <w:rPr>
          <w:rFonts w:eastAsia="DengXian Light"/>
          <w:lang w:eastAsia="en-US"/>
        </w:rPr>
        <w:t xml:space="preserve"> (accessed</w:t>
      </w:r>
      <w:r>
        <w:rPr>
          <w:rFonts w:eastAsia="DengXian Light"/>
          <w:lang w:eastAsia="en-US"/>
        </w:rPr>
        <w:t xml:space="preserve"> 07.05.21).</w:t>
      </w:r>
    </w:p>
    <w:p w14:paraId="3CB64441" w14:textId="707DA34D" w:rsidR="00EE4554" w:rsidRPr="00EE4554" w:rsidRDefault="00EE4554" w:rsidP="00EE4554">
      <w:pPr>
        <w:spacing w:line="240" w:lineRule="auto"/>
        <w:jc w:val="left"/>
        <w:rPr>
          <w:rFonts w:eastAsia="DengXian Light"/>
          <w:lang w:eastAsia="en-US"/>
        </w:rPr>
      </w:pPr>
      <w:r w:rsidRPr="00EE4554">
        <w:rPr>
          <w:rFonts w:eastAsia="DengXian Light"/>
          <w:lang w:eastAsia="en-US"/>
        </w:rPr>
        <w:t>Wright, D. (1998)</w:t>
      </w:r>
      <w:r w:rsidR="004D2DD1">
        <w:rPr>
          <w:rFonts w:eastAsia="DengXian Light"/>
          <w:lang w:eastAsia="en-US"/>
        </w:rPr>
        <w:t>.</w:t>
      </w:r>
      <w:r w:rsidRPr="00EE4554">
        <w:rPr>
          <w:rFonts w:eastAsia="DengXian Light"/>
          <w:lang w:eastAsia="en-US"/>
        </w:rPr>
        <w:t xml:space="preserve"> Telemedicine and developing countries. A report of study group </w:t>
      </w:r>
      <w:proofErr w:type="gramStart"/>
      <w:r w:rsidRPr="00EE4554">
        <w:rPr>
          <w:rFonts w:eastAsia="DengXian Light"/>
          <w:lang w:eastAsia="en-US"/>
        </w:rPr>
        <w:t>2</w:t>
      </w:r>
      <w:proofErr w:type="gramEnd"/>
      <w:r w:rsidRPr="00EE4554">
        <w:rPr>
          <w:rFonts w:eastAsia="DengXian Light"/>
          <w:lang w:eastAsia="en-US"/>
        </w:rPr>
        <w:t xml:space="preserve"> of the ITU Development Sector</w:t>
      </w:r>
      <w:r w:rsidR="004D2DD1">
        <w:rPr>
          <w:rFonts w:eastAsia="DengXian Light"/>
          <w:lang w:eastAsia="en-US"/>
        </w:rPr>
        <w:t xml:space="preserve">. </w:t>
      </w:r>
      <w:r w:rsidRPr="00EE4554">
        <w:rPr>
          <w:rFonts w:eastAsia="DengXian Light"/>
          <w:lang w:eastAsia="en-US"/>
        </w:rPr>
        <w:t xml:space="preserve"> Journal of Telemedicine and Telecare, 4, </w:t>
      </w:r>
      <w:proofErr w:type="spellStart"/>
      <w:r w:rsidRPr="00EE4554">
        <w:rPr>
          <w:rFonts w:eastAsia="DengXian Light"/>
          <w:lang w:eastAsia="en-US"/>
        </w:rPr>
        <w:t>Suppl</w:t>
      </w:r>
      <w:proofErr w:type="spellEnd"/>
      <w:r w:rsidRPr="00EE4554">
        <w:rPr>
          <w:rFonts w:eastAsia="DengXian Light"/>
          <w:lang w:eastAsia="en-US"/>
        </w:rPr>
        <w:t xml:space="preserve"> 2, 1–85.</w:t>
      </w:r>
    </w:p>
    <w:p w14:paraId="37653A72" w14:textId="63162594" w:rsidR="00EE4554" w:rsidRPr="00EE4554" w:rsidRDefault="00EE4554" w:rsidP="00EE4554">
      <w:pPr>
        <w:spacing w:line="240" w:lineRule="auto"/>
        <w:jc w:val="left"/>
        <w:rPr>
          <w:rFonts w:eastAsia="DengXian Light"/>
          <w:lang w:eastAsia="en-US"/>
        </w:rPr>
      </w:pPr>
      <w:proofErr w:type="spellStart"/>
      <w:r w:rsidRPr="00EE4554">
        <w:rPr>
          <w:rFonts w:eastAsia="DengXian Light"/>
          <w:lang w:eastAsia="en-US"/>
        </w:rPr>
        <w:t>Wübker</w:t>
      </w:r>
      <w:proofErr w:type="spellEnd"/>
      <w:r w:rsidRPr="00EE4554">
        <w:rPr>
          <w:rFonts w:eastAsia="DengXian Light"/>
          <w:lang w:eastAsia="en-US"/>
        </w:rPr>
        <w:t xml:space="preserve">, A., </w:t>
      </w:r>
      <w:proofErr w:type="spellStart"/>
      <w:r w:rsidRPr="00EE4554">
        <w:rPr>
          <w:rFonts w:eastAsia="DengXian Light"/>
          <w:lang w:eastAsia="en-US"/>
        </w:rPr>
        <w:t>Zwakhalen</w:t>
      </w:r>
      <w:proofErr w:type="spellEnd"/>
      <w:r w:rsidRPr="00EE4554">
        <w:rPr>
          <w:rFonts w:eastAsia="DengXian Light"/>
          <w:lang w:eastAsia="en-US"/>
        </w:rPr>
        <w:t xml:space="preserve">, S. M. G., Challis, D., </w:t>
      </w:r>
      <w:proofErr w:type="spellStart"/>
      <w:r w:rsidRPr="00EE4554">
        <w:rPr>
          <w:rFonts w:eastAsia="DengXian Light"/>
          <w:lang w:eastAsia="en-US"/>
        </w:rPr>
        <w:t>Suhonen</w:t>
      </w:r>
      <w:proofErr w:type="spellEnd"/>
      <w:r w:rsidRPr="00EE4554">
        <w:rPr>
          <w:rFonts w:eastAsia="DengXian Light"/>
          <w:lang w:eastAsia="en-US"/>
        </w:rPr>
        <w:t xml:space="preserve">, R., </w:t>
      </w:r>
      <w:proofErr w:type="spellStart"/>
      <w:r w:rsidRPr="00EE4554">
        <w:rPr>
          <w:rFonts w:eastAsia="DengXian Light"/>
          <w:lang w:eastAsia="en-US"/>
        </w:rPr>
        <w:t>Karlsson</w:t>
      </w:r>
      <w:proofErr w:type="spellEnd"/>
      <w:r w:rsidRPr="00EE4554">
        <w:rPr>
          <w:rFonts w:eastAsia="DengXian Light"/>
          <w:lang w:eastAsia="en-US"/>
        </w:rPr>
        <w:t xml:space="preserve">, S., </w:t>
      </w:r>
      <w:proofErr w:type="spellStart"/>
      <w:r w:rsidRPr="00EE4554">
        <w:rPr>
          <w:rFonts w:eastAsia="DengXian Light"/>
          <w:lang w:eastAsia="en-US"/>
        </w:rPr>
        <w:t>Zabalegui</w:t>
      </w:r>
      <w:proofErr w:type="spellEnd"/>
      <w:r w:rsidRPr="00EE4554">
        <w:rPr>
          <w:rFonts w:eastAsia="DengXian Light"/>
          <w:lang w:eastAsia="en-US"/>
        </w:rPr>
        <w:t xml:space="preserve">, A., Soto, M., Saks, K. and </w:t>
      </w:r>
      <w:proofErr w:type="spellStart"/>
      <w:r w:rsidRPr="00EE4554">
        <w:rPr>
          <w:rFonts w:eastAsia="DengXian Light"/>
          <w:lang w:eastAsia="en-US"/>
        </w:rPr>
        <w:t>Sauerland</w:t>
      </w:r>
      <w:proofErr w:type="spellEnd"/>
      <w:r w:rsidRPr="00EE4554">
        <w:rPr>
          <w:rFonts w:eastAsia="DengXian Light"/>
          <w:lang w:eastAsia="en-US"/>
        </w:rPr>
        <w:t>, D. (2015)</w:t>
      </w:r>
      <w:r w:rsidR="004D2DD1">
        <w:rPr>
          <w:rFonts w:eastAsia="DengXian Light"/>
          <w:lang w:eastAsia="en-US"/>
        </w:rPr>
        <w:t>.</w:t>
      </w:r>
      <w:r w:rsidRPr="00EE4554">
        <w:rPr>
          <w:rFonts w:eastAsia="DengXian Light"/>
          <w:lang w:eastAsia="en-US"/>
        </w:rPr>
        <w:t xml:space="preserve"> Costs of care for people with dementia just before and after nursing home placement: primary data from eight European countries</w:t>
      </w:r>
      <w:r w:rsidR="004D2DD1">
        <w:rPr>
          <w:rFonts w:eastAsia="DengXian Light"/>
          <w:lang w:eastAsia="en-US"/>
        </w:rPr>
        <w:t>.</w:t>
      </w:r>
      <w:r w:rsidRPr="00EE4554">
        <w:rPr>
          <w:rFonts w:eastAsia="DengXian Light"/>
          <w:lang w:eastAsia="en-US"/>
        </w:rPr>
        <w:t xml:space="preserve"> The European Journal of Health Economics, 16</w:t>
      </w:r>
      <w:r w:rsidR="004D2DD1">
        <w:rPr>
          <w:rFonts w:eastAsia="DengXian Light"/>
          <w:lang w:eastAsia="en-US"/>
        </w:rPr>
        <w:t>(</w:t>
      </w:r>
      <w:r w:rsidRPr="00EE4554">
        <w:rPr>
          <w:rFonts w:eastAsia="DengXian Light"/>
          <w:lang w:eastAsia="en-US"/>
        </w:rPr>
        <w:t>7</w:t>
      </w:r>
      <w:r w:rsidR="004D2DD1">
        <w:rPr>
          <w:rFonts w:eastAsia="DengXian Light"/>
          <w:lang w:eastAsia="en-US"/>
        </w:rPr>
        <w:t>)</w:t>
      </w:r>
      <w:r w:rsidRPr="00EE4554">
        <w:rPr>
          <w:rFonts w:eastAsia="DengXian Light"/>
          <w:lang w:eastAsia="en-US"/>
        </w:rPr>
        <w:t>, 689–707. DOI: 10.1007/s10198-014-0620-6.</w:t>
      </w:r>
    </w:p>
    <w:p w14:paraId="417FF02B" w14:textId="04DB20B6" w:rsidR="00EE4554" w:rsidRPr="00EE4554" w:rsidRDefault="00EE4554" w:rsidP="00EE4554">
      <w:pPr>
        <w:spacing w:line="240" w:lineRule="auto"/>
        <w:jc w:val="left"/>
        <w:rPr>
          <w:rFonts w:eastAsia="DengXian Light"/>
          <w:lang w:eastAsia="en-US"/>
        </w:rPr>
      </w:pPr>
      <w:r w:rsidRPr="00EE4554">
        <w:rPr>
          <w:rFonts w:eastAsia="DengXian Light"/>
          <w:lang w:eastAsia="en-US"/>
        </w:rPr>
        <w:t xml:space="preserve">Xie, J., </w:t>
      </w:r>
      <w:proofErr w:type="spellStart"/>
      <w:r w:rsidRPr="00EE4554">
        <w:rPr>
          <w:rFonts w:eastAsia="DengXian Light"/>
          <w:lang w:eastAsia="en-US"/>
        </w:rPr>
        <w:t>Brayne</w:t>
      </w:r>
      <w:proofErr w:type="spellEnd"/>
      <w:r w:rsidRPr="00EE4554">
        <w:rPr>
          <w:rFonts w:eastAsia="DengXian Light"/>
          <w:lang w:eastAsia="en-US"/>
        </w:rPr>
        <w:t>, C., Matthews, F. E. and the Medical Research Council Cognitive Function and Ageing Study collaborators (2008)</w:t>
      </w:r>
      <w:r w:rsidR="004D2DD1">
        <w:rPr>
          <w:rFonts w:eastAsia="DengXian Light"/>
          <w:lang w:eastAsia="en-US"/>
        </w:rPr>
        <w:t>.</w:t>
      </w:r>
      <w:r w:rsidRPr="00EE4554">
        <w:rPr>
          <w:rFonts w:eastAsia="DengXian Light"/>
          <w:lang w:eastAsia="en-US"/>
        </w:rPr>
        <w:t xml:space="preserve"> Survival times in people with dementia: analysis from population based cohort study with </w:t>
      </w:r>
      <w:proofErr w:type="gramStart"/>
      <w:r w:rsidRPr="00EE4554">
        <w:rPr>
          <w:rFonts w:eastAsia="DengXian Light"/>
          <w:lang w:eastAsia="en-US"/>
        </w:rPr>
        <w:t>14 year</w:t>
      </w:r>
      <w:proofErr w:type="gramEnd"/>
      <w:r w:rsidRPr="00EE4554">
        <w:rPr>
          <w:rFonts w:eastAsia="DengXian Light"/>
          <w:lang w:eastAsia="en-US"/>
        </w:rPr>
        <w:t xml:space="preserve"> follow-up</w:t>
      </w:r>
      <w:r w:rsidR="004D2DD1">
        <w:rPr>
          <w:rFonts w:eastAsia="DengXian Light"/>
          <w:lang w:eastAsia="en-US"/>
        </w:rPr>
        <w:t>.</w:t>
      </w:r>
      <w:r w:rsidRPr="00EE4554">
        <w:rPr>
          <w:rFonts w:eastAsia="DengXian Light"/>
          <w:lang w:eastAsia="en-US"/>
        </w:rPr>
        <w:t xml:space="preserve"> British Medical Journal, 336</w:t>
      </w:r>
      <w:r w:rsidR="004D2DD1">
        <w:rPr>
          <w:rFonts w:eastAsia="DengXian Light"/>
          <w:lang w:eastAsia="en-US"/>
        </w:rPr>
        <w:t>(</w:t>
      </w:r>
      <w:r w:rsidRPr="00EE4554">
        <w:rPr>
          <w:rFonts w:eastAsia="DengXian Light"/>
          <w:lang w:eastAsia="en-US"/>
        </w:rPr>
        <w:t>7638</w:t>
      </w:r>
      <w:r w:rsidR="004D2DD1">
        <w:rPr>
          <w:rFonts w:eastAsia="DengXian Light"/>
          <w:lang w:eastAsia="en-US"/>
        </w:rPr>
        <w:t>)</w:t>
      </w:r>
      <w:r w:rsidRPr="00EE4554">
        <w:rPr>
          <w:rFonts w:eastAsia="DengXian Light"/>
          <w:lang w:eastAsia="en-US"/>
        </w:rPr>
        <w:t>, 258–262. DOI: 10.1136/bmj.39433.616678.25.</w:t>
      </w:r>
    </w:p>
    <w:p w14:paraId="3A3FEBFF" w14:textId="270C153B" w:rsidR="0031445B" w:rsidRDefault="00EE4554" w:rsidP="00EE4554">
      <w:pPr>
        <w:spacing w:line="240" w:lineRule="auto"/>
        <w:jc w:val="left"/>
        <w:rPr>
          <w:rFonts w:eastAsia="DengXian Light"/>
          <w:lang w:eastAsia="en-US"/>
        </w:rPr>
      </w:pPr>
      <w:proofErr w:type="spellStart"/>
      <w:r w:rsidRPr="00EE4554">
        <w:rPr>
          <w:rFonts w:eastAsia="DengXian Light"/>
          <w:lang w:eastAsia="en-US"/>
        </w:rPr>
        <w:t>Zarit</w:t>
      </w:r>
      <w:proofErr w:type="spellEnd"/>
      <w:r w:rsidRPr="00EE4554">
        <w:rPr>
          <w:rFonts w:eastAsia="DengXian Light"/>
          <w:lang w:eastAsia="en-US"/>
        </w:rPr>
        <w:t xml:space="preserve">, S. H., Todd, P. A. and </w:t>
      </w:r>
      <w:proofErr w:type="spellStart"/>
      <w:r w:rsidRPr="00EE4554">
        <w:rPr>
          <w:rFonts w:eastAsia="DengXian Light"/>
          <w:lang w:eastAsia="en-US"/>
        </w:rPr>
        <w:t>Zarit</w:t>
      </w:r>
      <w:proofErr w:type="spellEnd"/>
      <w:r w:rsidRPr="00EE4554">
        <w:rPr>
          <w:rFonts w:eastAsia="DengXian Light"/>
          <w:lang w:eastAsia="en-US"/>
        </w:rPr>
        <w:t>, J. M. (1986)</w:t>
      </w:r>
      <w:r w:rsidR="0031445B">
        <w:rPr>
          <w:rFonts w:eastAsia="DengXian Light"/>
          <w:lang w:eastAsia="en-US"/>
        </w:rPr>
        <w:t>.</w:t>
      </w:r>
      <w:r w:rsidRPr="00EE4554">
        <w:rPr>
          <w:rFonts w:eastAsia="DengXian Light"/>
          <w:lang w:eastAsia="en-US"/>
        </w:rPr>
        <w:t xml:space="preserve"> </w:t>
      </w:r>
      <w:r w:rsidR="0031445B">
        <w:rPr>
          <w:rFonts w:eastAsia="DengXian Light"/>
          <w:lang w:eastAsia="en-US"/>
        </w:rPr>
        <w:t>S</w:t>
      </w:r>
      <w:r w:rsidRPr="00EE4554">
        <w:rPr>
          <w:rFonts w:eastAsia="DengXian Light"/>
          <w:lang w:eastAsia="en-US"/>
        </w:rPr>
        <w:t>ubjective burden of husbands and wives as caregivers: a longitudinal study</w:t>
      </w:r>
      <w:r w:rsidR="0031445B">
        <w:rPr>
          <w:rFonts w:eastAsia="DengXian Light"/>
          <w:lang w:eastAsia="en-US"/>
        </w:rPr>
        <w:t>.</w:t>
      </w:r>
      <w:r w:rsidRPr="00EE4554">
        <w:rPr>
          <w:rFonts w:eastAsia="DengXian Light"/>
          <w:lang w:eastAsia="en-US"/>
        </w:rPr>
        <w:t xml:space="preserve"> The Gerontologist, 26</w:t>
      </w:r>
      <w:r w:rsidR="0031445B">
        <w:rPr>
          <w:rFonts w:eastAsia="DengXian Light"/>
          <w:lang w:eastAsia="en-US"/>
        </w:rPr>
        <w:t>(</w:t>
      </w:r>
      <w:r w:rsidRPr="00EE4554">
        <w:rPr>
          <w:rFonts w:eastAsia="DengXian Light"/>
          <w:lang w:eastAsia="en-US"/>
        </w:rPr>
        <w:t>3</w:t>
      </w:r>
      <w:r w:rsidR="0031445B">
        <w:rPr>
          <w:rFonts w:eastAsia="DengXian Light"/>
          <w:lang w:eastAsia="en-US"/>
        </w:rPr>
        <w:t>)</w:t>
      </w:r>
      <w:r w:rsidRPr="00EE4554">
        <w:rPr>
          <w:rFonts w:eastAsia="DengXian Light"/>
          <w:lang w:eastAsia="en-US"/>
        </w:rPr>
        <w:t>, 260–266.</w:t>
      </w:r>
    </w:p>
    <w:p w14:paraId="15972E4F" w14:textId="77777777" w:rsidR="0031445B" w:rsidRDefault="0031445B">
      <w:pPr>
        <w:spacing w:after="0" w:line="240" w:lineRule="auto"/>
        <w:jc w:val="left"/>
        <w:rPr>
          <w:rFonts w:eastAsia="DengXian Light"/>
          <w:lang w:eastAsia="en-US"/>
        </w:rPr>
      </w:pPr>
      <w:r>
        <w:rPr>
          <w:rFonts w:eastAsia="DengXian Light"/>
          <w:lang w:eastAsia="en-US"/>
        </w:rPr>
        <w:br w:type="page"/>
      </w:r>
    </w:p>
    <w:p w14:paraId="4B859E1C" w14:textId="77777777" w:rsidR="009317D9" w:rsidRPr="00BC1A14" w:rsidRDefault="009317D9" w:rsidP="000A67E3">
      <w:pPr>
        <w:pStyle w:val="Heading1"/>
        <w:rPr>
          <w:lang w:eastAsia="en-US"/>
        </w:rPr>
      </w:pPr>
      <w:r w:rsidRPr="00BC1A14">
        <w:rPr>
          <w:lang w:eastAsia="en-US"/>
        </w:rPr>
        <w:lastRenderedPageBreak/>
        <w:t>Appendices</w:t>
      </w:r>
    </w:p>
    <w:p w14:paraId="600F736F" w14:textId="77777777" w:rsidR="009317D9" w:rsidRPr="00BC1A14" w:rsidRDefault="009317D9" w:rsidP="000A67E3">
      <w:pPr>
        <w:pStyle w:val="Heading2"/>
        <w:rPr>
          <w:lang w:eastAsia="en-US"/>
        </w:rPr>
      </w:pPr>
      <w:r w:rsidRPr="00BC1A14">
        <w:rPr>
          <w:lang w:eastAsia="en-US"/>
        </w:rPr>
        <w:t>Appendix 1: Input Data</w:t>
      </w:r>
    </w:p>
    <w:tbl>
      <w:tblPr>
        <w:tblStyle w:val="TableGrid"/>
        <w:tblW w:w="0" w:type="auto"/>
        <w:tblInd w:w="0" w:type="dxa"/>
        <w:tblLook w:val="04A0" w:firstRow="1" w:lastRow="0" w:firstColumn="1" w:lastColumn="0" w:noHBand="0" w:noVBand="1"/>
      </w:tblPr>
      <w:tblGrid>
        <w:gridCol w:w="1918"/>
        <w:gridCol w:w="4451"/>
        <w:gridCol w:w="2120"/>
      </w:tblGrid>
      <w:tr w:rsidR="009317D9" w:rsidRPr="00BC1A14" w14:paraId="4B9F943C" w14:textId="77777777" w:rsidTr="00746A04">
        <w:tc>
          <w:tcPr>
            <w:tcW w:w="198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4BCC4C4E" w14:textId="77777777" w:rsidR="009317D9" w:rsidRPr="00BC1A14" w:rsidRDefault="009317D9" w:rsidP="00A0056E">
            <w:pPr>
              <w:spacing w:after="0" w:line="240" w:lineRule="auto"/>
              <w:ind w:right="0"/>
            </w:pPr>
            <w:r w:rsidRPr="00BC1A14">
              <w:t>Parameter</w:t>
            </w:r>
          </w:p>
        </w:tc>
        <w:tc>
          <w:tcPr>
            <w:tcW w:w="4819"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77982426" w14:textId="77777777" w:rsidR="009317D9" w:rsidRPr="00BC1A14" w:rsidRDefault="009317D9" w:rsidP="00A0056E">
            <w:pPr>
              <w:spacing w:after="0" w:line="240" w:lineRule="auto"/>
              <w:ind w:right="0"/>
            </w:pPr>
            <w:r w:rsidRPr="00BC1A14">
              <w:t>Description</w:t>
            </w:r>
          </w:p>
        </w:tc>
        <w:tc>
          <w:tcPr>
            <w:tcW w:w="2217"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22AFC183" w14:textId="77777777" w:rsidR="009317D9" w:rsidRPr="00BC1A14" w:rsidRDefault="009317D9" w:rsidP="00A0056E">
            <w:pPr>
              <w:spacing w:after="0" w:line="240" w:lineRule="auto"/>
              <w:ind w:right="0"/>
            </w:pPr>
            <w:r w:rsidRPr="00BC1A14">
              <w:t>Source</w:t>
            </w:r>
          </w:p>
        </w:tc>
      </w:tr>
      <w:tr w:rsidR="009317D9" w:rsidRPr="00BC1A14" w14:paraId="3584E5D7"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44068CE0" w14:textId="77777777" w:rsidR="009317D9" w:rsidRPr="00BC1A14" w:rsidRDefault="009317D9" w:rsidP="00746A04">
            <w:pPr>
              <w:spacing w:after="0" w:line="240" w:lineRule="auto"/>
              <w:ind w:right="0"/>
              <w:jc w:val="left"/>
            </w:pPr>
            <w:r w:rsidRPr="00BC1A14">
              <w:t>Arrivals into the model</w:t>
            </w:r>
          </w:p>
        </w:tc>
        <w:tc>
          <w:tcPr>
            <w:tcW w:w="4819" w:type="dxa"/>
            <w:tcBorders>
              <w:top w:val="single" w:sz="4" w:space="0" w:color="auto"/>
              <w:left w:val="single" w:sz="4" w:space="0" w:color="auto"/>
              <w:bottom w:val="single" w:sz="4" w:space="0" w:color="auto"/>
              <w:right w:val="single" w:sz="4" w:space="0" w:color="auto"/>
            </w:tcBorders>
            <w:hideMark/>
          </w:tcPr>
          <w:p w14:paraId="4A57475D" w14:textId="77777777" w:rsidR="009317D9" w:rsidRPr="00BC1A14" w:rsidRDefault="009317D9" w:rsidP="00746A04">
            <w:pPr>
              <w:spacing w:after="0" w:line="240" w:lineRule="auto"/>
              <w:ind w:right="0"/>
              <w:jc w:val="left"/>
            </w:pPr>
            <w:r w:rsidRPr="00BC1A14">
              <w:t>The arrival rate is based on the annual diagnosis rate for dementia in Southampton (1500 people per annum)</w:t>
            </w:r>
          </w:p>
        </w:tc>
        <w:tc>
          <w:tcPr>
            <w:tcW w:w="2217" w:type="dxa"/>
            <w:tcBorders>
              <w:top w:val="single" w:sz="4" w:space="0" w:color="auto"/>
              <w:left w:val="single" w:sz="4" w:space="0" w:color="auto"/>
              <w:bottom w:val="single" w:sz="4" w:space="0" w:color="auto"/>
              <w:right w:val="single" w:sz="4" w:space="0" w:color="auto"/>
            </w:tcBorders>
            <w:hideMark/>
          </w:tcPr>
          <w:p w14:paraId="11599A66" w14:textId="77777777" w:rsidR="009317D9" w:rsidRPr="00BC1A14" w:rsidRDefault="009317D9" w:rsidP="00746A04">
            <w:pPr>
              <w:pStyle w:val="ListParagraph"/>
              <w:numPr>
                <w:ilvl w:val="0"/>
                <w:numId w:val="31"/>
              </w:numPr>
              <w:spacing w:after="0" w:line="240" w:lineRule="auto"/>
              <w:ind w:left="0" w:right="0"/>
              <w:jc w:val="left"/>
            </w:pPr>
            <w:r w:rsidRPr="00BC1A14">
              <w:t xml:space="preserve">Age Concern Hampshire </w:t>
            </w:r>
            <w:r w:rsidRPr="00BC1A14">
              <w:fldChar w:fldCharType="begin"/>
            </w:r>
            <w:r w:rsidRPr="00BC1A14">
              <w:instrText xml:space="preserve"> ADDIN ZOTERO_ITEM CSL_CITATION {"citationID":"CoOGGLLS","properties":{"formattedCitation":"(2017)","plainCitation":"(2017)","noteIndex":0},"citationItems":[{"id":2244,"uris":["http://zotero.org/users/2274800/items/QRK7297A"],"uri":["http://zotero.org/users/2274800/items/QRK7297A"],"itemData":{"id":2244,"type":"webpage","title":"Age Concern Hampshire: Dementia Support","container-title":"Age Concern Hampshire","URL":"http://www.ageconcernhampshire.org.uk/our-services/dementia-support/","author":[{"family":"Age Concern Hampshire","given":""}],"issued":{"date-parts":[["2017"]]},"accessed":{"date-parts":[["2017",12,2]]}},"suppress-author":true}],"schema":"https://github.com/citation-style-language/schema/raw/master/csl-citation.json"} </w:instrText>
            </w:r>
            <w:r w:rsidRPr="00BC1A14">
              <w:fldChar w:fldCharType="separate"/>
            </w:r>
            <w:r w:rsidRPr="00BC1A14">
              <w:t>(2017)</w:t>
            </w:r>
            <w:r w:rsidRPr="00BC1A14">
              <w:fldChar w:fldCharType="end"/>
            </w:r>
            <w:r w:rsidRPr="00BC1A14">
              <w:t>.</w:t>
            </w:r>
          </w:p>
        </w:tc>
      </w:tr>
      <w:tr w:rsidR="009317D9" w:rsidRPr="00BC1A14" w14:paraId="21F22CED"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46723814" w14:textId="77777777" w:rsidR="009317D9" w:rsidRPr="00BC1A14" w:rsidRDefault="009317D9" w:rsidP="00746A04">
            <w:pPr>
              <w:spacing w:after="0" w:line="240" w:lineRule="auto"/>
              <w:ind w:right="0"/>
              <w:jc w:val="left"/>
            </w:pPr>
            <w:r w:rsidRPr="00BC1A14">
              <w:t>Age and gender</w:t>
            </w:r>
          </w:p>
        </w:tc>
        <w:tc>
          <w:tcPr>
            <w:tcW w:w="4819" w:type="dxa"/>
            <w:tcBorders>
              <w:top w:val="single" w:sz="4" w:space="0" w:color="auto"/>
              <w:left w:val="single" w:sz="4" w:space="0" w:color="auto"/>
              <w:bottom w:val="single" w:sz="4" w:space="0" w:color="auto"/>
              <w:right w:val="single" w:sz="4" w:space="0" w:color="auto"/>
            </w:tcBorders>
            <w:hideMark/>
          </w:tcPr>
          <w:p w14:paraId="26DE4257" w14:textId="77777777" w:rsidR="009317D9" w:rsidRPr="00BC1A14" w:rsidRDefault="009317D9" w:rsidP="00A0056E">
            <w:pPr>
              <w:spacing w:after="0" w:line="240" w:lineRule="auto"/>
              <w:ind w:right="0"/>
            </w:pPr>
            <w:r w:rsidRPr="00BC1A14">
              <w:t xml:space="preserve">Distributions for age and gender for the modelled population within this simulation </w:t>
            </w:r>
            <w:proofErr w:type="gramStart"/>
            <w:r w:rsidRPr="00BC1A14">
              <w:t>were based</w:t>
            </w:r>
            <w:proofErr w:type="gramEnd"/>
            <w:r w:rsidRPr="00BC1A14">
              <w:t xml:space="preserve"> on the 2013 mid- year figures as estimated by the ONS.</w:t>
            </w:r>
          </w:p>
        </w:tc>
        <w:tc>
          <w:tcPr>
            <w:tcW w:w="2217" w:type="dxa"/>
            <w:tcBorders>
              <w:top w:val="single" w:sz="4" w:space="0" w:color="auto"/>
              <w:left w:val="single" w:sz="4" w:space="0" w:color="auto"/>
              <w:bottom w:val="single" w:sz="4" w:space="0" w:color="auto"/>
              <w:right w:val="single" w:sz="4" w:space="0" w:color="auto"/>
            </w:tcBorders>
            <w:hideMark/>
          </w:tcPr>
          <w:p w14:paraId="37A3CCBC" w14:textId="77777777" w:rsidR="009317D9" w:rsidRPr="00BC1A14" w:rsidRDefault="009317D9" w:rsidP="00746A04">
            <w:pPr>
              <w:pStyle w:val="ListParagraph"/>
              <w:numPr>
                <w:ilvl w:val="0"/>
                <w:numId w:val="31"/>
              </w:numPr>
              <w:spacing w:after="0" w:line="240" w:lineRule="auto"/>
              <w:ind w:left="0" w:right="0"/>
              <w:jc w:val="left"/>
            </w:pPr>
            <w:r w:rsidRPr="00BC1A14">
              <w:t xml:space="preserve">Office for National Statistics </w:t>
            </w:r>
            <w:r w:rsidRPr="00BC1A14">
              <w:fldChar w:fldCharType="begin"/>
            </w:r>
            <w:r w:rsidRPr="00BC1A14">
              <w:instrText xml:space="preserve"> ADDIN ZOTERO_ITEM CSL_CITATION {"citationID":"8NVF4Y88","properties":{"formattedCitation":"(2014)","plainCitation":"(2014)","noteIndex":0},"citationItems":[{"id":1862,"uris":["http://zotero.org/users/2274800/items/6QEGWBWH"],"uri":["http://zotero.org/users/2274800/items/6QEGWBWH"],"itemData":{"id":1862,"type":"webpage","title":"Mid Year Population Estimates for 2013 - Office for National Statistics","URL":"http://www.ons.gov.uk/ons/rel/pop-estimate/population-estimates-for-uk--england-and-wales--scotland-and-northern-ireland/2013/sty-population-estimates.html","author":[{"family":"ONS","given":""}],"issued":{"date-parts":[["2014"]]},"accessed":{"date-parts":[["2014",4,29]]}},"suppress-author":true}],"schema":"https://github.com/citation-style-language/schema/raw/master/csl-citation.json"} </w:instrText>
            </w:r>
            <w:r w:rsidRPr="00BC1A14">
              <w:fldChar w:fldCharType="separate"/>
            </w:r>
            <w:r w:rsidRPr="00BC1A14">
              <w:t>(2014)</w:t>
            </w:r>
            <w:r w:rsidRPr="00BC1A14">
              <w:fldChar w:fldCharType="end"/>
            </w:r>
            <w:r w:rsidRPr="00BC1A14">
              <w:t>.</w:t>
            </w:r>
          </w:p>
        </w:tc>
      </w:tr>
      <w:tr w:rsidR="009317D9" w:rsidRPr="00BC1A14" w14:paraId="1B176769" w14:textId="77777777" w:rsidTr="00746A04">
        <w:trPr>
          <w:trHeight w:val="621"/>
        </w:trPr>
        <w:tc>
          <w:tcPr>
            <w:tcW w:w="1980" w:type="dxa"/>
            <w:tcBorders>
              <w:top w:val="single" w:sz="4" w:space="0" w:color="auto"/>
              <w:left w:val="single" w:sz="4" w:space="0" w:color="auto"/>
              <w:bottom w:val="single" w:sz="4" w:space="0" w:color="auto"/>
              <w:right w:val="single" w:sz="4" w:space="0" w:color="auto"/>
            </w:tcBorders>
            <w:hideMark/>
          </w:tcPr>
          <w:p w14:paraId="62B257C3" w14:textId="77777777" w:rsidR="009317D9" w:rsidRPr="00BC1A14" w:rsidRDefault="009317D9" w:rsidP="00746A04">
            <w:pPr>
              <w:spacing w:after="0" w:line="240" w:lineRule="auto"/>
              <w:ind w:right="0"/>
              <w:jc w:val="left"/>
            </w:pPr>
            <w:r w:rsidRPr="00BC1A14">
              <w:t>Severity and prevalence</w:t>
            </w:r>
          </w:p>
        </w:tc>
        <w:tc>
          <w:tcPr>
            <w:tcW w:w="4819" w:type="dxa"/>
            <w:tcBorders>
              <w:top w:val="single" w:sz="4" w:space="0" w:color="auto"/>
              <w:left w:val="single" w:sz="4" w:space="0" w:color="auto"/>
              <w:bottom w:val="single" w:sz="4" w:space="0" w:color="auto"/>
              <w:right w:val="single" w:sz="4" w:space="0" w:color="auto"/>
            </w:tcBorders>
            <w:hideMark/>
          </w:tcPr>
          <w:p w14:paraId="6EDDC19B" w14:textId="77777777" w:rsidR="009317D9" w:rsidRPr="00BC1A14" w:rsidRDefault="009317D9" w:rsidP="00A0056E">
            <w:pPr>
              <w:spacing w:after="0" w:line="240" w:lineRule="auto"/>
              <w:ind w:right="0"/>
            </w:pPr>
            <w:r w:rsidRPr="00BC1A14">
              <w:t>Severity and prevalence of dementia by age and gender.</w:t>
            </w:r>
          </w:p>
        </w:tc>
        <w:tc>
          <w:tcPr>
            <w:tcW w:w="2217" w:type="dxa"/>
            <w:tcBorders>
              <w:top w:val="single" w:sz="4" w:space="0" w:color="auto"/>
              <w:left w:val="single" w:sz="4" w:space="0" w:color="auto"/>
              <w:bottom w:val="single" w:sz="4" w:space="0" w:color="auto"/>
              <w:right w:val="single" w:sz="4" w:space="0" w:color="auto"/>
            </w:tcBorders>
            <w:hideMark/>
          </w:tcPr>
          <w:p w14:paraId="4C595B7B" w14:textId="77777777" w:rsidR="009317D9" w:rsidRPr="00BC1A14" w:rsidRDefault="009317D9" w:rsidP="00746A04">
            <w:pPr>
              <w:pStyle w:val="ListParagraph"/>
              <w:numPr>
                <w:ilvl w:val="0"/>
                <w:numId w:val="31"/>
              </w:numPr>
              <w:spacing w:after="0" w:line="240" w:lineRule="auto"/>
              <w:ind w:left="0" w:right="0"/>
              <w:jc w:val="left"/>
            </w:pPr>
            <w:r w:rsidRPr="00BC1A14">
              <w:t xml:space="preserve">Prince </w:t>
            </w:r>
            <w:r w:rsidRPr="00BC1A14">
              <w:rPr>
                <w:i/>
              </w:rPr>
              <w:t>et al.</w:t>
            </w:r>
            <w:r w:rsidRPr="00BC1A14">
              <w:t xml:space="preserve"> </w:t>
            </w:r>
            <w:r w:rsidRPr="00BC1A14">
              <w:fldChar w:fldCharType="begin"/>
            </w:r>
            <w:r w:rsidRPr="00BC1A14">
              <w:instrText xml:space="preserve"> ADDIN ZOTERO_ITEM CSL_CITATION {"citationID":"YjqJoyzm","properties":{"formattedCitation":"(2014)","plainCitation":"(2014)","noteIndex":0},"citationItems":[{"id":567,"uris":["http://zotero.org/users/2274800/items/VRAQF5FV"],"uri":["http://zotero.org/users/2274800/items/VRAQF5FV"],"itemData":{"id":567,"type":"article","title":"Dementia UK: Second Edition","URL":"https://www.alzheimers.org.uk/download/downloads/id/2323/dementia_uk_update.pdf","author":[{"family":"Prince","given":"M"},{"family":"Knapp","given":"M"},{"family":"Guerchet","given":"M"},{"family":"McCrone","given":"P"},{"family":"Prina","given":"M"},{"family":"Comas-Herrera","given":"A"},{"family":"Wittenberg","given":"R"},{"family":"Adelaja","given":"B"},{"family":"Hu","given":"B"},{"family":"King","given":"D"},{"family":"Rehill","given":"A"},{"family":"Salimkumar","given":"D"}],"issued":{"date-parts":[["2014"]]},"accessed":{"date-parts":[["2015",5,7]]}},"suppress-author":true}],"schema":"https://github.com/citation-style-language/schema/raw/master/csl-citation.json"} </w:instrText>
            </w:r>
            <w:r w:rsidRPr="00BC1A14">
              <w:fldChar w:fldCharType="separate"/>
            </w:r>
            <w:r w:rsidRPr="00BC1A14">
              <w:t>(2014)</w:t>
            </w:r>
            <w:r w:rsidRPr="00BC1A14">
              <w:fldChar w:fldCharType="end"/>
            </w:r>
            <w:r w:rsidRPr="00BC1A14">
              <w:t>.</w:t>
            </w:r>
          </w:p>
        </w:tc>
      </w:tr>
      <w:tr w:rsidR="009317D9" w:rsidRPr="00BC1A14" w14:paraId="7F7447B7"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6BE6E5EF" w14:textId="77777777" w:rsidR="009317D9" w:rsidRPr="00BC1A14" w:rsidRDefault="009317D9" w:rsidP="00746A04">
            <w:pPr>
              <w:spacing w:after="0" w:line="240" w:lineRule="auto"/>
              <w:ind w:right="0"/>
              <w:jc w:val="left"/>
            </w:pPr>
            <w:r w:rsidRPr="00BC1A14">
              <w:t>Stage of dementia</w:t>
            </w:r>
          </w:p>
        </w:tc>
        <w:tc>
          <w:tcPr>
            <w:tcW w:w="4819" w:type="dxa"/>
            <w:tcBorders>
              <w:top w:val="single" w:sz="4" w:space="0" w:color="auto"/>
              <w:left w:val="single" w:sz="4" w:space="0" w:color="auto"/>
              <w:bottom w:val="single" w:sz="4" w:space="0" w:color="auto"/>
              <w:right w:val="single" w:sz="4" w:space="0" w:color="auto"/>
            </w:tcBorders>
            <w:hideMark/>
          </w:tcPr>
          <w:p w14:paraId="140FE3E9" w14:textId="77777777" w:rsidR="009317D9" w:rsidRPr="00BC1A14" w:rsidRDefault="009317D9" w:rsidP="00746A04">
            <w:pPr>
              <w:spacing w:after="0" w:line="240" w:lineRule="auto"/>
              <w:ind w:right="0"/>
              <w:jc w:val="left"/>
            </w:pPr>
            <w:r w:rsidRPr="00BC1A14">
              <w:t>Distribution assumed:</w:t>
            </w:r>
          </w:p>
          <w:p w14:paraId="40A70C47" w14:textId="77777777" w:rsidR="009317D9" w:rsidRPr="00BC1A14" w:rsidRDefault="009317D9" w:rsidP="00746A04">
            <w:pPr>
              <w:pStyle w:val="ListParagraph"/>
              <w:numPr>
                <w:ilvl w:val="0"/>
                <w:numId w:val="32"/>
              </w:numPr>
              <w:spacing w:after="0" w:line="240" w:lineRule="auto"/>
              <w:ind w:left="0" w:right="0"/>
              <w:jc w:val="left"/>
            </w:pPr>
            <w:r w:rsidRPr="00BC1A14">
              <w:t>65% mild</w:t>
            </w:r>
          </w:p>
          <w:p w14:paraId="638EE731" w14:textId="77777777" w:rsidR="009317D9" w:rsidRPr="00BC1A14" w:rsidRDefault="009317D9" w:rsidP="00746A04">
            <w:pPr>
              <w:pStyle w:val="ListParagraph"/>
              <w:numPr>
                <w:ilvl w:val="0"/>
                <w:numId w:val="32"/>
              </w:numPr>
              <w:spacing w:after="0" w:line="240" w:lineRule="auto"/>
              <w:ind w:left="0" w:right="0"/>
              <w:jc w:val="left"/>
            </w:pPr>
            <w:r w:rsidRPr="00BC1A14">
              <w:t>30% moderate</w:t>
            </w:r>
          </w:p>
          <w:p w14:paraId="7C48361D" w14:textId="77777777" w:rsidR="009317D9" w:rsidRPr="00BC1A14" w:rsidRDefault="009317D9" w:rsidP="00746A04">
            <w:pPr>
              <w:pStyle w:val="ListParagraph"/>
              <w:numPr>
                <w:ilvl w:val="0"/>
                <w:numId w:val="32"/>
              </w:numPr>
              <w:spacing w:after="0" w:line="240" w:lineRule="auto"/>
              <w:ind w:left="0" w:right="0"/>
              <w:jc w:val="left"/>
            </w:pPr>
            <w:r w:rsidRPr="00BC1A14">
              <w:t>5% severe</w:t>
            </w:r>
          </w:p>
          <w:p w14:paraId="7950E547" w14:textId="77777777" w:rsidR="009317D9" w:rsidRPr="00BC1A14" w:rsidRDefault="009317D9" w:rsidP="00746A04">
            <w:pPr>
              <w:spacing w:after="0" w:line="240" w:lineRule="auto"/>
              <w:ind w:right="0"/>
              <w:jc w:val="left"/>
            </w:pPr>
            <w:r w:rsidRPr="00BC1A14">
              <w:t xml:space="preserve">The person </w:t>
            </w:r>
            <w:proofErr w:type="gramStart"/>
            <w:r w:rsidRPr="00BC1A14">
              <w:t>is assigned</w:t>
            </w:r>
            <w:proofErr w:type="gramEnd"/>
            <w:r w:rsidRPr="00BC1A14">
              <w:t xml:space="preserve"> the corresponding state in the Dementia </w:t>
            </w:r>
            <w:proofErr w:type="spellStart"/>
            <w:r w:rsidRPr="00BC1A14">
              <w:t>Statechart</w:t>
            </w:r>
            <w:proofErr w:type="spellEnd"/>
            <w:r w:rsidRPr="00BC1A14">
              <w:t xml:space="preserve"> as they enter the DES model.</w:t>
            </w:r>
          </w:p>
        </w:tc>
        <w:tc>
          <w:tcPr>
            <w:tcW w:w="2217" w:type="dxa"/>
            <w:tcBorders>
              <w:top w:val="single" w:sz="4" w:space="0" w:color="auto"/>
              <w:left w:val="single" w:sz="4" w:space="0" w:color="auto"/>
              <w:bottom w:val="single" w:sz="4" w:space="0" w:color="auto"/>
              <w:right w:val="single" w:sz="4" w:space="0" w:color="auto"/>
            </w:tcBorders>
            <w:hideMark/>
          </w:tcPr>
          <w:p w14:paraId="2F78C09E" w14:textId="77777777" w:rsidR="009317D9" w:rsidRPr="00BC1A14" w:rsidRDefault="009317D9" w:rsidP="00746A04">
            <w:pPr>
              <w:spacing w:after="0" w:line="240" w:lineRule="auto"/>
              <w:ind w:right="0"/>
              <w:jc w:val="left"/>
            </w:pPr>
            <w:r w:rsidRPr="00BC1A14">
              <w:t>Assumption made based on a variety of sources:</w:t>
            </w:r>
          </w:p>
          <w:p w14:paraId="46822F8F" w14:textId="77777777" w:rsidR="009317D9" w:rsidRPr="00BC1A14" w:rsidRDefault="009317D9" w:rsidP="00746A04">
            <w:pPr>
              <w:pStyle w:val="ListParagraph"/>
              <w:numPr>
                <w:ilvl w:val="0"/>
                <w:numId w:val="31"/>
              </w:numPr>
              <w:spacing w:after="0" w:line="240" w:lineRule="auto"/>
              <w:ind w:left="0" w:right="0"/>
              <w:jc w:val="left"/>
            </w:pPr>
            <w:r w:rsidRPr="00BC1A14">
              <w:t>Consultation with domain experts;</w:t>
            </w:r>
          </w:p>
          <w:p w14:paraId="0B6769B4" w14:textId="77777777" w:rsidR="009317D9" w:rsidRPr="00BC1A14" w:rsidRDefault="009317D9" w:rsidP="00746A04">
            <w:pPr>
              <w:pStyle w:val="ListParagraph"/>
              <w:numPr>
                <w:ilvl w:val="0"/>
                <w:numId w:val="31"/>
              </w:numPr>
              <w:spacing w:after="0" w:line="240" w:lineRule="auto"/>
              <w:ind w:left="0" w:right="0"/>
              <w:jc w:val="left"/>
            </w:pPr>
            <w:r w:rsidRPr="00BC1A14">
              <w:t xml:space="preserve">Bond </w:t>
            </w:r>
            <w:r w:rsidRPr="00BC1A14">
              <w:rPr>
                <w:i/>
              </w:rPr>
              <w:t>et al.</w:t>
            </w:r>
            <w:r w:rsidRPr="00BC1A14">
              <w:t xml:space="preserve"> </w:t>
            </w:r>
            <w:r w:rsidRPr="00BC1A14">
              <w:fldChar w:fldCharType="begin"/>
            </w:r>
            <w:r w:rsidRPr="00BC1A14">
              <w:instrText xml:space="preserve"> ADDIN ZOTERO_ITEM CSL_CITATION {"citationID":"CwCoGHZb","properties":{"formattedCitation":"(2005)","plainCitation":"(2005)","noteIndex":0},"citationItems":[{"id":1037,"uris":["http://zotero.org/users/2274800/items/5DTTPUIC"],"uri":["http://zotero.org/users/2274800/items/5DTTPUIC"],"itemData":{"id":1037,"type":"article-journal","title":"Inequalities in dementia care across Europe: key findings of the Facing Dementia Survey","container-title":"International Journal of Clinical Practice. Supplement","page":"8-14","issue":"146","source":"PubMed","abstract":"The Facing Dementia Survey was undertaken to assess the awareness of and behaviours surrounding Alzheimer's disease (AD) and dementia among all key stakeholders in Europe. Interviews were conducted with more than 2500 persons, including caregivers, members of the general population, physicians, persons with AD and influencers of health care policy. Four key messages emerged from the results. First, AD often remains undiagnosed until symptoms become moderate or severe. This delay may be because of the difficulty of recognising the symptoms of early AD and the attribution of symptoms to so-called normal ageing, the fear of AD common among older people, inadequate screening tools for use by physicians and/or a delay in the confirmation of the diagnosis once suspicion is raised. Second, a majority of respondents perceive their governments as indifferent to the economic, social and treatment burdens associated with AD. Third, a substantial majority of caregivers, physicians and the general population appreciate the wide-ranging impact that AD can have on the quality of life of people who suffer from it and their informal caregivers. While most caregivers reported life-changing negative effects, a few also noted some positive aspects to their experience. Finally, survey results revealed that most caregivers and members of the general public do not have sufficient information about the benefits of treatment and care. The findings of the Facing Dementia Survey support the development of an agenda for change in dementia care across Europe.","ISSN":"1368-504X","note":"PMID: 15801185","shortTitle":"Inequalities in dementia care across Europe","journalAbbreviation":"Int J Clin Pract Suppl","language":"eng","author":[{"family":"Bond","given":"J."},{"family":"Stave","given":"C."},{"family":"Sganga","given":"A."},{"family":"O'Connell","given":"B."},{"family":"Stanley","given":"R. L."}],"issued":{"date-parts":[["2005",3]]}},"suppress-author":true}],"schema":"https://github.com/citation-style-language/schema/raw/master/csl-citation.json"} </w:instrText>
            </w:r>
            <w:r w:rsidRPr="00BC1A14">
              <w:fldChar w:fldCharType="separate"/>
            </w:r>
            <w:r w:rsidRPr="00BC1A14">
              <w:t>(2005)</w:t>
            </w:r>
            <w:r w:rsidRPr="00BC1A14">
              <w:fldChar w:fldCharType="end"/>
            </w:r>
            <w:r w:rsidRPr="00BC1A14">
              <w:t>;</w:t>
            </w:r>
          </w:p>
          <w:p w14:paraId="194ECF52" w14:textId="77777777" w:rsidR="009317D9" w:rsidRPr="00BC1A14" w:rsidRDefault="009317D9" w:rsidP="00746A04">
            <w:pPr>
              <w:pStyle w:val="ListParagraph"/>
              <w:numPr>
                <w:ilvl w:val="0"/>
                <w:numId w:val="31"/>
              </w:numPr>
              <w:spacing w:after="0" w:line="240" w:lineRule="auto"/>
              <w:ind w:left="0" w:right="0"/>
              <w:jc w:val="left"/>
            </w:pPr>
            <w:r w:rsidRPr="00BC1A14">
              <w:t xml:space="preserve">Prince </w:t>
            </w:r>
            <w:r w:rsidRPr="00BC1A14">
              <w:rPr>
                <w:i/>
              </w:rPr>
              <w:t>et al.</w:t>
            </w:r>
            <w:r w:rsidRPr="00BC1A14">
              <w:t xml:space="preserve"> </w:t>
            </w:r>
            <w:r w:rsidRPr="00BC1A14">
              <w:fldChar w:fldCharType="begin"/>
            </w:r>
            <w:r w:rsidRPr="00BC1A14">
              <w:instrText xml:space="preserve"> ADDIN ZOTERO_ITEM CSL_CITATION {"citationID":"niUzqnzh","properties":{"formattedCitation":"(2014)","plainCitation":"(2014)","noteIndex":0},"citationItems":[{"id":567,"uris":["http://zotero.org/users/2274800/items/VRAQF5FV"],"uri":["http://zotero.org/users/2274800/items/VRAQF5FV"],"itemData":{"id":567,"type":"article","title":"Dementia UK: Second Edition","URL":"https://www.alzheimers.org.uk/download/downloads/id/2323/dementia_uk_update.pdf","author":[{"family":"Prince","given":"M"},{"family":"Knapp","given":"M"},{"family":"Guerchet","given":"M"},{"family":"McCrone","given":"P"},{"family":"Prina","given":"M"},{"family":"Comas-Herrera","given":"A"},{"family":"Wittenberg","given":"R"},{"family":"Adelaja","given":"B"},{"family":"Hu","given":"B"},{"family":"King","given":"D"},{"family":"Rehill","given":"A"},{"family":"Salimkumar","given":"D"}],"issued":{"date-parts":[["2014"]]},"accessed":{"date-parts":[["2015",5,7]]}},"suppress-author":true}],"schema":"https://github.com/citation-style-language/schema/raw/master/csl-citation.json"} </w:instrText>
            </w:r>
            <w:r w:rsidRPr="00BC1A14">
              <w:fldChar w:fldCharType="separate"/>
            </w:r>
            <w:r w:rsidRPr="00BC1A14">
              <w:t>(2014)</w:t>
            </w:r>
            <w:r w:rsidRPr="00BC1A14">
              <w:fldChar w:fldCharType="end"/>
            </w:r>
            <w:r w:rsidRPr="00BC1A14">
              <w:t>.</w:t>
            </w:r>
          </w:p>
        </w:tc>
      </w:tr>
      <w:tr w:rsidR="009317D9" w:rsidRPr="00BC1A14" w14:paraId="0108CE9B"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2AF029E6" w14:textId="77777777" w:rsidR="009317D9" w:rsidRPr="00BC1A14" w:rsidRDefault="009317D9" w:rsidP="00746A04">
            <w:pPr>
              <w:spacing w:after="0" w:line="240" w:lineRule="auto"/>
              <w:ind w:right="0"/>
              <w:jc w:val="left"/>
            </w:pPr>
            <w:r w:rsidRPr="00BC1A14">
              <w:t>Disease progression</w:t>
            </w:r>
          </w:p>
        </w:tc>
        <w:tc>
          <w:tcPr>
            <w:tcW w:w="4819" w:type="dxa"/>
            <w:tcBorders>
              <w:top w:val="single" w:sz="4" w:space="0" w:color="auto"/>
              <w:left w:val="single" w:sz="4" w:space="0" w:color="auto"/>
              <w:bottom w:val="single" w:sz="4" w:space="0" w:color="auto"/>
              <w:right w:val="single" w:sz="4" w:space="0" w:color="auto"/>
            </w:tcBorders>
            <w:hideMark/>
          </w:tcPr>
          <w:p w14:paraId="5A841E1E" w14:textId="77777777" w:rsidR="009317D9" w:rsidRPr="00BC1A14" w:rsidRDefault="009317D9" w:rsidP="00746A04">
            <w:pPr>
              <w:spacing w:after="0" w:line="240" w:lineRule="auto"/>
              <w:ind w:right="0"/>
              <w:jc w:val="left"/>
            </w:pPr>
            <w:r w:rsidRPr="00BC1A14">
              <w:t xml:space="preserve">State transition probabilities between stages of dementia, used to inform the core Dementia </w:t>
            </w:r>
            <w:proofErr w:type="spellStart"/>
            <w:r w:rsidRPr="00BC1A14">
              <w:t>Statechart</w:t>
            </w:r>
            <w:proofErr w:type="spellEnd"/>
            <w:r w:rsidRPr="00BC1A14">
              <w:t>.</w:t>
            </w:r>
          </w:p>
        </w:tc>
        <w:tc>
          <w:tcPr>
            <w:tcW w:w="2217" w:type="dxa"/>
            <w:tcBorders>
              <w:top w:val="single" w:sz="4" w:space="0" w:color="auto"/>
              <w:left w:val="single" w:sz="4" w:space="0" w:color="auto"/>
              <w:bottom w:val="single" w:sz="4" w:space="0" w:color="auto"/>
              <w:right w:val="single" w:sz="4" w:space="0" w:color="auto"/>
            </w:tcBorders>
            <w:hideMark/>
          </w:tcPr>
          <w:p w14:paraId="19843C44" w14:textId="77777777" w:rsidR="009317D9" w:rsidRPr="00BC1A14" w:rsidRDefault="009317D9" w:rsidP="00746A04">
            <w:pPr>
              <w:pStyle w:val="ListParagraph"/>
              <w:numPr>
                <w:ilvl w:val="0"/>
                <w:numId w:val="31"/>
              </w:numPr>
              <w:spacing w:after="0" w:line="240" w:lineRule="auto"/>
              <w:ind w:left="0" w:right="0"/>
              <w:jc w:val="left"/>
            </w:pPr>
            <w:r w:rsidRPr="00BC1A14">
              <w:t xml:space="preserve">Spackman et al. </w:t>
            </w:r>
            <w:r w:rsidRPr="00BC1A14">
              <w:fldChar w:fldCharType="begin"/>
            </w:r>
            <w:r w:rsidRPr="00BC1A14">
              <w:instrText xml:space="preserve"> ADDIN ZOTERO_ITEM CSL_CITATION {"citationID":"X3SFPTsS","properties":{"formattedCitation":"(2012)","plainCitation":"(2012)","noteIndex":0},"citationItems":[{"id":497,"uris":["http://zotero.org/users/2274800/items/SG7MWS3Z"],"uri":["http://zotero.org/users/2274800/items/SG7MWS3Z"],"itemData":{"id":497,"type":"article-journal","title":"Measuring Alzheimer disease progression with transition probabilities: estimates from NACC-UDS.","container-title":"Current Alzheimer Research","page":"1050-8","volume":"9","issue":"9","abstract":"OBJECTIVES: Estimate the probabilities, for Alzheimer's disease (AD) patients, of transitioning between stages of disease severity (mild, moderate, severe, dead) and care settings (community, institutional).\\n\\nMETHODS: Data were compiled by the National Alzheimer Coordinating Center. The main analyses were limited to 3,852 patients who were 50 years old, diagnosed with possible/probable AD and had at least two center visits. A multinomial logistic model accounting for patient and center level correlation was used to calculate transition probabilities between stages of the Clinical Dementia Rating (CDR). Separately we calculated the probabilities of being institutionalized based on CDR stage. Both analyses controlled for baseline age, time between visits, sex, marital status, whether white, whether Hispanic and number of years of education.\\n\\nRESULTS: The annual probabilities of dying for patients in mild, moderate and severe health states were 5.5%, 21.5% and 48.0%, respectively, while the annual probabilities for institutionalization were 1.2%, 3.4% and 6.6%, respectively. The majority of mild and moderate patients remain in the same health state after one year, 77.4% and 50.1% respectively. Progressing patients are most likely to transition one stage, but 1.3% of mild patients become severe in one year. Some patients revert to lower severity stages, 7% from moderate to mild.\\n\\nCONCLUSIONS: Transition probabilities to higher CDR stages and to institutionalization are lower than those published previously, but the probability of death is higher. These results are useful for understanding AD progression and can be used in simulation models to evaluate costs and compare new treatments or policies.","DOI":"10.2174/156720512803569046","ISSN":"1567-2050","author":[{"family":"Spackman","given":"D Eldon"},{"family":"Kadiyala","given":"Srikanth"},{"family":"Neumann","given":"Peter J"},{"family":"Veenstra","given":"David L"},{"family":"Sullivan","given":"Sean D"}],"issued":{"date-parts":[["2012"]]}},"suppress-author":true}],"schema":"https://github.com/citation-style-language/schema/raw/master/csl-citation.json"} </w:instrText>
            </w:r>
            <w:r w:rsidRPr="00BC1A14">
              <w:fldChar w:fldCharType="separate"/>
            </w:r>
            <w:r w:rsidRPr="00BC1A14">
              <w:t>(2012)</w:t>
            </w:r>
            <w:r w:rsidRPr="00BC1A14">
              <w:fldChar w:fldCharType="end"/>
            </w:r>
            <w:r w:rsidRPr="00BC1A14">
              <w:t>.</w:t>
            </w:r>
          </w:p>
        </w:tc>
      </w:tr>
      <w:tr w:rsidR="009317D9" w:rsidRPr="00BC1A14" w14:paraId="5B503CE0"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49EAB1E0" w14:textId="77777777" w:rsidR="009317D9" w:rsidRPr="00BC1A14" w:rsidRDefault="009317D9" w:rsidP="00746A04">
            <w:pPr>
              <w:spacing w:after="0" w:line="240" w:lineRule="auto"/>
              <w:ind w:right="0"/>
              <w:jc w:val="left"/>
            </w:pPr>
            <w:r w:rsidRPr="00BC1A14">
              <w:t>Mortality</w:t>
            </w:r>
          </w:p>
        </w:tc>
        <w:tc>
          <w:tcPr>
            <w:tcW w:w="4819" w:type="dxa"/>
            <w:tcBorders>
              <w:top w:val="single" w:sz="4" w:space="0" w:color="auto"/>
              <w:left w:val="single" w:sz="4" w:space="0" w:color="auto"/>
              <w:bottom w:val="single" w:sz="4" w:space="0" w:color="auto"/>
              <w:right w:val="single" w:sz="4" w:space="0" w:color="auto"/>
            </w:tcBorders>
            <w:hideMark/>
          </w:tcPr>
          <w:p w14:paraId="4BB6C69A" w14:textId="77777777" w:rsidR="009317D9" w:rsidRPr="00BC1A14" w:rsidRDefault="009317D9" w:rsidP="00746A04">
            <w:pPr>
              <w:spacing w:after="0" w:line="240" w:lineRule="auto"/>
              <w:ind w:right="0"/>
              <w:jc w:val="left"/>
            </w:pPr>
            <w:bookmarkStart w:id="12" w:name="_Hlk5877506"/>
            <w:r w:rsidRPr="00BC1A14">
              <w:t>Age and gender-specific state transition probabilities, to reflect the mortality rates of the modelled population.</w:t>
            </w:r>
            <w:bookmarkEnd w:id="12"/>
          </w:p>
        </w:tc>
        <w:tc>
          <w:tcPr>
            <w:tcW w:w="2217" w:type="dxa"/>
            <w:tcBorders>
              <w:top w:val="single" w:sz="4" w:space="0" w:color="auto"/>
              <w:left w:val="single" w:sz="4" w:space="0" w:color="auto"/>
              <w:bottom w:val="single" w:sz="4" w:space="0" w:color="auto"/>
              <w:right w:val="single" w:sz="4" w:space="0" w:color="auto"/>
            </w:tcBorders>
            <w:hideMark/>
          </w:tcPr>
          <w:p w14:paraId="3DEDDA49" w14:textId="77777777" w:rsidR="009317D9" w:rsidRPr="00BC1A14" w:rsidRDefault="009317D9" w:rsidP="00746A04">
            <w:pPr>
              <w:spacing w:after="0" w:line="240" w:lineRule="auto"/>
              <w:ind w:right="0"/>
              <w:jc w:val="left"/>
            </w:pPr>
            <w:r w:rsidRPr="00BC1A14">
              <w:t>Derived from the model used in:</w:t>
            </w:r>
          </w:p>
          <w:p w14:paraId="68DC0247" w14:textId="77777777" w:rsidR="009317D9" w:rsidRPr="00BC1A14" w:rsidRDefault="009317D9" w:rsidP="00746A04">
            <w:pPr>
              <w:pStyle w:val="ListParagraph"/>
              <w:numPr>
                <w:ilvl w:val="0"/>
                <w:numId w:val="31"/>
              </w:numPr>
              <w:spacing w:after="0" w:line="240" w:lineRule="auto"/>
              <w:ind w:left="0" w:right="0"/>
              <w:jc w:val="left"/>
            </w:pPr>
            <w:r w:rsidRPr="00BC1A14">
              <w:t xml:space="preserve">Spackman et al. </w:t>
            </w:r>
            <w:r w:rsidRPr="00BC1A14">
              <w:fldChar w:fldCharType="begin"/>
            </w:r>
            <w:r w:rsidRPr="00BC1A14">
              <w:instrText xml:space="preserve"> ADDIN ZOTERO_ITEM CSL_CITATION {"citationID":"vqC6tFau","properties":{"formattedCitation":"(2012)","plainCitation":"(2012)","noteIndex":0},"citationItems":[{"id":497,"uris":["http://zotero.org/users/2274800/items/SG7MWS3Z"],"uri":["http://zotero.org/users/2274800/items/SG7MWS3Z"],"itemData":{"id":497,"type":"article-journal","title":"Measuring Alzheimer disease progression with transition probabilities: estimates from NACC-UDS.","container-title":"Current Alzheimer Research","page":"1050-8","volume":"9","issue":"9","abstract":"OBJECTIVES: Estimate the probabilities, for Alzheimer's disease (AD) patients, of transitioning between stages of disease severity (mild, moderate, severe, dead) and care settings (community, institutional).\\n\\nMETHODS: Data were compiled by the National Alzheimer Coordinating Center. The main analyses were limited to 3,852 patients who were 50 years old, diagnosed with possible/probable AD and had at least two center visits. A multinomial logistic model accounting for patient and center level correlation was used to calculate transition probabilities between stages of the Clinical Dementia Rating (CDR). Separately we calculated the probabilities of being institutionalized based on CDR stage. Both analyses controlled for baseline age, time between visits, sex, marital status, whether white, whether Hispanic and number of years of education.\\n\\nRESULTS: The annual probabilities of dying for patients in mild, moderate and severe health states were 5.5%, 21.5% and 48.0%, respectively, while the annual probabilities for institutionalization were 1.2%, 3.4% and 6.6%, respectively. The majority of mild and moderate patients remain in the same health state after one year, 77.4% and 50.1% respectively. Progressing patients are most likely to transition one stage, but 1.3% of mild patients become severe in one year. Some patients revert to lower severity stages, 7% from moderate to mild.\\n\\nCONCLUSIONS: Transition probabilities to higher CDR stages and to institutionalization are lower than those published previously, but the probability of death is higher. These results are useful for understanding AD progression and can be used in simulation models to evaluate costs and compare new treatments or policies.","DOI":"10.2174/156720512803569046","ISSN":"1567-2050","author":[{"family":"Spackman","given":"D Eldon"},{"family":"Kadiyala","given":"Srikanth"},{"family":"Neumann","given":"Peter J"},{"family":"Veenstra","given":"David L"},{"family":"Sullivan","given":"Sean D"}],"issued":{"date-parts":[["2012"]]}},"suppress-author":true}],"schema":"https://github.com/citation-style-language/schema/raw/master/csl-citation.json"} </w:instrText>
            </w:r>
            <w:r w:rsidRPr="00BC1A14">
              <w:fldChar w:fldCharType="separate"/>
            </w:r>
            <w:r w:rsidRPr="00BC1A14">
              <w:t>(2012)</w:t>
            </w:r>
            <w:r w:rsidRPr="00BC1A14">
              <w:fldChar w:fldCharType="end"/>
            </w:r>
            <w:r w:rsidRPr="00BC1A14">
              <w:t>.</w:t>
            </w:r>
          </w:p>
        </w:tc>
      </w:tr>
      <w:tr w:rsidR="009317D9" w:rsidRPr="00BC1A14" w14:paraId="6AB2A1E0"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303C4A79" w14:textId="77777777" w:rsidR="009317D9" w:rsidRPr="00BC1A14" w:rsidRDefault="009317D9" w:rsidP="00746A04">
            <w:pPr>
              <w:spacing w:after="0" w:line="240" w:lineRule="auto"/>
              <w:ind w:right="0"/>
              <w:jc w:val="left"/>
            </w:pPr>
            <w:r w:rsidRPr="00BC1A14">
              <w:t>Progressive levels of dependency</w:t>
            </w:r>
          </w:p>
        </w:tc>
        <w:tc>
          <w:tcPr>
            <w:tcW w:w="4819" w:type="dxa"/>
            <w:tcBorders>
              <w:top w:val="single" w:sz="4" w:space="0" w:color="auto"/>
              <w:left w:val="single" w:sz="4" w:space="0" w:color="auto"/>
              <w:bottom w:val="single" w:sz="4" w:space="0" w:color="auto"/>
              <w:right w:val="single" w:sz="4" w:space="0" w:color="auto"/>
            </w:tcBorders>
            <w:hideMark/>
          </w:tcPr>
          <w:p w14:paraId="1401C96B" w14:textId="77777777" w:rsidR="009317D9" w:rsidRPr="00BC1A14" w:rsidRDefault="009317D9" w:rsidP="00746A04">
            <w:pPr>
              <w:spacing w:after="0" w:line="240" w:lineRule="auto"/>
              <w:ind w:right="0"/>
              <w:jc w:val="left"/>
            </w:pPr>
            <w:r w:rsidRPr="00BC1A14">
              <w:t xml:space="preserve">The levels of dependency are based on the work of </w:t>
            </w:r>
            <w:proofErr w:type="spellStart"/>
            <w:r w:rsidRPr="00BC1A14">
              <w:t>Kahle-Wrobleski</w:t>
            </w:r>
            <w:proofErr w:type="spellEnd"/>
            <w:r w:rsidRPr="00BC1A14">
              <w:t xml:space="preserve"> </w:t>
            </w:r>
            <w:r w:rsidRPr="00BC1A14">
              <w:rPr>
                <w:i/>
              </w:rPr>
              <w:t xml:space="preserve">et al. </w:t>
            </w:r>
            <w:r w:rsidRPr="00BC1A14">
              <w:t>(2015)</w:t>
            </w:r>
            <w:proofErr w:type="gramStart"/>
            <w:r w:rsidRPr="00BC1A14">
              <w:t>,</w:t>
            </w:r>
            <w:proofErr w:type="gramEnd"/>
            <w:r w:rsidRPr="00BC1A14">
              <w:t xml:space="preserve"> however the paper did not provide rates of progression, so state transition probabilities were derived from Spackman </w:t>
            </w:r>
            <w:r w:rsidRPr="00BC1A14">
              <w:rPr>
                <w:i/>
              </w:rPr>
              <w:t xml:space="preserve">et al. </w:t>
            </w:r>
            <w:r w:rsidRPr="00BC1A14">
              <w:t>(2012).</w:t>
            </w:r>
          </w:p>
        </w:tc>
        <w:tc>
          <w:tcPr>
            <w:tcW w:w="2217" w:type="dxa"/>
            <w:tcBorders>
              <w:top w:val="single" w:sz="4" w:space="0" w:color="auto"/>
              <w:left w:val="single" w:sz="4" w:space="0" w:color="auto"/>
              <w:bottom w:val="single" w:sz="4" w:space="0" w:color="auto"/>
              <w:right w:val="single" w:sz="4" w:space="0" w:color="auto"/>
            </w:tcBorders>
            <w:hideMark/>
          </w:tcPr>
          <w:p w14:paraId="2398CFF6" w14:textId="77777777" w:rsidR="009317D9" w:rsidRPr="00BC1A14" w:rsidRDefault="009317D9" w:rsidP="00746A04">
            <w:pPr>
              <w:spacing w:after="0" w:line="240" w:lineRule="auto"/>
              <w:ind w:right="0"/>
              <w:jc w:val="left"/>
            </w:pPr>
            <w:r w:rsidRPr="00BC1A14">
              <w:t>Derived from:</w:t>
            </w:r>
          </w:p>
          <w:p w14:paraId="386ECBC9" w14:textId="77777777" w:rsidR="009317D9" w:rsidRPr="00BC1A14" w:rsidRDefault="009317D9" w:rsidP="00746A04">
            <w:pPr>
              <w:pStyle w:val="ListParagraph"/>
              <w:numPr>
                <w:ilvl w:val="0"/>
                <w:numId w:val="31"/>
              </w:numPr>
              <w:spacing w:after="0" w:line="240" w:lineRule="auto"/>
              <w:ind w:left="0" w:right="0"/>
              <w:jc w:val="left"/>
            </w:pPr>
            <w:r w:rsidRPr="00BC1A14">
              <w:t xml:space="preserve">Spackman et al. </w:t>
            </w:r>
            <w:r w:rsidRPr="00BC1A14">
              <w:fldChar w:fldCharType="begin"/>
            </w:r>
            <w:r w:rsidRPr="00BC1A14">
              <w:instrText xml:space="preserve"> ADDIN ZOTERO_ITEM CSL_CITATION {"citationID":"8aAn7IRp","properties":{"formattedCitation":"(2012)","plainCitation":"(2012)","noteIndex":0},"citationItems":[{"id":497,"uris":["http://zotero.org/users/2274800/items/SG7MWS3Z"],"uri":["http://zotero.org/users/2274800/items/SG7MWS3Z"],"itemData":{"id":497,"type":"article-journal","title":"Measuring Alzheimer disease progression with transition probabilities: estimates from NACC-UDS.","container-title":"Current Alzheimer Research","page":"1050-8","volume":"9","issue":"9","abstract":"OBJECTIVES: Estimate the probabilities, for Alzheimer's disease (AD) patients, of transitioning between stages of disease severity (mild, moderate, severe, dead) and care settings (community, institutional).\\n\\nMETHODS: Data were compiled by the National Alzheimer Coordinating Center. The main analyses were limited to 3,852 patients who were 50 years old, diagnosed with possible/probable AD and had at least two center visits. A multinomial logistic model accounting for patient and center level correlation was used to calculate transition probabilities between stages of the Clinical Dementia Rating (CDR). Separately we calculated the probabilities of being institutionalized based on CDR stage. Both analyses controlled for baseline age, time between visits, sex, marital status, whether white, whether Hispanic and number of years of education.\\n\\nRESULTS: The annual probabilities of dying for patients in mild, moderate and severe health states were 5.5%, 21.5% and 48.0%, respectively, while the annual probabilities for institutionalization were 1.2%, 3.4% and 6.6%, respectively. The majority of mild and moderate patients remain in the same health state after one year, 77.4% and 50.1% respectively. Progressing patients are most likely to transition one stage, but 1.3% of mild patients become severe in one year. Some patients revert to lower severity stages, 7% from moderate to mild.\\n\\nCONCLUSIONS: Transition probabilities to higher CDR stages and to institutionalization are lower than those published previously, but the probability of death is higher. These results are useful for understanding AD progression and can be used in simulation models to evaluate costs and compare new treatments or policies.","DOI":"10.2174/156720512803569046","ISSN":"1567-2050","author":[{"family":"Spackman","given":"D Eldon"},{"family":"Kadiyala","given":"Srikanth"},{"family":"Neumann","given":"Peter J"},{"family":"Veenstra","given":"David L"},{"family":"Sullivan","given":"Sean D"}],"issued":{"date-parts":[["2012"]]}},"suppress-author":true}],"schema":"https://github.com/citation-style-language/schema/raw/master/csl-citation.json"} </w:instrText>
            </w:r>
            <w:r w:rsidRPr="00BC1A14">
              <w:fldChar w:fldCharType="separate"/>
            </w:r>
            <w:r w:rsidRPr="00BC1A14">
              <w:t>(2012)</w:t>
            </w:r>
            <w:r w:rsidRPr="00BC1A14">
              <w:fldChar w:fldCharType="end"/>
            </w:r>
            <w:r w:rsidRPr="00BC1A14">
              <w:t>;</w:t>
            </w:r>
          </w:p>
          <w:p w14:paraId="0D8CB96F" w14:textId="77777777" w:rsidR="009317D9" w:rsidRPr="00BC1A14" w:rsidRDefault="009317D9" w:rsidP="00746A04">
            <w:pPr>
              <w:pStyle w:val="ListParagraph"/>
              <w:numPr>
                <w:ilvl w:val="0"/>
                <w:numId w:val="31"/>
              </w:numPr>
              <w:spacing w:after="0" w:line="240" w:lineRule="auto"/>
              <w:ind w:left="0" w:right="0"/>
              <w:jc w:val="left"/>
            </w:pPr>
            <w:proofErr w:type="spellStart"/>
            <w:r w:rsidRPr="00BC1A14">
              <w:t>Kahle</w:t>
            </w:r>
            <w:proofErr w:type="spellEnd"/>
            <w:r w:rsidRPr="00BC1A14">
              <w:t xml:space="preserve">- </w:t>
            </w:r>
            <w:proofErr w:type="spellStart"/>
            <w:r w:rsidRPr="00BC1A14">
              <w:t>Wrobleski</w:t>
            </w:r>
            <w:proofErr w:type="spellEnd"/>
            <w:r w:rsidRPr="00BC1A14">
              <w:t xml:space="preserve"> et al. </w:t>
            </w:r>
            <w:r w:rsidRPr="00BC1A14">
              <w:fldChar w:fldCharType="begin"/>
            </w:r>
            <w:r w:rsidRPr="00BC1A14">
              <w:instrText xml:space="preserve"> ADDIN ZOTERO_ITEM CSL_CITATION {"citationID":"f9HxnTGj","properties":{"formattedCitation":"(2015)","plainCitation":"(2015)","noteIndex":0},"citationItems":[{"id":1012,"uris":["http://zotero.org/users/2274800/items/RIA8DQQJ"],"uri":["http://zotero.org/users/2274800/items/RIA8DQQJ"],"itemData":{"id":1012,"type":"article-journal","title":"Clinical and economic characteristics of milestones along the continuum of Alzheimer's disease: transforming functional scores into levels of dependence","container-title":"J. Prev. Alzheimers Dis.","page":"115–120","volume":"2","issue":"2","source":"Google Scholar","shortTitle":"Clinical and economic characteristics of milestones along the continuum of Alzheimer's disease","author":[{"family":"Kahle-Wrobleski","given":"K."},{"family":"Andrews","given":"J. S."},{"family":"Belger","given":"M."},{"family":"Gauthier","given":"S."},{"family":"Stern","given":"Y."},{"family":"Rentz","given":"D. M."},{"family":"Galasko","given":"D."}],"issued":{"date-parts":[["2015"]]}},"suppress-author":true}],"schema":"https://github.com/citation-style-language/schema/raw/master/csl-citation.json"} </w:instrText>
            </w:r>
            <w:r w:rsidRPr="00BC1A14">
              <w:fldChar w:fldCharType="separate"/>
            </w:r>
            <w:r w:rsidRPr="00BC1A14">
              <w:t>(2015)</w:t>
            </w:r>
            <w:r w:rsidRPr="00BC1A14">
              <w:fldChar w:fldCharType="end"/>
            </w:r>
            <w:r w:rsidRPr="00BC1A14">
              <w:t>.</w:t>
            </w:r>
          </w:p>
        </w:tc>
      </w:tr>
      <w:tr w:rsidR="009317D9" w:rsidRPr="00BC1A14" w14:paraId="358155D7"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61F9044F" w14:textId="77777777" w:rsidR="009317D9" w:rsidRPr="00BC1A14" w:rsidRDefault="009317D9" w:rsidP="00746A04">
            <w:pPr>
              <w:spacing w:after="0" w:line="240" w:lineRule="auto"/>
              <w:ind w:right="0"/>
              <w:jc w:val="left"/>
            </w:pPr>
            <w:r w:rsidRPr="00BC1A14">
              <w:t>Hours of Care Required: Lower Level Dependency -Mild Dementia</w:t>
            </w:r>
          </w:p>
        </w:tc>
        <w:tc>
          <w:tcPr>
            <w:tcW w:w="4819" w:type="dxa"/>
            <w:tcBorders>
              <w:top w:val="single" w:sz="4" w:space="0" w:color="auto"/>
              <w:left w:val="single" w:sz="4" w:space="0" w:color="auto"/>
              <w:bottom w:val="single" w:sz="4" w:space="0" w:color="auto"/>
              <w:right w:val="single" w:sz="4" w:space="0" w:color="auto"/>
            </w:tcBorders>
            <w:hideMark/>
          </w:tcPr>
          <w:p w14:paraId="62E1980E" w14:textId="543DE4C9" w:rsidR="009317D9" w:rsidRPr="00BC1A14" w:rsidRDefault="009317D9" w:rsidP="00746A04">
            <w:pPr>
              <w:spacing w:after="0" w:line="240" w:lineRule="auto"/>
              <w:ind w:right="0"/>
              <w:jc w:val="left"/>
            </w:pPr>
            <w:r w:rsidRPr="00BC1A14">
              <w:t xml:space="preserve">‘Caregiver Time’ from </w:t>
            </w:r>
            <w:proofErr w:type="spellStart"/>
            <w:r w:rsidRPr="00BC1A14">
              <w:t>Kahle-Wrobleski’s</w:t>
            </w:r>
            <w:proofErr w:type="spellEnd"/>
            <w:r w:rsidRPr="00BC1A14">
              <w:t xml:space="preserve"> (2015) work </w:t>
            </w:r>
            <w:proofErr w:type="gramStart"/>
            <w:r w:rsidRPr="00BC1A14">
              <w:t>has been used</w:t>
            </w:r>
            <w:proofErr w:type="gramEnd"/>
            <w:r w:rsidRPr="00BC1A14">
              <w:t xml:space="preserve"> as a proxy for hours of care required. The upper value for the confidence interval</w:t>
            </w:r>
            <w:r w:rsidR="007970FE">
              <w:t xml:space="preserve"> </w:t>
            </w:r>
            <w:r w:rsidRPr="00BC1A14">
              <w:t xml:space="preserve">from the paper </w:t>
            </w:r>
            <w:proofErr w:type="gramStart"/>
            <w:r w:rsidRPr="00BC1A14">
              <w:t>was used</w:t>
            </w:r>
            <w:proofErr w:type="gramEnd"/>
            <w:r w:rsidRPr="00BC1A14">
              <w:t xml:space="preserve"> as the upper bound of the Uniform distribution and the lower bound was set to zero to reflect that some people in the early stages of dementia require no additional support (Caro </w:t>
            </w:r>
            <w:r w:rsidRPr="00BC1A14">
              <w:rPr>
                <w:i/>
              </w:rPr>
              <w:t>et al.</w:t>
            </w:r>
            <w:r w:rsidRPr="00BC1A14">
              <w:t xml:space="preserve">, 2002). </w:t>
            </w:r>
          </w:p>
        </w:tc>
        <w:tc>
          <w:tcPr>
            <w:tcW w:w="2217" w:type="dxa"/>
            <w:tcBorders>
              <w:top w:val="single" w:sz="4" w:space="0" w:color="auto"/>
              <w:left w:val="single" w:sz="4" w:space="0" w:color="auto"/>
              <w:bottom w:val="single" w:sz="4" w:space="0" w:color="auto"/>
              <w:right w:val="single" w:sz="4" w:space="0" w:color="auto"/>
            </w:tcBorders>
            <w:hideMark/>
          </w:tcPr>
          <w:p w14:paraId="039338B7" w14:textId="77777777" w:rsidR="009317D9" w:rsidRPr="00BC1A14" w:rsidRDefault="009317D9" w:rsidP="00746A04">
            <w:pPr>
              <w:pStyle w:val="ListParagraph"/>
              <w:numPr>
                <w:ilvl w:val="0"/>
                <w:numId w:val="31"/>
              </w:numPr>
              <w:spacing w:after="0" w:line="240" w:lineRule="auto"/>
              <w:ind w:left="0" w:right="0"/>
              <w:jc w:val="left"/>
            </w:pPr>
            <w:proofErr w:type="spellStart"/>
            <w:r w:rsidRPr="00BC1A14">
              <w:t>Kahle</w:t>
            </w:r>
            <w:proofErr w:type="spellEnd"/>
            <w:r w:rsidRPr="00BC1A14">
              <w:t xml:space="preserve">- </w:t>
            </w:r>
            <w:proofErr w:type="spellStart"/>
            <w:r w:rsidRPr="00BC1A14">
              <w:t>Wrobleski</w:t>
            </w:r>
            <w:proofErr w:type="spellEnd"/>
            <w:r w:rsidRPr="00BC1A14">
              <w:t xml:space="preserve"> et al. </w:t>
            </w:r>
            <w:r w:rsidRPr="00BC1A14">
              <w:fldChar w:fldCharType="begin"/>
            </w:r>
            <w:r w:rsidRPr="00BC1A14">
              <w:instrText xml:space="preserve"> ADDIN ZOTERO_ITEM CSL_CITATION {"citationID":"g6ElPQgZ","properties":{"formattedCitation":"(2015)","plainCitation":"(2015)","noteIndex":0},"citationItems":[{"id":1012,"uris":["http://zotero.org/users/2274800/items/RIA8DQQJ"],"uri":["http://zotero.org/users/2274800/items/RIA8DQQJ"],"itemData":{"id":1012,"type":"article-journal","title":"Clinical and economic characteristics of milestones along the continuum of Alzheimer's disease: transforming functional scores into levels of dependence","container-title":"J. Prev. Alzheimers Dis.","page":"115–120","volume":"2","issue":"2","source":"Google Scholar","shortTitle":"Clinical and economic characteristics of milestones along the continuum of Alzheimer's disease","author":[{"family":"Kahle-Wrobleski","given":"K."},{"family":"Andrews","given":"J. S."},{"family":"Belger","given":"M."},{"family":"Gauthier","given":"S."},{"family":"Stern","given":"Y."},{"family":"Rentz","given":"D. M."},{"family":"Galasko","given":"D."}],"issued":{"date-parts":[["2015"]]}},"suppress-author":true}],"schema":"https://github.com/citation-style-language/schema/raw/master/csl-citation.json"} </w:instrText>
            </w:r>
            <w:r w:rsidRPr="00BC1A14">
              <w:fldChar w:fldCharType="separate"/>
            </w:r>
            <w:r w:rsidRPr="00BC1A14">
              <w:t>(2015)</w:t>
            </w:r>
            <w:r w:rsidRPr="00BC1A14">
              <w:fldChar w:fldCharType="end"/>
            </w:r>
            <w:r w:rsidRPr="00BC1A14">
              <w:t>;</w:t>
            </w:r>
          </w:p>
          <w:p w14:paraId="41F37FF9" w14:textId="77777777" w:rsidR="009317D9" w:rsidRPr="00BC1A14" w:rsidRDefault="009317D9" w:rsidP="00746A04">
            <w:pPr>
              <w:pStyle w:val="ListParagraph"/>
              <w:numPr>
                <w:ilvl w:val="0"/>
                <w:numId w:val="31"/>
              </w:numPr>
              <w:spacing w:after="0" w:line="240" w:lineRule="auto"/>
              <w:ind w:left="0" w:right="0"/>
              <w:jc w:val="left"/>
            </w:pPr>
            <w:r w:rsidRPr="00BC1A14">
              <w:t xml:space="preserve">Caro et al. </w:t>
            </w:r>
            <w:r w:rsidRPr="00BC1A14">
              <w:fldChar w:fldCharType="begin"/>
            </w:r>
            <w:r w:rsidRPr="00BC1A14">
              <w:instrText xml:space="preserve"> ADDIN ZOTERO_ITEM CSL_CITATION {"citationID":"LMpaszdP","properties":{"formattedCitation":"(2002)","plainCitation":"(2002)","noteIndex":0},"citationItems":[{"id":363,"uris":["http://zotero.org/users/2274800/items/J77UPDJF"],"uri":["http://zotero.org/users/2274800/items/J77UPDJF"],"itemData":{"id":363,"type":"article-journal","title":"To what degree does cognitive impairment in Alzheimer's disease predict dependence of patients on caregivers?","container-title":"BMC Neurology","page":"1-7","volume":"2","issue":"6","abstract":"Background: Patients with Alzheimer's disease experience a progressive loss of cognitive function, and the ability to independently perform activities of daily life. Sometimes a dependent stage is reached quite early in the disease, when caregivers decide that the patients can no longer be left alone safely. This is an important aspect of Alzheimer's for patients, their families, and also health care providers. Understanding the relationship between a patient's current cognitive status and their need for care may assist clinicians when recommending an appropriate management plan. In this study, we investigated the relationship of cognitive function to dependence on caregivers before the patients reach a severe stage of the disease. Methods: Data were obtained on 1,289 patients with mild-to-moderate Alzheimer's disease studied in two randomised clinical trials of galantamine (Reminyl). Cognition was assessed using the cognitive part of the Alzheimer's Disease Assessment Scale (ADAS-cog) and Mini-Mental State Examination (MMSE). Patients were considered dependent if they required &gt;12 hours of supervision each day or had high care needs. The Disability Assessment for Dementia (DAD) scale was also used as a measure of dependence. Disability was predicted directly using MMSE and ADAS-cog and compared to predictions from converted scores. Results: The odds ratio of dependence was significantly higher amongst the patients with worse cognitive impairment, adjusting for age, gender and antipsychotic medication use. For example, a 4-point difference in ADAS-cog score was associated with an increase of 17% (95% CI 1123) in the adjusted odds for &gt;12 hours of supervision, and of 35% (95% CI 2843) for dependence. Disability predicted directly using actual ADAS-cog and scores converted from MMSE values had close agreement using the models developed. Conclusion: In patients with mild-to-moderate Alzheimer's disease, even relatively small degrees of poorer cognitive function increased the risk of losing the ability to live independently.","DOI":"10.1186/1471-2377-2-6","ISSN":"1471-2377 (Electronic)","author":[{"family":"Caro","given":"Jaime"},{"family":"Ward","given":"Alexandra"},{"family":"Ishak","given":"Khajak"},{"family":"Migliaccio-Walle","given":"Kristen"},{"family":"Getsios","given":"Denis"},{"family":"Papadopoulos","given":"George"},{"family":"Torfs","given":"Koen"}],"issued":{"date-parts":[["2002"]]}},"suppress-author":true}],"schema":"https://github.com/citation-style-language/schema/raw/master/csl-citation.json"} </w:instrText>
            </w:r>
            <w:r w:rsidRPr="00BC1A14">
              <w:fldChar w:fldCharType="separate"/>
            </w:r>
            <w:r w:rsidRPr="00BC1A14">
              <w:t>(2002)</w:t>
            </w:r>
            <w:r w:rsidRPr="00BC1A14">
              <w:fldChar w:fldCharType="end"/>
            </w:r>
            <w:r w:rsidRPr="00BC1A14">
              <w:t>.</w:t>
            </w:r>
          </w:p>
        </w:tc>
      </w:tr>
      <w:tr w:rsidR="009317D9" w:rsidRPr="00BC1A14" w14:paraId="381DE5D0"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3DC6DF8A" w14:textId="77777777" w:rsidR="009317D9" w:rsidRPr="00BC1A14" w:rsidRDefault="009317D9" w:rsidP="00746A04">
            <w:pPr>
              <w:spacing w:after="0" w:line="240" w:lineRule="auto"/>
              <w:ind w:right="0"/>
              <w:jc w:val="left"/>
            </w:pPr>
            <w:r w:rsidRPr="00BC1A14">
              <w:t xml:space="preserve">Hours of Care Required: Upper Level </w:t>
            </w:r>
            <w:r w:rsidRPr="00BC1A14">
              <w:lastRenderedPageBreak/>
              <w:t>Dependency -Mild Dementia</w:t>
            </w:r>
          </w:p>
        </w:tc>
        <w:tc>
          <w:tcPr>
            <w:tcW w:w="4819" w:type="dxa"/>
            <w:tcBorders>
              <w:top w:val="single" w:sz="4" w:space="0" w:color="auto"/>
              <w:left w:val="single" w:sz="4" w:space="0" w:color="auto"/>
              <w:bottom w:val="single" w:sz="4" w:space="0" w:color="auto"/>
              <w:right w:val="single" w:sz="4" w:space="0" w:color="auto"/>
            </w:tcBorders>
            <w:hideMark/>
          </w:tcPr>
          <w:p w14:paraId="117A8116" w14:textId="77777777" w:rsidR="009317D9" w:rsidRPr="00BC1A14" w:rsidRDefault="009317D9" w:rsidP="00746A04">
            <w:pPr>
              <w:spacing w:after="0" w:line="240" w:lineRule="auto"/>
              <w:ind w:right="0"/>
              <w:jc w:val="left"/>
            </w:pPr>
            <w:r w:rsidRPr="00BC1A14">
              <w:lastRenderedPageBreak/>
              <w:t>As above, with the upper and lower confidence intervals used as upper and lower bounds for the uniform distribution.</w:t>
            </w:r>
          </w:p>
        </w:tc>
        <w:tc>
          <w:tcPr>
            <w:tcW w:w="2217" w:type="dxa"/>
            <w:tcBorders>
              <w:top w:val="single" w:sz="4" w:space="0" w:color="auto"/>
              <w:left w:val="single" w:sz="4" w:space="0" w:color="auto"/>
              <w:bottom w:val="single" w:sz="4" w:space="0" w:color="auto"/>
              <w:right w:val="single" w:sz="4" w:space="0" w:color="auto"/>
            </w:tcBorders>
            <w:hideMark/>
          </w:tcPr>
          <w:p w14:paraId="23B6D534" w14:textId="77777777" w:rsidR="009317D9" w:rsidRPr="00BC1A14" w:rsidRDefault="009317D9" w:rsidP="00746A04">
            <w:pPr>
              <w:pStyle w:val="ListParagraph"/>
              <w:numPr>
                <w:ilvl w:val="0"/>
                <w:numId w:val="31"/>
              </w:numPr>
              <w:spacing w:after="0" w:line="240" w:lineRule="auto"/>
              <w:ind w:left="0" w:right="0"/>
              <w:jc w:val="left"/>
            </w:pPr>
            <w:proofErr w:type="spellStart"/>
            <w:r w:rsidRPr="00BC1A14">
              <w:t>Kahle</w:t>
            </w:r>
            <w:proofErr w:type="spellEnd"/>
            <w:r w:rsidRPr="00BC1A14">
              <w:t xml:space="preserve">- </w:t>
            </w:r>
            <w:proofErr w:type="spellStart"/>
            <w:r w:rsidRPr="00BC1A14">
              <w:t>Wrobleski</w:t>
            </w:r>
            <w:proofErr w:type="spellEnd"/>
            <w:r w:rsidRPr="00BC1A14">
              <w:t xml:space="preserve"> et al. </w:t>
            </w:r>
            <w:r w:rsidRPr="00BC1A14">
              <w:fldChar w:fldCharType="begin"/>
            </w:r>
            <w:r w:rsidRPr="00BC1A14">
              <w:instrText xml:space="preserve"> ADDIN ZOTERO_ITEM CSL_CITATION {"citationID":"oGnucgSB","properties":{"formattedCitation":"(2015)","plainCitation":"(2015)","noteIndex":0},"citationItems":[{"id":1012,"uris":["http://zotero.org/users/2274800/items/RIA8DQQJ"],"uri":["http://zotero.org/users/2274800/items/RIA8DQQJ"],"itemData":{"id":1012,"type":"article-journal","title":"Clinical and economic characteristics of milestones along the continuum of Alzheimer's disease: transforming functional scores into levels of dependence","container-title":"J. Prev. Alzheimers Dis.","page":"115–120","volume":"2","issue":"2","source":"Google Scholar","shortTitle":"Clinical and economic characteristics of milestones along the continuum of Alzheimer's disease","author":[{"family":"Kahle-Wrobleski","given":"K."},{"family":"Andrews","given":"J. S."},{"family":"Belger","given":"M."},{"family":"Gauthier","given":"S."},{"family":"Stern","given":"Y."},{"family":"Rentz","given":"D. M."},{"family":"Galasko","given":"D."}],"issued":{"date-parts":[["2015"]]}},"suppress-author":true}],"schema":"https://github.com/citation-style-language/schema/raw/master/csl-citation.json"} </w:instrText>
            </w:r>
            <w:r w:rsidRPr="00BC1A14">
              <w:fldChar w:fldCharType="separate"/>
            </w:r>
            <w:r w:rsidRPr="00BC1A14">
              <w:t>(2015)</w:t>
            </w:r>
            <w:r w:rsidRPr="00BC1A14">
              <w:fldChar w:fldCharType="end"/>
            </w:r>
            <w:r w:rsidRPr="00BC1A14">
              <w:t>.</w:t>
            </w:r>
          </w:p>
        </w:tc>
      </w:tr>
      <w:tr w:rsidR="009317D9" w:rsidRPr="00BC1A14" w14:paraId="31948ABF"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6E061FB2" w14:textId="77777777" w:rsidR="009317D9" w:rsidRPr="00BC1A14" w:rsidRDefault="009317D9" w:rsidP="00746A04">
            <w:pPr>
              <w:spacing w:after="0" w:line="240" w:lineRule="auto"/>
              <w:ind w:right="0"/>
              <w:jc w:val="left"/>
            </w:pPr>
            <w:r w:rsidRPr="00BC1A14">
              <w:t>Hours of Care Required: Lower Level Dependency -</w:t>
            </w:r>
          </w:p>
          <w:p w14:paraId="7BFAE646" w14:textId="77777777" w:rsidR="009317D9" w:rsidRPr="00BC1A14" w:rsidRDefault="009317D9" w:rsidP="00746A04">
            <w:pPr>
              <w:spacing w:after="0" w:line="240" w:lineRule="auto"/>
              <w:ind w:right="0"/>
              <w:jc w:val="left"/>
            </w:pPr>
            <w:r w:rsidRPr="00BC1A14">
              <w:t>Moderate Dementia</w:t>
            </w:r>
          </w:p>
        </w:tc>
        <w:tc>
          <w:tcPr>
            <w:tcW w:w="4819" w:type="dxa"/>
            <w:tcBorders>
              <w:top w:val="single" w:sz="4" w:space="0" w:color="auto"/>
              <w:left w:val="single" w:sz="4" w:space="0" w:color="auto"/>
              <w:bottom w:val="single" w:sz="4" w:space="0" w:color="auto"/>
              <w:right w:val="single" w:sz="4" w:space="0" w:color="auto"/>
            </w:tcBorders>
            <w:hideMark/>
          </w:tcPr>
          <w:p w14:paraId="6360F9F2" w14:textId="77777777" w:rsidR="009317D9" w:rsidRPr="00BC1A14" w:rsidRDefault="009317D9" w:rsidP="00746A04">
            <w:pPr>
              <w:spacing w:after="0" w:line="240" w:lineRule="auto"/>
              <w:ind w:right="0"/>
              <w:jc w:val="left"/>
            </w:pPr>
            <w:r w:rsidRPr="00BC1A14">
              <w:t xml:space="preserve">A probability profile for this dependency level </w:t>
            </w:r>
            <w:proofErr w:type="gramStart"/>
            <w:r w:rsidRPr="00BC1A14">
              <w:t>was derived</w:t>
            </w:r>
            <w:proofErr w:type="gramEnd"/>
            <w:r w:rsidRPr="00BC1A14">
              <w:t xml:space="preserve"> from Caro </w:t>
            </w:r>
            <w:r w:rsidRPr="00BC1A14">
              <w:rPr>
                <w:i/>
              </w:rPr>
              <w:t xml:space="preserve">et al. </w:t>
            </w:r>
            <w:r w:rsidRPr="00BC1A14">
              <w:t xml:space="preserve">(2002). Caro </w:t>
            </w:r>
            <w:r w:rsidRPr="00BC1A14">
              <w:rPr>
                <w:i/>
              </w:rPr>
              <w:t xml:space="preserve">et al. </w:t>
            </w:r>
            <w:r w:rsidRPr="00BC1A14">
              <w:t xml:space="preserve">(2002) found that 20% of those at dependency level 3 (equivalent of lower level dependency for moderate dementia) required under 12 hours of supervision per day. The remaining 80% required more than 12 hours of supervision. They found a great deal of variation in the number of hours of care required, which reached up to 24 hours a day for approximately 32% of the group. Therefore, the probability profile effectively took the shape of a slightly stepped uniform distribution with a 30% peak at 24 hours and a slightly lower distribution representing 20% of the group under 12 hours. The remaining 48% (&gt;12 but &lt;24) is distributed uniformly between 12 and 24 hours to represent the variation mentioned by Caro </w:t>
            </w:r>
            <w:r w:rsidRPr="00BC1A14">
              <w:rPr>
                <w:i/>
              </w:rPr>
              <w:t>et al.</w:t>
            </w:r>
          </w:p>
        </w:tc>
        <w:tc>
          <w:tcPr>
            <w:tcW w:w="2217" w:type="dxa"/>
            <w:tcBorders>
              <w:top w:val="single" w:sz="4" w:space="0" w:color="auto"/>
              <w:left w:val="single" w:sz="4" w:space="0" w:color="auto"/>
              <w:bottom w:val="single" w:sz="4" w:space="0" w:color="auto"/>
              <w:right w:val="single" w:sz="4" w:space="0" w:color="auto"/>
            </w:tcBorders>
            <w:hideMark/>
          </w:tcPr>
          <w:p w14:paraId="1A61B61F" w14:textId="77777777" w:rsidR="009317D9" w:rsidRPr="00BC1A14" w:rsidRDefault="009317D9" w:rsidP="00746A04">
            <w:pPr>
              <w:pStyle w:val="ListParagraph"/>
              <w:numPr>
                <w:ilvl w:val="0"/>
                <w:numId w:val="31"/>
              </w:numPr>
              <w:spacing w:after="0" w:line="240" w:lineRule="auto"/>
              <w:ind w:left="0" w:right="0"/>
              <w:jc w:val="left"/>
            </w:pPr>
            <w:r w:rsidRPr="00BC1A14">
              <w:t xml:space="preserve">Caro et al. </w:t>
            </w:r>
            <w:r w:rsidRPr="00BC1A14">
              <w:fldChar w:fldCharType="begin"/>
            </w:r>
            <w:r w:rsidRPr="00BC1A14">
              <w:instrText xml:space="preserve"> ADDIN ZOTERO_ITEM CSL_CITATION {"citationID":"TpERFjZx","properties":{"formattedCitation":"(2002)","plainCitation":"(2002)","noteIndex":0},"citationItems":[{"id":363,"uris":["http://zotero.org/users/2274800/items/J77UPDJF"],"uri":["http://zotero.org/users/2274800/items/J77UPDJF"],"itemData":{"id":363,"type":"article-journal","title":"To what degree does cognitive impairment in Alzheimer's disease predict dependence of patients on caregivers?","container-title":"BMC Neurology","page":"1-7","volume":"2","issue":"6","abstract":"Background: Patients with Alzheimer's disease experience a progressive loss of cognitive function, and the ability to independently perform activities of daily life. Sometimes a dependent stage is reached quite early in the disease, when caregivers decide that the patients can no longer be left alone safely. This is an important aspect of Alzheimer's for patients, their families, and also health care providers. Understanding the relationship between a patient's current cognitive status and their need for care may assist clinicians when recommending an appropriate management plan. In this study, we investigated the relationship of cognitive function to dependence on caregivers before the patients reach a severe stage of the disease. Methods: Data were obtained on 1,289 patients with mild-to-moderate Alzheimer's disease studied in two randomised clinical trials of galantamine (Reminyl). Cognition was assessed using the cognitive part of the Alzheimer's Disease Assessment Scale (ADAS-cog) and Mini-Mental State Examination (MMSE). Patients were considered dependent if they required &gt;12 hours of supervision each day or had high care needs. The Disability Assessment for Dementia (DAD) scale was also used as a measure of dependence. Disability was predicted directly using MMSE and ADAS-cog and compared to predictions from converted scores. Results: The odds ratio of dependence was significantly higher amongst the patients with worse cognitive impairment, adjusting for age, gender and antipsychotic medication use. For example, a 4-point difference in ADAS-cog score was associated with an increase of 17% (95% CI 1123) in the adjusted odds for &gt;12 hours of supervision, and of 35% (95% CI 2843) for dependence. Disability predicted directly using actual ADAS-cog and scores converted from MMSE values had close agreement using the models developed. Conclusion: In patients with mild-to-moderate Alzheimer's disease, even relatively small degrees of poorer cognitive function increased the risk of losing the ability to live independently.","DOI":"10.1186/1471-2377-2-6","ISSN":"1471-2377 (Electronic)","author":[{"family":"Caro","given":"Jaime"},{"family":"Ward","given":"Alexandra"},{"family":"Ishak","given":"Khajak"},{"family":"Migliaccio-Walle","given":"Kristen"},{"family":"Getsios","given":"Denis"},{"family":"Papadopoulos","given":"George"},{"family":"Torfs","given":"Koen"}],"issued":{"date-parts":[["2002"]]}},"suppress-author":true}],"schema":"https://github.com/citation-style-language/schema/raw/master/csl-citation.json"} </w:instrText>
            </w:r>
            <w:r w:rsidRPr="00BC1A14">
              <w:fldChar w:fldCharType="separate"/>
            </w:r>
            <w:r w:rsidRPr="00BC1A14">
              <w:t>(2002)</w:t>
            </w:r>
            <w:r w:rsidRPr="00BC1A14">
              <w:fldChar w:fldCharType="end"/>
            </w:r>
            <w:r w:rsidRPr="00BC1A14">
              <w:t>.</w:t>
            </w:r>
          </w:p>
        </w:tc>
      </w:tr>
      <w:tr w:rsidR="009317D9" w:rsidRPr="00BC1A14" w14:paraId="7ACFF574"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2A9B7FCE" w14:textId="77777777" w:rsidR="009317D9" w:rsidRPr="00BC1A14" w:rsidRDefault="009317D9" w:rsidP="00746A04">
            <w:pPr>
              <w:spacing w:after="0" w:line="240" w:lineRule="auto"/>
              <w:ind w:right="0"/>
              <w:jc w:val="left"/>
            </w:pPr>
            <w:r w:rsidRPr="00BC1A14">
              <w:t>Hours of Care Required: Upper Level Dependency -</w:t>
            </w:r>
          </w:p>
          <w:p w14:paraId="2A82C114" w14:textId="77777777" w:rsidR="009317D9" w:rsidRPr="00BC1A14" w:rsidRDefault="009317D9" w:rsidP="00746A04">
            <w:pPr>
              <w:spacing w:after="0" w:line="240" w:lineRule="auto"/>
              <w:ind w:right="0"/>
              <w:jc w:val="left"/>
            </w:pPr>
            <w:r w:rsidRPr="00BC1A14">
              <w:t>Moderate Dementia</w:t>
            </w:r>
          </w:p>
        </w:tc>
        <w:tc>
          <w:tcPr>
            <w:tcW w:w="4819" w:type="dxa"/>
            <w:tcBorders>
              <w:top w:val="single" w:sz="4" w:space="0" w:color="auto"/>
              <w:left w:val="single" w:sz="4" w:space="0" w:color="auto"/>
              <w:bottom w:val="single" w:sz="4" w:space="0" w:color="auto"/>
              <w:right w:val="single" w:sz="4" w:space="0" w:color="auto"/>
            </w:tcBorders>
            <w:hideMark/>
          </w:tcPr>
          <w:p w14:paraId="2E2FE986" w14:textId="4E8B4E51" w:rsidR="009317D9" w:rsidRPr="00BC1A14" w:rsidRDefault="009317D9" w:rsidP="00746A04">
            <w:pPr>
              <w:spacing w:after="0" w:line="240" w:lineRule="auto"/>
              <w:ind w:right="0"/>
              <w:jc w:val="left"/>
            </w:pPr>
            <w:r w:rsidRPr="00BC1A14">
              <w:t>Lower bound set to 12 hours, upper bound set to 24 hours and mode set to 22 hours. To reflect the elevated level of supervision required at this stage of dementia.</w:t>
            </w:r>
            <w:r w:rsidR="007970FE">
              <w:t xml:space="preserve"> </w:t>
            </w:r>
            <w:r w:rsidRPr="00BC1A14">
              <w:t>Including supervision with BADLs (</w:t>
            </w:r>
            <w:proofErr w:type="spellStart"/>
            <w:r w:rsidRPr="00BC1A14">
              <w:t>Kahle-Wrobleski</w:t>
            </w:r>
            <w:proofErr w:type="spellEnd"/>
            <w:r w:rsidRPr="00BC1A14">
              <w:t xml:space="preserve"> </w:t>
            </w:r>
            <w:r w:rsidRPr="00BC1A14">
              <w:rPr>
                <w:i/>
              </w:rPr>
              <w:t>et al.</w:t>
            </w:r>
            <w:r w:rsidRPr="00BC1A14">
              <w:t>, 2015).</w:t>
            </w:r>
          </w:p>
        </w:tc>
        <w:tc>
          <w:tcPr>
            <w:tcW w:w="2217" w:type="dxa"/>
            <w:tcBorders>
              <w:top w:val="single" w:sz="4" w:space="0" w:color="auto"/>
              <w:left w:val="single" w:sz="4" w:space="0" w:color="auto"/>
              <w:bottom w:val="single" w:sz="4" w:space="0" w:color="auto"/>
              <w:right w:val="single" w:sz="4" w:space="0" w:color="auto"/>
            </w:tcBorders>
            <w:hideMark/>
          </w:tcPr>
          <w:p w14:paraId="7F1E7625" w14:textId="77777777" w:rsidR="009317D9" w:rsidRPr="00BC1A14" w:rsidRDefault="009317D9" w:rsidP="00746A04">
            <w:pPr>
              <w:pStyle w:val="ListParagraph"/>
              <w:numPr>
                <w:ilvl w:val="0"/>
                <w:numId w:val="31"/>
              </w:numPr>
              <w:spacing w:after="0" w:line="240" w:lineRule="auto"/>
              <w:ind w:left="0" w:right="0"/>
              <w:jc w:val="left"/>
            </w:pPr>
            <w:r w:rsidRPr="00BC1A14">
              <w:t xml:space="preserve">Caro et al. </w:t>
            </w:r>
            <w:r w:rsidRPr="00BC1A14">
              <w:fldChar w:fldCharType="begin"/>
            </w:r>
            <w:r w:rsidRPr="00BC1A14">
              <w:instrText xml:space="preserve"> ADDIN ZOTERO_ITEM CSL_CITATION {"citationID":"JRorExM3","properties":{"formattedCitation":"(2002)","plainCitation":"(2002)","noteIndex":0},"citationItems":[{"id":363,"uris":["http://zotero.org/users/2274800/items/J77UPDJF"],"uri":["http://zotero.org/users/2274800/items/J77UPDJF"],"itemData":{"id":363,"type":"article-journal","title":"To what degree does cognitive impairment in Alzheimer's disease predict dependence of patients on caregivers?","container-title":"BMC Neurology","page":"1-7","volume":"2","issue":"6","abstract":"Background: Patients with Alzheimer's disease experience a progressive loss of cognitive function, and the ability to independently perform activities of daily life. Sometimes a dependent stage is reached quite early in the disease, when caregivers decide that the patients can no longer be left alone safely. This is an important aspect of Alzheimer's for patients, their families, and also health care providers. Understanding the relationship between a patient's current cognitive status and their need for care may assist clinicians when recommending an appropriate management plan. In this study, we investigated the relationship of cognitive function to dependence on caregivers before the patients reach a severe stage of the disease. Methods: Data were obtained on 1,289 patients with mild-to-moderate Alzheimer's disease studied in two randomised clinical trials of galantamine (Reminyl). Cognition was assessed using the cognitive part of the Alzheimer's Disease Assessment Scale (ADAS-cog) and Mini-Mental State Examination (MMSE). Patients were considered dependent if they required &gt;12 hours of supervision each day or had high care needs. The Disability Assessment for Dementia (DAD) scale was also used as a measure of dependence. Disability was predicted directly using MMSE and ADAS-cog and compared to predictions from converted scores. Results: The odds ratio of dependence was significantly higher amongst the patients with worse cognitive impairment, adjusting for age, gender and antipsychotic medication use. For example, a 4-point difference in ADAS-cog score was associated with an increase of 17% (95% CI 1123) in the adjusted odds for &gt;12 hours of supervision, and of 35% (95% CI 2843) for dependence. Disability predicted directly using actual ADAS-cog and scores converted from MMSE values had close agreement using the models developed. Conclusion: In patients with mild-to-moderate Alzheimer's disease, even relatively small degrees of poorer cognitive function increased the risk of losing the ability to live independently.","DOI":"10.1186/1471-2377-2-6","ISSN":"1471-2377 (Electronic)","author":[{"family":"Caro","given":"Jaime"},{"family":"Ward","given":"Alexandra"},{"family":"Ishak","given":"Khajak"},{"family":"Migliaccio-Walle","given":"Kristen"},{"family":"Getsios","given":"Denis"},{"family":"Papadopoulos","given":"George"},{"family":"Torfs","given":"Koen"}],"issued":{"date-parts":[["2002"]]}},"suppress-author":true}],"schema":"https://github.com/citation-style-language/schema/raw/master/csl-citation.json"} </w:instrText>
            </w:r>
            <w:r w:rsidRPr="00BC1A14">
              <w:fldChar w:fldCharType="separate"/>
            </w:r>
            <w:r w:rsidRPr="00BC1A14">
              <w:t>(2002)</w:t>
            </w:r>
            <w:r w:rsidRPr="00BC1A14">
              <w:fldChar w:fldCharType="end"/>
            </w:r>
            <w:r w:rsidRPr="00BC1A14">
              <w:t>;</w:t>
            </w:r>
          </w:p>
          <w:p w14:paraId="4EA759AF" w14:textId="77777777" w:rsidR="009317D9" w:rsidRPr="00BC1A14" w:rsidRDefault="009317D9" w:rsidP="00746A04">
            <w:pPr>
              <w:pStyle w:val="ListParagraph"/>
              <w:numPr>
                <w:ilvl w:val="0"/>
                <w:numId w:val="31"/>
              </w:numPr>
              <w:spacing w:after="0" w:line="240" w:lineRule="auto"/>
              <w:ind w:left="0" w:right="0"/>
              <w:jc w:val="left"/>
            </w:pPr>
            <w:r w:rsidRPr="00BC1A14">
              <w:t xml:space="preserve">Draper </w:t>
            </w:r>
            <w:r w:rsidRPr="00BC1A14">
              <w:fldChar w:fldCharType="begin"/>
            </w:r>
            <w:r w:rsidRPr="00BC1A14">
              <w:instrText xml:space="preserve"> ADDIN ZOTERO_ITEM CSL_CITATION {"citationID":"aIkfnqi8","properties":{"formattedCitation":"(2013)","plainCitation":"(2013)","noteIndex":0},"citationItems":[{"id":2133,"uris":["http://zotero.org/users/2274800/items/RQR7B43D"],"uri":["http://zotero.org/users/2274800/items/RQR7B43D"],"itemData":{"id":2133,"type":"book","title":"Understanding Alzheimer's Disease and Other Dementias","publisher":"Jessica Kingsley Publishers","number-of-pages":"288","edition":"Reprint edition","source":"Amazon","abstract":"In this comprehensive yet accessible guide, Brian Draper, a leading expert on Alzheimer's disease and other dementias, describes the symptoms, treatment and management of the condition. Covering everything from assessment and diagnostic processes to drug and psychosocial treatments, community and residential care options, assistive technology, support for carers, ethical and legal considerations, end of life decisions and the latest research and treatment developments, the book provides a complete road map for those supporting someone with the condition, in either a professional or personal capacity. The book will demystify the condition and increase understanding about why it occurs, current treatments and how it may be managed. Filled with useful information and advice, it will be an invaluable resource for relatives and carers, and a useful reference on the desk of any professional working with individuals with dementia.","language":"English","author":[{"family":"Draper","given":"Brian"}],"issued":{"date-parts":[["2013",7,28]]}},"suppress-author":true}],"schema":"https://github.com/citation-style-language/schema/raw/master/csl-citation.json"} </w:instrText>
            </w:r>
            <w:r w:rsidRPr="00BC1A14">
              <w:fldChar w:fldCharType="separate"/>
            </w:r>
            <w:r w:rsidRPr="00BC1A14">
              <w:t>(2013)</w:t>
            </w:r>
            <w:r w:rsidRPr="00BC1A14">
              <w:fldChar w:fldCharType="end"/>
            </w:r>
            <w:r w:rsidRPr="00BC1A14">
              <w:t>;</w:t>
            </w:r>
          </w:p>
          <w:p w14:paraId="05286C50" w14:textId="77777777" w:rsidR="009317D9" w:rsidRPr="00BC1A14" w:rsidRDefault="009317D9" w:rsidP="00746A04">
            <w:pPr>
              <w:pStyle w:val="ListParagraph"/>
              <w:numPr>
                <w:ilvl w:val="0"/>
                <w:numId w:val="31"/>
              </w:numPr>
              <w:spacing w:after="0" w:line="240" w:lineRule="auto"/>
              <w:ind w:left="0" w:right="0"/>
              <w:jc w:val="left"/>
            </w:pPr>
            <w:proofErr w:type="spellStart"/>
            <w:r w:rsidRPr="00BC1A14">
              <w:t>Kahle</w:t>
            </w:r>
            <w:proofErr w:type="spellEnd"/>
            <w:r w:rsidRPr="00BC1A14">
              <w:t xml:space="preserve">- </w:t>
            </w:r>
            <w:proofErr w:type="spellStart"/>
            <w:r w:rsidRPr="00BC1A14">
              <w:t>Wrobleski</w:t>
            </w:r>
            <w:proofErr w:type="spellEnd"/>
            <w:r w:rsidRPr="00BC1A14">
              <w:t xml:space="preserve"> et al. </w:t>
            </w:r>
            <w:r w:rsidRPr="00BC1A14">
              <w:fldChar w:fldCharType="begin"/>
            </w:r>
            <w:r w:rsidRPr="00BC1A14">
              <w:instrText xml:space="preserve"> ADDIN ZOTERO_ITEM CSL_CITATION {"citationID":"C8Iabbs2","properties":{"formattedCitation":"(2015)","plainCitation":"(2015)","noteIndex":0},"citationItems":[{"id":1012,"uris":["http://zotero.org/users/2274800/items/RIA8DQQJ"],"uri":["http://zotero.org/users/2274800/items/RIA8DQQJ"],"itemData":{"id":1012,"type":"article-journal","title":"Clinical and economic characteristics of milestones along the continuum of Alzheimer's disease: transforming functional scores into levels of dependence","container-title":"J. Prev. Alzheimers Dis.","page":"115–120","volume":"2","issue":"2","source":"Google Scholar","shortTitle":"Clinical and economic characteristics of milestones along the continuum of Alzheimer's disease","author":[{"family":"Kahle-Wrobleski","given":"K."},{"family":"Andrews","given":"J. S."},{"family":"Belger","given":"M."},{"family":"Gauthier","given":"S."},{"family":"Stern","given":"Y."},{"family":"Rentz","given":"D. M."},{"family":"Galasko","given":"D."}],"issued":{"date-parts":[["2015"]]}},"suppress-author":true}],"schema":"https://github.com/citation-style-language/schema/raw/master/csl-citation.json"} </w:instrText>
            </w:r>
            <w:r w:rsidRPr="00BC1A14">
              <w:fldChar w:fldCharType="separate"/>
            </w:r>
            <w:r w:rsidRPr="00BC1A14">
              <w:t>(2015)</w:t>
            </w:r>
            <w:r w:rsidRPr="00BC1A14">
              <w:fldChar w:fldCharType="end"/>
            </w:r>
            <w:r w:rsidRPr="00BC1A14">
              <w:t>.</w:t>
            </w:r>
          </w:p>
        </w:tc>
      </w:tr>
      <w:tr w:rsidR="009317D9" w:rsidRPr="00BC1A14" w14:paraId="3C30B2D5"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17084C6B" w14:textId="77777777" w:rsidR="009317D9" w:rsidRPr="00BC1A14" w:rsidRDefault="009317D9" w:rsidP="00746A04">
            <w:pPr>
              <w:spacing w:after="0" w:line="240" w:lineRule="auto"/>
              <w:ind w:right="0"/>
              <w:jc w:val="left"/>
            </w:pPr>
            <w:r w:rsidRPr="00BC1A14">
              <w:t>Hours of Care Required: Lower and Upper Level Dependency – Severe Dementia</w:t>
            </w:r>
          </w:p>
        </w:tc>
        <w:tc>
          <w:tcPr>
            <w:tcW w:w="4819" w:type="dxa"/>
            <w:tcBorders>
              <w:top w:val="single" w:sz="4" w:space="0" w:color="auto"/>
              <w:left w:val="single" w:sz="4" w:space="0" w:color="auto"/>
              <w:bottom w:val="single" w:sz="4" w:space="0" w:color="auto"/>
              <w:right w:val="single" w:sz="4" w:space="0" w:color="auto"/>
            </w:tcBorders>
            <w:hideMark/>
          </w:tcPr>
          <w:p w14:paraId="3468604A" w14:textId="77777777" w:rsidR="009317D9" w:rsidRPr="00BC1A14" w:rsidRDefault="009317D9" w:rsidP="00746A04">
            <w:pPr>
              <w:spacing w:after="0" w:line="240" w:lineRule="auto"/>
              <w:ind w:right="0"/>
              <w:jc w:val="left"/>
            </w:pPr>
            <w:r w:rsidRPr="00BC1A14">
              <w:t xml:space="preserve">At dependencies 5 and 6 it </w:t>
            </w:r>
            <w:proofErr w:type="gramStart"/>
            <w:r w:rsidRPr="00BC1A14">
              <w:t>is assumed</w:t>
            </w:r>
            <w:proofErr w:type="gramEnd"/>
            <w:r w:rsidRPr="00BC1A14">
              <w:t xml:space="preserve"> that everyone will require 24-hour care, which reflects comments made within the literature regarding 24-hour supervision being necessary for the majority of people with severe dementia.</w:t>
            </w:r>
          </w:p>
        </w:tc>
        <w:tc>
          <w:tcPr>
            <w:tcW w:w="2217" w:type="dxa"/>
            <w:tcBorders>
              <w:top w:val="single" w:sz="4" w:space="0" w:color="auto"/>
              <w:left w:val="single" w:sz="4" w:space="0" w:color="auto"/>
              <w:bottom w:val="single" w:sz="4" w:space="0" w:color="auto"/>
              <w:right w:val="single" w:sz="4" w:space="0" w:color="auto"/>
            </w:tcBorders>
            <w:hideMark/>
          </w:tcPr>
          <w:p w14:paraId="2342D24C" w14:textId="77777777" w:rsidR="009317D9" w:rsidRPr="00BC1A14" w:rsidRDefault="009317D9" w:rsidP="00746A04">
            <w:pPr>
              <w:pStyle w:val="ListParagraph"/>
              <w:numPr>
                <w:ilvl w:val="0"/>
                <w:numId w:val="31"/>
              </w:numPr>
              <w:spacing w:after="0" w:line="240" w:lineRule="auto"/>
              <w:ind w:left="0" w:right="0"/>
              <w:jc w:val="left"/>
            </w:pPr>
            <w:r w:rsidRPr="00BC1A14">
              <w:t xml:space="preserve">Draper </w:t>
            </w:r>
            <w:r w:rsidRPr="00BC1A14">
              <w:fldChar w:fldCharType="begin"/>
            </w:r>
            <w:r w:rsidRPr="00BC1A14">
              <w:instrText xml:space="preserve"> ADDIN ZOTERO_ITEM CSL_CITATION {"citationID":"vlrjTBd6","properties":{"formattedCitation":"(2013)","plainCitation":"(2013)","noteIndex":0},"citationItems":[{"id":2133,"uris":["http://zotero.org/users/2274800/items/RQR7B43D"],"uri":["http://zotero.org/users/2274800/items/RQR7B43D"],"itemData":{"id":2133,"type":"book","title":"Understanding Alzheimer's Disease and Other Dementias","publisher":"Jessica Kingsley Publishers","number-of-pages":"288","edition":"Reprint edition","source":"Amazon","abstract":"In this comprehensive yet accessible guide, Brian Draper, a leading expert on Alzheimer's disease and other dementias, describes the symptoms, treatment and management of the condition. Covering everything from assessment and diagnostic processes to drug and psychosocial treatments, community and residential care options, assistive technology, support for carers, ethical and legal considerations, end of life decisions and the latest research and treatment developments, the book provides a complete road map for those supporting someone with the condition, in either a professional or personal capacity. The book will demystify the condition and increase understanding about why it occurs, current treatments and how it may be managed. Filled with useful information and advice, it will be an invaluable resource for relatives and carers, and a useful reference on the desk of any professional working with individuals with dementia.","language":"English","author":[{"family":"Draper","given":"Brian"}],"issued":{"date-parts":[["2013",7,28]]}},"suppress-author":true}],"schema":"https://github.com/citation-style-language/schema/raw/master/csl-citation.json"} </w:instrText>
            </w:r>
            <w:r w:rsidRPr="00BC1A14">
              <w:fldChar w:fldCharType="separate"/>
            </w:r>
            <w:r w:rsidRPr="00BC1A14">
              <w:t>(2013)</w:t>
            </w:r>
            <w:r w:rsidRPr="00BC1A14">
              <w:fldChar w:fldCharType="end"/>
            </w:r>
            <w:r w:rsidRPr="00BC1A14">
              <w:t>;</w:t>
            </w:r>
          </w:p>
          <w:p w14:paraId="558A7829" w14:textId="77777777" w:rsidR="009317D9" w:rsidRPr="00BC1A14" w:rsidRDefault="009317D9" w:rsidP="00746A04">
            <w:pPr>
              <w:pStyle w:val="ListParagraph"/>
              <w:numPr>
                <w:ilvl w:val="0"/>
                <w:numId w:val="31"/>
              </w:numPr>
              <w:spacing w:after="0" w:line="240" w:lineRule="auto"/>
              <w:ind w:left="0" w:right="0"/>
              <w:jc w:val="left"/>
            </w:pPr>
            <w:r w:rsidRPr="00BC1A14">
              <w:t xml:space="preserve">Alzheimer’s Association </w:t>
            </w:r>
            <w:r w:rsidRPr="00BC1A14">
              <w:fldChar w:fldCharType="begin"/>
            </w:r>
            <w:r w:rsidRPr="00BC1A14">
              <w:instrText xml:space="preserve"> ADDIN ZOTERO_ITEM CSL_CITATION {"citationID":"AEK0aVb7","properties":{"formattedCitation":"(2017)","plainCitation":"(2017)","noteIndex":0},"citationItems":[{"id":2132,"uris":["http://zotero.org/users/2274800/items/9PMTMZIG"],"uri":["http://zotero.org/users/2274800/items/9PMTMZIG"],"itemData":{"id":2132,"type":"article","title":"Late-Stage Care: Providing care and comfort during the late stage of Alzheimer's Disease","publisher":"Alzheimer's Association","URL":"https://www.alz.org/national/documents/brochure_latestage.pdf","shortTitle":"Alzheimer's Association","author":[{"family":"Alzheimer's Association","given":""}],"issued":{"date-parts":[["2017"]]},"accessed":{"date-parts":[["2017",5,13]]}},"suppress-author":true}],"schema":"https://github.com/citation-style-language/schema/raw/master/csl-citation.json"} </w:instrText>
            </w:r>
            <w:r w:rsidRPr="00BC1A14">
              <w:fldChar w:fldCharType="separate"/>
            </w:r>
            <w:r w:rsidRPr="00BC1A14">
              <w:t>(2017)</w:t>
            </w:r>
            <w:r w:rsidRPr="00BC1A14">
              <w:fldChar w:fldCharType="end"/>
            </w:r>
            <w:r w:rsidRPr="00BC1A14">
              <w:t>.</w:t>
            </w:r>
          </w:p>
        </w:tc>
      </w:tr>
      <w:tr w:rsidR="009317D9" w:rsidRPr="00BC1A14" w14:paraId="5BC07D8E"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33496B79" w14:textId="77777777" w:rsidR="009317D9" w:rsidRPr="00BC1A14" w:rsidRDefault="009317D9" w:rsidP="00746A04">
            <w:pPr>
              <w:spacing w:after="0" w:line="240" w:lineRule="auto"/>
              <w:ind w:right="0"/>
              <w:jc w:val="left"/>
            </w:pPr>
            <w:r w:rsidRPr="00BC1A14">
              <w:t>Level of Carer Burden</w:t>
            </w:r>
          </w:p>
        </w:tc>
        <w:tc>
          <w:tcPr>
            <w:tcW w:w="4819" w:type="dxa"/>
            <w:tcBorders>
              <w:top w:val="single" w:sz="4" w:space="0" w:color="auto"/>
              <w:left w:val="single" w:sz="4" w:space="0" w:color="auto"/>
              <w:bottom w:val="single" w:sz="4" w:space="0" w:color="auto"/>
              <w:right w:val="single" w:sz="4" w:space="0" w:color="auto"/>
            </w:tcBorders>
            <w:hideMark/>
          </w:tcPr>
          <w:p w14:paraId="22ACCF7C" w14:textId="77777777" w:rsidR="009317D9" w:rsidRPr="00BC1A14" w:rsidRDefault="009317D9" w:rsidP="00746A04">
            <w:pPr>
              <w:spacing w:after="0" w:line="240" w:lineRule="auto"/>
              <w:ind w:right="0"/>
              <w:jc w:val="left"/>
            </w:pPr>
            <w:r w:rsidRPr="00BC1A14">
              <w:t>The level of carer burden a person’s carer is likely to experience relative to their level of dependency.</w:t>
            </w:r>
          </w:p>
        </w:tc>
        <w:tc>
          <w:tcPr>
            <w:tcW w:w="2217" w:type="dxa"/>
            <w:tcBorders>
              <w:top w:val="single" w:sz="4" w:space="0" w:color="auto"/>
              <w:left w:val="single" w:sz="4" w:space="0" w:color="auto"/>
              <w:bottom w:val="single" w:sz="4" w:space="0" w:color="auto"/>
              <w:right w:val="single" w:sz="4" w:space="0" w:color="auto"/>
            </w:tcBorders>
            <w:hideMark/>
          </w:tcPr>
          <w:p w14:paraId="5AA0894F" w14:textId="77777777" w:rsidR="009317D9" w:rsidRPr="00BC1A14" w:rsidRDefault="009317D9" w:rsidP="00746A04">
            <w:pPr>
              <w:pStyle w:val="ListParagraph"/>
              <w:numPr>
                <w:ilvl w:val="0"/>
                <w:numId w:val="31"/>
              </w:numPr>
              <w:spacing w:after="0" w:line="240" w:lineRule="auto"/>
              <w:ind w:left="0" w:right="0"/>
              <w:jc w:val="left"/>
            </w:pPr>
            <w:proofErr w:type="spellStart"/>
            <w:r w:rsidRPr="00BC1A14">
              <w:t>Kahle</w:t>
            </w:r>
            <w:proofErr w:type="spellEnd"/>
            <w:r w:rsidRPr="00BC1A14">
              <w:t xml:space="preserve">- </w:t>
            </w:r>
            <w:proofErr w:type="spellStart"/>
            <w:r w:rsidRPr="00BC1A14">
              <w:t>Wrobleski</w:t>
            </w:r>
            <w:proofErr w:type="spellEnd"/>
            <w:r w:rsidRPr="00BC1A14">
              <w:t xml:space="preserve"> et al. </w:t>
            </w:r>
            <w:r w:rsidRPr="00BC1A14">
              <w:fldChar w:fldCharType="begin"/>
            </w:r>
            <w:r w:rsidRPr="00BC1A14">
              <w:instrText xml:space="preserve"> ADDIN ZOTERO_ITEM CSL_CITATION {"citationID":"nEHV9qXi","properties":{"formattedCitation":"(2015)","plainCitation":"(2015)","noteIndex":0},"citationItems":[{"id":1012,"uris":["http://zotero.org/users/2274800/items/RIA8DQQJ"],"uri":["http://zotero.org/users/2274800/items/RIA8DQQJ"],"itemData":{"id":1012,"type":"article-journal","title":"Clinical and economic characteristics of milestones along the continuum of Alzheimer's disease: transforming functional scores into levels of dependence","container-title":"J. Prev. Alzheimers Dis.","page":"115–120","volume":"2","issue":"2","source":"Google Scholar","shortTitle":"Clinical and economic characteristics of milestones along the continuum of Alzheimer's disease","author":[{"family":"Kahle-Wrobleski","given":"K."},{"family":"Andrews","given":"J. S."},{"family":"Belger","given":"M."},{"family":"Gauthier","given":"S."},{"family":"Stern","given":"Y."},{"family":"Rentz","given":"D. M."},{"family":"Galasko","given":"D."}],"issued":{"date-parts":[["2015"]]}},"suppress-author":true}],"schema":"https://github.com/citation-style-language/schema/raw/master/csl-citation.json"} </w:instrText>
            </w:r>
            <w:r w:rsidRPr="00BC1A14">
              <w:fldChar w:fldCharType="separate"/>
            </w:r>
            <w:r w:rsidRPr="00BC1A14">
              <w:t>(2015)</w:t>
            </w:r>
            <w:r w:rsidRPr="00BC1A14">
              <w:fldChar w:fldCharType="end"/>
            </w:r>
            <w:r w:rsidRPr="00BC1A14">
              <w:t>.</w:t>
            </w:r>
          </w:p>
        </w:tc>
      </w:tr>
      <w:tr w:rsidR="009317D9" w:rsidRPr="00BC1A14" w14:paraId="2338E5D9"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029D92F9" w14:textId="77777777" w:rsidR="009317D9" w:rsidRPr="00BC1A14" w:rsidRDefault="009317D9" w:rsidP="00746A04">
            <w:pPr>
              <w:spacing w:after="0" w:line="240" w:lineRule="auto"/>
              <w:ind w:right="0"/>
              <w:jc w:val="left"/>
            </w:pPr>
            <w:r w:rsidRPr="00BC1A14">
              <w:t>Impact of Telecare on Level of Carer Burden</w:t>
            </w:r>
          </w:p>
        </w:tc>
        <w:tc>
          <w:tcPr>
            <w:tcW w:w="4819" w:type="dxa"/>
            <w:tcBorders>
              <w:top w:val="single" w:sz="4" w:space="0" w:color="auto"/>
              <w:left w:val="single" w:sz="4" w:space="0" w:color="auto"/>
              <w:bottom w:val="single" w:sz="4" w:space="0" w:color="auto"/>
              <w:right w:val="single" w:sz="4" w:space="0" w:color="auto"/>
            </w:tcBorders>
            <w:hideMark/>
          </w:tcPr>
          <w:p w14:paraId="721BFA86" w14:textId="77777777" w:rsidR="009317D9" w:rsidRPr="00BC1A14" w:rsidRDefault="009317D9" w:rsidP="00746A04">
            <w:pPr>
              <w:spacing w:after="0" w:line="240" w:lineRule="auto"/>
              <w:ind w:right="0"/>
              <w:jc w:val="left"/>
            </w:pPr>
            <w:r w:rsidRPr="00BC1A14">
              <w:t xml:space="preserve">For this hypothetical exercise, it </w:t>
            </w:r>
            <w:proofErr w:type="gramStart"/>
            <w:r w:rsidRPr="00BC1A14">
              <w:t>was assumed</w:t>
            </w:r>
            <w:proofErr w:type="gramEnd"/>
            <w:r w:rsidRPr="00BC1A14">
              <w:t xml:space="preserve"> that telecare could reduce carer burden by a quarter, in line with the findings of a previous </w:t>
            </w:r>
            <w:proofErr w:type="spellStart"/>
            <w:r w:rsidRPr="00BC1A14">
              <w:t>carer</w:t>
            </w:r>
            <w:proofErr w:type="spellEnd"/>
            <w:r w:rsidRPr="00BC1A14">
              <w:t xml:space="preserve">-focused intervention published by Tremont </w:t>
            </w:r>
            <w:r w:rsidRPr="00BC1A14">
              <w:rPr>
                <w:i/>
              </w:rPr>
              <w:t>et al.</w:t>
            </w:r>
            <w:r w:rsidRPr="00BC1A14">
              <w:t xml:space="preserve"> (2008). The impact of telecare on ZBI scores was set to a normal distribution, with the mean value of the distribution set to 25%, and a standard deviation arbitrarily </w:t>
            </w:r>
            <w:r w:rsidRPr="00BC1A14">
              <w:lastRenderedPageBreak/>
              <w:t>set to a plausible value of 2.5 to reflect individual variability in the impact on ZBI.</w:t>
            </w:r>
          </w:p>
        </w:tc>
        <w:tc>
          <w:tcPr>
            <w:tcW w:w="2217" w:type="dxa"/>
            <w:tcBorders>
              <w:top w:val="single" w:sz="4" w:space="0" w:color="auto"/>
              <w:left w:val="single" w:sz="4" w:space="0" w:color="auto"/>
              <w:bottom w:val="single" w:sz="4" w:space="0" w:color="auto"/>
              <w:right w:val="single" w:sz="4" w:space="0" w:color="auto"/>
            </w:tcBorders>
            <w:hideMark/>
          </w:tcPr>
          <w:p w14:paraId="3666DCFF" w14:textId="77777777" w:rsidR="009317D9" w:rsidRPr="00BC1A14" w:rsidRDefault="009317D9" w:rsidP="00746A04">
            <w:pPr>
              <w:pStyle w:val="ListParagraph"/>
              <w:numPr>
                <w:ilvl w:val="0"/>
                <w:numId w:val="31"/>
              </w:numPr>
              <w:spacing w:after="0" w:line="240" w:lineRule="auto"/>
              <w:ind w:left="0" w:right="0"/>
              <w:jc w:val="left"/>
            </w:pPr>
            <w:r w:rsidRPr="00BC1A14">
              <w:lastRenderedPageBreak/>
              <w:t xml:space="preserve">Tremont </w:t>
            </w:r>
            <w:r w:rsidRPr="00BC1A14">
              <w:rPr>
                <w:i/>
              </w:rPr>
              <w:t>et al.</w:t>
            </w:r>
            <w:r w:rsidRPr="00BC1A14">
              <w:t xml:space="preserve"> </w:t>
            </w:r>
            <w:r w:rsidRPr="00BC1A14">
              <w:fldChar w:fldCharType="begin"/>
            </w:r>
            <w:r w:rsidRPr="00BC1A14">
              <w:instrText xml:space="preserve"> ADDIN ZOTERO_ITEM CSL_CITATION {"citationID":"xzd2eDFq","properties":{"formattedCitation":"(2008)","plainCitation":"(2008)","noteIndex":0},"citationItems":[{"id":1940,"uris":["http://zotero.org/users/2274800/items/TTVHFTED"],"uri":["http://zotero.org/users/2274800/items/TTVHFTED"],"itemData":{"id":1940,"type":"article-journal","title":"Telephone-Delivered Psychosocial Intervention Reduces Burden in Dementia Caregivers","container-title":"Dementia","page":"503-520","volume":"7","issue":"4","source":"PubMed Central","abstract":"Objectives\nTo examine the preliminary efficacy of Family Intervention: Telephone Tracking-Dementia (FITT-D), a multi-component intervention that is delivered in 23 telephone contacts over 12 months.\n\nMethod\nThirty-three dementia caregivers were randomly assigned to receive either FITT-D (n =16) or standard care (n =17) using urn randomization to balance the groups on dementia severity, caregiver gender, and relationship type (spouse versus other). Inclusion criteria included formal dementia diagnosis, caregiving for at least 6 months, residing with the care recipient, and providing at least 4 hours of direct supervision per day. Master's–level therapists contacted caregivers by telephone over 12 months. Each contact followed a standardized treatment manual, involving assessment and individualized application of interventions to address mood, family functioning, social support, and health. Outcomes included Zarit Burden Interview, Revised Memory and Behavior Problem Checklist, and the Geriatric Depression Scale at baseline and 12 months (end of treatment).\n\nResults\nCaregivers receiving FITT-D exhibited significantly lower burden scores and less severe reactions to memory and behavior problems than caregivers in the standard care condition.\n\nConclusion\nFindings provide preliminary evidence for the efficacy of FITT-D, a potentially highly accessible, low-cost intervention for dementia caregivers.","DOI":"10.1177/1471301208096632","ISSN":"1471-3012","note":"PMID: 20228893\nPMCID: PMC2836858","journalAbbreviation":"Dementia","author":[{"family":"Tremont","given":"Geoffrey"},{"family":"Davis","given":"Jennifer Duncan"},{"family":"Bishop","given":"Duane S."},{"family":"Fortinsky","given":"Richard H."}],"issued":{"date-parts":[["2008"]]}},"suppress-author":true}],"schema":"https://github.com/citation-style-language/schema/raw/master/csl-citation.json"} </w:instrText>
            </w:r>
            <w:r w:rsidRPr="00BC1A14">
              <w:fldChar w:fldCharType="separate"/>
            </w:r>
            <w:r w:rsidRPr="00BC1A14">
              <w:t>(2008)</w:t>
            </w:r>
            <w:r w:rsidRPr="00BC1A14">
              <w:fldChar w:fldCharType="end"/>
            </w:r>
            <w:r w:rsidRPr="00BC1A14">
              <w:t>.</w:t>
            </w:r>
          </w:p>
        </w:tc>
      </w:tr>
      <w:tr w:rsidR="009317D9" w:rsidRPr="00BC1A14" w14:paraId="0EF3A9BF" w14:textId="77777777" w:rsidTr="00746A04">
        <w:trPr>
          <w:trHeight w:val="1772"/>
        </w:trPr>
        <w:tc>
          <w:tcPr>
            <w:tcW w:w="1980" w:type="dxa"/>
            <w:tcBorders>
              <w:top w:val="single" w:sz="4" w:space="0" w:color="auto"/>
              <w:left w:val="single" w:sz="4" w:space="0" w:color="auto"/>
              <w:bottom w:val="single" w:sz="4" w:space="0" w:color="auto"/>
              <w:right w:val="single" w:sz="4" w:space="0" w:color="auto"/>
            </w:tcBorders>
            <w:hideMark/>
          </w:tcPr>
          <w:p w14:paraId="58D68D0C" w14:textId="77777777" w:rsidR="009317D9" w:rsidRPr="00BC1A14" w:rsidRDefault="009317D9" w:rsidP="00746A04">
            <w:pPr>
              <w:spacing w:after="0" w:line="240" w:lineRule="auto"/>
              <w:ind w:right="0"/>
              <w:jc w:val="left"/>
            </w:pPr>
            <w:r w:rsidRPr="00BC1A14">
              <w:t>Type of informal care received</w:t>
            </w:r>
          </w:p>
        </w:tc>
        <w:tc>
          <w:tcPr>
            <w:tcW w:w="4819" w:type="dxa"/>
            <w:tcBorders>
              <w:top w:val="single" w:sz="4" w:space="0" w:color="auto"/>
              <w:left w:val="single" w:sz="4" w:space="0" w:color="auto"/>
              <w:bottom w:val="single" w:sz="4" w:space="0" w:color="auto"/>
              <w:right w:val="single" w:sz="4" w:space="0" w:color="auto"/>
            </w:tcBorders>
            <w:hideMark/>
          </w:tcPr>
          <w:p w14:paraId="39EDEFAF" w14:textId="77777777" w:rsidR="009317D9" w:rsidRPr="00BC1A14" w:rsidRDefault="009317D9" w:rsidP="00746A04">
            <w:pPr>
              <w:spacing w:after="0" w:line="240" w:lineRule="auto"/>
              <w:ind w:right="0"/>
              <w:jc w:val="left"/>
            </w:pPr>
            <w:r w:rsidRPr="00BC1A14">
              <w:t>Probability profile distribution to reflect the type of care received.</w:t>
            </w:r>
          </w:p>
          <w:p w14:paraId="7810DCBF" w14:textId="77777777" w:rsidR="009317D9" w:rsidRPr="00085F7E" w:rsidRDefault="009317D9" w:rsidP="00746A04">
            <w:pPr>
              <w:pStyle w:val="ListParagraph"/>
              <w:numPr>
                <w:ilvl w:val="0"/>
                <w:numId w:val="33"/>
              </w:numPr>
              <w:spacing w:after="0" w:line="240" w:lineRule="auto"/>
              <w:ind w:left="0" w:right="0"/>
              <w:jc w:val="left"/>
            </w:pPr>
            <w:r w:rsidRPr="00085F7E">
              <w:t>10% - no carer</w:t>
            </w:r>
          </w:p>
          <w:p w14:paraId="39F172DD" w14:textId="77777777" w:rsidR="009317D9" w:rsidRPr="00085F7E" w:rsidRDefault="009317D9" w:rsidP="00746A04">
            <w:pPr>
              <w:pStyle w:val="ListParagraph"/>
              <w:numPr>
                <w:ilvl w:val="0"/>
                <w:numId w:val="33"/>
              </w:numPr>
              <w:spacing w:after="0" w:line="240" w:lineRule="auto"/>
              <w:ind w:left="0" w:right="0"/>
              <w:jc w:val="left"/>
            </w:pPr>
            <w:r w:rsidRPr="00085F7E">
              <w:t>57% - ‘co-habiting spouse’</w:t>
            </w:r>
          </w:p>
          <w:p w14:paraId="7ED05C47" w14:textId="77777777" w:rsidR="009317D9" w:rsidRPr="00085F7E" w:rsidRDefault="009317D9" w:rsidP="00746A04">
            <w:pPr>
              <w:pStyle w:val="ListParagraph"/>
              <w:numPr>
                <w:ilvl w:val="0"/>
                <w:numId w:val="33"/>
              </w:numPr>
              <w:spacing w:after="0" w:line="240" w:lineRule="auto"/>
              <w:ind w:left="0" w:right="0"/>
              <w:jc w:val="left"/>
            </w:pPr>
            <w:r w:rsidRPr="00085F7E">
              <w:t>10% - ‘co-habiting other’</w:t>
            </w:r>
          </w:p>
          <w:p w14:paraId="1A710163" w14:textId="77777777" w:rsidR="009317D9" w:rsidRPr="00085F7E" w:rsidRDefault="009317D9" w:rsidP="00746A04">
            <w:pPr>
              <w:pStyle w:val="ListParagraph"/>
              <w:numPr>
                <w:ilvl w:val="0"/>
                <w:numId w:val="33"/>
              </w:numPr>
              <w:spacing w:after="0" w:line="240" w:lineRule="auto"/>
              <w:ind w:left="0" w:right="0"/>
              <w:jc w:val="left"/>
            </w:pPr>
            <w:r w:rsidRPr="00085F7E">
              <w:t>23% - ‘local/non-co- habiting carers’</w:t>
            </w:r>
          </w:p>
        </w:tc>
        <w:tc>
          <w:tcPr>
            <w:tcW w:w="2217" w:type="dxa"/>
            <w:tcBorders>
              <w:top w:val="single" w:sz="4" w:space="0" w:color="auto"/>
              <w:left w:val="single" w:sz="4" w:space="0" w:color="auto"/>
              <w:bottom w:val="single" w:sz="4" w:space="0" w:color="auto"/>
              <w:right w:val="single" w:sz="4" w:space="0" w:color="auto"/>
            </w:tcBorders>
            <w:hideMark/>
          </w:tcPr>
          <w:p w14:paraId="7C4EF486" w14:textId="77777777" w:rsidR="009317D9" w:rsidRPr="00BC1A14" w:rsidRDefault="009317D9" w:rsidP="00746A04">
            <w:pPr>
              <w:spacing w:after="0" w:line="240" w:lineRule="auto"/>
              <w:ind w:right="0"/>
              <w:jc w:val="left"/>
            </w:pPr>
            <w:r w:rsidRPr="00BC1A14">
              <w:t>Derived from:</w:t>
            </w:r>
          </w:p>
          <w:p w14:paraId="7C07B668" w14:textId="77777777" w:rsidR="009317D9" w:rsidRPr="00BC1A14" w:rsidRDefault="009317D9" w:rsidP="00746A04">
            <w:pPr>
              <w:pStyle w:val="ListParagraph"/>
              <w:numPr>
                <w:ilvl w:val="0"/>
                <w:numId w:val="31"/>
              </w:numPr>
              <w:spacing w:after="0" w:line="240" w:lineRule="auto"/>
              <w:ind w:left="0" w:right="0"/>
              <w:jc w:val="left"/>
            </w:pPr>
            <w:r w:rsidRPr="00BC1A14">
              <w:t xml:space="preserve">Miranda- Castillo et al. </w:t>
            </w:r>
            <w:r w:rsidRPr="00BC1A14">
              <w:fldChar w:fldCharType="begin"/>
            </w:r>
            <w:r w:rsidRPr="00BC1A14">
              <w:instrText xml:space="preserve"> ADDIN ZOTERO_ITEM CSL_CITATION {"citationID":"MWyIcJnn","properties":{"formattedCitation":"(2013)","plainCitation":"(2013)","noteIndex":0},"citationItems":[{"id":2141,"uris":["http://zotero.org/users/2274800/items/J8HGJ48J"],"uri":["http://zotero.org/users/2274800/items/J8HGJ48J"],"itemData":{"id":2141,"type":"article-journal","title":"The needs of people with dementia living at home from user, caregiver and professional perspectives: a cross-sectional survey","container-title":"BMC Health Services Research","page":"1-10","volume":"13","issue":"43","source":"PubMed","abstract":"BACKGROUND: Few reports have been published about differences in perspectives on perceived needs among community-residing people with dementia, their family caregivers, and professionals. The aim of this study was to compare these perspectives.\nMETHOD: During 2006 and 2007, one-hundred and fifty two interviews of people with dementia and their caregivers about the needs of the person with dementia were performed by four professionals using The Camberwell Assessment of Need for the Elderly (CANE). Professionals' views on met and unmet needs of people with dementia were obtained for the total sample, family caregivers' perspectives were gained for 125 people with dementia, and people with dementia's views on their own needs were obtained for 125 persons with dementia.\nRESULTS: People with dementia reported fewer needs compared with the reports of their caregivers and the professionals. The most frequent unmet needs reported by people with dementia, caregivers and professionals were in the areas of daytime activities, company, and psychological distress; however, people with dementia rated psychological distress as the commonest unmet need.\nCONCLUSIONS: Since the priorities of people with dementia can be different from those of caregivers and professionals, it is important to consider all perspectives when making care plans. Thus, compliance with treatment of people with dementia and also their quality of life could be potentially improved by a more collaborative partnership with them.","DOI":"10.1186/1472-6963-13-43","ISSN":"1472-6963","note":"PMID: 23379786\nPMCID: PMC3568411","shortTitle":"The needs of people with dementia living at home from user, caregiver and professional perspectives","journalAbbreviation":"BMC Health Serv Res","language":"eng","author":[{"family":"Miranda-Castillo","given":"Claudia"},{"family":"Woods","given":"Bob"},{"family":"Orrell","given":"Martin"}],"issued":{"date-parts":[["2013",2,4]]}},"suppress-author":true}],"schema":"https://github.com/citation-style-language/schema/raw/master/csl-citation.json"} </w:instrText>
            </w:r>
            <w:r w:rsidRPr="00BC1A14">
              <w:fldChar w:fldCharType="separate"/>
            </w:r>
            <w:r w:rsidRPr="00BC1A14">
              <w:t>(2013)</w:t>
            </w:r>
            <w:r w:rsidRPr="00BC1A14">
              <w:fldChar w:fldCharType="end"/>
            </w:r>
            <w:r w:rsidRPr="00BC1A14">
              <w:t>;</w:t>
            </w:r>
          </w:p>
          <w:p w14:paraId="4EEDAC31" w14:textId="77777777" w:rsidR="009317D9" w:rsidRPr="00BC1A14" w:rsidRDefault="009317D9" w:rsidP="00746A04">
            <w:pPr>
              <w:pStyle w:val="ListParagraph"/>
              <w:numPr>
                <w:ilvl w:val="0"/>
                <w:numId w:val="31"/>
              </w:numPr>
              <w:spacing w:after="0" w:line="240" w:lineRule="auto"/>
              <w:ind w:left="0" w:right="0"/>
              <w:jc w:val="left"/>
            </w:pPr>
            <w:r w:rsidRPr="00BC1A14">
              <w:t xml:space="preserve">Quince </w:t>
            </w:r>
            <w:r w:rsidRPr="00BC1A14">
              <w:fldChar w:fldCharType="begin"/>
            </w:r>
            <w:r w:rsidRPr="00BC1A14">
              <w:instrText xml:space="preserve"> ADDIN ZOTERO_ITEM CSL_CITATION {"citationID":"XxqCb1j4","properties":{"formattedCitation":"(2011)","plainCitation":"(2011)","noteIndex":0},"citationItems":[{"id":2137,"uris":["http://zotero.org/users/2274800/items/3IPSWJD3"],"uri":["http://zotero.org/users/2274800/items/3IPSWJD3"],"itemData":{"id":2137,"type":"article","title":"Support. Stay. Save. Care and support of people with dementia in their own homes","publisher":"Alzheimer's Society","author":[{"family":"Quince","given":"Chris"}],"issued":{"date-parts":[["2011"]]}},"suppress-author":true}],"schema":"https://github.com/citation-style-language/schema/raw/master/csl-citation.json"} </w:instrText>
            </w:r>
            <w:r w:rsidRPr="00BC1A14">
              <w:fldChar w:fldCharType="separate"/>
            </w:r>
            <w:r w:rsidRPr="00BC1A14">
              <w:t>(2011)</w:t>
            </w:r>
            <w:r w:rsidRPr="00BC1A14">
              <w:fldChar w:fldCharType="end"/>
            </w:r>
            <w:r w:rsidRPr="00BC1A14">
              <w:t>.</w:t>
            </w:r>
          </w:p>
        </w:tc>
      </w:tr>
      <w:tr w:rsidR="009317D9" w:rsidRPr="00BC1A14" w14:paraId="6DF64E66"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34C3C4FA" w14:textId="77777777" w:rsidR="009317D9" w:rsidRPr="00BC1A14" w:rsidRDefault="009317D9" w:rsidP="00746A04">
            <w:pPr>
              <w:spacing w:after="0" w:line="240" w:lineRule="auto"/>
              <w:ind w:right="0"/>
              <w:jc w:val="left"/>
            </w:pPr>
            <w:r w:rsidRPr="00BC1A14">
              <w:t>Hours of Informal Care Availability</w:t>
            </w:r>
          </w:p>
        </w:tc>
        <w:tc>
          <w:tcPr>
            <w:tcW w:w="4819" w:type="dxa"/>
            <w:tcBorders>
              <w:top w:val="single" w:sz="4" w:space="0" w:color="auto"/>
              <w:left w:val="single" w:sz="4" w:space="0" w:color="auto"/>
              <w:bottom w:val="single" w:sz="4" w:space="0" w:color="auto"/>
              <w:right w:val="single" w:sz="4" w:space="0" w:color="auto"/>
            </w:tcBorders>
            <w:hideMark/>
          </w:tcPr>
          <w:p w14:paraId="55687453" w14:textId="77777777" w:rsidR="009317D9" w:rsidRPr="00BC1A14" w:rsidRDefault="009317D9" w:rsidP="00746A04">
            <w:pPr>
              <w:spacing w:after="0" w:line="240" w:lineRule="auto"/>
              <w:ind w:right="0"/>
              <w:jc w:val="left"/>
            </w:pPr>
            <w:r w:rsidRPr="00BC1A14">
              <w:t xml:space="preserve">Probability distributions based on logical assumptions and data presented by </w:t>
            </w:r>
            <w:proofErr w:type="spellStart"/>
            <w:r w:rsidRPr="00BC1A14">
              <w:t>Beesley</w:t>
            </w:r>
            <w:proofErr w:type="spellEnd"/>
            <w:r w:rsidRPr="00BC1A14">
              <w:t xml:space="preserve"> (2006) from the General Household Survey 2001 on carers of people aged 65+, by number of hours per week spent caring, and living arrangement.</w:t>
            </w:r>
          </w:p>
        </w:tc>
        <w:tc>
          <w:tcPr>
            <w:tcW w:w="2217" w:type="dxa"/>
            <w:tcBorders>
              <w:top w:val="single" w:sz="4" w:space="0" w:color="auto"/>
              <w:left w:val="single" w:sz="4" w:space="0" w:color="auto"/>
              <w:bottom w:val="single" w:sz="4" w:space="0" w:color="auto"/>
              <w:right w:val="single" w:sz="4" w:space="0" w:color="auto"/>
            </w:tcBorders>
            <w:hideMark/>
          </w:tcPr>
          <w:p w14:paraId="23437543" w14:textId="77777777" w:rsidR="009317D9" w:rsidRPr="00BC1A14" w:rsidRDefault="009317D9" w:rsidP="00746A04">
            <w:pPr>
              <w:pStyle w:val="ListParagraph"/>
              <w:numPr>
                <w:ilvl w:val="0"/>
                <w:numId w:val="31"/>
              </w:numPr>
              <w:spacing w:after="0" w:line="240" w:lineRule="auto"/>
              <w:ind w:left="0" w:right="0"/>
              <w:jc w:val="left"/>
            </w:pPr>
            <w:proofErr w:type="spellStart"/>
            <w:r w:rsidRPr="00BC1A14">
              <w:t>Beesley</w:t>
            </w:r>
            <w:proofErr w:type="spellEnd"/>
            <w:r w:rsidRPr="00BC1A14">
              <w:t xml:space="preserve"> </w:t>
            </w:r>
            <w:r w:rsidRPr="00BC1A14">
              <w:fldChar w:fldCharType="begin"/>
            </w:r>
            <w:r w:rsidRPr="00BC1A14">
              <w:instrText xml:space="preserve"> ADDIN ZOTERO_ITEM CSL_CITATION {"citationID":"SIXHPaq7","properties":{"formattedCitation":"(2006)","plainCitation":"(2006)","noteIndex":0},"citationItems":[{"id":1089,"uris":["http://zotero.org/users/2274800/items/WTX7NXH9"],"uri":["http://zotero.org/users/2274800/items/WTX7NXH9"],"itemData":{"id":1089,"type":"article","title":"Informal Care in England. One of a series of appendices to Securing Good Care for Older People.","publisher":"The Kings Fund","URL":"https://www.kingsfund.org.uk/sites/default/files/informal-care-england-wanless-background-paper-lucinda-beesley2006.pdf","author":[{"family":"Beesley","given":"Lucinda"}],"issued":{"date-parts":[["2006"]]},"accessed":{"date-parts":[["2017",5,24]]}},"suppress-author":true}],"schema":"https://github.com/citation-style-language/schema/raw/master/csl-citation.json"} </w:instrText>
            </w:r>
            <w:r w:rsidRPr="00BC1A14">
              <w:fldChar w:fldCharType="separate"/>
            </w:r>
            <w:r w:rsidRPr="00BC1A14">
              <w:t>(2006)</w:t>
            </w:r>
            <w:r w:rsidRPr="00BC1A14">
              <w:fldChar w:fldCharType="end"/>
            </w:r>
            <w:r w:rsidRPr="00BC1A14">
              <w:t>.</w:t>
            </w:r>
          </w:p>
        </w:tc>
      </w:tr>
      <w:tr w:rsidR="009317D9" w:rsidRPr="00BC1A14" w14:paraId="137F7EDD"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1D2A8EB3" w14:textId="77777777" w:rsidR="009317D9" w:rsidRPr="00BC1A14" w:rsidRDefault="009317D9" w:rsidP="00746A04">
            <w:pPr>
              <w:spacing w:after="0" w:line="240" w:lineRule="auto"/>
              <w:ind w:right="0"/>
              <w:jc w:val="left"/>
            </w:pPr>
            <w:r w:rsidRPr="00BC1A14">
              <w:t>Transition to ‘High Level of Unmet Need’</w:t>
            </w:r>
          </w:p>
        </w:tc>
        <w:tc>
          <w:tcPr>
            <w:tcW w:w="4819" w:type="dxa"/>
            <w:tcBorders>
              <w:top w:val="single" w:sz="4" w:space="0" w:color="auto"/>
              <w:left w:val="single" w:sz="4" w:space="0" w:color="auto"/>
              <w:bottom w:val="single" w:sz="4" w:space="0" w:color="auto"/>
              <w:right w:val="single" w:sz="4" w:space="0" w:color="auto"/>
            </w:tcBorders>
            <w:hideMark/>
          </w:tcPr>
          <w:p w14:paraId="04B13562" w14:textId="77777777" w:rsidR="009317D9" w:rsidRPr="00BC1A14" w:rsidRDefault="009317D9" w:rsidP="00746A04">
            <w:pPr>
              <w:spacing w:after="0" w:line="240" w:lineRule="auto"/>
              <w:ind w:right="0"/>
              <w:jc w:val="left"/>
            </w:pPr>
            <w:r w:rsidRPr="00BC1A14">
              <w:t xml:space="preserve">Calculation relating to unmet need. This </w:t>
            </w:r>
            <w:proofErr w:type="gramStart"/>
            <w:r w:rsidRPr="00BC1A14">
              <w:t>is calculated</w:t>
            </w:r>
            <w:proofErr w:type="gramEnd"/>
            <w:r w:rsidRPr="00BC1A14">
              <w:t xml:space="preserve"> by subtracting the number of hours of care an informal carer can provide from the number of hours of care the person requires. If the resulting value is greater than 0, the person has unmet need and therefore needs to be referred for additional support from a care service. The person will then transition back into a ‘Coping state’ within the Carer Burden </w:t>
            </w:r>
            <w:proofErr w:type="spellStart"/>
            <w:r w:rsidRPr="00BC1A14">
              <w:t>Statechart</w:t>
            </w:r>
            <w:proofErr w:type="spellEnd"/>
            <w:r w:rsidRPr="00BC1A14">
              <w:t xml:space="preserve"> once the unmet need </w:t>
            </w:r>
            <w:proofErr w:type="gramStart"/>
            <w:r w:rsidRPr="00BC1A14">
              <w:t>has been addressed</w:t>
            </w:r>
            <w:proofErr w:type="gramEnd"/>
            <w:r w:rsidRPr="00BC1A14">
              <w:t>.</w:t>
            </w:r>
          </w:p>
        </w:tc>
        <w:tc>
          <w:tcPr>
            <w:tcW w:w="2217" w:type="dxa"/>
            <w:tcBorders>
              <w:top w:val="single" w:sz="4" w:space="0" w:color="auto"/>
              <w:left w:val="single" w:sz="4" w:space="0" w:color="auto"/>
              <w:bottom w:val="single" w:sz="4" w:space="0" w:color="auto"/>
              <w:right w:val="single" w:sz="4" w:space="0" w:color="auto"/>
            </w:tcBorders>
            <w:hideMark/>
          </w:tcPr>
          <w:p w14:paraId="1D59A79A" w14:textId="77777777" w:rsidR="009317D9" w:rsidRPr="00BC1A14" w:rsidRDefault="009317D9" w:rsidP="00746A04">
            <w:pPr>
              <w:spacing w:after="0" w:line="240" w:lineRule="auto"/>
              <w:ind w:right="0"/>
              <w:jc w:val="left"/>
            </w:pPr>
            <w:r w:rsidRPr="00BC1A14">
              <w:t>Not Applicable.</w:t>
            </w:r>
          </w:p>
        </w:tc>
      </w:tr>
      <w:tr w:rsidR="009317D9" w:rsidRPr="00BC1A14" w14:paraId="4235D420"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1D329571" w14:textId="77777777" w:rsidR="009317D9" w:rsidRPr="00BC1A14" w:rsidRDefault="009317D9" w:rsidP="00746A04">
            <w:pPr>
              <w:spacing w:after="0" w:line="240" w:lineRule="auto"/>
              <w:ind w:right="0"/>
              <w:jc w:val="left"/>
            </w:pPr>
            <w:r w:rsidRPr="00BC1A14">
              <w:t>Transition to ‘Informal Carer Seeking Extra Support’</w:t>
            </w:r>
          </w:p>
        </w:tc>
        <w:tc>
          <w:tcPr>
            <w:tcW w:w="4819" w:type="dxa"/>
            <w:tcBorders>
              <w:top w:val="single" w:sz="4" w:space="0" w:color="auto"/>
              <w:left w:val="single" w:sz="4" w:space="0" w:color="auto"/>
              <w:bottom w:val="single" w:sz="4" w:space="0" w:color="auto"/>
              <w:right w:val="single" w:sz="4" w:space="0" w:color="auto"/>
            </w:tcBorders>
            <w:hideMark/>
          </w:tcPr>
          <w:p w14:paraId="389BC986" w14:textId="77777777" w:rsidR="009317D9" w:rsidRPr="00BC1A14" w:rsidRDefault="009317D9" w:rsidP="00746A04">
            <w:pPr>
              <w:spacing w:after="0" w:line="240" w:lineRule="auto"/>
              <w:ind w:right="0"/>
              <w:jc w:val="left"/>
            </w:pPr>
            <w:r w:rsidRPr="00BC1A14">
              <w:t xml:space="preserve">Transitioning to ‘Seeking Extra Support’ relates to people with informal carers who return home without a community care service following diagnosis, or people who </w:t>
            </w:r>
            <w:proofErr w:type="gramStart"/>
            <w:r w:rsidRPr="00BC1A14">
              <w:t>are referred</w:t>
            </w:r>
            <w:proofErr w:type="gramEnd"/>
            <w:r w:rsidRPr="00BC1A14">
              <w:t xml:space="preserve"> to ‘basic telecare only’. These people </w:t>
            </w:r>
            <w:proofErr w:type="gramStart"/>
            <w:r w:rsidRPr="00BC1A14">
              <w:t>are assigned</w:t>
            </w:r>
            <w:proofErr w:type="gramEnd"/>
            <w:r w:rsidRPr="00BC1A14">
              <w:t xml:space="preserve"> a transition rate that increases in line with their increasing dependency. Therefore, the higher their level of dependency, the more likely the person is to transition to ‘seeking extra support’. Once an appropriate referral </w:t>
            </w:r>
            <w:proofErr w:type="gramStart"/>
            <w:r w:rsidRPr="00BC1A14">
              <w:t>has been made</w:t>
            </w:r>
            <w:proofErr w:type="gramEnd"/>
            <w:r w:rsidRPr="00BC1A14">
              <w:t xml:space="preserve"> to address the unmet need, or requirement for extra support, then the level of burden experienced by the person’s carer is reset to one of the core ‘Coping’ carer nodes.</w:t>
            </w:r>
          </w:p>
        </w:tc>
        <w:tc>
          <w:tcPr>
            <w:tcW w:w="2217" w:type="dxa"/>
            <w:tcBorders>
              <w:top w:val="single" w:sz="4" w:space="0" w:color="auto"/>
              <w:left w:val="single" w:sz="4" w:space="0" w:color="auto"/>
              <w:bottom w:val="single" w:sz="4" w:space="0" w:color="auto"/>
              <w:right w:val="single" w:sz="4" w:space="0" w:color="auto"/>
            </w:tcBorders>
            <w:hideMark/>
          </w:tcPr>
          <w:p w14:paraId="4B8ED95E" w14:textId="77777777" w:rsidR="009317D9" w:rsidRPr="00BC1A14" w:rsidRDefault="009317D9" w:rsidP="00746A04">
            <w:pPr>
              <w:pStyle w:val="ListParagraph"/>
              <w:numPr>
                <w:ilvl w:val="0"/>
                <w:numId w:val="31"/>
              </w:numPr>
              <w:spacing w:after="0" w:line="240" w:lineRule="auto"/>
              <w:ind w:left="0" w:right="0"/>
              <w:jc w:val="left"/>
            </w:pPr>
            <w:r w:rsidRPr="00BC1A14">
              <w:t xml:space="preserve">Scherer </w:t>
            </w:r>
            <w:r w:rsidRPr="00BC1A14">
              <w:rPr>
                <w:i/>
              </w:rPr>
              <w:t xml:space="preserve">et al. </w:t>
            </w:r>
            <w:r w:rsidRPr="00BC1A14">
              <w:fldChar w:fldCharType="begin"/>
            </w:r>
            <w:r w:rsidRPr="00BC1A14">
              <w:instrText xml:space="preserve"> ADDIN ZOTERO_ITEM CSL_CITATION {"citationID":"VBO6gTDo","properties":{"formattedCitation":"(2008)","plainCitation":"(2008)","noteIndex":0},"citationItems":[{"id":2357,"uris":["http://zotero.org/users/2274800/items/6SA2QWUR"],"uri":["http://zotero.org/users/2274800/items/6SA2QWUR"],"itemData":{"id":2357,"type":"article-journal","title":"The Relation of Patient Dependence to Home Health Aide Use in Alzheimer's Disease","container-title":"The Journals of Gerontology: Series A","page":"1005-1009","volume":"63","issue":"9","source":"academic.oup.com","abstract":"Background.</w:instrText>
            </w:r>
            <w:r w:rsidRPr="00BC1A14">
              <w:instrText> </w:instrText>
            </w:r>
            <w:r w:rsidRPr="00BC1A14">
              <w:instrText>Although there has been much research devoted to understanding the predictors of nursing home placement (NHP) in Alzheimer's disease (AD) patients, there is currently a lack of research concerning the predictors of home health care. The objective of this study was to examine whether the Dependence Scale can predict home health aide (HHA) use.Methods.</w:instrText>
            </w:r>
            <w:r w:rsidRPr="00BC1A14">
              <w:instrText> </w:instrText>
            </w:r>
            <w:r w:rsidRPr="00BC1A14">
              <w:instrText>The sample is drawn from the Predictors Study, a large, multicenter cohort of patients with probable AD, prospectively followed annually for up to 7 years in three university-based AD centers in the United States. Markov analyses (n = 75) were used to calculate annual transition probabilities for the “new onset” of HHA use (instances where an HHA was absent at the previous visit, but present at the next visit) as a function of HHA presence at the preceding year's visit and dependence level at that preceding year's visit.Results.</w:instrText>
            </w:r>
            <w:r w:rsidRPr="00BC1A14">
              <w:instrText> </w:instrText>
            </w:r>
            <w:r w:rsidRPr="00BC1A14">
              <w:instrText>The dependence level at the previous year's visit was a significant predictor of HHA use at the next year's visit. Three specific items of the Dependence Scale (needing household chores done for oneself, needing to be watched or kept company when awake, and needing to be escorted when outside) were significant predictors of the presence of an HHA.Conclusion.</w:instrText>
            </w:r>
            <w:r w:rsidRPr="00BC1A14">
              <w:instrText> </w:instrText>
            </w:r>
            <w:r w:rsidRPr="00BC1A14">
              <w:instrText xml:space="preserve">The Dependence Scale is a valuable tool for predicting HHA use in AD patients. Obtaining a better understanding of home health care in AD patients may help delay NHP and have a positive impact on the health and well-being of both the caregiver and the patient.","DOI":"10.1093/gerona/63.9.1005","ISSN":"1079-5006","journalAbbreviation":"J Gerontol A Biol Sci Med Sci","language":"en","author":[{"family":"Scherer","given":"Rachel K."},{"family":"Scarmeas","given":"Nikolaos"},{"family":"Brandt","given":"Jason"},{"family":"Blacker","given":"Deborah"},{"family":"Albert","given":"Marilyn S."},{"family":"Stern","given":"Yaakov"}],"issued":{"date-parts":[["2008",9,1]]}},"suppress-author":true}],"schema":"https://github.com/citation-style-language/schema/raw/master/csl-citation.json"} </w:instrText>
            </w:r>
            <w:r w:rsidRPr="00BC1A14">
              <w:fldChar w:fldCharType="separate"/>
            </w:r>
            <w:r w:rsidRPr="00BC1A14">
              <w:t>(2008)</w:t>
            </w:r>
            <w:r w:rsidRPr="00BC1A14">
              <w:fldChar w:fldCharType="end"/>
            </w:r>
            <w:r w:rsidRPr="00BC1A14">
              <w:t>.</w:t>
            </w:r>
          </w:p>
        </w:tc>
      </w:tr>
      <w:tr w:rsidR="009317D9" w:rsidRPr="00BC1A14" w14:paraId="58E171A3"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26179576" w14:textId="77777777" w:rsidR="009317D9" w:rsidRPr="00BC1A14" w:rsidRDefault="009317D9" w:rsidP="00746A04">
            <w:pPr>
              <w:spacing w:after="0" w:line="240" w:lineRule="auto"/>
              <w:ind w:right="0"/>
              <w:jc w:val="left"/>
            </w:pPr>
            <w:r w:rsidRPr="00BC1A14">
              <w:t>Transition to ‘Informal Care Collapse’</w:t>
            </w:r>
          </w:p>
        </w:tc>
        <w:tc>
          <w:tcPr>
            <w:tcW w:w="4819" w:type="dxa"/>
            <w:tcBorders>
              <w:top w:val="single" w:sz="4" w:space="0" w:color="auto"/>
              <w:left w:val="single" w:sz="4" w:space="0" w:color="auto"/>
              <w:bottom w:val="single" w:sz="4" w:space="0" w:color="auto"/>
              <w:right w:val="single" w:sz="4" w:space="0" w:color="auto"/>
            </w:tcBorders>
          </w:tcPr>
          <w:p w14:paraId="71CD8E6E" w14:textId="77777777" w:rsidR="009317D9" w:rsidRPr="00BC1A14" w:rsidRDefault="009317D9" w:rsidP="00746A04">
            <w:pPr>
              <w:spacing w:after="0" w:line="240" w:lineRule="auto"/>
              <w:ind w:right="0"/>
              <w:jc w:val="left"/>
            </w:pPr>
            <w:bookmarkStart w:id="13" w:name="_Hlk3220073"/>
            <w:r w:rsidRPr="00BC1A14">
              <w:t>Increased likelihood of carer collapse based on increasing levels of carer burden as dependency levels increase.</w:t>
            </w:r>
            <w:bookmarkEnd w:id="13"/>
          </w:p>
          <w:p w14:paraId="75DE057F" w14:textId="77777777" w:rsidR="009317D9" w:rsidRPr="00BC1A14" w:rsidRDefault="009317D9" w:rsidP="00746A04">
            <w:pPr>
              <w:spacing w:after="0" w:line="240" w:lineRule="auto"/>
              <w:ind w:right="0"/>
              <w:jc w:val="left"/>
            </w:pPr>
          </w:p>
        </w:tc>
        <w:tc>
          <w:tcPr>
            <w:tcW w:w="2217" w:type="dxa"/>
            <w:tcBorders>
              <w:top w:val="single" w:sz="4" w:space="0" w:color="auto"/>
              <w:left w:val="single" w:sz="4" w:space="0" w:color="auto"/>
              <w:bottom w:val="single" w:sz="4" w:space="0" w:color="auto"/>
              <w:right w:val="single" w:sz="4" w:space="0" w:color="auto"/>
            </w:tcBorders>
            <w:hideMark/>
          </w:tcPr>
          <w:p w14:paraId="6185DCEF" w14:textId="77777777" w:rsidR="009317D9" w:rsidRPr="00BC1A14" w:rsidRDefault="009317D9" w:rsidP="00746A04">
            <w:pPr>
              <w:spacing w:after="0" w:line="240" w:lineRule="auto"/>
              <w:ind w:right="0"/>
              <w:jc w:val="left"/>
            </w:pPr>
            <w:r w:rsidRPr="00BC1A14">
              <w:t>Based on:</w:t>
            </w:r>
          </w:p>
          <w:p w14:paraId="6779AA24" w14:textId="77777777" w:rsidR="009317D9" w:rsidRPr="00BC1A14" w:rsidRDefault="009317D9" w:rsidP="00746A04">
            <w:pPr>
              <w:pStyle w:val="ListParagraph"/>
              <w:numPr>
                <w:ilvl w:val="0"/>
                <w:numId w:val="31"/>
              </w:numPr>
              <w:spacing w:after="0" w:line="240" w:lineRule="auto"/>
              <w:ind w:left="0" w:right="0"/>
              <w:jc w:val="left"/>
            </w:pPr>
            <w:bookmarkStart w:id="14" w:name="_Hlk3235408"/>
            <w:r w:rsidRPr="00BC1A14">
              <w:t>Expert opinion;</w:t>
            </w:r>
          </w:p>
          <w:p w14:paraId="418127CE" w14:textId="77777777" w:rsidR="009317D9" w:rsidRPr="00BC1A14" w:rsidRDefault="009317D9" w:rsidP="00746A04">
            <w:pPr>
              <w:pStyle w:val="ListParagraph"/>
              <w:numPr>
                <w:ilvl w:val="0"/>
                <w:numId w:val="31"/>
              </w:numPr>
              <w:spacing w:after="0" w:line="240" w:lineRule="auto"/>
              <w:ind w:left="0" w:right="0"/>
              <w:jc w:val="left"/>
            </w:pPr>
            <w:r w:rsidRPr="00BC1A14">
              <w:t xml:space="preserve">Hébert </w:t>
            </w:r>
            <w:r w:rsidRPr="00BC1A14">
              <w:rPr>
                <w:i/>
              </w:rPr>
              <w:t>et al.</w:t>
            </w:r>
            <w:r w:rsidRPr="00BC1A14">
              <w:t xml:space="preserve"> </w:t>
            </w:r>
            <w:r w:rsidRPr="00BC1A14">
              <w:fldChar w:fldCharType="begin"/>
            </w:r>
            <w:r w:rsidRPr="00BC1A14">
              <w:instrText xml:space="preserve"> ADDIN ZOTERO_ITEM CSL_CITATION {"citationID":"WXM3qGj7","properties":{"formattedCitation":"(2001)","plainCitation":"(2001)","noteIndex":0},"citationItems":[{"id":511,"uris":["http://zotero.org/users/2274800/items/T3XDZCV3"],"uri":["http://zotero.org/users/2274800/items/T3XDZCV3"],"itemData":{"id":511,"type":"article-journal","title":"Factors Associated With Long-term Institutionalization of Older People With Dementia Data From the Canadian Study of Health and Aging","container-title":"The Journals of Gerontology: Series A","page":"693-699","volume":"56","issue":"11","abstract":"Background.In Canada, half the people with dementia live in institutions. Factors associated with institutionalization should be identified with the goal of implementing strategies not only to permit those with dementia to stay in their homes as long as is feasible but also to ensure that steps are taken for timely institutionalization when appropriate.Methods. Informal caregivers of 326 individuals with dementia living in the community were identified and interviewed as part of the Canadian Study of Health and Aging (CSHA). These subjects were contacted again 2.5 and 5 years after the baseline interview to collect information on the status of their care recipients. Survival analyses using clinical data for the individuals with dementia and data from the interviews with their informal caregivers were carried out using Cox proportional hazard modeling to estimate the hazard ratio (HR).Results. Over the 5-year period, 166 individuals with dementia (50.9%) were institutionalized and the median time to admission was 41 months. From the multivariate analysis, the factors significantly associated with institutionalization were: type of dementia (Alzheimer's disease: HR = 1.83), severity of disability (mild: 1.51; moderate: 2.34; total impairment: 4.02), caregiver's age over 60 (1.83), caregiver not a spouse or child (1.55), and severe caregiver burden (1.71). Caregiver's burden was associated with the care-receiver's behavioral disturbance (partial r = .55) and the caregiver's depressive mood (r = .55).Conclusions. Screening caregivers for burden and depression and designing interventions to decrease the consequences of behavioral disturbance on caregivers would be relevant avenues to explore to decrease institutionalization of people with dementia.","DOI":"10.1093/gerona/56.11.M693","ISSN":"1079-5006","journalAbbreviation":"The Journals of Gerontology: Series A","author":[{"family":"Hébert","given":"Réjean"},{"family":"Dubois","given":"Marie-France"},{"family":"Wolfson","given":"Christina"},{"family":"Chambers","given":"Larry"},{"family":"Cohen","given":"Carole"}],"issued":{"date-parts":[["2001"]]}},"suppress-author":true}],"schema":"https://github.com/citation-style-language/schema/raw/master/csl-citation.json"} </w:instrText>
            </w:r>
            <w:r w:rsidRPr="00BC1A14">
              <w:fldChar w:fldCharType="separate"/>
            </w:r>
            <w:r w:rsidRPr="00BC1A14">
              <w:t>(2001)</w:t>
            </w:r>
            <w:r w:rsidRPr="00BC1A14">
              <w:fldChar w:fldCharType="end"/>
            </w:r>
            <w:r w:rsidRPr="00BC1A14">
              <w:t>;</w:t>
            </w:r>
            <w:bookmarkEnd w:id="14"/>
          </w:p>
          <w:p w14:paraId="12E0E5ED" w14:textId="77777777" w:rsidR="009317D9" w:rsidRPr="00BC1A14" w:rsidRDefault="009317D9" w:rsidP="00746A04">
            <w:pPr>
              <w:pStyle w:val="ListParagraph"/>
              <w:numPr>
                <w:ilvl w:val="0"/>
                <w:numId w:val="31"/>
              </w:numPr>
              <w:spacing w:after="0" w:line="240" w:lineRule="auto"/>
              <w:ind w:left="0" w:right="0"/>
              <w:jc w:val="left"/>
            </w:pPr>
            <w:r w:rsidRPr="00BC1A14">
              <w:t xml:space="preserve">Neumann et al. </w:t>
            </w:r>
            <w:r w:rsidRPr="00BC1A14">
              <w:fldChar w:fldCharType="begin"/>
            </w:r>
            <w:r w:rsidRPr="00BC1A14">
              <w:instrText xml:space="preserve"> ADDIN ZOTERO_ITEM CSL_CITATION {"citationID":"dt0DWYFj","properties":{"formattedCitation":"(2001)","plainCitation":"(2001)","noteIndex":0},"citationItems":[{"id":273,"uris":["http://zotero.org/users/2274800/items/F87K89UN"],"uri":["http://zotero.org/users/2274800/items/F87K89UN"],"itemData":{"id":273,"type":"article-journal","title":"Measuring Alzheimer's disease progression with transition probabilities: estimates from CERAD.","container-title":"Neurology","page":"957-964","volume":"57","issue":"6","abstract":"OBJECTIVES: To estimate annual transition probabilities (i.e., the likelihood that a patient will move from one disease stage to another in a given time period) for AD progression. Transition probabilities are estimated by disease stages (mild, moderate, severe) and settings of care (community, nursing home), accounting for differences in age, gender, and behavioral symptoms as well as the length of time a patient has been in a disease stage. Methods: Using data from the Consortium to Establish a Registry for Alzheimer's Disease (CERAD), the authors employed a modified survival analysis to estimate stage-to-stage and stage-to-nursing home transition probabilities. To account for individual variability, a Cox proportional hazards model was fit to the CERAD data to estimate hazard ratios for gender, age (50 to 64, 65 to 74, and more than 75 years), and level of behavioral symptoms (low/high, according to responses to the Behavioral Rating Scale for Dementia) for each of the key stage-to-stage and stage-to-nursing home transitions. RESULTS: The transition probabilities underscore the rapid progression of patients into more severe disease stages and into nursing homes and the differences among population subgroups. In general, male gender, age under 65, and high level of behavioral symptoms were associated with higher transition probabilities to more severe disease stages. Disease progression is roughly constant as a function of the time a patient has spent in a particular stage. CONCLUSIONS: Transition probabilities provide a useful means of characterizing AD progression. Economic models of interventions for AD should consider the varied course of progression for different population subgroups, particularly those defined by high levels of behavioral symptoms.","DOI":"10.1212/WNL.57.6.957","author":[{"family":"Neumann","given":"P J"},{"family":"Araki","given":"S S"},{"family":"Arcelus","given":"A"},{"family":"Longo","given":"A"},{"family":"Papadopoulos","given":"G"},{"family":"Kosik","given":"K S"},{"family":"Kuntz","given":"K M"},{"family":"Bhattacharjya","given":"A"}],"issued":{"date-parts":[["2001"]]}},"suppress-author":true}],"schema":"https://github.com/citation-style-language/schema/raw/master/csl-citation.json"} </w:instrText>
            </w:r>
            <w:r w:rsidRPr="00BC1A14">
              <w:fldChar w:fldCharType="separate"/>
            </w:r>
            <w:r w:rsidRPr="00BC1A14">
              <w:t>(2001)</w:t>
            </w:r>
            <w:r w:rsidRPr="00BC1A14">
              <w:fldChar w:fldCharType="end"/>
            </w:r>
            <w:r w:rsidRPr="00BC1A14">
              <w:t>.</w:t>
            </w:r>
          </w:p>
        </w:tc>
      </w:tr>
      <w:tr w:rsidR="009317D9" w:rsidRPr="00BC1A14" w14:paraId="27539F5C"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5BD1716D" w14:textId="77777777" w:rsidR="009317D9" w:rsidRPr="00BC1A14" w:rsidRDefault="009317D9" w:rsidP="00746A04">
            <w:pPr>
              <w:spacing w:after="0" w:line="240" w:lineRule="auto"/>
              <w:ind w:right="0"/>
              <w:jc w:val="left"/>
            </w:pPr>
            <w:r w:rsidRPr="00BC1A14">
              <w:lastRenderedPageBreak/>
              <w:t>Routing following diagnosis</w:t>
            </w:r>
          </w:p>
        </w:tc>
        <w:tc>
          <w:tcPr>
            <w:tcW w:w="4819" w:type="dxa"/>
            <w:tcBorders>
              <w:top w:val="single" w:sz="4" w:space="0" w:color="auto"/>
              <w:left w:val="single" w:sz="4" w:space="0" w:color="auto"/>
              <w:bottom w:val="single" w:sz="4" w:space="0" w:color="auto"/>
              <w:right w:val="single" w:sz="4" w:space="0" w:color="auto"/>
            </w:tcBorders>
            <w:hideMark/>
          </w:tcPr>
          <w:p w14:paraId="0CF93C11" w14:textId="77777777" w:rsidR="009317D9" w:rsidRPr="00BC1A14" w:rsidRDefault="009317D9" w:rsidP="00746A04">
            <w:pPr>
              <w:spacing w:after="0" w:line="240" w:lineRule="auto"/>
              <w:ind w:right="0"/>
              <w:jc w:val="left"/>
            </w:pPr>
            <w:r w:rsidRPr="00BC1A14">
              <w:t xml:space="preserve">The probability of someone requiring support from a formal care service following diagnosis </w:t>
            </w:r>
            <w:proofErr w:type="gramStart"/>
            <w:r w:rsidRPr="00BC1A14">
              <w:t>is assigned</w:t>
            </w:r>
            <w:proofErr w:type="gramEnd"/>
            <w:r w:rsidRPr="00BC1A14">
              <w:t xml:space="preserve"> based on estimates derived from the results of the DEMHOM questionnaire (Quince, 2011).</w:t>
            </w:r>
          </w:p>
        </w:tc>
        <w:tc>
          <w:tcPr>
            <w:tcW w:w="2217" w:type="dxa"/>
            <w:tcBorders>
              <w:top w:val="single" w:sz="4" w:space="0" w:color="auto"/>
              <w:left w:val="single" w:sz="4" w:space="0" w:color="auto"/>
              <w:bottom w:val="single" w:sz="4" w:space="0" w:color="auto"/>
              <w:right w:val="single" w:sz="4" w:space="0" w:color="auto"/>
            </w:tcBorders>
            <w:hideMark/>
          </w:tcPr>
          <w:p w14:paraId="50820701" w14:textId="77777777" w:rsidR="009317D9" w:rsidRPr="00BC1A14" w:rsidRDefault="009317D9" w:rsidP="00746A04">
            <w:pPr>
              <w:pStyle w:val="ListParagraph"/>
              <w:numPr>
                <w:ilvl w:val="0"/>
                <w:numId w:val="31"/>
              </w:numPr>
              <w:spacing w:after="0" w:line="240" w:lineRule="auto"/>
              <w:ind w:left="0" w:right="0"/>
              <w:jc w:val="left"/>
            </w:pPr>
            <w:r w:rsidRPr="00BC1A14">
              <w:t xml:space="preserve">Quince, </w:t>
            </w:r>
            <w:r w:rsidRPr="00BC1A14">
              <w:fldChar w:fldCharType="begin"/>
            </w:r>
            <w:r w:rsidRPr="00BC1A14">
              <w:instrText xml:space="preserve"> ADDIN ZOTERO_ITEM CSL_CITATION {"citationID":"tDPHt8fF","properties":{"formattedCitation":"(2011)","plainCitation":"(2011)","noteIndex":0},"citationItems":[{"id":2137,"uris":["http://zotero.org/users/2274800/items/3IPSWJD3"],"uri":["http://zotero.org/users/2274800/items/3IPSWJD3"],"itemData":{"id":2137,"type":"article","title":"Support. Stay. Save. Care and support of people with dementia in their own homes","publisher":"Alzheimer's Society","author":[{"family":"Quince","given":"Chris"}],"issued":{"date-parts":[["2011"]]}},"suppress-author":true}],"schema":"https://github.com/citation-style-language/schema/raw/master/csl-citation.json"} </w:instrText>
            </w:r>
            <w:r w:rsidRPr="00BC1A14">
              <w:fldChar w:fldCharType="separate"/>
            </w:r>
            <w:r w:rsidRPr="00BC1A14">
              <w:t>(2011)</w:t>
            </w:r>
            <w:r w:rsidRPr="00BC1A14">
              <w:fldChar w:fldCharType="end"/>
            </w:r>
            <w:r w:rsidRPr="00BC1A14">
              <w:t>.</w:t>
            </w:r>
          </w:p>
        </w:tc>
      </w:tr>
      <w:tr w:rsidR="009317D9" w:rsidRPr="00BC1A14" w14:paraId="41C08C19"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4E1558C6" w14:textId="77777777" w:rsidR="009317D9" w:rsidRPr="00BC1A14" w:rsidRDefault="009317D9" w:rsidP="00746A04">
            <w:pPr>
              <w:spacing w:after="0" w:line="240" w:lineRule="auto"/>
              <w:ind w:right="0"/>
              <w:jc w:val="left"/>
            </w:pPr>
            <w:r w:rsidRPr="00BC1A14">
              <w:t>Referrals to community care vs institutional care</w:t>
            </w:r>
          </w:p>
        </w:tc>
        <w:tc>
          <w:tcPr>
            <w:tcW w:w="4819" w:type="dxa"/>
            <w:tcBorders>
              <w:top w:val="single" w:sz="4" w:space="0" w:color="auto"/>
              <w:left w:val="single" w:sz="4" w:space="0" w:color="auto"/>
              <w:bottom w:val="single" w:sz="4" w:space="0" w:color="auto"/>
              <w:right w:val="single" w:sz="4" w:space="0" w:color="auto"/>
            </w:tcBorders>
            <w:hideMark/>
          </w:tcPr>
          <w:p w14:paraId="23FB814B" w14:textId="77777777" w:rsidR="009317D9" w:rsidRPr="00BC1A14" w:rsidRDefault="009317D9" w:rsidP="00746A04">
            <w:pPr>
              <w:spacing w:after="0" w:line="240" w:lineRule="auto"/>
              <w:ind w:right="0"/>
              <w:jc w:val="left"/>
            </w:pPr>
            <w:r w:rsidRPr="00BC1A14">
              <w:t xml:space="preserve">Referrals are made based </w:t>
            </w:r>
            <w:proofErr w:type="gramStart"/>
            <w:r w:rsidRPr="00BC1A14">
              <w:t>on a series rules</w:t>
            </w:r>
            <w:proofErr w:type="gramEnd"/>
            <w:r w:rsidRPr="00BC1A14">
              <w:t xml:space="preserve"> that were guided by the literature and expert opinion.</w:t>
            </w:r>
          </w:p>
        </w:tc>
        <w:tc>
          <w:tcPr>
            <w:tcW w:w="2217" w:type="dxa"/>
            <w:tcBorders>
              <w:top w:val="single" w:sz="4" w:space="0" w:color="auto"/>
              <w:left w:val="single" w:sz="4" w:space="0" w:color="auto"/>
              <w:bottom w:val="single" w:sz="4" w:space="0" w:color="auto"/>
              <w:right w:val="single" w:sz="4" w:space="0" w:color="auto"/>
            </w:tcBorders>
            <w:hideMark/>
          </w:tcPr>
          <w:p w14:paraId="029BDA2A" w14:textId="77777777" w:rsidR="009317D9" w:rsidRPr="00BC1A14" w:rsidRDefault="009317D9" w:rsidP="00746A04">
            <w:pPr>
              <w:spacing w:after="0" w:line="240" w:lineRule="auto"/>
              <w:ind w:right="0"/>
              <w:jc w:val="left"/>
            </w:pPr>
            <w:r w:rsidRPr="00BC1A14">
              <w:t>Assumption made based on a variety of sources.</w:t>
            </w:r>
          </w:p>
          <w:p w14:paraId="300D2E69" w14:textId="77777777" w:rsidR="009317D9" w:rsidRPr="00BC1A14" w:rsidRDefault="009317D9" w:rsidP="00746A04">
            <w:pPr>
              <w:pStyle w:val="ListParagraph"/>
              <w:numPr>
                <w:ilvl w:val="0"/>
                <w:numId w:val="31"/>
              </w:numPr>
              <w:spacing w:after="0" w:line="240" w:lineRule="auto"/>
              <w:ind w:left="0" w:right="0"/>
              <w:jc w:val="left"/>
            </w:pPr>
            <w:r w:rsidRPr="00BC1A14">
              <w:t>Consultation with domain experts;</w:t>
            </w:r>
          </w:p>
          <w:p w14:paraId="04BA51FC" w14:textId="77777777" w:rsidR="009317D9" w:rsidRPr="00BC1A14" w:rsidRDefault="009317D9" w:rsidP="00746A04">
            <w:pPr>
              <w:pStyle w:val="ListParagraph"/>
              <w:numPr>
                <w:ilvl w:val="0"/>
                <w:numId w:val="31"/>
              </w:numPr>
              <w:spacing w:after="0" w:line="240" w:lineRule="auto"/>
              <w:ind w:left="0" w:right="0"/>
              <w:jc w:val="left"/>
            </w:pPr>
            <w:proofErr w:type="spellStart"/>
            <w:r w:rsidRPr="00BC1A14">
              <w:t>Kahle-Wrobleski</w:t>
            </w:r>
            <w:proofErr w:type="spellEnd"/>
            <w:r w:rsidRPr="00BC1A14">
              <w:t xml:space="preserve"> </w:t>
            </w:r>
            <w:r w:rsidRPr="00BC1A14">
              <w:rPr>
                <w:i/>
              </w:rPr>
              <w:t>et al.</w:t>
            </w:r>
            <w:r w:rsidRPr="00BC1A14">
              <w:t xml:space="preserve"> </w:t>
            </w:r>
            <w:r w:rsidRPr="00BC1A14">
              <w:fldChar w:fldCharType="begin"/>
            </w:r>
            <w:r w:rsidRPr="00BC1A14">
              <w:instrText xml:space="preserve"> ADDIN ZOTERO_ITEM CSL_CITATION {"citationID":"r4T1XpXK","properties":{"formattedCitation":"(2014)","plainCitation":"(2014)","noteIndex":0},"citationItems":[{"id":1917,"uris":["http://zotero.org/users/2274800/items/9QAW3DRC"],"uri":["http://zotero.org/users/2274800/items/9QAW3DRC"],"itemData":{"id":1917,"type":"article-journal","title":"Understanding the complexities of functional ability in Alzheimer's disease: more than just basic and instrumental factors","container-title":"Current Alzheimer Research","page":"357-366","volume":"11","issue":"4","source":"PubMed","abstract":"BACKGROUND: Dementia of the Alzheimer's type (AD) is defined by both cognitive and functional decline; new criteria allow for identification of milder, non-functionally impaired patients. Understanding loss of autonomy in AD is essential, as later stages represent a significant burden and cost to patients, their families, and society. The purpose of the present analyses was to determine the factor structure of the Alzheimer's Disease Cooperative Study-Activities of Daily Living Scale (ADCS-ADL) in a cohort of AD patients.\nMETHODS: Baseline ADCS-ADL assessments of 734 AD patients from the PLASA study were included in an exploratory factor analysis (EFA). Because the ADCS-ADL was designed to assess change over time, change from baseline scores over 2 years were also analyzed using an EFA. Factorial solutions were evaluated based on cross-loading, non-loadings, and number of items per factor.\nRESULTS: Mean age at baseline was 79.3, mean MMSE was 19.8 and 73.3% of participants were female. Baseline data suggested a 4-factor solution that included factors for basic ADLs (BADLs), domestic/household activities, communication/engagement with the environment, and outside activities. The change scores EFA suggested a 2-factor solution of BADLs and instrumental ADLs (IADLs).\nCONCLUSIONS: Distinct factors of IADLs should be considered for further validation as areas of attention to catch early functional decline.","ISSN":"1875-5828","note":"PMID: 24635843\nPMCID: PMC4021450","shortTitle":"Understanding the complexities of functional ability in Alzheimer's disease","journalAbbreviation":"Curr Alzheimer Res","language":"eng","author":[{"family":"Kahle-Wrobleski","given":"Kristin"},{"family":"Coley","given":"Nicola"},{"family":"Lepage","given":"Benoit"},{"family":"Cantet","given":"Christelle"},{"family":"Vellas","given":"Bruno"},{"family":"Andrieu","given":"Sandrine"},{"literal":"Plasa DSA Group"}],"issued":{"date-parts":[["2014",5]]}},"suppress-author":true}],"schema":"https://github.com/citation-style-language/schema/raw/master/csl-citation.json"} </w:instrText>
            </w:r>
            <w:r w:rsidRPr="00BC1A14">
              <w:fldChar w:fldCharType="separate"/>
            </w:r>
            <w:r w:rsidRPr="00BC1A14">
              <w:t>(2014)</w:t>
            </w:r>
            <w:r w:rsidRPr="00BC1A14">
              <w:fldChar w:fldCharType="end"/>
            </w:r>
            <w:r w:rsidRPr="00BC1A14">
              <w:t>;</w:t>
            </w:r>
          </w:p>
          <w:p w14:paraId="7AE7E0DF" w14:textId="77777777" w:rsidR="009317D9" w:rsidRPr="00BC1A14" w:rsidRDefault="009317D9" w:rsidP="00746A04">
            <w:pPr>
              <w:pStyle w:val="ListParagraph"/>
              <w:numPr>
                <w:ilvl w:val="0"/>
                <w:numId w:val="31"/>
              </w:numPr>
              <w:spacing w:after="0" w:line="240" w:lineRule="auto"/>
              <w:ind w:left="0" w:right="0"/>
              <w:jc w:val="left"/>
            </w:pPr>
            <w:proofErr w:type="spellStart"/>
            <w:r w:rsidRPr="00BC1A14">
              <w:t>Kahle-Wrobleski</w:t>
            </w:r>
            <w:proofErr w:type="spellEnd"/>
            <w:r w:rsidRPr="00BC1A14">
              <w:t xml:space="preserve"> </w:t>
            </w:r>
            <w:r w:rsidRPr="00BC1A14">
              <w:rPr>
                <w:i/>
              </w:rPr>
              <w:t>et al.</w:t>
            </w:r>
            <w:r w:rsidRPr="00BC1A14">
              <w:t xml:space="preserve"> </w:t>
            </w:r>
            <w:r w:rsidRPr="00BC1A14">
              <w:fldChar w:fldCharType="begin"/>
            </w:r>
            <w:r w:rsidRPr="00BC1A14">
              <w:instrText xml:space="preserve"> ADDIN ZOTERO_ITEM CSL_CITATION {"citationID":"7QN86gnZ","properties":{"formattedCitation":"(2015)","plainCitation":"(2015)","noteIndex":0},"citationItems":[{"id":1012,"uris":["http://zotero.org/users/2274800/items/RIA8DQQJ"],"uri":["http://zotero.org/users/2274800/items/RIA8DQQJ"],"itemData":{"id":1012,"type":"article-journal","title":"Clinical and economic characteristics of milestones along the continuum of Alzheimer's disease: transforming functional scores into levels of dependence","container-title":"J. Prev. Alzheimers Dis.","page":"115–120","volume":"2","issue":"2","source":"Google Scholar","shortTitle":"Clinical and economic characteristics of milestones along the continuum of Alzheimer's disease","author":[{"family":"Kahle-Wrobleski","given":"K."},{"family":"Andrews","given":"J. S."},{"family":"Belger","given":"M."},{"family":"Gauthier","given":"S."},{"family":"Stern","given":"Y."},{"family":"Rentz","given":"D. M."},{"family":"Galasko","given":"D."}],"issued":{"date-parts":[["2015"]]}},"suppress-author":true}],"schema":"https://github.com/citation-style-language/schema/raw/master/csl-citation.json"} </w:instrText>
            </w:r>
            <w:r w:rsidRPr="00BC1A14">
              <w:fldChar w:fldCharType="separate"/>
            </w:r>
            <w:r w:rsidRPr="00BC1A14">
              <w:t>(2015)</w:t>
            </w:r>
            <w:r w:rsidRPr="00BC1A14">
              <w:fldChar w:fldCharType="end"/>
            </w:r>
            <w:r w:rsidRPr="00BC1A14">
              <w:t>;</w:t>
            </w:r>
          </w:p>
          <w:p w14:paraId="2CAAD149" w14:textId="77777777" w:rsidR="009317D9" w:rsidRPr="00BC1A14" w:rsidRDefault="009317D9" w:rsidP="00746A04">
            <w:pPr>
              <w:pStyle w:val="ListParagraph"/>
              <w:numPr>
                <w:ilvl w:val="0"/>
                <w:numId w:val="31"/>
              </w:numPr>
              <w:spacing w:after="0" w:line="240" w:lineRule="auto"/>
              <w:ind w:left="0" w:right="0"/>
              <w:jc w:val="left"/>
            </w:pPr>
            <w:r w:rsidRPr="00BC1A14">
              <w:t xml:space="preserve">Caro </w:t>
            </w:r>
            <w:r w:rsidRPr="00BC1A14">
              <w:rPr>
                <w:i/>
              </w:rPr>
              <w:t>et al.</w:t>
            </w:r>
            <w:r w:rsidRPr="00BC1A14">
              <w:t xml:space="preserve">, </w:t>
            </w:r>
            <w:r w:rsidRPr="00BC1A14">
              <w:fldChar w:fldCharType="begin"/>
            </w:r>
            <w:r w:rsidRPr="00BC1A14">
              <w:instrText xml:space="preserve"> ADDIN ZOTERO_ITEM CSL_CITATION {"citationID":"TobmYGkd","properties":{"formattedCitation":"(2002)","plainCitation":"(2002)","noteIndex":0},"citationItems":[{"id":363,"uris":["http://zotero.org/users/2274800/items/J77UPDJF"],"uri":["http://zotero.org/users/2274800/items/J77UPDJF"],"itemData":{"id":363,"type":"article-journal","title":"To what degree does cognitive impairment in Alzheimer's disease predict dependence of patients on caregivers?","container-title":"BMC Neurology","page":"1-7","volume":"2","issue":"6","abstract":"Background: Patients with Alzheimer's disease experience a progressive loss of cognitive function, and the ability to independently perform activities of daily life. Sometimes a dependent stage is reached quite early in the disease, when caregivers decide that the patients can no longer be left alone safely. This is an important aspect of Alzheimer's for patients, their families, and also health care providers. Understanding the relationship between a patient's current cognitive status and their need for care may assist clinicians when recommending an appropriate management plan. In this study, we investigated the relationship of cognitive function to dependence on caregivers before the patients reach a severe stage of the disease. Methods: Data were obtained on 1,289 patients with mild-to-moderate Alzheimer's disease studied in two randomised clinical trials of galantamine (Reminyl). Cognition was assessed using the cognitive part of the Alzheimer's Disease Assessment Scale (ADAS-cog) and Mini-Mental State Examination (MMSE). Patients were considered dependent if they required &gt;12 hours of supervision each day or had high care needs. The Disability Assessment for Dementia (DAD) scale was also used as a measure of dependence. Disability was predicted directly using MMSE and ADAS-cog and compared to predictions from converted scores. Results: The odds ratio of dependence was significantly higher amongst the patients with worse cognitive impairment, adjusting for age, gender and antipsychotic medication use. For example, a 4-point difference in ADAS-cog score was associated with an increase of 17% (95% CI 1123) in the adjusted odds for &gt;12 hours of supervision, and of 35% (95% CI 2843) for dependence. Disability predicted directly using actual ADAS-cog and scores converted from MMSE values had close agreement using the models developed. Conclusion: In patients with mild-to-moderate Alzheimer's disease, even relatively small degrees of poorer cognitive function increased the risk of losing the ability to live independently.","DOI":"10.1186/1471-2377-2-6","ISSN":"1471-2377 (Electronic)","author":[{"family":"Caro","given":"Jaime"},{"family":"Ward","given":"Alexandra"},{"family":"Ishak","given":"Khajak"},{"family":"Migliaccio-Walle","given":"Kristen"},{"family":"Getsios","given":"Denis"},{"family":"Papadopoulos","given":"George"},{"family":"Torfs","given":"Koen"}],"issued":{"date-parts":[["2002"]]}},"suppress-author":true}],"schema":"https://github.com/citation-style-language/schema/raw/master/csl-citation.json"} </w:instrText>
            </w:r>
            <w:r w:rsidRPr="00BC1A14">
              <w:fldChar w:fldCharType="separate"/>
            </w:r>
            <w:r w:rsidRPr="00BC1A14">
              <w:t>(2002)</w:t>
            </w:r>
            <w:r w:rsidRPr="00BC1A14">
              <w:fldChar w:fldCharType="end"/>
            </w:r>
            <w:r w:rsidRPr="00BC1A14">
              <w:t>;</w:t>
            </w:r>
          </w:p>
          <w:p w14:paraId="302BA42E" w14:textId="77777777" w:rsidR="009317D9" w:rsidRPr="00BC1A14" w:rsidRDefault="009317D9" w:rsidP="00746A04">
            <w:pPr>
              <w:pStyle w:val="ListParagraph"/>
              <w:numPr>
                <w:ilvl w:val="0"/>
                <w:numId w:val="31"/>
              </w:numPr>
              <w:spacing w:after="0" w:line="240" w:lineRule="auto"/>
              <w:ind w:left="0" w:right="0"/>
              <w:jc w:val="left"/>
            </w:pPr>
            <w:proofErr w:type="spellStart"/>
            <w:r w:rsidRPr="00BC1A14">
              <w:t>Beesley</w:t>
            </w:r>
            <w:proofErr w:type="spellEnd"/>
            <w:r w:rsidRPr="00BC1A14">
              <w:t xml:space="preserve"> </w:t>
            </w:r>
            <w:r w:rsidRPr="00BC1A14">
              <w:fldChar w:fldCharType="begin"/>
            </w:r>
            <w:r w:rsidRPr="00BC1A14">
              <w:instrText xml:space="preserve"> ADDIN ZOTERO_ITEM CSL_CITATION {"citationID":"HTKMtNtf","properties":{"formattedCitation":"(2006)","plainCitation":"(2006)","noteIndex":0},"citationItems":[{"id":1089,"uris":["http://zotero.org/users/2274800/items/WTX7NXH9"],"uri":["http://zotero.org/users/2274800/items/WTX7NXH9"],"itemData":{"id":1089,"type":"article","title":"Informal Care in England. One of a series of appendices to Securing Good Care for Older People.","publisher":"The Kings Fund","URL":"https://www.kingsfund.org.uk/sites/default/files/informal-care-england-wanless-background-paper-lucinda-beesley2006.pdf","author":[{"family":"Beesley","given":"Lucinda"}],"issued":{"date-parts":[["2006"]]},"accessed":{"date-parts":[["2017",5,24]]}},"suppress-author":true}],"schema":"https://github.com/citation-style-language/schema/raw/master/csl-citation.json"} </w:instrText>
            </w:r>
            <w:r w:rsidRPr="00BC1A14">
              <w:fldChar w:fldCharType="separate"/>
            </w:r>
            <w:r w:rsidRPr="00BC1A14">
              <w:t>(2006)</w:t>
            </w:r>
            <w:r w:rsidRPr="00BC1A14">
              <w:fldChar w:fldCharType="end"/>
            </w:r>
            <w:r w:rsidRPr="00BC1A14">
              <w:t>;</w:t>
            </w:r>
          </w:p>
          <w:p w14:paraId="15463734" w14:textId="77777777" w:rsidR="009317D9" w:rsidRPr="00BC1A14" w:rsidRDefault="009317D9" w:rsidP="00746A04">
            <w:pPr>
              <w:pStyle w:val="ListParagraph"/>
              <w:numPr>
                <w:ilvl w:val="0"/>
                <w:numId w:val="31"/>
              </w:numPr>
              <w:spacing w:after="0" w:line="240" w:lineRule="auto"/>
              <w:ind w:left="0" w:right="0"/>
              <w:jc w:val="left"/>
            </w:pPr>
            <w:r w:rsidRPr="00BC1A14">
              <w:t xml:space="preserve">Quince, </w:t>
            </w:r>
            <w:r w:rsidRPr="00BC1A14">
              <w:fldChar w:fldCharType="begin"/>
            </w:r>
            <w:r w:rsidRPr="00BC1A14">
              <w:instrText xml:space="preserve"> ADDIN ZOTERO_ITEM CSL_CITATION {"citationID":"11vphPwY","properties":{"formattedCitation":"(2011)","plainCitation":"(2011)","noteIndex":0},"citationItems":[{"id":2137,"uris":["http://zotero.org/users/2274800/items/3IPSWJD3"],"uri":["http://zotero.org/users/2274800/items/3IPSWJD3"],"itemData":{"id":2137,"type":"article","title":"Support. Stay. Save. Care and support of people with dementia in their own homes","publisher":"Alzheimer's Society","author":[{"family":"Quince","given":"Chris"}],"issued":{"date-parts":[["2011"]]}},"suppress-author":true}],"schema":"https://github.com/citation-style-language/schema/raw/master/csl-citation.json"} </w:instrText>
            </w:r>
            <w:r w:rsidRPr="00BC1A14">
              <w:fldChar w:fldCharType="separate"/>
            </w:r>
            <w:r w:rsidRPr="00BC1A14">
              <w:t>(2011)</w:t>
            </w:r>
            <w:r w:rsidRPr="00BC1A14">
              <w:fldChar w:fldCharType="end"/>
            </w:r>
            <w:r w:rsidRPr="00BC1A14">
              <w:t>.</w:t>
            </w:r>
          </w:p>
        </w:tc>
      </w:tr>
      <w:tr w:rsidR="009317D9" w:rsidRPr="00BC1A14" w14:paraId="631E88B0"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12CB7C7E" w14:textId="77777777" w:rsidR="009317D9" w:rsidRPr="00BC1A14" w:rsidRDefault="009317D9" w:rsidP="00746A04">
            <w:pPr>
              <w:spacing w:after="0" w:line="240" w:lineRule="auto"/>
              <w:ind w:right="0"/>
              <w:jc w:val="left"/>
            </w:pPr>
            <w:r w:rsidRPr="00BC1A14">
              <w:t>Referrals to Telecare Services</w:t>
            </w:r>
          </w:p>
        </w:tc>
        <w:tc>
          <w:tcPr>
            <w:tcW w:w="4819" w:type="dxa"/>
            <w:tcBorders>
              <w:top w:val="single" w:sz="4" w:space="0" w:color="auto"/>
              <w:left w:val="single" w:sz="4" w:space="0" w:color="auto"/>
              <w:bottom w:val="single" w:sz="4" w:space="0" w:color="auto"/>
              <w:right w:val="single" w:sz="4" w:space="0" w:color="auto"/>
            </w:tcBorders>
            <w:hideMark/>
          </w:tcPr>
          <w:p w14:paraId="2373A659" w14:textId="77777777" w:rsidR="009317D9" w:rsidRPr="00BC1A14" w:rsidRDefault="009317D9" w:rsidP="00746A04">
            <w:pPr>
              <w:spacing w:after="0" w:line="240" w:lineRule="auto"/>
              <w:ind w:right="0"/>
              <w:jc w:val="left"/>
            </w:pPr>
            <w:r w:rsidRPr="00BC1A14">
              <w:t xml:space="preserve">Referrals to basic telecare or complex telecare </w:t>
            </w:r>
            <w:proofErr w:type="gramStart"/>
            <w:r w:rsidRPr="00BC1A14">
              <w:t>are made</w:t>
            </w:r>
            <w:proofErr w:type="gramEnd"/>
            <w:r w:rsidRPr="00BC1A14">
              <w:t xml:space="preserve"> in each instance as an alternative to traditional community care. The percentage of traditional community care referrals that are diverted to </w:t>
            </w:r>
            <w:proofErr w:type="gramStart"/>
            <w:r w:rsidRPr="00BC1A14">
              <w:t>telecare based</w:t>
            </w:r>
            <w:proofErr w:type="gramEnd"/>
            <w:r w:rsidRPr="00BC1A14">
              <w:t xml:space="preserve"> services is varied through the different scenarios which this simulation is used to test.</w:t>
            </w:r>
          </w:p>
        </w:tc>
        <w:tc>
          <w:tcPr>
            <w:tcW w:w="2217" w:type="dxa"/>
            <w:tcBorders>
              <w:top w:val="single" w:sz="4" w:space="0" w:color="auto"/>
              <w:left w:val="single" w:sz="4" w:space="0" w:color="auto"/>
              <w:bottom w:val="single" w:sz="4" w:space="0" w:color="auto"/>
              <w:right w:val="single" w:sz="4" w:space="0" w:color="auto"/>
            </w:tcBorders>
            <w:hideMark/>
          </w:tcPr>
          <w:p w14:paraId="26C15D21" w14:textId="77777777" w:rsidR="009317D9" w:rsidRPr="00BC1A14" w:rsidRDefault="009317D9" w:rsidP="00746A04">
            <w:pPr>
              <w:spacing w:after="0" w:line="240" w:lineRule="auto"/>
              <w:ind w:right="0"/>
              <w:jc w:val="left"/>
            </w:pPr>
            <w:r w:rsidRPr="00BC1A14">
              <w:t>Not Applicable.</w:t>
            </w:r>
          </w:p>
        </w:tc>
      </w:tr>
      <w:tr w:rsidR="009317D9" w:rsidRPr="00BC1A14" w14:paraId="4159166D"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256EAFA4" w14:textId="77777777" w:rsidR="009317D9" w:rsidRPr="00BC1A14" w:rsidRDefault="009317D9" w:rsidP="00746A04">
            <w:pPr>
              <w:spacing w:after="0" w:line="240" w:lineRule="auto"/>
              <w:ind w:right="0"/>
              <w:jc w:val="left"/>
            </w:pPr>
            <w:r w:rsidRPr="00BC1A14">
              <w:t xml:space="preserve">Care Service Resource Cost: </w:t>
            </w:r>
            <w:r w:rsidRPr="00BC1A14">
              <w:rPr>
                <w:i/>
              </w:rPr>
              <w:t>Basic Telecare Equipment</w:t>
            </w:r>
          </w:p>
        </w:tc>
        <w:tc>
          <w:tcPr>
            <w:tcW w:w="4819" w:type="dxa"/>
            <w:tcBorders>
              <w:top w:val="single" w:sz="4" w:space="0" w:color="auto"/>
              <w:left w:val="single" w:sz="4" w:space="0" w:color="auto"/>
              <w:bottom w:val="single" w:sz="4" w:space="0" w:color="auto"/>
              <w:right w:val="single" w:sz="4" w:space="0" w:color="auto"/>
            </w:tcBorders>
            <w:hideMark/>
          </w:tcPr>
          <w:p w14:paraId="2254E90B" w14:textId="77777777" w:rsidR="009317D9" w:rsidRPr="00BC1A14" w:rsidRDefault="009317D9" w:rsidP="00746A04">
            <w:pPr>
              <w:spacing w:after="0" w:line="240" w:lineRule="auto"/>
              <w:ind w:right="0"/>
              <w:jc w:val="left"/>
            </w:pPr>
            <w:r w:rsidRPr="00BC1A14">
              <w:t xml:space="preserve">Cost per person per day for basic telecare equipment (£2.16). The mean annual costs identified by Henderson </w:t>
            </w:r>
            <w:r w:rsidRPr="00BC1A14">
              <w:rPr>
                <w:i/>
              </w:rPr>
              <w:t>et al.</w:t>
            </w:r>
            <w:r w:rsidRPr="00BC1A14">
              <w:t xml:space="preserve"> (2013b) (£792) were assumed to offer a suitable estimate of cost for basic telecare. Therefore: </w:t>
            </w:r>
            <w:r w:rsidRPr="00BC1A14">
              <w:rPr>
                <w:i/>
              </w:rPr>
              <w:t>£792 / 365 days = £2.16 per day</w:t>
            </w:r>
          </w:p>
        </w:tc>
        <w:tc>
          <w:tcPr>
            <w:tcW w:w="2217" w:type="dxa"/>
            <w:tcBorders>
              <w:top w:val="single" w:sz="4" w:space="0" w:color="auto"/>
              <w:left w:val="single" w:sz="4" w:space="0" w:color="auto"/>
              <w:bottom w:val="single" w:sz="4" w:space="0" w:color="auto"/>
              <w:right w:val="single" w:sz="4" w:space="0" w:color="auto"/>
            </w:tcBorders>
          </w:tcPr>
          <w:p w14:paraId="2E7D02E5" w14:textId="77777777" w:rsidR="009317D9" w:rsidRPr="00BC1A14" w:rsidRDefault="009317D9" w:rsidP="00746A04">
            <w:pPr>
              <w:pStyle w:val="ListParagraph"/>
              <w:numPr>
                <w:ilvl w:val="0"/>
                <w:numId w:val="31"/>
              </w:numPr>
              <w:spacing w:after="0" w:line="240" w:lineRule="auto"/>
              <w:ind w:left="0" w:right="0"/>
              <w:jc w:val="left"/>
            </w:pPr>
            <w:r w:rsidRPr="00BC1A14">
              <w:t xml:space="preserve">Henderson </w:t>
            </w:r>
            <w:r w:rsidRPr="00BC1A14">
              <w:rPr>
                <w:i/>
              </w:rPr>
              <w:t>et al.</w:t>
            </w:r>
            <w:r w:rsidRPr="00BC1A14">
              <w:t xml:space="preserve"> </w:t>
            </w:r>
            <w:r w:rsidRPr="00BC1A14">
              <w:fldChar w:fldCharType="begin"/>
            </w:r>
            <w:r w:rsidRPr="00BC1A14">
              <w:instrText xml:space="preserve"> ADDIN ZOTERO_ITEM CSL_CITATION {"citationID":"RxTbiPrJ","properties":{"formattedCitation":"(2013)","plainCitation":"(2013)","noteIndex":0},"citationItems":[{"id":1858,"uris":["http://zotero.org/users/2274800/items/RE77STBW"],"uri":["http://zotero.org/users/2274800/items/RE77STBW"],"itemData":{"id":1858,"type":"article","title":"The costs of telecare and telehealth","publisher":"Unit Costs of Health and Social Care 2013","URL":"http://www.pssru.ac.uk/pdf/uc/uc2013/henderson-beecham-knapp.pdf","author":[{"family":"Henderson","given":"Catherine"},{"family":"Beecham","given":"Jennifer"},{"family":"Knapp","given":"Martin"}],"issued":{"date-parts":[["2013"]]},"accessed":{"date-parts":[["2017",4,25]]}},"suppress-author":true}],"schema":"https://github.com/citation-style-language/schema/raw/master/csl-citation.json"} </w:instrText>
            </w:r>
            <w:r w:rsidRPr="00BC1A14">
              <w:fldChar w:fldCharType="separate"/>
            </w:r>
            <w:r w:rsidRPr="00BC1A14">
              <w:t>(2013)</w:t>
            </w:r>
            <w:r w:rsidRPr="00BC1A14">
              <w:fldChar w:fldCharType="end"/>
            </w:r>
            <w:r w:rsidRPr="00BC1A14">
              <w:t>.</w:t>
            </w:r>
          </w:p>
          <w:p w14:paraId="0CE4D201" w14:textId="77777777" w:rsidR="009317D9" w:rsidRPr="00BC1A14" w:rsidRDefault="009317D9" w:rsidP="00746A04">
            <w:pPr>
              <w:spacing w:after="0" w:line="240" w:lineRule="auto"/>
              <w:ind w:right="0"/>
              <w:jc w:val="left"/>
            </w:pPr>
          </w:p>
        </w:tc>
      </w:tr>
      <w:tr w:rsidR="009317D9" w:rsidRPr="00BC1A14" w14:paraId="436F7B2D"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11BE37EE" w14:textId="77777777" w:rsidR="009317D9" w:rsidRPr="00BC1A14" w:rsidRDefault="009317D9" w:rsidP="00746A04">
            <w:pPr>
              <w:spacing w:after="0" w:line="240" w:lineRule="auto"/>
              <w:ind w:right="0"/>
              <w:jc w:val="left"/>
            </w:pPr>
            <w:r w:rsidRPr="00BC1A14">
              <w:t xml:space="preserve">Care Service Resource Cost: </w:t>
            </w:r>
            <w:r w:rsidRPr="00BC1A14">
              <w:rPr>
                <w:i/>
              </w:rPr>
              <w:t>Complex Telecare Equipment</w:t>
            </w:r>
          </w:p>
        </w:tc>
        <w:tc>
          <w:tcPr>
            <w:tcW w:w="4819" w:type="dxa"/>
            <w:tcBorders>
              <w:top w:val="single" w:sz="4" w:space="0" w:color="auto"/>
              <w:left w:val="single" w:sz="4" w:space="0" w:color="auto"/>
              <w:bottom w:val="single" w:sz="4" w:space="0" w:color="auto"/>
              <w:right w:val="single" w:sz="4" w:space="0" w:color="auto"/>
            </w:tcBorders>
            <w:hideMark/>
          </w:tcPr>
          <w:p w14:paraId="49746141" w14:textId="514845ED" w:rsidR="009317D9" w:rsidRPr="00BC1A14" w:rsidRDefault="009317D9" w:rsidP="00746A04">
            <w:pPr>
              <w:spacing w:after="0" w:line="240" w:lineRule="auto"/>
              <w:ind w:right="0"/>
              <w:jc w:val="left"/>
            </w:pPr>
            <w:r w:rsidRPr="00BC1A14">
              <w:t>Cost per person per day for complex telecare equipment (£4.32). In the absence of specific equipment costs, it was assumed that complex telecare equipment would cost double that of basic telecare.</w:t>
            </w:r>
          </w:p>
        </w:tc>
        <w:tc>
          <w:tcPr>
            <w:tcW w:w="2217" w:type="dxa"/>
            <w:tcBorders>
              <w:top w:val="single" w:sz="4" w:space="0" w:color="auto"/>
              <w:left w:val="single" w:sz="4" w:space="0" w:color="auto"/>
              <w:bottom w:val="single" w:sz="4" w:space="0" w:color="auto"/>
              <w:right w:val="single" w:sz="4" w:space="0" w:color="auto"/>
            </w:tcBorders>
            <w:hideMark/>
          </w:tcPr>
          <w:p w14:paraId="10C3D282" w14:textId="77777777" w:rsidR="009317D9" w:rsidRPr="00BC1A14" w:rsidRDefault="009317D9" w:rsidP="00746A04">
            <w:pPr>
              <w:spacing w:after="0" w:line="240" w:lineRule="auto"/>
              <w:ind w:right="0"/>
              <w:jc w:val="left"/>
            </w:pPr>
            <w:r w:rsidRPr="00BC1A14">
              <w:t>Not Applicable.</w:t>
            </w:r>
          </w:p>
        </w:tc>
      </w:tr>
      <w:tr w:rsidR="009317D9" w:rsidRPr="00BC1A14" w14:paraId="3BB9838F"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26D53ECC" w14:textId="77777777" w:rsidR="009317D9" w:rsidRPr="00BC1A14" w:rsidRDefault="009317D9" w:rsidP="00746A04">
            <w:pPr>
              <w:spacing w:after="0" w:line="240" w:lineRule="auto"/>
              <w:ind w:right="0"/>
              <w:jc w:val="left"/>
            </w:pPr>
            <w:r w:rsidRPr="00BC1A14">
              <w:t xml:space="preserve">Care Service Resource Cost: </w:t>
            </w:r>
            <w:r w:rsidRPr="00BC1A14">
              <w:rPr>
                <w:i/>
              </w:rPr>
              <w:t>Community Care</w:t>
            </w:r>
          </w:p>
        </w:tc>
        <w:tc>
          <w:tcPr>
            <w:tcW w:w="4819" w:type="dxa"/>
            <w:tcBorders>
              <w:top w:val="single" w:sz="4" w:space="0" w:color="auto"/>
              <w:left w:val="single" w:sz="4" w:space="0" w:color="auto"/>
              <w:bottom w:val="single" w:sz="4" w:space="0" w:color="auto"/>
              <w:right w:val="single" w:sz="4" w:space="0" w:color="auto"/>
            </w:tcBorders>
            <w:hideMark/>
          </w:tcPr>
          <w:p w14:paraId="5DD6DC98" w14:textId="77777777" w:rsidR="009317D9" w:rsidRPr="00BC1A14" w:rsidRDefault="009317D9" w:rsidP="00746A04">
            <w:pPr>
              <w:spacing w:after="0" w:line="240" w:lineRule="auto"/>
              <w:ind w:right="0"/>
              <w:jc w:val="left"/>
            </w:pPr>
            <w:r w:rsidRPr="00BC1A14">
              <w:t xml:space="preserve">Cost per person per day for community care (£22.33). </w:t>
            </w:r>
          </w:p>
          <w:p w14:paraId="16D98DCF" w14:textId="77777777" w:rsidR="009317D9" w:rsidRPr="00BC1A14" w:rsidRDefault="009317D9" w:rsidP="00746A04">
            <w:pPr>
              <w:spacing w:after="0" w:line="240" w:lineRule="auto"/>
              <w:ind w:right="0"/>
              <w:jc w:val="left"/>
              <w:rPr>
                <w:i/>
              </w:rPr>
            </w:pPr>
            <w:r w:rsidRPr="00BC1A14">
              <w:t xml:space="preserve">Information obtained by BBC News from Local Councils using Freedom of Information requests showed that in 2014-15 Southampton City Council paid £17.30 per hour of community care (£17.30 / 60 minutes = 29p per minute). It also showed that on average the council provide 9 hours of community care per week (77 </w:t>
            </w:r>
            <w:r w:rsidRPr="00BC1A14">
              <w:lastRenderedPageBreak/>
              <w:t xml:space="preserve">minutes per day). Therefore: </w:t>
            </w:r>
            <w:r w:rsidRPr="00BC1A14">
              <w:rPr>
                <w:i/>
              </w:rPr>
              <w:t>29p x 77 minutes = £22.33</w:t>
            </w:r>
          </w:p>
        </w:tc>
        <w:tc>
          <w:tcPr>
            <w:tcW w:w="2217" w:type="dxa"/>
            <w:tcBorders>
              <w:top w:val="single" w:sz="4" w:space="0" w:color="auto"/>
              <w:left w:val="single" w:sz="4" w:space="0" w:color="auto"/>
              <w:bottom w:val="single" w:sz="4" w:space="0" w:color="auto"/>
              <w:right w:val="single" w:sz="4" w:space="0" w:color="auto"/>
            </w:tcBorders>
            <w:hideMark/>
          </w:tcPr>
          <w:p w14:paraId="332208D4" w14:textId="77777777" w:rsidR="009317D9" w:rsidRPr="00BC1A14" w:rsidRDefault="009317D9" w:rsidP="00746A04">
            <w:pPr>
              <w:pStyle w:val="ListParagraph"/>
              <w:numPr>
                <w:ilvl w:val="0"/>
                <w:numId w:val="31"/>
              </w:numPr>
              <w:spacing w:after="0" w:line="240" w:lineRule="auto"/>
              <w:ind w:left="0" w:right="0"/>
              <w:jc w:val="left"/>
            </w:pPr>
            <w:r w:rsidRPr="00BC1A14">
              <w:lastRenderedPageBreak/>
              <w:t xml:space="preserve">BBC News </w:t>
            </w:r>
            <w:r w:rsidRPr="00BC1A14">
              <w:fldChar w:fldCharType="begin"/>
            </w:r>
            <w:r w:rsidRPr="00BC1A14">
              <w:instrText xml:space="preserve"> ADDIN ZOTERO_ITEM CSL_CITATION {"citationID":"afiTl30O","properties":{"formattedCitation":"(2016)","plainCitation":"(2016)","noteIndex":0},"citationItems":[{"id":2587,"uris":["http://zotero.org/users/2274800/items/ABQ43AIS"],"uri":["http://zotero.org/users/2274800/items/ABQ43AIS"],"itemData":{"id":2587,"type":"article-newspaper","title":"What's the cost of care in your area?","container-title":"BBC News","section":"Health","source":"www.bbc.co.uk","abstract":"As we live longer, many of us will need support in our old age but what are the costs involved?","URL":"https://www.bbc.co.uk/news/health-37307856","language":"en-GB","author":[{"family":"BBC News","given":""}],"issued":{"date-parts":[["2016",9,13]]},"accessed":{"date-parts":[["2018",6,4]]}},"suppress-author":true}],"schema":"https://github.com/citation-style-language/schema/raw/master/csl-citation.json"} </w:instrText>
            </w:r>
            <w:r w:rsidRPr="00BC1A14">
              <w:fldChar w:fldCharType="separate"/>
            </w:r>
            <w:r w:rsidRPr="00BC1A14">
              <w:t>(2016)</w:t>
            </w:r>
            <w:r w:rsidRPr="00BC1A14">
              <w:fldChar w:fldCharType="end"/>
            </w:r>
            <w:r w:rsidRPr="00BC1A14">
              <w:t>.</w:t>
            </w:r>
          </w:p>
        </w:tc>
      </w:tr>
      <w:tr w:rsidR="009317D9" w:rsidRPr="00BC1A14" w14:paraId="35488042" w14:textId="77777777" w:rsidTr="00746A04">
        <w:tc>
          <w:tcPr>
            <w:tcW w:w="1980" w:type="dxa"/>
            <w:tcBorders>
              <w:top w:val="single" w:sz="4" w:space="0" w:color="auto"/>
              <w:left w:val="single" w:sz="4" w:space="0" w:color="auto"/>
              <w:bottom w:val="single" w:sz="4" w:space="0" w:color="auto"/>
              <w:right w:val="single" w:sz="4" w:space="0" w:color="auto"/>
            </w:tcBorders>
            <w:hideMark/>
          </w:tcPr>
          <w:p w14:paraId="56F8D6EB" w14:textId="77777777" w:rsidR="009317D9" w:rsidRPr="00BC1A14" w:rsidRDefault="009317D9" w:rsidP="00746A04">
            <w:pPr>
              <w:spacing w:after="0" w:line="240" w:lineRule="auto"/>
              <w:ind w:right="0"/>
              <w:jc w:val="left"/>
            </w:pPr>
            <w:r w:rsidRPr="00BC1A14">
              <w:t>Care Service Resource Cost: Residential Care Space and Nursing Home Beds</w:t>
            </w:r>
          </w:p>
        </w:tc>
        <w:tc>
          <w:tcPr>
            <w:tcW w:w="4819" w:type="dxa"/>
            <w:tcBorders>
              <w:top w:val="single" w:sz="4" w:space="0" w:color="auto"/>
              <w:left w:val="single" w:sz="4" w:space="0" w:color="auto"/>
              <w:bottom w:val="single" w:sz="4" w:space="0" w:color="auto"/>
              <w:right w:val="single" w:sz="4" w:space="0" w:color="auto"/>
            </w:tcBorders>
            <w:hideMark/>
          </w:tcPr>
          <w:p w14:paraId="2359EAA3" w14:textId="77777777" w:rsidR="009317D9" w:rsidRPr="00BC1A14" w:rsidRDefault="009317D9" w:rsidP="00746A04">
            <w:pPr>
              <w:spacing w:after="0" w:line="240" w:lineRule="auto"/>
              <w:ind w:right="0"/>
              <w:jc w:val="left"/>
            </w:pPr>
            <w:r w:rsidRPr="00BC1A14">
              <w:t>Cost per person per day for residential care home space (£100). Cost per person per day for a nursing home bed (£149). A UK market report published by Laing Buisson, entitled ‘Care of Older People’ provided average costs for residential care and nursing home placements during the 2016 -17 financial year for the South East of England (Laing, 2017).</w:t>
            </w:r>
          </w:p>
        </w:tc>
        <w:tc>
          <w:tcPr>
            <w:tcW w:w="2217" w:type="dxa"/>
            <w:tcBorders>
              <w:top w:val="single" w:sz="4" w:space="0" w:color="auto"/>
              <w:left w:val="single" w:sz="4" w:space="0" w:color="auto"/>
              <w:bottom w:val="single" w:sz="4" w:space="0" w:color="auto"/>
              <w:right w:val="single" w:sz="4" w:space="0" w:color="auto"/>
            </w:tcBorders>
            <w:hideMark/>
          </w:tcPr>
          <w:p w14:paraId="4B8B2CF5" w14:textId="77777777" w:rsidR="009317D9" w:rsidRPr="00BC1A14" w:rsidRDefault="009317D9" w:rsidP="00746A04">
            <w:pPr>
              <w:pStyle w:val="ListParagraph"/>
              <w:numPr>
                <w:ilvl w:val="0"/>
                <w:numId w:val="31"/>
              </w:numPr>
              <w:spacing w:after="0" w:line="240" w:lineRule="auto"/>
              <w:ind w:left="0" w:right="0"/>
              <w:jc w:val="left"/>
            </w:pPr>
            <w:r w:rsidRPr="00BC1A14">
              <w:t xml:space="preserve">Laing </w:t>
            </w:r>
            <w:r w:rsidRPr="00BC1A14">
              <w:fldChar w:fldCharType="begin"/>
            </w:r>
            <w:r w:rsidRPr="00BC1A14">
              <w:instrText xml:space="preserve"> ADDIN ZOTERO_ITEM CSL_CITATION {"citationID":"A6ugNODT","properties":{"formattedCitation":"(2017)","plainCitation":"(2017)","noteIndex":0},"citationItems":[{"id":1158,"uris":["http://zotero.org/users/2274800/items/IWND9HIC"],"uri":["http://zotero.org/users/2274800/items/IWND9HIC"],"itemData":{"id":1158,"type":"article","title":"Care of Older People, UK Market Report 2016/17, 28th Edition","publisher":"LaingBuisson","author":[{"family":"Laing","given":"William"}],"issued":{"date-parts":[["2017",5]]}},"suppress-author":true}],"schema":"https://github.com/citation-style-language/schema/raw/master/csl-citation.json"} </w:instrText>
            </w:r>
            <w:r w:rsidRPr="00BC1A14">
              <w:fldChar w:fldCharType="separate"/>
            </w:r>
            <w:r w:rsidRPr="00BC1A14">
              <w:t>(2017)</w:t>
            </w:r>
            <w:r w:rsidRPr="00BC1A14">
              <w:fldChar w:fldCharType="end"/>
            </w:r>
            <w:r w:rsidRPr="00BC1A14">
              <w:t>.</w:t>
            </w:r>
          </w:p>
        </w:tc>
      </w:tr>
    </w:tbl>
    <w:p w14:paraId="3D72B39D" w14:textId="197ABBDE" w:rsidR="00F61165" w:rsidRDefault="00F61165" w:rsidP="00F61165">
      <w:pPr>
        <w:pStyle w:val="Heading2"/>
        <w:numPr>
          <w:ilvl w:val="0"/>
          <w:numId w:val="0"/>
        </w:numPr>
        <w:rPr>
          <w:i w:val="0"/>
          <w:iCs w:val="0"/>
          <w:lang w:eastAsia="en-US"/>
        </w:rPr>
      </w:pPr>
      <w:r>
        <w:rPr>
          <w:i w:val="0"/>
          <w:iCs w:val="0"/>
          <w:lang w:eastAsia="en-US"/>
        </w:rPr>
        <w:t>References</w:t>
      </w:r>
    </w:p>
    <w:p w14:paraId="730B853F" w14:textId="623BDE97" w:rsidR="00F61165" w:rsidRDefault="00F61165" w:rsidP="00F61165">
      <w:pPr>
        <w:spacing w:line="240" w:lineRule="auto"/>
        <w:jc w:val="left"/>
        <w:rPr>
          <w:rFonts w:eastAsia="DengXian Light"/>
          <w:lang w:eastAsia="en-US"/>
        </w:rPr>
      </w:pPr>
      <w:r w:rsidRPr="00EE4554">
        <w:rPr>
          <w:rFonts w:eastAsia="DengXian Light"/>
          <w:lang w:eastAsia="en-US"/>
        </w:rPr>
        <w:t xml:space="preserve">Age Concern Hampshire (2017). Age Concern Hampshire: Dementia Support. Available at http://www.ageconcernhampshire.org.uk/our-services/dementia-support/ (Accessed </w:t>
      </w:r>
      <w:r w:rsidR="003554B8">
        <w:rPr>
          <w:rFonts w:eastAsia="DengXian Light"/>
          <w:lang w:eastAsia="en-US"/>
        </w:rPr>
        <w:t>07.05.21</w:t>
      </w:r>
      <w:r w:rsidRPr="00EE4554">
        <w:rPr>
          <w:rFonts w:eastAsia="DengXian Light"/>
          <w:lang w:eastAsia="en-US"/>
        </w:rPr>
        <w:t>).</w:t>
      </w:r>
    </w:p>
    <w:p w14:paraId="0787C147" w14:textId="2EA7EA68" w:rsidR="003554B8" w:rsidRPr="00EE4554" w:rsidRDefault="003554B8" w:rsidP="003554B8">
      <w:pPr>
        <w:spacing w:line="240" w:lineRule="auto"/>
        <w:jc w:val="left"/>
        <w:rPr>
          <w:rFonts w:eastAsia="DengXian Light"/>
          <w:lang w:eastAsia="en-US"/>
        </w:rPr>
      </w:pPr>
      <w:r w:rsidRPr="00EE4554">
        <w:rPr>
          <w:rFonts w:eastAsia="DengXian Light"/>
          <w:lang w:eastAsia="en-US"/>
        </w:rPr>
        <w:t>Alzheimer’s Association (2017)</w:t>
      </w:r>
      <w:r>
        <w:rPr>
          <w:rFonts w:eastAsia="DengXian Light"/>
          <w:lang w:eastAsia="en-US"/>
        </w:rPr>
        <w:t>.</w:t>
      </w:r>
      <w:r w:rsidRPr="00EE4554">
        <w:rPr>
          <w:rFonts w:eastAsia="DengXian Light"/>
          <w:lang w:eastAsia="en-US"/>
        </w:rPr>
        <w:t xml:space="preserve"> Late-Stage Care: Providing care and comfort during the late stage of </w:t>
      </w:r>
      <w:proofErr w:type="gramStart"/>
      <w:r w:rsidRPr="00EE4554">
        <w:rPr>
          <w:rFonts w:eastAsia="DengXian Light"/>
          <w:lang w:eastAsia="en-US"/>
        </w:rPr>
        <w:t>Alzheimer’s Disease</w:t>
      </w:r>
      <w:proofErr w:type="gramEnd"/>
      <w:r>
        <w:rPr>
          <w:rFonts w:eastAsia="DengXian Light"/>
          <w:lang w:eastAsia="en-US"/>
        </w:rPr>
        <w:t>.</w:t>
      </w:r>
      <w:r w:rsidRPr="00EE4554">
        <w:rPr>
          <w:rFonts w:eastAsia="DengXian Light"/>
          <w:lang w:eastAsia="en-US"/>
        </w:rPr>
        <w:t xml:space="preserve"> Available at https://www.alz.org/national/documents/brochure_latestage.pdf (Accessed </w:t>
      </w:r>
      <w:r>
        <w:rPr>
          <w:rFonts w:eastAsia="DengXian Light"/>
          <w:lang w:eastAsia="en-US"/>
        </w:rPr>
        <w:t>07.05.21</w:t>
      </w:r>
      <w:r w:rsidRPr="00EE4554">
        <w:rPr>
          <w:rFonts w:eastAsia="DengXian Light"/>
          <w:lang w:eastAsia="en-US"/>
        </w:rPr>
        <w:t>).</w:t>
      </w:r>
    </w:p>
    <w:p w14:paraId="3349E533" w14:textId="44D5BA83" w:rsidR="003554B8" w:rsidRPr="00EE4554" w:rsidRDefault="003554B8" w:rsidP="003554B8">
      <w:pPr>
        <w:spacing w:line="240" w:lineRule="auto"/>
        <w:jc w:val="left"/>
        <w:rPr>
          <w:rFonts w:eastAsia="DengXian Light"/>
          <w:lang w:eastAsia="en-US"/>
        </w:rPr>
      </w:pPr>
      <w:proofErr w:type="spellStart"/>
      <w:r w:rsidRPr="00EE4554">
        <w:rPr>
          <w:rFonts w:eastAsia="DengXian Light"/>
          <w:lang w:eastAsia="en-US"/>
        </w:rPr>
        <w:t>Beesley</w:t>
      </w:r>
      <w:proofErr w:type="spellEnd"/>
      <w:r w:rsidRPr="00EE4554">
        <w:rPr>
          <w:rFonts w:eastAsia="DengXian Light"/>
          <w:lang w:eastAsia="en-US"/>
        </w:rPr>
        <w:t>, L. (2006)</w:t>
      </w:r>
      <w:r>
        <w:rPr>
          <w:rFonts w:eastAsia="DengXian Light"/>
          <w:lang w:eastAsia="en-US"/>
        </w:rPr>
        <w:t>.</w:t>
      </w:r>
      <w:r w:rsidRPr="00EE4554">
        <w:rPr>
          <w:rFonts w:eastAsia="DengXian Light"/>
          <w:lang w:eastAsia="en-US"/>
        </w:rPr>
        <w:t xml:space="preserve"> Informal Care in England. One of a series of appendices to Securing Good Care for Older People</w:t>
      </w:r>
      <w:r>
        <w:rPr>
          <w:rFonts w:eastAsia="DengXian Light"/>
          <w:lang w:eastAsia="en-US"/>
        </w:rPr>
        <w:t>.</w:t>
      </w:r>
      <w:r w:rsidRPr="00EE4554">
        <w:rPr>
          <w:rFonts w:eastAsia="DengXian Light"/>
          <w:lang w:eastAsia="en-US"/>
        </w:rPr>
        <w:t xml:space="preserve"> The Kings Fund. Available at https://www.kingsfund.org.uk/sites/default/files/informal-care-england-wanless-background-paper-lucinda-beesley2006.pdf (Accessed </w:t>
      </w:r>
      <w:r>
        <w:rPr>
          <w:rFonts w:eastAsia="DengXian Light"/>
          <w:lang w:eastAsia="en-US"/>
        </w:rPr>
        <w:t>07.05.21</w:t>
      </w:r>
      <w:r w:rsidRPr="00EE4554">
        <w:rPr>
          <w:rFonts w:eastAsia="DengXian Light"/>
          <w:lang w:eastAsia="en-US"/>
        </w:rPr>
        <w:t>).</w:t>
      </w:r>
    </w:p>
    <w:p w14:paraId="169FA56B" w14:textId="0198840D" w:rsidR="0075664E" w:rsidRPr="00EE4554" w:rsidRDefault="0075664E" w:rsidP="0075664E">
      <w:pPr>
        <w:spacing w:line="240" w:lineRule="auto"/>
        <w:jc w:val="left"/>
        <w:rPr>
          <w:rFonts w:eastAsia="DengXian Light"/>
          <w:lang w:eastAsia="en-US"/>
        </w:rPr>
      </w:pPr>
      <w:r w:rsidRPr="00EE4554">
        <w:rPr>
          <w:rFonts w:eastAsia="DengXian Light"/>
          <w:lang w:eastAsia="en-US"/>
        </w:rPr>
        <w:t xml:space="preserve">Bond, J., Stave, C., </w:t>
      </w:r>
      <w:proofErr w:type="spellStart"/>
      <w:r w:rsidRPr="00EE4554">
        <w:rPr>
          <w:rFonts w:eastAsia="DengXian Light"/>
          <w:lang w:eastAsia="en-US"/>
        </w:rPr>
        <w:t>Sganga</w:t>
      </w:r>
      <w:proofErr w:type="spellEnd"/>
      <w:r w:rsidRPr="00EE4554">
        <w:rPr>
          <w:rFonts w:eastAsia="DengXian Light"/>
          <w:lang w:eastAsia="en-US"/>
        </w:rPr>
        <w:t>, A., O’Connell, B. and Stanley, R. L. (2005)</w:t>
      </w:r>
      <w:r>
        <w:rPr>
          <w:rFonts w:eastAsia="DengXian Light"/>
          <w:lang w:eastAsia="en-US"/>
        </w:rPr>
        <w:t>.</w:t>
      </w:r>
      <w:r w:rsidRPr="00EE4554">
        <w:rPr>
          <w:rFonts w:eastAsia="DengXian Light"/>
          <w:lang w:eastAsia="en-US"/>
        </w:rPr>
        <w:t xml:space="preserve"> Inequalities in dementia care across Europe: key findings of the Facing Dementia Survey</w:t>
      </w:r>
      <w:r>
        <w:rPr>
          <w:rFonts w:eastAsia="DengXian Light"/>
          <w:lang w:eastAsia="en-US"/>
        </w:rPr>
        <w:t>.</w:t>
      </w:r>
      <w:r w:rsidRPr="00EE4554">
        <w:rPr>
          <w:rFonts w:eastAsia="DengXian Light"/>
          <w:lang w:eastAsia="en-US"/>
        </w:rPr>
        <w:t xml:space="preserve"> International Journal of Clinical Practice</w:t>
      </w:r>
      <w:r>
        <w:rPr>
          <w:rFonts w:eastAsia="DengXian Light"/>
          <w:lang w:eastAsia="en-US"/>
        </w:rPr>
        <w:t>,</w:t>
      </w:r>
      <w:r w:rsidRPr="00EE4554">
        <w:rPr>
          <w:rFonts w:eastAsia="DengXian Light"/>
          <w:lang w:eastAsia="en-US"/>
        </w:rPr>
        <w:t xml:space="preserve"> Supplement, no. 146, pp. 8–14.</w:t>
      </w:r>
    </w:p>
    <w:p w14:paraId="226D0EFF" w14:textId="065F7326" w:rsidR="0075664E" w:rsidRPr="00EE4554" w:rsidRDefault="0075664E" w:rsidP="0075664E">
      <w:pPr>
        <w:spacing w:line="240" w:lineRule="auto"/>
        <w:jc w:val="left"/>
        <w:rPr>
          <w:rFonts w:eastAsia="DengXian Light"/>
          <w:lang w:eastAsia="en-US"/>
        </w:rPr>
      </w:pPr>
      <w:r w:rsidRPr="00EE4554">
        <w:rPr>
          <w:rFonts w:eastAsia="DengXian Light"/>
          <w:lang w:eastAsia="en-US"/>
        </w:rPr>
        <w:t xml:space="preserve">Caro, J., Ward, A., </w:t>
      </w:r>
      <w:proofErr w:type="spellStart"/>
      <w:r w:rsidRPr="00EE4554">
        <w:rPr>
          <w:rFonts w:eastAsia="DengXian Light"/>
          <w:lang w:eastAsia="en-US"/>
        </w:rPr>
        <w:t>Ishak</w:t>
      </w:r>
      <w:proofErr w:type="spellEnd"/>
      <w:r w:rsidRPr="00EE4554">
        <w:rPr>
          <w:rFonts w:eastAsia="DengXian Light"/>
          <w:lang w:eastAsia="en-US"/>
        </w:rPr>
        <w:t xml:space="preserve">, K., </w:t>
      </w:r>
      <w:proofErr w:type="spellStart"/>
      <w:r w:rsidRPr="00EE4554">
        <w:rPr>
          <w:rFonts w:eastAsia="DengXian Light"/>
          <w:lang w:eastAsia="en-US"/>
        </w:rPr>
        <w:t>Migliaccio-Walle</w:t>
      </w:r>
      <w:proofErr w:type="spellEnd"/>
      <w:r w:rsidRPr="00EE4554">
        <w:rPr>
          <w:rFonts w:eastAsia="DengXian Light"/>
          <w:lang w:eastAsia="en-US"/>
        </w:rPr>
        <w:t xml:space="preserve">, K., </w:t>
      </w:r>
      <w:proofErr w:type="spellStart"/>
      <w:r w:rsidRPr="00EE4554">
        <w:rPr>
          <w:rFonts w:eastAsia="DengXian Light"/>
          <w:lang w:eastAsia="en-US"/>
        </w:rPr>
        <w:t>Getsios</w:t>
      </w:r>
      <w:proofErr w:type="spellEnd"/>
      <w:r w:rsidRPr="00EE4554">
        <w:rPr>
          <w:rFonts w:eastAsia="DengXian Light"/>
          <w:lang w:eastAsia="en-US"/>
        </w:rPr>
        <w:t xml:space="preserve">, D., Papadopoulos, G. and </w:t>
      </w:r>
      <w:proofErr w:type="spellStart"/>
      <w:r w:rsidRPr="00EE4554">
        <w:rPr>
          <w:rFonts w:eastAsia="DengXian Light"/>
          <w:lang w:eastAsia="en-US"/>
        </w:rPr>
        <w:t>Torfs</w:t>
      </w:r>
      <w:proofErr w:type="spellEnd"/>
      <w:r w:rsidRPr="00EE4554">
        <w:rPr>
          <w:rFonts w:eastAsia="DengXian Light"/>
          <w:lang w:eastAsia="en-US"/>
        </w:rPr>
        <w:t>, K. (2002)</w:t>
      </w:r>
      <w:r>
        <w:rPr>
          <w:rFonts w:eastAsia="DengXian Light"/>
          <w:lang w:eastAsia="en-US"/>
        </w:rPr>
        <w:t>.</w:t>
      </w:r>
      <w:r w:rsidRPr="00EE4554">
        <w:rPr>
          <w:rFonts w:eastAsia="DengXian Light"/>
          <w:lang w:eastAsia="en-US"/>
        </w:rPr>
        <w:t xml:space="preserve"> To what degree does cognitive impairment in Alzheimer’s disease predict dependence of patients on caregivers</w:t>
      </w:r>
      <w:proofErr w:type="gramStart"/>
      <w:r w:rsidRPr="00EE4554">
        <w:rPr>
          <w:rFonts w:eastAsia="DengXian Light"/>
          <w:lang w:eastAsia="en-US"/>
        </w:rPr>
        <w:t>?,</w:t>
      </w:r>
      <w:proofErr w:type="gramEnd"/>
      <w:r w:rsidRPr="00EE4554">
        <w:rPr>
          <w:rFonts w:eastAsia="DengXian Light"/>
          <w:lang w:eastAsia="en-US"/>
        </w:rPr>
        <w:t xml:space="preserve"> BMC Neurology, 2</w:t>
      </w:r>
      <w:r>
        <w:rPr>
          <w:rFonts w:eastAsia="DengXian Light"/>
          <w:lang w:eastAsia="en-US"/>
        </w:rPr>
        <w:t>(</w:t>
      </w:r>
      <w:r w:rsidRPr="00EE4554">
        <w:rPr>
          <w:rFonts w:eastAsia="DengXian Light"/>
          <w:lang w:eastAsia="en-US"/>
        </w:rPr>
        <w:t>6</w:t>
      </w:r>
      <w:r>
        <w:rPr>
          <w:rFonts w:eastAsia="DengXian Light"/>
          <w:lang w:eastAsia="en-US"/>
        </w:rPr>
        <w:t>):</w:t>
      </w:r>
      <w:r w:rsidRPr="00EE4554">
        <w:rPr>
          <w:rFonts w:eastAsia="DengXian Light"/>
          <w:lang w:eastAsia="en-US"/>
        </w:rPr>
        <w:t>1–7. DOI: 10.1186/1471-2377-2-6.</w:t>
      </w:r>
    </w:p>
    <w:p w14:paraId="344F4CA7" w14:textId="5905984C" w:rsidR="00D26E9C" w:rsidRDefault="00D26E9C" w:rsidP="00D26E9C">
      <w:pPr>
        <w:spacing w:line="240" w:lineRule="auto"/>
        <w:jc w:val="left"/>
        <w:rPr>
          <w:rFonts w:eastAsia="DengXian Light"/>
          <w:lang w:eastAsia="en-US"/>
        </w:rPr>
      </w:pPr>
      <w:r w:rsidRPr="00EE4554">
        <w:rPr>
          <w:rFonts w:eastAsia="DengXian Light"/>
          <w:lang w:eastAsia="en-US"/>
        </w:rPr>
        <w:t>Draper, B. (2013)</w:t>
      </w:r>
      <w:r>
        <w:rPr>
          <w:rFonts w:eastAsia="DengXian Light"/>
          <w:lang w:eastAsia="en-US"/>
        </w:rPr>
        <w:t>.</w:t>
      </w:r>
      <w:r w:rsidRPr="00EE4554">
        <w:rPr>
          <w:rFonts w:eastAsia="DengXian Light"/>
          <w:lang w:eastAsia="en-US"/>
        </w:rPr>
        <w:t xml:space="preserve"> </w:t>
      </w:r>
      <w:r w:rsidRPr="00D26E9C">
        <w:rPr>
          <w:rFonts w:eastAsia="DengXian Light"/>
          <w:i/>
          <w:iCs/>
          <w:lang w:eastAsia="en-US"/>
        </w:rPr>
        <w:t>Understanding Alzheimer’s Disease and Other Dementias</w:t>
      </w:r>
      <w:r w:rsidRPr="00EE4554">
        <w:rPr>
          <w:rFonts w:eastAsia="DengXian Light"/>
          <w:lang w:eastAsia="en-US"/>
        </w:rPr>
        <w:t xml:space="preserve">, Reprint </w:t>
      </w:r>
      <w:proofErr w:type="gramStart"/>
      <w:r w:rsidRPr="00EE4554">
        <w:rPr>
          <w:rFonts w:eastAsia="DengXian Light"/>
          <w:lang w:eastAsia="en-US"/>
        </w:rPr>
        <w:t>edition.,</w:t>
      </w:r>
      <w:proofErr w:type="gramEnd"/>
      <w:r w:rsidRPr="00EE4554">
        <w:rPr>
          <w:rFonts w:eastAsia="DengXian Light"/>
          <w:lang w:eastAsia="en-US"/>
        </w:rPr>
        <w:t xml:space="preserve"> Jessica Kingsley Publishers.</w:t>
      </w:r>
    </w:p>
    <w:p w14:paraId="797CDB1F" w14:textId="5D3C014C" w:rsidR="00D26E9C" w:rsidRPr="00EE4554" w:rsidRDefault="00D26E9C" w:rsidP="00D26E9C">
      <w:pPr>
        <w:spacing w:line="240" w:lineRule="auto"/>
        <w:jc w:val="left"/>
        <w:rPr>
          <w:rFonts w:eastAsia="DengXian Light"/>
          <w:lang w:eastAsia="en-US"/>
        </w:rPr>
      </w:pPr>
      <w:r w:rsidRPr="00EE4554">
        <w:rPr>
          <w:rFonts w:eastAsia="DengXian Light"/>
          <w:lang w:eastAsia="en-US"/>
        </w:rPr>
        <w:t>Henderson, C., Beecham, J. and Knapp, M. (2013)</w:t>
      </w:r>
      <w:r>
        <w:rPr>
          <w:rFonts w:eastAsia="DengXian Light"/>
          <w:lang w:eastAsia="en-US"/>
        </w:rPr>
        <w:t>.</w:t>
      </w:r>
      <w:r w:rsidRPr="00EE4554">
        <w:rPr>
          <w:rFonts w:eastAsia="DengXian Light"/>
          <w:lang w:eastAsia="en-US"/>
        </w:rPr>
        <w:t xml:space="preserve"> The costs of telecare and telehealth</w:t>
      </w:r>
      <w:r>
        <w:rPr>
          <w:rFonts w:eastAsia="DengXian Light"/>
          <w:lang w:eastAsia="en-US"/>
        </w:rPr>
        <w:t xml:space="preserve">. </w:t>
      </w:r>
      <w:r w:rsidRPr="00EE4554">
        <w:rPr>
          <w:rFonts w:eastAsia="DengXian Light"/>
          <w:lang w:eastAsia="en-US"/>
        </w:rPr>
        <w:t xml:space="preserve"> Unit Costs of Health and Social Care 2013</w:t>
      </w:r>
      <w:r>
        <w:rPr>
          <w:rFonts w:eastAsia="DengXian Light"/>
          <w:lang w:eastAsia="en-US"/>
        </w:rPr>
        <w:t>.</w:t>
      </w:r>
      <w:r w:rsidRPr="00EE4554">
        <w:rPr>
          <w:rFonts w:eastAsia="DengXian Light"/>
          <w:lang w:eastAsia="en-US"/>
        </w:rPr>
        <w:t xml:space="preserve"> Available at http://www.pssru.ac.uk/pdf/uc/uc2013/henderson-beecham-knapp.pdf (Accessed </w:t>
      </w:r>
      <w:r>
        <w:rPr>
          <w:rFonts w:eastAsia="DengXian Light"/>
          <w:lang w:eastAsia="en-US"/>
        </w:rPr>
        <w:t>07.05.21)</w:t>
      </w:r>
      <w:r w:rsidRPr="00EE4554">
        <w:rPr>
          <w:rFonts w:eastAsia="DengXian Light"/>
          <w:lang w:eastAsia="en-US"/>
        </w:rPr>
        <w:t>.</w:t>
      </w:r>
    </w:p>
    <w:p w14:paraId="3FC03401" w14:textId="00944C44" w:rsidR="005A140D" w:rsidRPr="00EE4554" w:rsidRDefault="005A140D" w:rsidP="005A140D">
      <w:pPr>
        <w:spacing w:line="240" w:lineRule="auto"/>
        <w:jc w:val="left"/>
        <w:rPr>
          <w:rFonts w:eastAsia="DengXian Light"/>
          <w:lang w:eastAsia="en-US"/>
        </w:rPr>
      </w:pPr>
      <w:proofErr w:type="spellStart"/>
      <w:r w:rsidRPr="00EE4554">
        <w:rPr>
          <w:rFonts w:eastAsia="DengXian Light"/>
          <w:lang w:eastAsia="en-US"/>
        </w:rPr>
        <w:t>Kahle-Wrobleski</w:t>
      </w:r>
      <w:proofErr w:type="spellEnd"/>
      <w:r w:rsidRPr="00EE4554">
        <w:rPr>
          <w:rFonts w:eastAsia="DengXian Light"/>
          <w:lang w:eastAsia="en-US"/>
        </w:rPr>
        <w:t xml:space="preserve">, K., Coley, N., </w:t>
      </w:r>
      <w:proofErr w:type="spellStart"/>
      <w:r w:rsidRPr="00EE4554">
        <w:rPr>
          <w:rFonts w:eastAsia="DengXian Light"/>
          <w:lang w:eastAsia="en-US"/>
        </w:rPr>
        <w:t>Lepage</w:t>
      </w:r>
      <w:proofErr w:type="spellEnd"/>
      <w:r w:rsidRPr="00EE4554">
        <w:rPr>
          <w:rFonts w:eastAsia="DengXian Light"/>
          <w:lang w:eastAsia="en-US"/>
        </w:rPr>
        <w:t xml:space="preserve">, B., </w:t>
      </w:r>
      <w:proofErr w:type="spellStart"/>
      <w:r w:rsidRPr="00EE4554">
        <w:rPr>
          <w:rFonts w:eastAsia="DengXian Light"/>
          <w:lang w:eastAsia="en-US"/>
        </w:rPr>
        <w:t>Cantet</w:t>
      </w:r>
      <w:proofErr w:type="spellEnd"/>
      <w:r w:rsidRPr="00EE4554">
        <w:rPr>
          <w:rFonts w:eastAsia="DengXian Light"/>
          <w:lang w:eastAsia="en-US"/>
        </w:rPr>
        <w:t xml:space="preserve">, C., </w:t>
      </w:r>
      <w:proofErr w:type="spellStart"/>
      <w:r w:rsidRPr="00EE4554">
        <w:rPr>
          <w:rFonts w:eastAsia="DengXian Light"/>
          <w:lang w:eastAsia="en-US"/>
        </w:rPr>
        <w:t>Vellas</w:t>
      </w:r>
      <w:proofErr w:type="spellEnd"/>
      <w:r w:rsidRPr="00EE4554">
        <w:rPr>
          <w:rFonts w:eastAsia="DengXian Light"/>
          <w:lang w:eastAsia="en-US"/>
        </w:rPr>
        <w:t xml:space="preserve">, B., </w:t>
      </w:r>
      <w:proofErr w:type="spellStart"/>
      <w:r w:rsidRPr="00EE4554">
        <w:rPr>
          <w:rFonts w:eastAsia="DengXian Light"/>
          <w:lang w:eastAsia="en-US"/>
        </w:rPr>
        <w:t>Andrieu</w:t>
      </w:r>
      <w:proofErr w:type="spellEnd"/>
      <w:r w:rsidRPr="00EE4554">
        <w:rPr>
          <w:rFonts w:eastAsia="DengXian Light"/>
          <w:lang w:eastAsia="en-US"/>
        </w:rPr>
        <w:t>, S. and Plasa DSA Group (2014)</w:t>
      </w:r>
      <w:r>
        <w:rPr>
          <w:rFonts w:eastAsia="DengXian Light"/>
          <w:lang w:eastAsia="en-US"/>
        </w:rPr>
        <w:t>.</w:t>
      </w:r>
      <w:r w:rsidRPr="00EE4554">
        <w:rPr>
          <w:rFonts w:eastAsia="DengXian Light"/>
          <w:lang w:eastAsia="en-US"/>
        </w:rPr>
        <w:t xml:space="preserve"> Understanding the complexities of functional ability in Alzheimer’s disease: more than just basic and instrumental factors</w:t>
      </w:r>
      <w:r>
        <w:rPr>
          <w:rFonts w:eastAsia="DengXian Light"/>
          <w:lang w:eastAsia="en-US"/>
        </w:rPr>
        <w:t xml:space="preserve">. </w:t>
      </w:r>
      <w:r w:rsidRPr="00EE4554">
        <w:rPr>
          <w:rFonts w:eastAsia="DengXian Light"/>
          <w:lang w:eastAsia="en-US"/>
        </w:rPr>
        <w:t xml:space="preserve"> Current Alzheimer Research, 11</w:t>
      </w:r>
      <w:r>
        <w:rPr>
          <w:rFonts w:eastAsia="DengXian Light"/>
          <w:lang w:eastAsia="en-US"/>
        </w:rPr>
        <w:t>(</w:t>
      </w:r>
      <w:r w:rsidRPr="00EE4554">
        <w:rPr>
          <w:rFonts w:eastAsia="DengXian Light"/>
          <w:lang w:eastAsia="en-US"/>
        </w:rPr>
        <w:t>4</w:t>
      </w:r>
      <w:r>
        <w:rPr>
          <w:rFonts w:eastAsia="DengXian Light"/>
          <w:lang w:eastAsia="en-US"/>
        </w:rPr>
        <w:t>)</w:t>
      </w:r>
      <w:r w:rsidRPr="00EE4554">
        <w:rPr>
          <w:rFonts w:eastAsia="DengXian Light"/>
          <w:lang w:eastAsia="en-US"/>
        </w:rPr>
        <w:t>,</w:t>
      </w:r>
      <w:r>
        <w:rPr>
          <w:rFonts w:eastAsia="DengXian Light"/>
          <w:lang w:eastAsia="en-US"/>
        </w:rPr>
        <w:t xml:space="preserve"> </w:t>
      </w:r>
      <w:r w:rsidRPr="00EE4554">
        <w:rPr>
          <w:rFonts w:eastAsia="DengXian Light"/>
          <w:lang w:eastAsia="en-US"/>
        </w:rPr>
        <w:t>357–366.</w:t>
      </w:r>
    </w:p>
    <w:p w14:paraId="622F7346" w14:textId="28E72D08" w:rsidR="005A140D" w:rsidRPr="00EE4554" w:rsidRDefault="005A140D" w:rsidP="005A140D">
      <w:pPr>
        <w:spacing w:line="240" w:lineRule="auto"/>
        <w:jc w:val="left"/>
        <w:rPr>
          <w:rFonts w:eastAsia="DengXian Light"/>
          <w:lang w:eastAsia="en-US"/>
        </w:rPr>
      </w:pPr>
      <w:r w:rsidRPr="00EE4554">
        <w:rPr>
          <w:rFonts w:eastAsia="DengXian Light"/>
          <w:lang w:eastAsia="en-US"/>
        </w:rPr>
        <w:t>Laing, W. (2017)</w:t>
      </w:r>
      <w:r>
        <w:rPr>
          <w:rFonts w:eastAsia="DengXian Light"/>
          <w:lang w:eastAsia="en-US"/>
        </w:rPr>
        <w:t>.</w:t>
      </w:r>
      <w:r w:rsidRPr="00EE4554">
        <w:rPr>
          <w:rFonts w:eastAsia="DengXian Light"/>
          <w:lang w:eastAsia="en-US"/>
        </w:rPr>
        <w:t xml:space="preserve"> Care of Older People, UK Market Report 2016/17, 28th Edition, </w:t>
      </w:r>
      <w:proofErr w:type="spellStart"/>
      <w:r w:rsidRPr="00EE4554">
        <w:rPr>
          <w:rFonts w:eastAsia="DengXian Light"/>
          <w:lang w:eastAsia="en-US"/>
        </w:rPr>
        <w:t>LaingBuisson</w:t>
      </w:r>
      <w:proofErr w:type="spellEnd"/>
      <w:r w:rsidRPr="00EE4554">
        <w:rPr>
          <w:rFonts w:eastAsia="DengXian Light"/>
          <w:lang w:eastAsia="en-US"/>
        </w:rPr>
        <w:t>.</w:t>
      </w:r>
    </w:p>
    <w:p w14:paraId="4D4351E7" w14:textId="772734EA" w:rsidR="00195B73" w:rsidRPr="00EE4554" w:rsidRDefault="00195B73" w:rsidP="00195B73">
      <w:pPr>
        <w:spacing w:line="240" w:lineRule="auto"/>
        <w:jc w:val="left"/>
        <w:rPr>
          <w:rFonts w:eastAsia="DengXian Light"/>
          <w:lang w:eastAsia="en-US"/>
        </w:rPr>
      </w:pPr>
      <w:r w:rsidRPr="00EE4554">
        <w:rPr>
          <w:rFonts w:eastAsia="DengXian Light"/>
          <w:lang w:eastAsia="en-US"/>
        </w:rPr>
        <w:t xml:space="preserve">Miranda-Castillo, C., Woods, B. and </w:t>
      </w:r>
      <w:proofErr w:type="spellStart"/>
      <w:r w:rsidRPr="00EE4554">
        <w:rPr>
          <w:rFonts w:eastAsia="DengXian Light"/>
          <w:lang w:eastAsia="en-US"/>
        </w:rPr>
        <w:t>Orrell</w:t>
      </w:r>
      <w:proofErr w:type="spellEnd"/>
      <w:r w:rsidRPr="00EE4554">
        <w:rPr>
          <w:rFonts w:eastAsia="DengXian Light"/>
          <w:lang w:eastAsia="en-US"/>
        </w:rPr>
        <w:t>, M. (2013)</w:t>
      </w:r>
      <w:r>
        <w:rPr>
          <w:rFonts w:eastAsia="DengXian Light"/>
          <w:lang w:eastAsia="en-US"/>
        </w:rPr>
        <w:t>.</w:t>
      </w:r>
      <w:r w:rsidRPr="00EE4554">
        <w:rPr>
          <w:rFonts w:eastAsia="DengXian Light"/>
          <w:lang w:eastAsia="en-US"/>
        </w:rPr>
        <w:t xml:space="preserve"> The needs of people with dementia living at home from user, caregiver and professional perspectives: a cross-</w:t>
      </w:r>
      <w:r w:rsidRPr="00EE4554">
        <w:rPr>
          <w:rFonts w:eastAsia="DengXian Light"/>
          <w:lang w:eastAsia="en-US"/>
        </w:rPr>
        <w:lastRenderedPageBreak/>
        <w:t>sectional survey</w:t>
      </w:r>
      <w:r>
        <w:rPr>
          <w:rFonts w:eastAsia="DengXian Light"/>
          <w:lang w:eastAsia="en-US"/>
        </w:rPr>
        <w:t xml:space="preserve">. </w:t>
      </w:r>
      <w:r w:rsidRPr="00EE4554">
        <w:rPr>
          <w:rFonts w:eastAsia="DengXian Light"/>
          <w:lang w:eastAsia="en-US"/>
        </w:rPr>
        <w:t xml:space="preserve"> BMC Health Services Research, 13</w:t>
      </w:r>
      <w:r>
        <w:rPr>
          <w:rFonts w:eastAsia="DengXian Light"/>
          <w:lang w:eastAsia="en-US"/>
        </w:rPr>
        <w:t>(</w:t>
      </w:r>
      <w:r w:rsidRPr="00EE4554">
        <w:rPr>
          <w:rFonts w:eastAsia="DengXian Light"/>
          <w:lang w:eastAsia="en-US"/>
        </w:rPr>
        <w:t>43</w:t>
      </w:r>
      <w:r>
        <w:rPr>
          <w:rFonts w:eastAsia="DengXian Light"/>
          <w:lang w:eastAsia="en-US"/>
        </w:rPr>
        <w:t>)</w:t>
      </w:r>
      <w:r w:rsidRPr="00EE4554">
        <w:rPr>
          <w:rFonts w:eastAsia="DengXian Light"/>
          <w:lang w:eastAsia="en-US"/>
        </w:rPr>
        <w:t>, 1–10. DOI: 10.1186/1472-6963-13-43.</w:t>
      </w:r>
    </w:p>
    <w:p w14:paraId="1122A450" w14:textId="58CB96FB" w:rsidR="00195B73" w:rsidRPr="00EE4554" w:rsidRDefault="00195B73" w:rsidP="00195B73">
      <w:pPr>
        <w:spacing w:line="240" w:lineRule="auto"/>
        <w:jc w:val="left"/>
        <w:rPr>
          <w:rFonts w:eastAsia="DengXian Light"/>
          <w:lang w:eastAsia="en-US"/>
        </w:rPr>
      </w:pPr>
      <w:r w:rsidRPr="00EE4554">
        <w:rPr>
          <w:rFonts w:eastAsia="DengXian Light"/>
          <w:lang w:eastAsia="en-US"/>
        </w:rPr>
        <w:t xml:space="preserve">Neumann, P. J., Araki, S. S., </w:t>
      </w:r>
      <w:proofErr w:type="spellStart"/>
      <w:r w:rsidRPr="00EE4554">
        <w:rPr>
          <w:rFonts w:eastAsia="DengXian Light"/>
          <w:lang w:eastAsia="en-US"/>
        </w:rPr>
        <w:t>Arcelus</w:t>
      </w:r>
      <w:proofErr w:type="spellEnd"/>
      <w:r w:rsidRPr="00EE4554">
        <w:rPr>
          <w:rFonts w:eastAsia="DengXian Light"/>
          <w:lang w:eastAsia="en-US"/>
        </w:rPr>
        <w:t xml:space="preserve">, A., Longo, A., Papadopoulos, G., </w:t>
      </w:r>
      <w:proofErr w:type="spellStart"/>
      <w:r w:rsidRPr="00EE4554">
        <w:rPr>
          <w:rFonts w:eastAsia="DengXian Light"/>
          <w:lang w:eastAsia="en-US"/>
        </w:rPr>
        <w:t>Kosik</w:t>
      </w:r>
      <w:proofErr w:type="spellEnd"/>
      <w:r w:rsidRPr="00EE4554">
        <w:rPr>
          <w:rFonts w:eastAsia="DengXian Light"/>
          <w:lang w:eastAsia="en-US"/>
        </w:rPr>
        <w:t xml:space="preserve">, K. S., Kuntz, K. M. and </w:t>
      </w:r>
      <w:proofErr w:type="spellStart"/>
      <w:r w:rsidRPr="00EE4554">
        <w:rPr>
          <w:rFonts w:eastAsia="DengXian Light"/>
          <w:lang w:eastAsia="en-US"/>
        </w:rPr>
        <w:t>Bhattacharjya</w:t>
      </w:r>
      <w:proofErr w:type="spellEnd"/>
      <w:r w:rsidRPr="00EE4554">
        <w:rPr>
          <w:rFonts w:eastAsia="DengXian Light"/>
          <w:lang w:eastAsia="en-US"/>
        </w:rPr>
        <w:t>, A. (2001)</w:t>
      </w:r>
      <w:r>
        <w:rPr>
          <w:rFonts w:eastAsia="DengXian Light"/>
          <w:lang w:eastAsia="en-US"/>
        </w:rPr>
        <w:t>.</w:t>
      </w:r>
      <w:r w:rsidRPr="00EE4554">
        <w:rPr>
          <w:rFonts w:eastAsia="DengXian Light"/>
          <w:lang w:eastAsia="en-US"/>
        </w:rPr>
        <w:t xml:space="preserve"> Measuring Alzheimer’s disease progression with transition probabilities: estimates from </w:t>
      </w:r>
      <w:proofErr w:type="gramStart"/>
      <w:r w:rsidRPr="00EE4554">
        <w:rPr>
          <w:rFonts w:eastAsia="DengXian Light"/>
          <w:lang w:eastAsia="en-US"/>
        </w:rPr>
        <w:t>CERAD.,</w:t>
      </w:r>
      <w:proofErr w:type="gramEnd"/>
      <w:r w:rsidRPr="00EE4554">
        <w:rPr>
          <w:rFonts w:eastAsia="DengXian Light"/>
          <w:lang w:eastAsia="en-US"/>
        </w:rPr>
        <w:t xml:space="preserve"> Neurology, 57</w:t>
      </w:r>
      <w:r>
        <w:rPr>
          <w:rFonts w:eastAsia="DengXian Light"/>
          <w:lang w:eastAsia="en-US"/>
        </w:rPr>
        <w:t>(</w:t>
      </w:r>
      <w:r w:rsidRPr="00EE4554">
        <w:rPr>
          <w:rFonts w:eastAsia="DengXian Light"/>
          <w:lang w:eastAsia="en-US"/>
        </w:rPr>
        <w:t>6</w:t>
      </w:r>
      <w:r>
        <w:rPr>
          <w:rFonts w:eastAsia="DengXian Light"/>
          <w:lang w:eastAsia="en-US"/>
        </w:rPr>
        <w:t>)</w:t>
      </w:r>
      <w:r w:rsidRPr="00EE4554">
        <w:rPr>
          <w:rFonts w:eastAsia="DengXian Light"/>
          <w:lang w:eastAsia="en-US"/>
        </w:rPr>
        <w:t>, 957–964. DOI: 10.1212/WNL.57.6.957.</w:t>
      </w:r>
    </w:p>
    <w:p w14:paraId="172426BD" w14:textId="59897C67" w:rsidR="00E90A4E" w:rsidRPr="00EE4554" w:rsidRDefault="00E90A4E" w:rsidP="00E90A4E">
      <w:pPr>
        <w:spacing w:line="240" w:lineRule="auto"/>
        <w:jc w:val="left"/>
        <w:rPr>
          <w:rFonts w:eastAsia="DengXian Light"/>
          <w:lang w:eastAsia="en-US"/>
        </w:rPr>
      </w:pPr>
      <w:r w:rsidRPr="00EE4554">
        <w:rPr>
          <w:rFonts w:eastAsia="DengXian Light"/>
          <w:lang w:eastAsia="en-US"/>
        </w:rPr>
        <w:t>ONS (2014)</w:t>
      </w:r>
      <w:r>
        <w:rPr>
          <w:rFonts w:eastAsia="DengXian Light"/>
          <w:lang w:eastAsia="en-US"/>
        </w:rPr>
        <w:t>.</w:t>
      </w:r>
      <w:r w:rsidRPr="00EE4554">
        <w:rPr>
          <w:rFonts w:eastAsia="DengXian Light"/>
          <w:lang w:eastAsia="en-US"/>
        </w:rPr>
        <w:t xml:space="preserve"> </w:t>
      </w:r>
      <w:proofErr w:type="spellStart"/>
      <w:r w:rsidRPr="00EE4554">
        <w:rPr>
          <w:rFonts w:eastAsia="DengXian Light"/>
          <w:lang w:eastAsia="en-US"/>
        </w:rPr>
        <w:t>Mid Year</w:t>
      </w:r>
      <w:proofErr w:type="spellEnd"/>
      <w:r w:rsidRPr="00EE4554">
        <w:rPr>
          <w:rFonts w:eastAsia="DengXian Light"/>
          <w:lang w:eastAsia="en-US"/>
        </w:rPr>
        <w:t xml:space="preserve"> Population Estimates for 2013</w:t>
      </w:r>
      <w:r>
        <w:rPr>
          <w:rFonts w:eastAsia="DengXian Light"/>
          <w:lang w:eastAsia="en-US"/>
        </w:rPr>
        <w:t>.</w:t>
      </w:r>
      <w:r w:rsidRPr="00EE4554">
        <w:rPr>
          <w:rFonts w:eastAsia="DengXian Light"/>
          <w:lang w:eastAsia="en-US"/>
        </w:rPr>
        <w:t xml:space="preserve"> Office for National Statistics. Available at http://www.ons.gov.uk/ons/rel/pop-estimate/population-estimates-for-uk--england-and-wales--scotland-and-northern-ireland/2013/sty-population-estimates.html (Accessed 29</w:t>
      </w:r>
      <w:r>
        <w:rPr>
          <w:rFonts w:eastAsia="DengXian Light"/>
          <w:lang w:eastAsia="en-US"/>
        </w:rPr>
        <w:t>.04.</w:t>
      </w:r>
      <w:r w:rsidRPr="00EE4554">
        <w:rPr>
          <w:rFonts w:eastAsia="DengXian Light"/>
          <w:lang w:eastAsia="en-US"/>
        </w:rPr>
        <w:t>14).</w:t>
      </w:r>
    </w:p>
    <w:p w14:paraId="1D7F2822" w14:textId="62AD6CC0" w:rsidR="00E90A4E" w:rsidRDefault="00E90A4E" w:rsidP="00E90A4E">
      <w:pPr>
        <w:spacing w:line="240" w:lineRule="auto"/>
        <w:jc w:val="left"/>
        <w:rPr>
          <w:rFonts w:eastAsia="DengXian Light"/>
          <w:lang w:eastAsia="en-US"/>
        </w:rPr>
      </w:pPr>
      <w:r w:rsidRPr="00EE4554">
        <w:rPr>
          <w:rFonts w:eastAsia="DengXian Light"/>
          <w:lang w:eastAsia="en-US"/>
        </w:rPr>
        <w:t>Quince, C. (2011) ‘Support. Stay. Save. Care and support of people with dementia in their own homes’, Alzheimer’s Society.</w:t>
      </w:r>
    </w:p>
    <w:p w14:paraId="3231DDFD" w14:textId="3FAC2BE4" w:rsidR="00E90A4E" w:rsidRPr="00EE4554" w:rsidRDefault="00E90A4E" w:rsidP="00E90A4E">
      <w:pPr>
        <w:spacing w:line="240" w:lineRule="auto"/>
        <w:jc w:val="left"/>
        <w:rPr>
          <w:rFonts w:eastAsia="DengXian Light"/>
          <w:lang w:eastAsia="en-US"/>
        </w:rPr>
      </w:pPr>
      <w:r w:rsidRPr="00EE4554">
        <w:rPr>
          <w:rFonts w:eastAsia="DengXian Light"/>
          <w:lang w:eastAsia="en-US"/>
        </w:rPr>
        <w:t xml:space="preserve">Scherer, R. K., </w:t>
      </w:r>
      <w:proofErr w:type="spellStart"/>
      <w:r w:rsidRPr="00EE4554">
        <w:rPr>
          <w:rFonts w:eastAsia="DengXian Light"/>
          <w:lang w:eastAsia="en-US"/>
        </w:rPr>
        <w:t>Scarmeas</w:t>
      </w:r>
      <w:proofErr w:type="spellEnd"/>
      <w:r w:rsidRPr="00EE4554">
        <w:rPr>
          <w:rFonts w:eastAsia="DengXian Light"/>
          <w:lang w:eastAsia="en-US"/>
        </w:rPr>
        <w:t>, N., Brandt, J., Blacker, D., Albert, M. S. and Stern, Y. (2008)</w:t>
      </w:r>
      <w:r>
        <w:rPr>
          <w:rFonts w:eastAsia="DengXian Light"/>
          <w:lang w:eastAsia="en-US"/>
        </w:rPr>
        <w:t>.</w:t>
      </w:r>
      <w:r w:rsidRPr="00EE4554">
        <w:rPr>
          <w:rFonts w:eastAsia="DengXian Light"/>
          <w:lang w:eastAsia="en-US"/>
        </w:rPr>
        <w:t xml:space="preserve"> The relation of patient dependence to home health aide use in Alzheimer’s Disease’, The Journals of Gerontology: Series A, 63</w:t>
      </w:r>
      <w:r>
        <w:rPr>
          <w:rFonts w:eastAsia="DengXian Light"/>
          <w:lang w:eastAsia="en-US"/>
        </w:rPr>
        <w:t>(</w:t>
      </w:r>
      <w:r w:rsidRPr="00EE4554">
        <w:rPr>
          <w:rFonts w:eastAsia="DengXian Light"/>
          <w:lang w:eastAsia="en-US"/>
        </w:rPr>
        <w:t>9</w:t>
      </w:r>
      <w:r>
        <w:rPr>
          <w:rFonts w:eastAsia="DengXian Light"/>
          <w:lang w:eastAsia="en-US"/>
        </w:rPr>
        <w:t>)</w:t>
      </w:r>
      <w:r w:rsidRPr="00EE4554">
        <w:rPr>
          <w:rFonts w:eastAsia="DengXian Light"/>
          <w:lang w:eastAsia="en-US"/>
        </w:rPr>
        <w:t xml:space="preserve">, </w:t>
      </w:r>
      <w:r>
        <w:rPr>
          <w:rFonts w:eastAsia="DengXian Light"/>
          <w:lang w:eastAsia="en-US"/>
        </w:rPr>
        <w:t>1</w:t>
      </w:r>
      <w:r w:rsidRPr="00EE4554">
        <w:rPr>
          <w:rFonts w:eastAsia="DengXian Light"/>
          <w:lang w:eastAsia="en-US"/>
        </w:rPr>
        <w:t>005–1009. DOI: 10.1093/</w:t>
      </w:r>
      <w:proofErr w:type="spellStart"/>
      <w:r w:rsidRPr="00EE4554">
        <w:rPr>
          <w:rFonts w:eastAsia="DengXian Light"/>
          <w:lang w:eastAsia="en-US"/>
        </w:rPr>
        <w:t>gerona</w:t>
      </w:r>
      <w:proofErr w:type="spellEnd"/>
      <w:r w:rsidRPr="00EE4554">
        <w:rPr>
          <w:rFonts w:eastAsia="DengXian Light"/>
          <w:lang w:eastAsia="en-US"/>
        </w:rPr>
        <w:t>/63.9.1005.</w:t>
      </w:r>
    </w:p>
    <w:p w14:paraId="14E3037A" w14:textId="0EB55A27" w:rsidR="00551899" w:rsidRPr="00EE4554" w:rsidRDefault="00551899" w:rsidP="00551899">
      <w:pPr>
        <w:spacing w:line="240" w:lineRule="auto"/>
        <w:jc w:val="left"/>
        <w:rPr>
          <w:rFonts w:eastAsia="DengXian Light"/>
          <w:lang w:eastAsia="en-US"/>
        </w:rPr>
      </w:pPr>
      <w:r w:rsidRPr="00EE4554">
        <w:rPr>
          <w:rFonts w:eastAsia="DengXian Light"/>
          <w:lang w:eastAsia="en-US"/>
        </w:rPr>
        <w:t xml:space="preserve">Tremont, G., Davis, J. D., Bishop, D. S. and </w:t>
      </w:r>
      <w:proofErr w:type="spellStart"/>
      <w:r w:rsidRPr="00EE4554">
        <w:rPr>
          <w:rFonts w:eastAsia="DengXian Light"/>
          <w:lang w:eastAsia="en-US"/>
        </w:rPr>
        <w:t>Fortinsky</w:t>
      </w:r>
      <w:proofErr w:type="spellEnd"/>
      <w:r w:rsidRPr="00EE4554">
        <w:rPr>
          <w:rFonts w:eastAsia="DengXian Light"/>
          <w:lang w:eastAsia="en-US"/>
        </w:rPr>
        <w:t>, R. H. (2008)</w:t>
      </w:r>
      <w:r>
        <w:rPr>
          <w:rFonts w:eastAsia="DengXian Light"/>
          <w:lang w:eastAsia="en-US"/>
        </w:rPr>
        <w:t>.</w:t>
      </w:r>
      <w:r w:rsidRPr="00EE4554">
        <w:rPr>
          <w:rFonts w:eastAsia="DengXian Light"/>
          <w:lang w:eastAsia="en-US"/>
        </w:rPr>
        <w:t xml:space="preserve"> Telephone-delivered psychosocial intervention reduces burden in dementia caregivers</w:t>
      </w:r>
      <w:r>
        <w:rPr>
          <w:rFonts w:eastAsia="DengXian Light"/>
          <w:lang w:eastAsia="en-US"/>
        </w:rPr>
        <w:t>.</w:t>
      </w:r>
      <w:r w:rsidRPr="00EE4554">
        <w:rPr>
          <w:rFonts w:eastAsia="DengXian Light"/>
          <w:lang w:eastAsia="en-US"/>
        </w:rPr>
        <w:t xml:space="preserve"> Dementia, 7</w:t>
      </w:r>
      <w:r>
        <w:rPr>
          <w:rFonts w:eastAsia="DengXian Light"/>
          <w:lang w:eastAsia="en-US"/>
        </w:rPr>
        <w:t>(</w:t>
      </w:r>
      <w:r w:rsidRPr="00EE4554">
        <w:rPr>
          <w:rFonts w:eastAsia="DengXian Light"/>
          <w:lang w:eastAsia="en-US"/>
        </w:rPr>
        <w:t>4</w:t>
      </w:r>
      <w:r>
        <w:rPr>
          <w:rFonts w:eastAsia="DengXian Light"/>
          <w:lang w:eastAsia="en-US"/>
        </w:rPr>
        <w:t>)</w:t>
      </w:r>
      <w:r w:rsidRPr="00EE4554">
        <w:rPr>
          <w:rFonts w:eastAsia="DengXian Light"/>
          <w:lang w:eastAsia="en-US"/>
        </w:rPr>
        <w:t>, 503–520. DOI: 10.1177/1471301208096632.</w:t>
      </w:r>
    </w:p>
    <w:p w14:paraId="46B06E1B" w14:textId="77777777" w:rsidR="00D26E9C" w:rsidRPr="00EE4554" w:rsidRDefault="00D26E9C" w:rsidP="00D26E9C">
      <w:pPr>
        <w:spacing w:line="240" w:lineRule="auto"/>
        <w:jc w:val="left"/>
        <w:rPr>
          <w:rFonts w:eastAsia="DengXian Light"/>
          <w:lang w:eastAsia="en-US"/>
        </w:rPr>
      </w:pPr>
    </w:p>
    <w:p w14:paraId="396D21DE" w14:textId="6A439331" w:rsidR="009317D9" w:rsidRPr="00BC1A14" w:rsidRDefault="009317D9" w:rsidP="000A67E3">
      <w:pPr>
        <w:pStyle w:val="Heading2"/>
        <w:rPr>
          <w:lang w:eastAsia="en-US"/>
        </w:rPr>
      </w:pPr>
      <w:r w:rsidRPr="00BC1A14">
        <w:rPr>
          <w:lang w:eastAsia="en-US"/>
        </w:rPr>
        <w:t>Appendix 2: Assumptions</w:t>
      </w:r>
    </w:p>
    <w:p w14:paraId="2AB91CD6" w14:textId="77777777" w:rsidR="009317D9" w:rsidRPr="00BC1A14" w:rsidRDefault="009317D9" w:rsidP="000A67E3">
      <w:pPr>
        <w:pStyle w:val="Paragraph"/>
        <w:rPr>
          <w:lang w:eastAsia="en-US"/>
        </w:rPr>
      </w:pPr>
      <w:r w:rsidRPr="00BC1A14">
        <w:rPr>
          <w:lang w:eastAsia="en-US"/>
        </w:rPr>
        <w:t xml:space="preserve">The following points provide a summary of the main assumptions used in the </w:t>
      </w:r>
      <w:proofErr w:type="spellStart"/>
      <w:r w:rsidRPr="00BC1A14">
        <w:rPr>
          <w:lang w:eastAsia="en-US"/>
        </w:rPr>
        <w:t>TeleDem</w:t>
      </w:r>
      <w:proofErr w:type="spellEnd"/>
      <w:r w:rsidRPr="00BC1A14">
        <w:rPr>
          <w:lang w:eastAsia="en-US"/>
        </w:rPr>
        <w:t xml:space="preserve"> Simulation:</w:t>
      </w:r>
    </w:p>
    <w:p w14:paraId="1A9419C2" w14:textId="77777777" w:rsidR="009317D9" w:rsidRPr="00BC1A14" w:rsidRDefault="009317D9" w:rsidP="00A0056E">
      <w:pPr>
        <w:pStyle w:val="Newparagraph"/>
        <w:numPr>
          <w:ilvl w:val="0"/>
          <w:numId w:val="37"/>
        </w:numPr>
        <w:rPr>
          <w:lang w:eastAsia="en-US"/>
        </w:rPr>
      </w:pPr>
      <w:r w:rsidRPr="00BC1A14">
        <w:rPr>
          <w:lang w:eastAsia="en-US"/>
        </w:rPr>
        <w:t xml:space="preserve">Residential care home spaces, nursing home beds, community care packages, and available telecare resources are assumed </w:t>
      </w:r>
      <w:proofErr w:type="gramStart"/>
      <w:r w:rsidRPr="00BC1A14">
        <w:rPr>
          <w:lang w:eastAsia="en-US"/>
        </w:rPr>
        <w:t>to be unlimited</w:t>
      </w:r>
      <w:proofErr w:type="gramEnd"/>
      <w:r w:rsidRPr="00BC1A14">
        <w:rPr>
          <w:lang w:eastAsia="en-US"/>
        </w:rPr>
        <w:t>.</w:t>
      </w:r>
    </w:p>
    <w:p w14:paraId="3EACDD0D" w14:textId="77777777" w:rsidR="009317D9" w:rsidRPr="00BC1A14" w:rsidRDefault="009317D9" w:rsidP="00A0056E">
      <w:pPr>
        <w:pStyle w:val="Newparagraph"/>
        <w:numPr>
          <w:ilvl w:val="0"/>
          <w:numId w:val="37"/>
        </w:numPr>
        <w:rPr>
          <w:lang w:eastAsia="en-US"/>
        </w:rPr>
      </w:pPr>
      <w:r w:rsidRPr="00BC1A14">
        <w:rPr>
          <w:lang w:eastAsia="en-US"/>
        </w:rPr>
        <w:t>The arrival rate into the model remains the same each year.</w:t>
      </w:r>
    </w:p>
    <w:p w14:paraId="08A910B2" w14:textId="77777777" w:rsidR="009317D9" w:rsidRPr="00BC1A14" w:rsidRDefault="009317D9" w:rsidP="00A0056E">
      <w:pPr>
        <w:pStyle w:val="Newparagraph"/>
        <w:numPr>
          <w:ilvl w:val="0"/>
          <w:numId w:val="37"/>
        </w:numPr>
        <w:rPr>
          <w:lang w:eastAsia="en-US"/>
        </w:rPr>
      </w:pPr>
      <w:r w:rsidRPr="00BC1A14">
        <w:rPr>
          <w:lang w:eastAsia="en-US"/>
        </w:rPr>
        <w:t xml:space="preserve">The input data </w:t>
      </w:r>
      <w:proofErr w:type="gramStart"/>
      <w:r w:rsidRPr="00BC1A14">
        <w:rPr>
          <w:lang w:eastAsia="en-US"/>
        </w:rPr>
        <w:t>is derived</w:t>
      </w:r>
      <w:proofErr w:type="gramEnd"/>
      <w:r w:rsidRPr="00BC1A14">
        <w:rPr>
          <w:lang w:eastAsia="en-US"/>
        </w:rPr>
        <w:t xml:space="preserve"> from populations of people with AD, vascular dementia or a combination of the two. Further research would be beneficial to explore how the inputs (e.g. rates of progression, mortality </w:t>
      </w:r>
      <w:proofErr w:type="spellStart"/>
      <w:r w:rsidRPr="00BC1A14">
        <w:rPr>
          <w:lang w:eastAsia="en-US"/>
        </w:rPr>
        <w:t>etc</w:t>
      </w:r>
      <w:proofErr w:type="spellEnd"/>
      <w:r w:rsidRPr="00BC1A14">
        <w:rPr>
          <w:lang w:eastAsia="en-US"/>
        </w:rPr>
        <w:t>) would vary for other forms of dementia.</w:t>
      </w:r>
    </w:p>
    <w:p w14:paraId="58F22F64" w14:textId="77777777" w:rsidR="009317D9" w:rsidRPr="00BC1A14" w:rsidRDefault="009317D9" w:rsidP="00A0056E">
      <w:pPr>
        <w:pStyle w:val="Newparagraph"/>
        <w:numPr>
          <w:ilvl w:val="0"/>
          <w:numId w:val="37"/>
        </w:numPr>
        <w:rPr>
          <w:lang w:eastAsia="en-US"/>
        </w:rPr>
      </w:pPr>
      <w:r w:rsidRPr="00BC1A14">
        <w:rPr>
          <w:lang w:eastAsia="en-US"/>
        </w:rPr>
        <w:t xml:space="preserve">Individuals who have the same dependency levels and informal care provision </w:t>
      </w:r>
      <w:proofErr w:type="gramStart"/>
      <w:r w:rsidRPr="00BC1A14">
        <w:rPr>
          <w:lang w:eastAsia="en-US"/>
        </w:rPr>
        <w:t>are assumed</w:t>
      </w:r>
      <w:proofErr w:type="gramEnd"/>
      <w:r w:rsidRPr="00BC1A14">
        <w:rPr>
          <w:lang w:eastAsia="en-US"/>
        </w:rPr>
        <w:t xml:space="preserve"> to have similar needs and therefore utilise the same types of care service.</w:t>
      </w:r>
    </w:p>
    <w:p w14:paraId="5E10E80B" w14:textId="77777777" w:rsidR="009317D9" w:rsidRPr="00BC1A14" w:rsidRDefault="009317D9" w:rsidP="00A0056E">
      <w:pPr>
        <w:pStyle w:val="Newparagraph"/>
        <w:numPr>
          <w:ilvl w:val="0"/>
          <w:numId w:val="37"/>
        </w:numPr>
        <w:rPr>
          <w:lang w:eastAsia="en-US"/>
        </w:rPr>
      </w:pPr>
      <w:r w:rsidRPr="00BC1A14">
        <w:rPr>
          <w:lang w:eastAsia="en-US"/>
        </w:rPr>
        <w:t xml:space="preserve">Once a person with dementia has entered a form of institutional </w:t>
      </w:r>
      <w:proofErr w:type="gramStart"/>
      <w:r w:rsidRPr="00BC1A14">
        <w:rPr>
          <w:lang w:eastAsia="en-US"/>
        </w:rPr>
        <w:t>care</w:t>
      </w:r>
      <w:proofErr w:type="gramEnd"/>
      <w:r w:rsidRPr="00BC1A14">
        <w:rPr>
          <w:lang w:eastAsia="en-US"/>
        </w:rPr>
        <w:t xml:space="preserve"> they do not return to community living. This assumption is consistent with Neumann et al. (2001) and CERAD standard practice.</w:t>
      </w:r>
    </w:p>
    <w:p w14:paraId="49A2CA3C" w14:textId="77777777" w:rsidR="009317D9" w:rsidRPr="00BC1A14" w:rsidRDefault="009317D9" w:rsidP="00A0056E">
      <w:pPr>
        <w:pStyle w:val="Newparagraph"/>
        <w:numPr>
          <w:ilvl w:val="0"/>
          <w:numId w:val="37"/>
        </w:numPr>
        <w:rPr>
          <w:lang w:eastAsia="en-US"/>
        </w:rPr>
      </w:pPr>
      <w:r w:rsidRPr="00BC1A14">
        <w:rPr>
          <w:lang w:eastAsia="en-US"/>
        </w:rPr>
        <w:lastRenderedPageBreak/>
        <w:t>The model only considers the use of telecare by people living in the community; it does not consider the potential use of telecare within ‘institutional’ settings.</w:t>
      </w:r>
    </w:p>
    <w:p w14:paraId="05352A48" w14:textId="77777777" w:rsidR="009317D9" w:rsidRPr="00BC1A14" w:rsidRDefault="009317D9" w:rsidP="00A0056E">
      <w:pPr>
        <w:pStyle w:val="Newparagraph"/>
        <w:numPr>
          <w:ilvl w:val="0"/>
          <w:numId w:val="37"/>
        </w:numPr>
        <w:rPr>
          <w:lang w:eastAsia="en-US"/>
        </w:rPr>
      </w:pPr>
      <w:r w:rsidRPr="00BC1A14">
        <w:rPr>
          <w:lang w:eastAsia="en-US"/>
        </w:rPr>
        <w:t xml:space="preserve">People in the model </w:t>
      </w:r>
      <w:proofErr w:type="gramStart"/>
      <w:r w:rsidRPr="00BC1A14">
        <w:rPr>
          <w:lang w:eastAsia="en-US"/>
        </w:rPr>
        <w:t>are assumed</w:t>
      </w:r>
      <w:proofErr w:type="gramEnd"/>
      <w:r w:rsidRPr="00BC1A14">
        <w:rPr>
          <w:lang w:eastAsia="en-US"/>
        </w:rPr>
        <w:t xml:space="preserve"> to be living in their own home or the home of a family member. Assisted living settings (e.g. sheltered housing, retirement villages, or close care schemes) are not included as they are </w:t>
      </w:r>
      <w:proofErr w:type="gramStart"/>
      <w:r w:rsidRPr="00BC1A14">
        <w:rPr>
          <w:lang w:eastAsia="en-US"/>
        </w:rPr>
        <w:t>not as widely available</w:t>
      </w:r>
      <w:proofErr w:type="gramEnd"/>
      <w:r w:rsidRPr="00BC1A14">
        <w:rPr>
          <w:lang w:eastAsia="en-US"/>
        </w:rPr>
        <w:t>.</w:t>
      </w:r>
    </w:p>
    <w:p w14:paraId="63A3AE66" w14:textId="77777777" w:rsidR="009317D9" w:rsidRPr="00BC1A14" w:rsidRDefault="009317D9" w:rsidP="00A0056E">
      <w:pPr>
        <w:pStyle w:val="Newparagraph"/>
        <w:numPr>
          <w:ilvl w:val="0"/>
          <w:numId w:val="37"/>
        </w:numPr>
        <w:rPr>
          <w:lang w:eastAsia="en-US"/>
        </w:rPr>
      </w:pPr>
      <w:r w:rsidRPr="00BC1A14">
        <w:rPr>
          <w:lang w:eastAsia="en-US"/>
        </w:rPr>
        <w:t>The model works on the assumption that an excellent quality, holistic assessment of the person is carried out prior to installation of the telecare, and therefore that the equipment will only be installed where it is appropriate for the individual. Therefore, the model does not account for people who reject the equipment after installation.</w:t>
      </w:r>
    </w:p>
    <w:p w14:paraId="19665945" w14:textId="77777777" w:rsidR="009317D9" w:rsidRPr="00BC1A14" w:rsidRDefault="009317D9" w:rsidP="00A0056E">
      <w:pPr>
        <w:pStyle w:val="Newparagraph"/>
        <w:numPr>
          <w:ilvl w:val="0"/>
          <w:numId w:val="37"/>
        </w:numPr>
        <w:rPr>
          <w:lang w:eastAsia="en-US"/>
        </w:rPr>
      </w:pPr>
      <w:r w:rsidRPr="00BC1A14">
        <w:rPr>
          <w:lang w:eastAsia="en-US"/>
        </w:rPr>
        <w:t>The model assumes there is a response service available to respond to telecare alerts, therefore enabling people in the initial stages of dementia without any informal care to receive telecare support.</w:t>
      </w:r>
    </w:p>
    <w:p w14:paraId="067B7A38" w14:textId="77777777" w:rsidR="009317D9" w:rsidRPr="00BC1A14" w:rsidRDefault="009317D9" w:rsidP="00A0056E">
      <w:pPr>
        <w:pStyle w:val="Newparagraph"/>
        <w:numPr>
          <w:ilvl w:val="0"/>
          <w:numId w:val="37"/>
        </w:numPr>
        <w:rPr>
          <w:lang w:eastAsia="en-US"/>
        </w:rPr>
      </w:pPr>
      <w:r w:rsidRPr="00BC1A14">
        <w:rPr>
          <w:lang w:eastAsia="en-US"/>
        </w:rPr>
        <w:t>The model assumes that as people’s care needs increase they will require telecare of increasing complexity to meet their additional needs.</w:t>
      </w:r>
    </w:p>
    <w:p w14:paraId="4A0C7B21" w14:textId="77777777" w:rsidR="009317D9" w:rsidRPr="00BC1A14" w:rsidRDefault="009317D9" w:rsidP="00A0056E">
      <w:pPr>
        <w:pStyle w:val="Newparagraph"/>
        <w:numPr>
          <w:ilvl w:val="0"/>
          <w:numId w:val="37"/>
        </w:numPr>
        <w:rPr>
          <w:lang w:eastAsia="en-US"/>
        </w:rPr>
      </w:pPr>
      <w:r w:rsidRPr="00BC1A14">
        <w:rPr>
          <w:lang w:eastAsia="en-US"/>
        </w:rPr>
        <w:t xml:space="preserve">It is assumed that telecare can benefit informal carers by reducing their carer burden (reflected in the </w:t>
      </w:r>
      <w:proofErr w:type="spellStart"/>
      <w:r w:rsidRPr="00BC1A14">
        <w:rPr>
          <w:lang w:eastAsia="en-US"/>
        </w:rPr>
        <w:t>TeleDem</w:t>
      </w:r>
      <w:proofErr w:type="spellEnd"/>
      <w:r w:rsidRPr="00BC1A14">
        <w:rPr>
          <w:lang w:eastAsia="en-US"/>
        </w:rPr>
        <w:t xml:space="preserve"> Simulation as a reduction in the </w:t>
      </w:r>
      <w:proofErr w:type="gramStart"/>
      <w:r w:rsidRPr="00BC1A14">
        <w:rPr>
          <w:lang w:eastAsia="en-US"/>
        </w:rPr>
        <w:t>person’s</w:t>
      </w:r>
      <w:proofErr w:type="gramEnd"/>
      <w:r w:rsidRPr="00BC1A14">
        <w:rPr>
          <w:lang w:eastAsia="en-US"/>
        </w:rPr>
        <w:t xml:space="preserve"> associated ZBI score). Once the ZBI ‘reduction factor’ is applied and the carer’s burden </w:t>
      </w:r>
      <w:proofErr w:type="gramStart"/>
      <w:r w:rsidRPr="00BC1A14">
        <w:rPr>
          <w:lang w:eastAsia="en-US"/>
        </w:rPr>
        <w:t>has been recalculated</w:t>
      </w:r>
      <w:proofErr w:type="gramEnd"/>
      <w:r w:rsidRPr="00BC1A14">
        <w:rPr>
          <w:lang w:eastAsia="en-US"/>
        </w:rPr>
        <w:t xml:space="preserve"> to give an ‘adjusted ZBI score’, the impact is assumed to remain constant throughout the time the person is receiving the telecare-based service.  </w:t>
      </w:r>
    </w:p>
    <w:p w14:paraId="5BDC7116" w14:textId="77777777" w:rsidR="009317D9" w:rsidRPr="00BC1A14" w:rsidRDefault="009317D9" w:rsidP="00A0056E">
      <w:pPr>
        <w:pStyle w:val="Newparagraph"/>
        <w:numPr>
          <w:ilvl w:val="0"/>
          <w:numId w:val="37"/>
        </w:numPr>
        <w:rPr>
          <w:lang w:eastAsia="en-US"/>
        </w:rPr>
      </w:pPr>
      <w:r w:rsidRPr="00BC1A14">
        <w:rPr>
          <w:lang w:eastAsia="en-US"/>
        </w:rPr>
        <w:t>Any benefit experienced due to reduced carer burden while using telecare will be lost or recalculated on referral to a new care service.</w:t>
      </w:r>
    </w:p>
    <w:p w14:paraId="32EB3980" w14:textId="77777777" w:rsidR="009317D9" w:rsidRPr="00BC1A14" w:rsidRDefault="009317D9" w:rsidP="00A0056E">
      <w:pPr>
        <w:pStyle w:val="Newparagraph"/>
        <w:numPr>
          <w:ilvl w:val="0"/>
          <w:numId w:val="37"/>
        </w:numPr>
        <w:rPr>
          <w:lang w:eastAsia="en-US"/>
        </w:rPr>
      </w:pPr>
      <w:r w:rsidRPr="00BC1A14">
        <w:rPr>
          <w:lang w:eastAsia="en-US"/>
        </w:rPr>
        <w:t xml:space="preserve">It is assumed that at the upper dependency level of severe dementia, telecare can no longer reduce carer burden, as the person’s medical care needs at this stage will become the primary focus, and the strain of end of life care is assumed </w:t>
      </w:r>
      <w:proofErr w:type="gramStart"/>
      <w:r w:rsidRPr="00BC1A14">
        <w:rPr>
          <w:lang w:eastAsia="en-US"/>
        </w:rPr>
        <w:t>to be greater</w:t>
      </w:r>
      <w:proofErr w:type="gramEnd"/>
      <w:r w:rsidRPr="00BC1A14">
        <w:rPr>
          <w:lang w:eastAsia="en-US"/>
        </w:rPr>
        <w:t>.</w:t>
      </w:r>
    </w:p>
    <w:p w14:paraId="0509BB8B" w14:textId="77777777" w:rsidR="009317D9" w:rsidRPr="00BC1A14" w:rsidRDefault="009317D9" w:rsidP="00A0056E">
      <w:pPr>
        <w:pStyle w:val="Newparagraph"/>
        <w:numPr>
          <w:ilvl w:val="0"/>
          <w:numId w:val="37"/>
        </w:numPr>
        <w:rPr>
          <w:lang w:eastAsia="en-US"/>
        </w:rPr>
      </w:pPr>
      <w:r w:rsidRPr="00BC1A14">
        <w:rPr>
          <w:lang w:eastAsia="en-US"/>
        </w:rPr>
        <w:t xml:space="preserve">Informal carer health status and mortality are not taken into consideration; the model assumes that aside from carer burden, there are no other limiting factors that could </w:t>
      </w:r>
      <w:proofErr w:type="gramStart"/>
      <w:r w:rsidRPr="00BC1A14">
        <w:rPr>
          <w:lang w:eastAsia="en-US"/>
        </w:rPr>
        <w:t>impact</w:t>
      </w:r>
      <w:proofErr w:type="gramEnd"/>
      <w:r w:rsidRPr="00BC1A14">
        <w:rPr>
          <w:lang w:eastAsia="en-US"/>
        </w:rPr>
        <w:t xml:space="preserve"> the provision of informal care.</w:t>
      </w:r>
    </w:p>
    <w:p w14:paraId="616C8761" w14:textId="77777777" w:rsidR="009317D9" w:rsidRPr="00BC1A14" w:rsidRDefault="009317D9" w:rsidP="00A0056E">
      <w:pPr>
        <w:pStyle w:val="Newparagraph"/>
        <w:numPr>
          <w:ilvl w:val="0"/>
          <w:numId w:val="37"/>
        </w:numPr>
        <w:rPr>
          <w:lang w:eastAsia="en-US"/>
        </w:rPr>
      </w:pPr>
      <w:r w:rsidRPr="00BC1A14">
        <w:rPr>
          <w:lang w:eastAsia="en-US"/>
        </w:rPr>
        <w:t xml:space="preserve">Dementia is assumed </w:t>
      </w:r>
      <w:proofErr w:type="gramStart"/>
      <w:r w:rsidRPr="00BC1A14">
        <w:rPr>
          <w:lang w:eastAsia="en-US"/>
        </w:rPr>
        <w:t>to be the</w:t>
      </w:r>
      <w:proofErr w:type="gramEnd"/>
      <w:r w:rsidRPr="00BC1A14">
        <w:rPr>
          <w:lang w:eastAsia="en-US"/>
        </w:rPr>
        <w:t xml:space="preserve"> primary motivation for seeking support from care services; other co-morbidities are not taken into consideration.</w:t>
      </w:r>
    </w:p>
    <w:p w14:paraId="1B9283CF" w14:textId="77777777" w:rsidR="009317D9" w:rsidRPr="00BC1A14" w:rsidRDefault="009317D9" w:rsidP="00A0056E">
      <w:pPr>
        <w:pStyle w:val="Newparagraph"/>
        <w:numPr>
          <w:ilvl w:val="0"/>
          <w:numId w:val="37"/>
        </w:numPr>
        <w:rPr>
          <w:lang w:eastAsia="en-US"/>
        </w:rPr>
      </w:pPr>
      <w:r w:rsidRPr="00BC1A14">
        <w:rPr>
          <w:lang w:eastAsia="en-US"/>
        </w:rPr>
        <w:lastRenderedPageBreak/>
        <w:t>The model does not take into consideration the potential role of telecare for reducing the use of hospital admissions.</w:t>
      </w:r>
    </w:p>
    <w:p w14:paraId="5ED7616E" w14:textId="77777777" w:rsidR="009317D9" w:rsidRPr="00BC1A14" w:rsidRDefault="009317D9" w:rsidP="00A0056E">
      <w:pPr>
        <w:pStyle w:val="Newparagraph"/>
        <w:numPr>
          <w:ilvl w:val="0"/>
          <w:numId w:val="37"/>
        </w:numPr>
        <w:rPr>
          <w:lang w:eastAsia="en-US"/>
        </w:rPr>
      </w:pPr>
      <w:r w:rsidRPr="00BC1A14">
        <w:rPr>
          <w:lang w:eastAsia="en-US"/>
        </w:rPr>
        <w:t>The model assumes that people only require nursing home support when they advance to the upper dependency level of severe dementia; in reality people at all stages of dementia may require nursing home support due to other existing co-morbidities. Therefore, the model will naturally underestimate nursing home usage.</w:t>
      </w:r>
    </w:p>
    <w:sectPr w:rsidR="009317D9" w:rsidRPr="00BC1A14" w:rsidSect="00074B81">
      <w:footerReference w:type="default" r:id="rId17"/>
      <w:pgSz w:w="11901" w:h="16840" w:code="9"/>
      <w:pgMar w:top="1418" w:right="1701"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56BF9" w16cex:dateUtc="2021-05-23T23:04:00Z"/>
  <w16cex:commentExtensible w16cex:durableId="245562AF" w16cex:dateUtc="2021-05-23T22:24:00Z"/>
  <w16cex:commentExtensible w16cex:durableId="2455629E" w16cex:dateUtc="2021-05-23T2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67A79E" w16cid:durableId="24556BF9"/>
  <w16cid:commentId w16cid:paraId="722BCB7F" w16cid:durableId="245562AF"/>
  <w16cid:commentId w16cid:paraId="49E2B197" w16cid:durableId="245562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362FA" w14:textId="77777777" w:rsidR="00DE58B2" w:rsidRDefault="00DE58B2" w:rsidP="000A67E3">
      <w:r>
        <w:separator/>
      </w:r>
    </w:p>
  </w:endnote>
  <w:endnote w:type="continuationSeparator" w:id="0">
    <w:p w14:paraId="3EC76FA9" w14:textId="77777777" w:rsidR="00DE58B2" w:rsidRDefault="00DE58B2" w:rsidP="000A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383839"/>
      <w:docPartObj>
        <w:docPartGallery w:val="Page Numbers (Bottom of Page)"/>
        <w:docPartUnique/>
      </w:docPartObj>
    </w:sdtPr>
    <w:sdtEndPr>
      <w:rPr>
        <w:noProof/>
      </w:rPr>
    </w:sdtEndPr>
    <w:sdtContent>
      <w:p w14:paraId="4886F216" w14:textId="46E7332E" w:rsidR="00DB5D3C" w:rsidRDefault="00DB5D3C" w:rsidP="000A67E3">
        <w:pPr>
          <w:pStyle w:val="Footer"/>
        </w:pPr>
        <w:r>
          <w:fldChar w:fldCharType="begin"/>
        </w:r>
        <w:r>
          <w:instrText xml:space="preserve"> PAGE   \* MERGEFORMAT </w:instrText>
        </w:r>
        <w:r>
          <w:fldChar w:fldCharType="separate"/>
        </w:r>
        <w:r w:rsidR="002630A2">
          <w:rPr>
            <w:noProof/>
          </w:rPr>
          <w:t>28</w:t>
        </w:r>
        <w:r>
          <w:rPr>
            <w:noProof/>
          </w:rPr>
          <w:fldChar w:fldCharType="end"/>
        </w:r>
      </w:p>
    </w:sdtContent>
  </w:sdt>
  <w:p w14:paraId="7C02130D" w14:textId="77777777" w:rsidR="00DB5D3C" w:rsidRDefault="00DB5D3C" w:rsidP="000A6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1C6B1" w14:textId="77777777" w:rsidR="00DE58B2" w:rsidRDefault="00DE58B2" w:rsidP="000A67E3">
      <w:r>
        <w:separator/>
      </w:r>
    </w:p>
  </w:footnote>
  <w:footnote w:type="continuationSeparator" w:id="0">
    <w:p w14:paraId="4240D579" w14:textId="77777777" w:rsidR="00DE58B2" w:rsidRDefault="00DE58B2" w:rsidP="000A6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4414F7"/>
    <w:multiLevelType w:val="multilevel"/>
    <w:tmpl w:val="BCB0200A"/>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66E063D"/>
    <w:multiLevelType w:val="hybridMultilevel"/>
    <w:tmpl w:val="1C1CA326"/>
    <w:lvl w:ilvl="0" w:tplc="3B1C357C">
      <w:numFmt w:val="bullet"/>
      <w:lvlText w:val="•"/>
      <w:lvlJc w:val="left"/>
      <w:pPr>
        <w:ind w:left="720" w:hanging="72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378110C"/>
    <w:multiLevelType w:val="hybridMultilevel"/>
    <w:tmpl w:val="56767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D9F0F7E"/>
    <w:multiLevelType w:val="hybridMultilevel"/>
    <w:tmpl w:val="BE241744"/>
    <w:lvl w:ilvl="0" w:tplc="3B1C357C">
      <w:numFmt w:val="bullet"/>
      <w:lvlText w:val="•"/>
      <w:lvlJc w:val="left"/>
      <w:pPr>
        <w:ind w:left="1080" w:hanging="72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80516A"/>
    <w:multiLevelType w:val="hybridMultilevel"/>
    <w:tmpl w:val="1430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411305"/>
    <w:multiLevelType w:val="hybridMultilevel"/>
    <w:tmpl w:val="A4E6BCDA"/>
    <w:lvl w:ilvl="0" w:tplc="08090001">
      <w:start w:val="1"/>
      <w:numFmt w:val="bullet"/>
      <w:lvlText w:val=""/>
      <w:lvlJc w:val="left"/>
      <w:pPr>
        <w:ind w:left="463" w:hanging="360"/>
      </w:pPr>
      <w:rPr>
        <w:rFonts w:ascii="Symbol" w:hAnsi="Symbol" w:hint="default"/>
      </w:rPr>
    </w:lvl>
    <w:lvl w:ilvl="1" w:tplc="08090003">
      <w:start w:val="1"/>
      <w:numFmt w:val="bullet"/>
      <w:lvlText w:val="o"/>
      <w:lvlJc w:val="left"/>
      <w:pPr>
        <w:ind w:left="1183" w:hanging="360"/>
      </w:pPr>
      <w:rPr>
        <w:rFonts w:ascii="Courier New" w:hAnsi="Courier New" w:cs="Courier New" w:hint="default"/>
      </w:rPr>
    </w:lvl>
    <w:lvl w:ilvl="2" w:tplc="08090005">
      <w:start w:val="1"/>
      <w:numFmt w:val="bullet"/>
      <w:lvlText w:val=""/>
      <w:lvlJc w:val="left"/>
      <w:pPr>
        <w:ind w:left="1903" w:hanging="360"/>
      </w:pPr>
      <w:rPr>
        <w:rFonts w:ascii="Wingdings" w:hAnsi="Wingdings" w:hint="default"/>
      </w:rPr>
    </w:lvl>
    <w:lvl w:ilvl="3" w:tplc="08090001">
      <w:start w:val="1"/>
      <w:numFmt w:val="bullet"/>
      <w:lvlText w:val=""/>
      <w:lvlJc w:val="left"/>
      <w:pPr>
        <w:ind w:left="2623" w:hanging="360"/>
      </w:pPr>
      <w:rPr>
        <w:rFonts w:ascii="Symbol" w:hAnsi="Symbol" w:hint="default"/>
      </w:rPr>
    </w:lvl>
    <w:lvl w:ilvl="4" w:tplc="08090003">
      <w:start w:val="1"/>
      <w:numFmt w:val="bullet"/>
      <w:lvlText w:val="o"/>
      <w:lvlJc w:val="left"/>
      <w:pPr>
        <w:ind w:left="3343" w:hanging="360"/>
      </w:pPr>
      <w:rPr>
        <w:rFonts w:ascii="Courier New" w:hAnsi="Courier New" w:cs="Courier New" w:hint="default"/>
      </w:rPr>
    </w:lvl>
    <w:lvl w:ilvl="5" w:tplc="08090005">
      <w:start w:val="1"/>
      <w:numFmt w:val="bullet"/>
      <w:lvlText w:val=""/>
      <w:lvlJc w:val="left"/>
      <w:pPr>
        <w:ind w:left="4063" w:hanging="360"/>
      </w:pPr>
      <w:rPr>
        <w:rFonts w:ascii="Wingdings" w:hAnsi="Wingdings" w:hint="default"/>
      </w:rPr>
    </w:lvl>
    <w:lvl w:ilvl="6" w:tplc="08090001">
      <w:start w:val="1"/>
      <w:numFmt w:val="bullet"/>
      <w:lvlText w:val=""/>
      <w:lvlJc w:val="left"/>
      <w:pPr>
        <w:ind w:left="4783" w:hanging="360"/>
      </w:pPr>
      <w:rPr>
        <w:rFonts w:ascii="Symbol" w:hAnsi="Symbol" w:hint="default"/>
      </w:rPr>
    </w:lvl>
    <w:lvl w:ilvl="7" w:tplc="08090003">
      <w:start w:val="1"/>
      <w:numFmt w:val="bullet"/>
      <w:lvlText w:val="o"/>
      <w:lvlJc w:val="left"/>
      <w:pPr>
        <w:ind w:left="5503" w:hanging="360"/>
      </w:pPr>
      <w:rPr>
        <w:rFonts w:ascii="Courier New" w:hAnsi="Courier New" w:cs="Courier New" w:hint="default"/>
      </w:rPr>
    </w:lvl>
    <w:lvl w:ilvl="8" w:tplc="08090005">
      <w:start w:val="1"/>
      <w:numFmt w:val="bullet"/>
      <w:lvlText w:val=""/>
      <w:lvlJc w:val="left"/>
      <w:pPr>
        <w:ind w:left="6223" w:hanging="360"/>
      </w:pPr>
      <w:rPr>
        <w:rFonts w:ascii="Wingdings" w:hAnsi="Wingdings" w:hint="default"/>
      </w:rPr>
    </w:lvl>
  </w:abstractNum>
  <w:num w:numId="1">
    <w:abstractNumId w:val="17"/>
  </w:num>
  <w:num w:numId="2">
    <w:abstractNumId w:val="2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5"/>
  </w:num>
  <w:num w:numId="15">
    <w:abstractNumId w:val="14"/>
  </w:num>
  <w:num w:numId="16">
    <w:abstractNumId w:val="18"/>
  </w:num>
  <w:num w:numId="17">
    <w:abstractNumId w:val="11"/>
  </w:num>
  <w:num w:numId="18">
    <w:abstractNumId w:val="0"/>
  </w:num>
  <w:num w:numId="19">
    <w:abstractNumId w:val="12"/>
  </w:num>
  <w:num w:numId="20">
    <w:abstractNumId w:val="25"/>
  </w:num>
  <w:num w:numId="21">
    <w:abstractNumId w:val="25"/>
  </w:num>
  <w:num w:numId="22">
    <w:abstractNumId w:val="25"/>
  </w:num>
  <w:num w:numId="23">
    <w:abstractNumId w:val="25"/>
  </w:num>
  <w:num w:numId="24">
    <w:abstractNumId w:val="19"/>
  </w:num>
  <w:num w:numId="25">
    <w:abstractNumId w:val="20"/>
  </w:num>
  <w:num w:numId="26">
    <w:abstractNumId w:val="26"/>
  </w:num>
  <w:num w:numId="27">
    <w:abstractNumId w:val="27"/>
  </w:num>
  <w:num w:numId="28">
    <w:abstractNumId w:val="25"/>
  </w:num>
  <w:num w:numId="29">
    <w:abstractNumId w:val="13"/>
  </w:num>
  <w:num w:numId="30">
    <w:abstractNumId w:val="28"/>
  </w:num>
  <w:num w:numId="31">
    <w:abstractNumId w:val="22"/>
  </w:num>
  <w:num w:numId="32">
    <w:abstractNumId w:val="16"/>
  </w:num>
  <w:num w:numId="33">
    <w:abstractNumId w:val="29"/>
  </w:num>
  <w:num w:numId="34">
    <w:abstractNumId w:val="16"/>
  </w:num>
  <w:num w:numId="35">
    <w:abstractNumId w:val="21"/>
  </w:num>
  <w:num w:numId="36">
    <w:abstractNumId w:val="1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AA"/>
    <w:rsid w:val="000014A2"/>
    <w:rsid w:val="00001899"/>
    <w:rsid w:val="000049AD"/>
    <w:rsid w:val="0000681B"/>
    <w:rsid w:val="00012E4A"/>
    <w:rsid w:val="000133C0"/>
    <w:rsid w:val="00014C4E"/>
    <w:rsid w:val="00017107"/>
    <w:rsid w:val="000202E2"/>
    <w:rsid w:val="00022441"/>
    <w:rsid w:val="0002261E"/>
    <w:rsid w:val="00024839"/>
    <w:rsid w:val="00026871"/>
    <w:rsid w:val="00037A98"/>
    <w:rsid w:val="000427FB"/>
    <w:rsid w:val="0004455E"/>
    <w:rsid w:val="00047CB5"/>
    <w:rsid w:val="00051FAA"/>
    <w:rsid w:val="00055BDD"/>
    <w:rsid w:val="000572A9"/>
    <w:rsid w:val="00061325"/>
    <w:rsid w:val="000733AC"/>
    <w:rsid w:val="00074B81"/>
    <w:rsid w:val="00074D22"/>
    <w:rsid w:val="00075081"/>
    <w:rsid w:val="0007528A"/>
    <w:rsid w:val="000811AB"/>
    <w:rsid w:val="00083C5F"/>
    <w:rsid w:val="00085F7E"/>
    <w:rsid w:val="00087184"/>
    <w:rsid w:val="0009172C"/>
    <w:rsid w:val="000930EC"/>
    <w:rsid w:val="00095E61"/>
    <w:rsid w:val="00096301"/>
    <w:rsid w:val="000966C1"/>
    <w:rsid w:val="000970AC"/>
    <w:rsid w:val="000A1167"/>
    <w:rsid w:val="000A4428"/>
    <w:rsid w:val="000A67E3"/>
    <w:rsid w:val="000A6D40"/>
    <w:rsid w:val="000A7BC3"/>
    <w:rsid w:val="000B1661"/>
    <w:rsid w:val="000B1F0B"/>
    <w:rsid w:val="000B2E88"/>
    <w:rsid w:val="000B4603"/>
    <w:rsid w:val="000C09BE"/>
    <w:rsid w:val="000C1380"/>
    <w:rsid w:val="000C3A6F"/>
    <w:rsid w:val="000C554F"/>
    <w:rsid w:val="000D0DC5"/>
    <w:rsid w:val="000D15FF"/>
    <w:rsid w:val="000D28DF"/>
    <w:rsid w:val="000D488B"/>
    <w:rsid w:val="000D68DF"/>
    <w:rsid w:val="000E138D"/>
    <w:rsid w:val="000E187A"/>
    <w:rsid w:val="000E2D61"/>
    <w:rsid w:val="000E450E"/>
    <w:rsid w:val="000E6259"/>
    <w:rsid w:val="000F44C9"/>
    <w:rsid w:val="000F4677"/>
    <w:rsid w:val="000F5BE0"/>
    <w:rsid w:val="000F6EE7"/>
    <w:rsid w:val="00100587"/>
    <w:rsid w:val="00100808"/>
    <w:rsid w:val="0010284E"/>
    <w:rsid w:val="00103122"/>
    <w:rsid w:val="0010336A"/>
    <w:rsid w:val="001050F1"/>
    <w:rsid w:val="00105AEA"/>
    <w:rsid w:val="00105CA1"/>
    <w:rsid w:val="00106DAF"/>
    <w:rsid w:val="00113B42"/>
    <w:rsid w:val="00114ABE"/>
    <w:rsid w:val="00116023"/>
    <w:rsid w:val="00130C31"/>
    <w:rsid w:val="0013425A"/>
    <w:rsid w:val="00134A51"/>
    <w:rsid w:val="00140727"/>
    <w:rsid w:val="00160628"/>
    <w:rsid w:val="00161344"/>
    <w:rsid w:val="00162195"/>
    <w:rsid w:val="0016322A"/>
    <w:rsid w:val="00165A21"/>
    <w:rsid w:val="001705CE"/>
    <w:rsid w:val="0017714B"/>
    <w:rsid w:val="00180410"/>
    <w:rsid w:val="001804DF"/>
    <w:rsid w:val="00181BDC"/>
    <w:rsid w:val="00181DB0"/>
    <w:rsid w:val="001829E3"/>
    <w:rsid w:val="001924C0"/>
    <w:rsid w:val="00195B73"/>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0751"/>
    <w:rsid w:val="001D5471"/>
    <w:rsid w:val="001D647F"/>
    <w:rsid w:val="001D6857"/>
    <w:rsid w:val="001E0572"/>
    <w:rsid w:val="001E0A67"/>
    <w:rsid w:val="001E1028"/>
    <w:rsid w:val="001E14E2"/>
    <w:rsid w:val="001E6302"/>
    <w:rsid w:val="001E7DCB"/>
    <w:rsid w:val="001F167D"/>
    <w:rsid w:val="001F3411"/>
    <w:rsid w:val="001F4287"/>
    <w:rsid w:val="001F4DBA"/>
    <w:rsid w:val="00203AF9"/>
    <w:rsid w:val="0020415E"/>
    <w:rsid w:val="00204FF4"/>
    <w:rsid w:val="0021056E"/>
    <w:rsid w:val="0021075D"/>
    <w:rsid w:val="0021165A"/>
    <w:rsid w:val="00211BC9"/>
    <w:rsid w:val="0021620C"/>
    <w:rsid w:val="00216E78"/>
    <w:rsid w:val="00217275"/>
    <w:rsid w:val="002211DD"/>
    <w:rsid w:val="00236F4B"/>
    <w:rsid w:val="00242B0D"/>
    <w:rsid w:val="002463CC"/>
    <w:rsid w:val="002467C6"/>
    <w:rsid w:val="0024692A"/>
    <w:rsid w:val="00252BBA"/>
    <w:rsid w:val="00253123"/>
    <w:rsid w:val="002630A2"/>
    <w:rsid w:val="00264001"/>
    <w:rsid w:val="00266354"/>
    <w:rsid w:val="00267A18"/>
    <w:rsid w:val="00273462"/>
    <w:rsid w:val="00273467"/>
    <w:rsid w:val="0027395B"/>
    <w:rsid w:val="00275854"/>
    <w:rsid w:val="00283B41"/>
    <w:rsid w:val="00285F28"/>
    <w:rsid w:val="00286398"/>
    <w:rsid w:val="002A3C42"/>
    <w:rsid w:val="002A5D75"/>
    <w:rsid w:val="002B1B1A"/>
    <w:rsid w:val="002B7228"/>
    <w:rsid w:val="002C39CB"/>
    <w:rsid w:val="002C53EE"/>
    <w:rsid w:val="002C54DC"/>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445B"/>
    <w:rsid w:val="00315713"/>
    <w:rsid w:val="0031686C"/>
    <w:rsid w:val="00316FE0"/>
    <w:rsid w:val="003204D2"/>
    <w:rsid w:val="0032605E"/>
    <w:rsid w:val="003275D1"/>
    <w:rsid w:val="00330B2A"/>
    <w:rsid w:val="00331E17"/>
    <w:rsid w:val="00333063"/>
    <w:rsid w:val="003408E3"/>
    <w:rsid w:val="003415A4"/>
    <w:rsid w:val="00342905"/>
    <w:rsid w:val="00343480"/>
    <w:rsid w:val="00345E89"/>
    <w:rsid w:val="003522A1"/>
    <w:rsid w:val="0035254B"/>
    <w:rsid w:val="00353555"/>
    <w:rsid w:val="003554B8"/>
    <w:rsid w:val="00355BE1"/>
    <w:rsid w:val="003565D4"/>
    <w:rsid w:val="003607FB"/>
    <w:rsid w:val="00360FD5"/>
    <w:rsid w:val="0036340D"/>
    <w:rsid w:val="003634A5"/>
    <w:rsid w:val="00366868"/>
    <w:rsid w:val="00367506"/>
    <w:rsid w:val="00370085"/>
    <w:rsid w:val="00372314"/>
    <w:rsid w:val="00373010"/>
    <w:rsid w:val="003744A7"/>
    <w:rsid w:val="00376235"/>
    <w:rsid w:val="00380446"/>
    <w:rsid w:val="00381FB6"/>
    <w:rsid w:val="003836D3"/>
    <w:rsid w:val="00383A52"/>
    <w:rsid w:val="00390735"/>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E74DE"/>
    <w:rsid w:val="003F193A"/>
    <w:rsid w:val="003F4207"/>
    <w:rsid w:val="003F5C46"/>
    <w:rsid w:val="003F7CBB"/>
    <w:rsid w:val="003F7D34"/>
    <w:rsid w:val="00412C8E"/>
    <w:rsid w:val="0041518D"/>
    <w:rsid w:val="004158DF"/>
    <w:rsid w:val="0042221D"/>
    <w:rsid w:val="00424DD3"/>
    <w:rsid w:val="004269C5"/>
    <w:rsid w:val="00435939"/>
    <w:rsid w:val="00437CC7"/>
    <w:rsid w:val="004425AA"/>
    <w:rsid w:val="00442B9C"/>
    <w:rsid w:val="00445EFA"/>
    <w:rsid w:val="0044738A"/>
    <w:rsid w:val="004473D3"/>
    <w:rsid w:val="00452231"/>
    <w:rsid w:val="00460C13"/>
    <w:rsid w:val="00463228"/>
    <w:rsid w:val="00463782"/>
    <w:rsid w:val="004667E0"/>
    <w:rsid w:val="0046760E"/>
    <w:rsid w:val="00470E10"/>
    <w:rsid w:val="00475F8D"/>
    <w:rsid w:val="00477A97"/>
    <w:rsid w:val="00481343"/>
    <w:rsid w:val="0048549E"/>
    <w:rsid w:val="00492A66"/>
    <w:rsid w:val="004930C6"/>
    <w:rsid w:val="00493347"/>
    <w:rsid w:val="00496092"/>
    <w:rsid w:val="004A08DB"/>
    <w:rsid w:val="004A25D0"/>
    <w:rsid w:val="004A37E8"/>
    <w:rsid w:val="004A7549"/>
    <w:rsid w:val="004B09D4"/>
    <w:rsid w:val="004B309D"/>
    <w:rsid w:val="004B330A"/>
    <w:rsid w:val="004B7C8E"/>
    <w:rsid w:val="004C0916"/>
    <w:rsid w:val="004C3D3C"/>
    <w:rsid w:val="004D0EDC"/>
    <w:rsid w:val="004D1220"/>
    <w:rsid w:val="004D14B3"/>
    <w:rsid w:val="004D1529"/>
    <w:rsid w:val="004D2253"/>
    <w:rsid w:val="004D2DD1"/>
    <w:rsid w:val="004D5514"/>
    <w:rsid w:val="004D56C3"/>
    <w:rsid w:val="004E0338"/>
    <w:rsid w:val="004E4FF3"/>
    <w:rsid w:val="004E56A8"/>
    <w:rsid w:val="004F3B55"/>
    <w:rsid w:val="004F428E"/>
    <w:rsid w:val="004F4416"/>
    <w:rsid w:val="004F4E46"/>
    <w:rsid w:val="004F6B7D"/>
    <w:rsid w:val="00501223"/>
    <w:rsid w:val="005015F6"/>
    <w:rsid w:val="005030C4"/>
    <w:rsid w:val="005031C5"/>
    <w:rsid w:val="00504FDC"/>
    <w:rsid w:val="005120CC"/>
    <w:rsid w:val="00512B7B"/>
    <w:rsid w:val="00514EA1"/>
    <w:rsid w:val="0051798B"/>
    <w:rsid w:val="00521F5A"/>
    <w:rsid w:val="005253C7"/>
    <w:rsid w:val="00525E06"/>
    <w:rsid w:val="00526454"/>
    <w:rsid w:val="00526BEF"/>
    <w:rsid w:val="00531823"/>
    <w:rsid w:val="00534ECC"/>
    <w:rsid w:val="0053720D"/>
    <w:rsid w:val="00540EF5"/>
    <w:rsid w:val="00541BF3"/>
    <w:rsid w:val="00541CD3"/>
    <w:rsid w:val="005476FA"/>
    <w:rsid w:val="00551899"/>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470"/>
    <w:rsid w:val="005977C2"/>
    <w:rsid w:val="00597BF2"/>
    <w:rsid w:val="005A140D"/>
    <w:rsid w:val="005A1F54"/>
    <w:rsid w:val="005A3020"/>
    <w:rsid w:val="005B134E"/>
    <w:rsid w:val="005B1B56"/>
    <w:rsid w:val="005B2039"/>
    <w:rsid w:val="005B344F"/>
    <w:rsid w:val="005B3FBA"/>
    <w:rsid w:val="005B4A1D"/>
    <w:rsid w:val="005B674D"/>
    <w:rsid w:val="005B6A3E"/>
    <w:rsid w:val="005C056D"/>
    <w:rsid w:val="005C0CBE"/>
    <w:rsid w:val="005C1FCF"/>
    <w:rsid w:val="005C3F41"/>
    <w:rsid w:val="005C5E0F"/>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4C2B"/>
    <w:rsid w:val="00636EE9"/>
    <w:rsid w:val="00640950"/>
    <w:rsid w:val="00641AE7"/>
    <w:rsid w:val="00642629"/>
    <w:rsid w:val="0064782B"/>
    <w:rsid w:val="0065293D"/>
    <w:rsid w:val="00653EFC"/>
    <w:rsid w:val="00654021"/>
    <w:rsid w:val="00661045"/>
    <w:rsid w:val="00663221"/>
    <w:rsid w:val="00666DA8"/>
    <w:rsid w:val="00671057"/>
    <w:rsid w:val="00675AAF"/>
    <w:rsid w:val="0068031A"/>
    <w:rsid w:val="00681B2F"/>
    <w:rsid w:val="0068283E"/>
    <w:rsid w:val="0068335F"/>
    <w:rsid w:val="0068591B"/>
    <w:rsid w:val="00687217"/>
    <w:rsid w:val="00691516"/>
    <w:rsid w:val="00693302"/>
    <w:rsid w:val="0069640B"/>
    <w:rsid w:val="006A1B83"/>
    <w:rsid w:val="006A21CD"/>
    <w:rsid w:val="006A5918"/>
    <w:rsid w:val="006A5A77"/>
    <w:rsid w:val="006B21B2"/>
    <w:rsid w:val="006B3892"/>
    <w:rsid w:val="006B4A4A"/>
    <w:rsid w:val="006C19B2"/>
    <w:rsid w:val="006C4409"/>
    <w:rsid w:val="006C5BB8"/>
    <w:rsid w:val="006C6936"/>
    <w:rsid w:val="006C7B01"/>
    <w:rsid w:val="006D0FE8"/>
    <w:rsid w:val="006D4B2B"/>
    <w:rsid w:val="006D4F3C"/>
    <w:rsid w:val="006D5BFE"/>
    <w:rsid w:val="006D5C66"/>
    <w:rsid w:val="006D7002"/>
    <w:rsid w:val="006E1B3C"/>
    <w:rsid w:val="006E23FB"/>
    <w:rsid w:val="006E325A"/>
    <w:rsid w:val="006E33EC"/>
    <w:rsid w:val="006E3802"/>
    <w:rsid w:val="006E663D"/>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26178"/>
    <w:rsid w:val="00731835"/>
    <w:rsid w:val="007341F8"/>
    <w:rsid w:val="00734372"/>
    <w:rsid w:val="00734EB8"/>
    <w:rsid w:val="00735CF5"/>
    <w:rsid w:val="00735F8B"/>
    <w:rsid w:val="0074090B"/>
    <w:rsid w:val="00742D1F"/>
    <w:rsid w:val="00743EBA"/>
    <w:rsid w:val="00744C8E"/>
    <w:rsid w:val="00746A04"/>
    <w:rsid w:val="0074707E"/>
    <w:rsid w:val="007516DC"/>
    <w:rsid w:val="00752E58"/>
    <w:rsid w:val="00754B80"/>
    <w:rsid w:val="0075664E"/>
    <w:rsid w:val="00761918"/>
    <w:rsid w:val="00762F03"/>
    <w:rsid w:val="0076413B"/>
    <w:rsid w:val="007648AE"/>
    <w:rsid w:val="00764BF8"/>
    <w:rsid w:val="0076514D"/>
    <w:rsid w:val="00773D59"/>
    <w:rsid w:val="0077728B"/>
    <w:rsid w:val="00781003"/>
    <w:rsid w:val="007911FD"/>
    <w:rsid w:val="00793930"/>
    <w:rsid w:val="00793DD1"/>
    <w:rsid w:val="00794FEC"/>
    <w:rsid w:val="00795AB3"/>
    <w:rsid w:val="007970FE"/>
    <w:rsid w:val="007A003E"/>
    <w:rsid w:val="007A1965"/>
    <w:rsid w:val="007A1CC3"/>
    <w:rsid w:val="007A2ED1"/>
    <w:rsid w:val="007A4BE6"/>
    <w:rsid w:val="007A6DF6"/>
    <w:rsid w:val="007B0DC6"/>
    <w:rsid w:val="007B1094"/>
    <w:rsid w:val="007B1762"/>
    <w:rsid w:val="007B3320"/>
    <w:rsid w:val="007B76D6"/>
    <w:rsid w:val="007C301F"/>
    <w:rsid w:val="007C4540"/>
    <w:rsid w:val="007C65AF"/>
    <w:rsid w:val="007D135D"/>
    <w:rsid w:val="007D730F"/>
    <w:rsid w:val="007D7CD8"/>
    <w:rsid w:val="007E3AA7"/>
    <w:rsid w:val="007F55F0"/>
    <w:rsid w:val="007F737D"/>
    <w:rsid w:val="0080308E"/>
    <w:rsid w:val="00803FBF"/>
    <w:rsid w:val="00805303"/>
    <w:rsid w:val="00806705"/>
    <w:rsid w:val="00806738"/>
    <w:rsid w:val="00813BEC"/>
    <w:rsid w:val="008216D5"/>
    <w:rsid w:val="008249CE"/>
    <w:rsid w:val="00830A23"/>
    <w:rsid w:val="00831A50"/>
    <w:rsid w:val="00831B3C"/>
    <w:rsid w:val="00831C89"/>
    <w:rsid w:val="00832114"/>
    <w:rsid w:val="00834C46"/>
    <w:rsid w:val="0084093E"/>
    <w:rsid w:val="00841CE1"/>
    <w:rsid w:val="008473D8"/>
    <w:rsid w:val="008528DC"/>
    <w:rsid w:val="00852B8C"/>
    <w:rsid w:val="00854981"/>
    <w:rsid w:val="00864B2E"/>
    <w:rsid w:val="00865963"/>
    <w:rsid w:val="008702EA"/>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975A6"/>
    <w:rsid w:val="008A1049"/>
    <w:rsid w:val="008A1C98"/>
    <w:rsid w:val="008A322D"/>
    <w:rsid w:val="008A4D72"/>
    <w:rsid w:val="008A6285"/>
    <w:rsid w:val="008A63B2"/>
    <w:rsid w:val="008B0BC5"/>
    <w:rsid w:val="008B345D"/>
    <w:rsid w:val="008C1FC2"/>
    <w:rsid w:val="008C2980"/>
    <w:rsid w:val="008C4DD6"/>
    <w:rsid w:val="008C5AFB"/>
    <w:rsid w:val="008D07FB"/>
    <w:rsid w:val="008D0C02"/>
    <w:rsid w:val="008D357D"/>
    <w:rsid w:val="008D435A"/>
    <w:rsid w:val="008E387B"/>
    <w:rsid w:val="008E6087"/>
    <w:rsid w:val="008E6785"/>
    <w:rsid w:val="008E758D"/>
    <w:rsid w:val="008F10A7"/>
    <w:rsid w:val="008F6291"/>
    <w:rsid w:val="008F674F"/>
    <w:rsid w:val="008F755D"/>
    <w:rsid w:val="008F7A39"/>
    <w:rsid w:val="009021E8"/>
    <w:rsid w:val="00904677"/>
    <w:rsid w:val="00905EE2"/>
    <w:rsid w:val="00911440"/>
    <w:rsid w:val="00911712"/>
    <w:rsid w:val="00911B27"/>
    <w:rsid w:val="00912623"/>
    <w:rsid w:val="00913028"/>
    <w:rsid w:val="00913744"/>
    <w:rsid w:val="009170BE"/>
    <w:rsid w:val="00920B55"/>
    <w:rsid w:val="00922383"/>
    <w:rsid w:val="009262C9"/>
    <w:rsid w:val="00930EB9"/>
    <w:rsid w:val="009317D9"/>
    <w:rsid w:val="00933DC7"/>
    <w:rsid w:val="009418F4"/>
    <w:rsid w:val="00942BBC"/>
    <w:rsid w:val="00944180"/>
    <w:rsid w:val="00944AA0"/>
    <w:rsid w:val="00947DA2"/>
    <w:rsid w:val="00951177"/>
    <w:rsid w:val="009673E8"/>
    <w:rsid w:val="00974DB8"/>
    <w:rsid w:val="00980661"/>
    <w:rsid w:val="0098093B"/>
    <w:rsid w:val="009876D4"/>
    <w:rsid w:val="009914A5"/>
    <w:rsid w:val="00993008"/>
    <w:rsid w:val="0099332A"/>
    <w:rsid w:val="0099548E"/>
    <w:rsid w:val="00996456"/>
    <w:rsid w:val="00996A12"/>
    <w:rsid w:val="00997B0F"/>
    <w:rsid w:val="009A0CC3"/>
    <w:rsid w:val="009A1CAD"/>
    <w:rsid w:val="009A3440"/>
    <w:rsid w:val="009A461E"/>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2E6"/>
    <w:rsid w:val="009F3D2F"/>
    <w:rsid w:val="009F7052"/>
    <w:rsid w:val="00A0056E"/>
    <w:rsid w:val="00A02668"/>
    <w:rsid w:val="00A02801"/>
    <w:rsid w:val="00A06A39"/>
    <w:rsid w:val="00A07F58"/>
    <w:rsid w:val="00A131CB"/>
    <w:rsid w:val="00A14847"/>
    <w:rsid w:val="00A16D6D"/>
    <w:rsid w:val="00A21383"/>
    <w:rsid w:val="00A2199F"/>
    <w:rsid w:val="00A21B31"/>
    <w:rsid w:val="00A2360E"/>
    <w:rsid w:val="00A26E0C"/>
    <w:rsid w:val="00A27B88"/>
    <w:rsid w:val="00A32FCB"/>
    <w:rsid w:val="00A34C25"/>
    <w:rsid w:val="00A3507D"/>
    <w:rsid w:val="00A3717A"/>
    <w:rsid w:val="00A4088C"/>
    <w:rsid w:val="00A43A84"/>
    <w:rsid w:val="00A4456B"/>
    <w:rsid w:val="00A448D4"/>
    <w:rsid w:val="00A452E0"/>
    <w:rsid w:val="00A506DF"/>
    <w:rsid w:val="00A51EA5"/>
    <w:rsid w:val="00A53742"/>
    <w:rsid w:val="00A557A1"/>
    <w:rsid w:val="00A569D7"/>
    <w:rsid w:val="00A63059"/>
    <w:rsid w:val="00A63AE3"/>
    <w:rsid w:val="00A651A4"/>
    <w:rsid w:val="00A71361"/>
    <w:rsid w:val="00A746E2"/>
    <w:rsid w:val="00A7571C"/>
    <w:rsid w:val="00A81FF2"/>
    <w:rsid w:val="00A83904"/>
    <w:rsid w:val="00A83B30"/>
    <w:rsid w:val="00A87E2B"/>
    <w:rsid w:val="00A90A79"/>
    <w:rsid w:val="00A917DD"/>
    <w:rsid w:val="00A96B30"/>
    <w:rsid w:val="00AA184C"/>
    <w:rsid w:val="00AA442D"/>
    <w:rsid w:val="00AA59B5"/>
    <w:rsid w:val="00AA7777"/>
    <w:rsid w:val="00AA7B84"/>
    <w:rsid w:val="00AB3269"/>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5C16"/>
    <w:rsid w:val="00AE6A21"/>
    <w:rsid w:val="00AF1C8F"/>
    <w:rsid w:val="00AF2B68"/>
    <w:rsid w:val="00AF2C92"/>
    <w:rsid w:val="00AF3EC1"/>
    <w:rsid w:val="00AF5025"/>
    <w:rsid w:val="00AF519F"/>
    <w:rsid w:val="00AF5356"/>
    <w:rsid w:val="00AF5387"/>
    <w:rsid w:val="00AF55F5"/>
    <w:rsid w:val="00AF7E86"/>
    <w:rsid w:val="00B024B9"/>
    <w:rsid w:val="00B077FA"/>
    <w:rsid w:val="00B127D7"/>
    <w:rsid w:val="00B13B0C"/>
    <w:rsid w:val="00B14408"/>
    <w:rsid w:val="00B1453A"/>
    <w:rsid w:val="00B20F82"/>
    <w:rsid w:val="00B2132B"/>
    <w:rsid w:val="00B25BD5"/>
    <w:rsid w:val="00B34079"/>
    <w:rsid w:val="00B3793A"/>
    <w:rsid w:val="00B401BA"/>
    <w:rsid w:val="00B407E4"/>
    <w:rsid w:val="00B425B6"/>
    <w:rsid w:val="00B42A72"/>
    <w:rsid w:val="00B441AE"/>
    <w:rsid w:val="00B45A65"/>
    <w:rsid w:val="00B45F33"/>
    <w:rsid w:val="00B46D50"/>
    <w:rsid w:val="00B53170"/>
    <w:rsid w:val="00B548B9"/>
    <w:rsid w:val="00B5553F"/>
    <w:rsid w:val="00B5689C"/>
    <w:rsid w:val="00B56DBE"/>
    <w:rsid w:val="00B62999"/>
    <w:rsid w:val="00B63BE3"/>
    <w:rsid w:val="00B64885"/>
    <w:rsid w:val="00B64FA3"/>
    <w:rsid w:val="00B66810"/>
    <w:rsid w:val="00B67A4A"/>
    <w:rsid w:val="00B72BE3"/>
    <w:rsid w:val="00B73B80"/>
    <w:rsid w:val="00B75A3F"/>
    <w:rsid w:val="00B76A72"/>
    <w:rsid w:val="00B770C7"/>
    <w:rsid w:val="00B80F26"/>
    <w:rsid w:val="00B822BD"/>
    <w:rsid w:val="00B842F4"/>
    <w:rsid w:val="00B87FCF"/>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1A14"/>
    <w:rsid w:val="00BC1A70"/>
    <w:rsid w:val="00BC3C1F"/>
    <w:rsid w:val="00BC7CE7"/>
    <w:rsid w:val="00BD295E"/>
    <w:rsid w:val="00BD4664"/>
    <w:rsid w:val="00BE1193"/>
    <w:rsid w:val="00BF4849"/>
    <w:rsid w:val="00BF4EA7"/>
    <w:rsid w:val="00BF6525"/>
    <w:rsid w:val="00C00EDB"/>
    <w:rsid w:val="00C02863"/>
    <w:rsid w:val="00C0383A"/>
    <w:rsid w:val="00C058A8"/>
    <w:rsid w:val="00C067FF"/>
    <w:rsid w:val="00C12862"/>
    <w:rsid w:val="00C13D28"/>
    <w:rsid w:val="00C14585"/>
    <w:rsid w:val="00C165A0"/>
    <w:rsid w:val="00C216CE"/>
    <w:rsid w:val="00C2184F"/>
    <w:rsid w:val="00C22A78"/>
    <w:rsid w:val="00C23C7E"/>
    <w:rsid w:val="00C246C5"/>
    <w:rsid w:val="00C24F6C"/>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0900"/>
    <w:rsid w:val="00C9409E"/>
    <w:rsid w:val="00C947F8"/>
    <w:rsid w:val="00C9515F"/>
    <w:rsid w:val="00C963C5"/>
    <w:rsid w:val="00CA030C"/>
    <w:rsid w:val="00CA1F41"/>
    <w:rsid w:val="00CA32EE"/>
    <w:rsid w:val="00CA5771"/>
    <w:rsid w:val="00CA6A1A"/>
    <w:rsid w:val="00CB3879"/>
    <w:rsid w:val="00CC1E75"/>
    <w:rsid w:val="00CC24DB"/>
    <w:rsid w:val="00CC2E0E"/>
    <w:rsid w:val="00CC361C"/>
    <w:rsid w:val="00CC474B"/>
    <w:rsid w:val="00CC658C"/>
    <w:rsid w:val="00CC67BF"/>
    <w:rsid w:val="00CD0843"/>
    <w:rsid w:val="00CD33AB"/>
    <w:rsid w:val="00CD4E31"/>
    <w:rsid w:val="00CD5A78"/>
    <w:rsid w:val="00CD7345"/>
    <w:rsid w:val="00CE372E"/>
    <w:rsid w:val="00CF0A1B"/>
    <w:rsid w:val="00CF19F6"/>
    <w:rsid w:val="00CF2F4F"/>
    <w:rsid w:val="00CF536D"/>
    <w:rsid w:val="00D02E9D"/>
    <w:rsid w:val="00D10CB8"/>
    <w:rsid w:val="00D11555"/>
    <w:rsid w:val="00D12806"/>
    <w:rsid w:val="00D12D44"/>
    <w:rsid w:val="00D15018"/>
    <w:rsid w:val="00D158AC"/>
    <w:rsid w:val="00D1694C"/>
    <w:rsid w:val="00D20EBF"/>
    <w:rsid w:val="00D20F5E"/>
    <w:rsid w:val="00D214D9"/>
    <w:rsid w:val="00D21B96"/>
    <w:rsid w:val="00D23B76"/>
    <w:rsid w:val="00D24B4A"/>
    <w:rsid w:val="00D26E9C"/>
    <w:rsid w:val="00D326F8"/>
    <w:rsid w:val="00D35EF4"/>
    <w:rsid w:val="00D379A3"/>
    <w:rsid w:val="00D41903"/>
    <w:rsid w:val="00D45FF3"/>
    <w:rsid w:val="00D5062D"/>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5C45"/>
    <w:rsid w:val="00D8642D"/>
    <w:rsid w:val="00D87C94"/>
    <w:rsid w:val="00D90A5E"/>
    <w:rsid w:val="00D91A68"/>
    <w:rsid w:val="00D95A68"/>
    <w:rsid w:val="00DA17C7"/>
    <w:rsid w:val="00DA6A9A"/>
    <w:rsid w:val="00DB1EFD"/>
    <w:rsid w:val="00DB3C55"/>
    <w:rsid w:val="00DB3EAF"/>
    <w:rsid w:val="00DB46C6"/>
    <w:rsid w:val="00DB5D3C"/>
    <w:rsid w:val="00DC3203"/>
    <w:rsid w:val="00DC3C99"/>
    <w:rsid w:val="00DC52F5"/>
    <w:rsid w:val="00DC5FD0"/>
    <w:rsid w:val="00DD0354"/>
    <w:rsid w:val="00DD27D7"/>
    <w:rsid w:val="00DD458C"/>
    <w:rsid w:val="00DD6E57"/>
    <w:rsid w:val="00DD72E9"/>
    <w:rsid w:val="00DD7605"/>
    <w:rsid w:val="00DE2020"/>
    <w:rsid w:val="00DE3476"/>
    <w:rsid w:val="00DE58B2"/>
    <w:rsid w:val="00DE7BEA"/>
    <w:rsid w:val="00DF5B84"/>
    <w:rsid w:val="00DF6D5B"/>
    <w:rsid w:val="00DF771B"/>
    <w:rsid w:val="00DF7EE2"/>
    <w:rsid w:val="00E01BAA"/>
    <w:rsid w:val="00E0282A"/>
    <w:rsid w:val="00E02F9B"/>
    <w:rsid w:val="00E05718"/>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047A"/>
    <w:rsid w:val="00E72E40"/>
    <w:rsid w:val="00E73665"/>
    <w:rsid w:val="00E73999"/>
    <w:rsid w:val="00E73BDC"/>
    <w:rsid w:val="00E73E9E"/>
    <w:rsid w:val="00E81660"/>
    <w:rsid w:val="00E854FE"/>
    <w:rsid w:val="00E86EE6"/>
    <w:rsid w:val="00E906CC"/>
    <w:rsid w:val="00E90A4E"/>
    <w:rsid w:val="00E939A0"/>
    <w:rsid w:val="00E973D5"/>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E4554"/>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165"/>
    <w:rsid w:val="00F61209"/>
    <w:rsid w:val="00F6259E"/>
    <w:rsid w:val="00F64DF2"/>
    <w:rsid w:val="00F65DD4"/>
    <w:rsid w:val="00F672B2"/>
    <w:rsid w:val="00F83973"/>
    <w:rsid w:val="00F87FA3"/>
    <w:rsid w:val="00F93D8C"/>
    <w:rsid w:val="00FA3102"/>
    <w:rsid w:val="00FA48D4"/>
    <w:rsid w:val="00FA54FA"/>
    <w:rsid w:val="00FA6D39"/>
    <w:rsid w:val="00FB227E"/>
    <w:rsid w:val="00FB29FC"/>
    <w:rsid w:val="00FB3D61"/>
    <w:rsid w:val="00FB44CE"/>
    <w:rsid w:val="00FB5009"/>
    <w:rsid w:val="00FB76AB"/>
    <w:rsid w:val="00FC0C47"/>
    <w:rsid w:val="00FD03FE"/>
    <w:rsid w:val="00FD126E"/>
    <w:rsid w:val="00FD3C36"/>
    <w:rsid w:val="00FD4D81"/>
    <w:rsid w:val="00FD5965"/>
    <w:rsid w:val="00FD7498"/>
    <w:rsid w:val="00FD7FB3"/>
    <w:rsid w:val="00FE4713"/>
    <w:rsid w:val="00FF1F44"/>
    <w:rsid w:val="00FF225E"/>
    <w:rsid w:val="00FF5CBF"/>
    <w:rsid w:val="00FF672C"/>
    <w:rsid w:val="00FF6CE8"/>
    <w:rsid w:val="00FF73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F6539"/>
  <w14:defaultImageDpi w14:val="330"/>
  <w15:docId w15:val="{6651AF86-11A3-4A65-BE40-3F9A5635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7E3"/>
    <w:pPr>
      <w:spacing w:after="120" w:line="360" w:lineRule="auto"/>
      <w:jc w:val="both"/>
    </w:pPr>
    <w:rPr>
      <w:sz w:val="24"/>
      <w:szCs w:val="24"/>
    </w:rPr>
  </w:style>
  <w:style w:type="paragraph" w:styleId="Heading1">
    <w:name w:val="heading 1"/>
    <w:basedOn w:val="Normal"/>
    <w:next w:val="Paragraph"/>
    <w:link w:val="Heading1Char"/>
    <w:qFormat/>
    <w:rsid w:val="00D214D9"/>
    <w:pPr>
      <w:keepNext/>
      <w:numPr>
        <w:numId w:val="36"/>
      </w:numPr>
      <w:spacing w:before="360" w:after="60"/>
      <w:ind w:right="567"/>
      <w:contextualSpacing/>
      <w:outlineLvl w:val="0"/>
    </w:pPr>
    <w:rPr>
      <w:rFonts w:cs="Arial"/>
      <w:b/>
      <w:bCs/>
      <w:kern w:val="32"/>
      <w:szCs w:val="32"/>
    </w:rPr>
  </w:style>
  <w:style w:type="paragraph" w:styleId="Heading2">
    <w:name w:val="heading 2"/>
    <w:basedOn w:val="Normal"/>
    <w:next w:val="Paragraph"/>
    <w:link w:val="Heading2Char"/>
    <w:qFormat/>
    <w:rsid w:val="00A43A84"/>
    <w:pPr>
      <w:keepNext/>
      <w:numPr>
        <w:ilvl w:val="1"/>
        <w:numId w:val="36"/>
      </w:numPr>
      <w:spacing w:before="360" w:after="60"/>
      <w:ind w:right="567"/>
      <w:contextualSpacing/>
      <w:outlineLvl w:val="1"/>
    </w:pPr>
    <w:rPr>
      <w:rFonts w:cs="Arial"/>
      <w:b/>
      <w:bCs/>
      <w:i/>
      <w:iCs/>
      <w:szCs w:val="28"/>
    </w:rPr>
  </w:style>
  <w:style w:type="paragraph" w:styleId="Heading3">
    <w:name w:val="heading 3"/>
    <w:basedOn w:val="Normal"/>
    <w:next w:val="Paragraph"/>
    <w:link w:val="Heading3Char"/>
    <w:qFormat/>
    <w:rsid w:val="00FB29FC"/>
    <w:pPr>
      <w:keepNext/>
      <w:spacing w:before="360" w:after="60"/>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rPr>
      <w:b/>
      <w:sz w:val="28"/>
    </w:rPr>
  </w:style>
  <w:style w:type="paragraph" w:customStyle="1" w:styleId="Authornames">
    <w:name w:val="Author names"/>
    <w:basedOn w:val="Normal"/>
    <w:next w:val="Normal"/>
    <w:qFormat/>
    <w:rsid w:val="00F04900"/>
    <w:pPr>
      <w:spacing w:before="240"/>
    </w:pPr>
    <w:rPr>
      <w:sz w:val="28"/>
    </w:rPr>
  </w:style>
  <w:style w:type="paragraph" w:customStyle="1" w:styleId="Affiliation">
    <w:name w:val="Affiliation"/>
    <w:basedOn w:val="Normal"/>
    <w:qFormat/>
    <w:rsid w:val="00F04900"/>
    <w:pPr>
      <w:spacing w:before="240"/>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ind w:left="720" w:right="567"/>
    </w:pPr>
    <w:rPr>
      <w:sz w:val="22"/>
    </w:rPr>
  </w:style>
  <w:style w:type="paragraph" w:customStyle="1" w:styleId="Keywords">
    <w:name w:val="Keywords"/>
    <w:basedOn w:val="Normal"/>
    <w:next w:val="Paragraph"/>
    <w:qFormat/>
    <w:rsid w:val="00BB1270"/>
    <w:pPr>
      <w:spacing w:before="240" w:after="240"/>
      <w:ind w:left="720" w:right="567"/>
    </w:pPr>
    <w:rPr>
      <w:sz w:val="22"/>
    </w:rPr>
  </w:style>
  <w:style w:type="paragraph" w:customStyle="1" w:styleId="Correspondencedetails">
    <w:name w:val="Correspondence details"/>
    <w:basedOn w:val="Normal"/>
    <w:qFormat/>
    <w:rsid w:val="00F04900"/>
    <w:pPr>
      <w:spacing w:before="240"/>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pPr>
    <w:rPr>
      <w:sz w:val="22"/>
    </w:rPr>
  </w:style>
  <w:style w:type="paragraph" w:customStyle="1" w:styleId="Tabletitle">
    <w:name w:val="Table title"/>
    <w:basedOn w:val="Normal"/>
    <w:next w:val="Normal"/>
    <w:qFormat/>
    <w:rsid w:val="0031686C"/>
    <w:pPr>
      <w:spacing w:before="240"/>
    </w:pPr>
  </w:style>
  <w:style w:type="paragraph" w:customStyle="1" w:styleId="Figurecaption">
    <w:name w:val="Figure caption"/>
    <w:basedOn w:val="Normal"/>
    <w:next w:val="Normal"/>
    <w:qFormat/>
    <w:rsid w:val="00FB29FC"/>
    <w:pPr>
      <w:spacing w:before="240"/>
    </w:pPr>
  </w:style>
  <w:style w:type="paragraph" w:customStyle="1" w:styleId="Footnotes">
    <w:name w:val="Footnotes"/>
    <w:basedOn w:val="Normal"/>
    <w:qFormat/>
    <w:rsid w:val="00FB29FC"/>
    <w:pPr>
      <w:spacing w:before="120"/>
      <w:ind w:left="482" w:hanging="482"/>
      <w:contextualSpacing/>
    </w:pPr>
    <w:rPr>
      <w:sz w:val="22"/>
    </w:rPr>
  </w:style>
  <w:style w:type="paragraph" w:customStyle="1" w:styleId="Notesoncontributors">
    <w:name w:val="Notes on contributors"/>
    <w:basedOn w:val="Normal"/>
    <w:qFormat/>
    <w:rsid w:val="00F04900"/>
    <w:pPr>
      <w:spacing w:before="240"/>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2C54DC"/>
    <w:pPr>
      <w:widowControl w:val="0"/>
      <w:spacing w:before="240"/>
    </w:pPr>
  </w:style>
  <w:style w:type="paragraph" w:customStyle="1" w:styleId="Newparagraph">
    <w:name w:val="New paragraph"/>
    <w:basedOn w:val="Normal"/>
    <w:qFormat/>
    <w:rsid w:val="000A67E3"/>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A43A84"/>
    <w:rPr>
      <w:rFonts w:cs="Arial"/>
      <w:b/>
      <w:bCs/>
      <w:i/>
      <w:iCs/>
      <w:sz w:val="24"/>
      <w:szCs w:val="28"/>
    </w:rPr>
  </w:style>
  <w:style w:type="character" w:customStyle="1" w:styleId="Heading1Char">
    <w:name w:val="Heading 1 Char"/>
    <w:basedOn w:val="DefaultParagraphFont"/>
    <w:link w:val="Heading1"/>
    <w:rsid w:val="00D214D9"/>
    <w:rPr>
      <w:rFonts w:cs="Arial"/>
      <w:b/>
      <w:bCs/>
      <w:kern w:val="32"/>
      <w:sz w:val="24"/>
      <w:szCs w:val="32"/>
    </w:rPr>
  </w:style>
  <w:style w:type="character" w:customStyle="1" w:styleId="Heading3Char">
    <w:name w:val="Heading 3 Char"/>
    <w:basedOn w:val="DefaultParagraphFont"/>
    <w:link w:val="Heading3"/>
    <w:rsid w:val="00FB29FC"/>
    <w:rPr>
      <w:rFonts w:cs="Arial"/>
      <w:bCs/>
      <w:i/>
      <w:sz w:val="24"/>
      <w:szCs w:val="26"/>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FB29FC"/>
    <w:pPr>
      <w:widowControl/>
      <w:spacing w:before="360"/>
    </w:pPr>
    <w:rPr>
      <w:i/>
    </w:rPr>
  </w:style>
  <w:style w:type="paragraph" w:styleId="Title">
    <w:name w:val="Title"/>
    <w:basedOn w:val="Normal"/>
    <w:next w:val="Normal"/>
    <w:link w:val="TitleChar"/>
    <w:uiPriority w:val="10"/>
    <w:qFormat/>
    <w:rsid w:val="00FB29FC"/>
    <w:pPr>
      <w:spacing w:line="240" w:lineRule="auto"/>
      <w:ind w:right="295"/>
      <w:contextualSpacing/>
    </w:pPr>
    <w:rPr>
      <w:rFonts w:eastAsiaTheme="majorEastAsia"/>
      <w:b/>
      <w:spacing w:val="-10"/>
      <w:kern w:val="28"/>
      <w:sz w:val="28"/>
      <w:szCs w:val="56"/>
      <w:lang w:eastAsia="en-US"/>
    </w:rPr>
  </w:style>
  <w:style w:type="character" w:customStyle="1" w:styleId="TitleChar">
    <w:name w:val="Title Char"/>
    <w:basedOn w:val="DefaultParagraphFont"/>
    <w:link w:val="Title"/>
    <w:uiPriority w:val="10"/>
    <w:rsid w:val="00FB29FC"/>
    <w:rPr>
      <w:rFonts w:eastAsiaTheme="majorEastAsia"/>
      <w:b/>
      <w:spacing w:val="-10"/>
      <w:kern w:val="28"/>
      <w:sz w:val="28"/>
      <w:szCs w:val="56"/>
      <w:lang w:eastAsia="en-US"/>
    </w:rPr>
  </w:style>
  <w:style w:type="paragraph" w:styleId="BodyText">
    <w:name w:val="Body Text"/>
    <w:basedOn w:val="Normal"/>
    <w:link w:val="BodyTextChar"/>
    <w:uiPriority w:val="1"/>
    <w:unhideWhenUsed/>
    <w:qFormat/>
    <w:rsid w:val="00055BDD"/>
    <w:pPr>
      <w:widowControl w:val="0"/>
      <w:spacing w:after="240"/>
      <w:ind w:right="295"/>
    </w:pPr>
    <w:rPr>
      <w:rFonts w:eastAsia="Arial" w:cstheme="minorHAnsi"/>
      <w:sz w:val="22"/>
      <w:szCs w:val="22"/>
      <w:lang w:val="en-US" w:eastAsia="en-US"/>
    </w:rPr>
  </w:style>
  <w:style w:type="character" w:customStyle="1" w:styleId="BodyTextChar">
    <w:name w:val="Body Text Char"/>
    <w:basedOn w:val="DefaultParagraphFont"/>
    <w:link w:val="BodyText"/>
    <w:uiPriority w:val="1"/>
    <w:rsid w:val="00055BDD"/>
    <w:rPr>
      <w:rFonts w:eastAsia="Arial" w:cstheme="minorHAnsi"/>
      <w:sz w:val="22"/>
      <w:szCs w:val="22"/>
      <w:lang w:val="en-US" w:eastAsia="en-US"/>
    </w:rPr>
  </w:style>
  <w:style w:type="table" w:styleId="TableGrid">
    <w:name w:val="Table Grid"/>
    <w:basedOn w:val="TableNormal"/>
    <w:uiPriority w:val="39"/>
    <w:rsid w:val="00055BDD"/>
    <w:pPr>
      <w:ind w:right="295"/>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2132B"/>
    <w:pPr>
      <w:ind w:right="295"/>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317D9"/>
    <w:pPr>
      <w:spacing w:after="240"/>
      <w:ind w:left="720" w:right="295"/>
      <w:contextualSpacing/>
    </w:pPr>
    <w:rPr>
      <w:rFonts w:eastAsiaTheme="minorHAnsi"/>
      <w:sz w:val="22"/>
      <w:szCs w:val="22"/>
      <w:lang w:eastAsia="en-US"/>
    </w:rPr>
  </w:style>
  <w:style w:type="paragraph" w:styleId="Caption">
    <w:name w:val="caption"/>
    <w:basedOn w:val="Normal"/>
    <w:next w:val="Normal"/>
    <w:uiPriority w:val="35"/>
    <w:unhideWhenUsed/>
    <w:qFormat/>
    <w:rsid w:val="00355BE1"/>
    <w:pPr>
      <w:spacing w:after="200" w:line="240" w:lineRule="auto"/>
      <w:ind w:right="295"/>
    </w:pPr>
    <w:rPr>
      <w:rFonts w:eastAsiaTheme="minorHAnsi"/>
      <w:i/>
      <w:iCs/>
      <w:color w:val="1F497D" w:themeColor="text2"/>
      <w:sz w:val="18"/>
      <w:szCs w:val="18"/>
      <w:lang w:eastAsia="en-US"/>
    </w:rPr>
  </w:style>
  <w:style w:type="paragraph" w:styleId="BalloonText">
    <w:name w:val="Balloon Text"/>
    <w:basedOn w:val="Normal"/>
    <w:link w:val="BalloonTextChar"/>
    <w:semiHidden/>
    <w:unhideWhenUsed/>
    <w:rsid w:val="00A83B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83B30"/>
    <w:rPr>
      <w:rFonts w:ascii="Segoe UI" w:hAnsi="Segoe UI" w:cs="Segoe UI"/>
      <w:sz w:val="18"/>
      <w:szCs w:val="18"/>
    </w:rPr>
  </w:style>
  <w:style w:type="character" w:styleId="Hyperlink">
    <w:name w:val="Hyperlink"/>
    <w:basedOn w:val="DefaultParagraphFont"/>
    <w:unhideWhenUsed/>
    <w:rsid w:val="004D2DD1"/>
    <w:rPr>
      <w:color w:val="0000FF" w:themeColor="hyperlink"/>
      <w:u w:val="single"/>
    </w:rPr>
  </w:style>
  <w:style w:type="character" w:customStyle="1" w:styleId="UnresolvedMention1">
    <w:name w:val="Unresolved Mention1"/>
    <w:basedOn w:val="DefaultParagraphFont"/>
    <w:uiPriority w:val="99"/>
    <w:semiHidden/>
    <w:unhideWhenUsed/>
    <w:rsid w:val="004D2DD1"/>
    <w:rPr>
      <w:color w:val="605E5C"/>
      <w:shd w:val="clear" w:color="auto" w:fill="E1DFDD"/>
    </w:rPr>
  </w:style>
  <w:style w:type="character" w:styleId="CommentReference">
    <w:name w:val="annotation reference"/>
    <w:basedOn w:val="DefaultParagraphFont"/>
    <w:semiHidden/>
    <w:unhideWhenUsed/>
    <w:rsid w:val="00FC0C47"/>
    <w:rPr>
      <w:sz w:val="16"/>
      <w:szCs w:val="16"/>
    </w:rPr>
  </w:style>
  <w:style w:type="paragraph" w:styleId="CommentText">
    <w:name w:val="annotation text"/>
    <w:basedOn w:val="Normal"/>
    <w:link w:val="CommentTextChar"/>
    <w:unhideWhenUsed/>
    <w:rsid w:val="00FC0C47"/>
    <w:pPr>
      <w:spacing w:line="240" w:lineRule="auto"/>
    </w:pPr>
    <w:rPr>
      <w:sz w:val="20"/>
      <w:szCs w:val="20"/>
    </w:rPr>
  </w:style>
  <w:style w:type="character" w:customStyle="1" w:styleId="CommentTextChar">
    <w:name w:val="Comment Text Char"/>
    <w:basedOn w:val="DefaultParagraphFont"/>
    <w:link w:val="CommentText"/>
    <w:rsid w:val="00FC0C47"/>
  </w:style>
  <w:style w:type="paragraph" w:styleId="CommentSubject">
    <w:name w:val="annotation subject"/>
    <w:basedOn w:val="CommentText"/>
    <w:next w:val="CommentText"/>
    <w:link w:val="CommentSubjectChar"/>
    <w:semiHidden/>
    <w:unhideWhenUsed/>
    <w:rsid w:val="00FC0C47"/>
    <w:rPr>
      <w:b/>
      <w:bCs/>
    </w:rPr>
  </w:style>
  <w:style w:type="character" w:customStyle="1" w:styleId="CommentSubjectChar">
    <w:name w:val="Comment Subject Char"/>
    <w:basedOn w:val="CommentTextChar"/>
    <w:link w:val="CommentSubject"/>
    <w:semiHidden/>
    <w:rsid w:val="00FC0C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6693">
      <w:bodyDiv w:val="1"/>
      <w:marLeft w:val="0"/>
      <w:marRight w:val="0"/>
      <w:marTop w:val="0"/>
      <w:marBottom w:val="0"/>
      <w:divBdr>
        <w:top w:val="none" w:sz="0" w:space="0" w:color="auto"/>
        <w:left w:val="none" w:sz="0" w:space="0" w:color="auto"/>
        <w:bottom w:val="none" w:sz="0" w:space="0" w:color="auto"/>
        <w:right w:val="none" w:sz="0" w:space="0" w:color="auto"/>
      </w:divBdr>
    </w:div>
    <w:div w:id="27028517">
      <w:bodyDiv w:val="1"/>
      <w:marLeft w:val="0"/>
      <w:marRight w:val="0"/>
      <w:marTop w:val="0"/>
      <w:marBottom w:val="0"/>
      <w:divBdr>
        <w:top w:val="none" w:sz="0" w:space="0" w:color="auto"/>
        <w:left w:val="none" w:sz="0" w:space="0" w:color="auto"/>
        <w:bottom w:val="none" w:sz="0" w:space="0" w:color="auto"/>
        <w:right w:val="none" w:sz="0" w:space="0" w:color="auto"/>
      </w:divBdr>
    </w:div>
    <w:div w:id="66002357">
      <w:bodyDiv w:val="1"/>
      <w:marLeft w:val="0"/>
      <w:marRight w:val="0"/>
      <w:marTop w:val="0"/>
      <w:marBottom w:val="0"/>
      <w:divBdr>
        <w:top w:val="none" w:sz="0" w:space="0" w:color="auto"/>
        <w:left w:val="none" w:sz="0" w:space="0" w:color="auto"/>
        <w:bottom w:val="none" w:sz="0" w:space="0" w:color="auto"/>
        <w:right w:val="none" w:sz="0" w:space="0" w:color="auto"/>
      </w:divBdr>
    </w:div>
    <w:div w:id="254873471">
      <w:bodyDiv w:val="1"/>
      <w:marLeft w:val="0"/>
      <w:marRight w:val="0"/>
      <w:marTop w:val="0"/>
      <w:marBottom w:val="0"/>
      <w:divBdr>
        <w:top w:val="none" w:sz="0" w:space="0" w:color="auto"/>
        <w:left w:val="none" w:sz="0" w:space="0" w:color="auto"/>
        <w:bottom w:val="none" w:sz="0" w:space="0" w:color="auto"/>
        <w:right w:val="none" w:sz="0" w:space="0" w:color="auto"/>
      </w:divBdr>
    </w:div>
    <w:div w:id="257104552">
      <w:bodyDiv w:val="1"/>
      <w:marLeft w:val="0"/>
      <w:marRight w:val="0"/>
      <w:marTop w:val="0"/>
      <w:marBottom w:val="0"/>
      <w:divBdr>
        <w:top w:val="none" w:sz="0" w:space="0" w:color="auto"/>
        <w:left w:val="none" w:sz="0" w:space="0" w:color="auto"/>
        <w:bottom w:val="none" w:sz="0" w:space="0" w:color="auto"/>
        <w:right w:val="none" w:sz="0" w:space="0" w:color="auto"/>
      </w:divBdr>
    </w:div>
    <w:div w:id="353580644">
      <w:bodyDiv w:val="1"/>
      <w:marLeft w:val="0"/>
      <w:marRight w:val="0"/>
      <w:marTop w:val="0"/>
      <w:marBottom w:val="0"/>
      <w:divBdr>
        <w:top w:val="none" w:sz="0" w:space="0" w:color="auto"/>
        <w:left w:val="none" w:sz="0" w:space="0" w:color="auto"/>
        <w:bottom w:val="none" w:sz="0" w:space="0" w:color="auto"/>
        <w:right w:val="none" w:sz="0" w:space="0" w:color="auto"/>
      </w:divBdr>
    </w:div>
    <w:div w:id="473530351">
      <w:bodyDiv w:val="1"/>
      <w:marLeft w:val="0"/>
      <w:marRight w:val="0"/>
      <w:marTop w:val="0"/>
      <w:marBottom w:val="0"/>
      <w:divBdr>
        <w:top w:val="none" w:sz="0" w:space="0" w:color="auto"/>
        <w:left w:val="none" w:sz="0" w:space="0" w:color="auto"/>
        <w:bottom w:val="none" w:sz="0" w:space="0" w:color="auto"/>
        <w:right w:val="none" w:sz="0" w:space="0" w:color="auto"/>
      </w:divBdr>
    </w:div>
    <w:div w:id="612324772">
      <w:bodyDiv w:val="1"/>
      <w:marLeft w:val="0"/>
      <w:marRight w:val="0"/>
      <w:marTop w:val="0"/>
      <w:marBottom w:val="0"/>
      <w:divBdr>
        <w:top w:val="none" w:sz="0" w:space="0" w:color="auto"/>
        <w:left w:val="none" w:sz="0" w:space="0" w:color="auto"/>
        <w:bottom w:val="none" w:sz="0" w:space="0" w:color="auto"/>
        <w:right w:val="none" w:sz="0" w:space="0" w:color="auto"/>
      </w:divBdr>
    </w:div>
    <w:div w:id="626936986">
      <w:bodyDiv w:val="1"/>
      <w:marLeft w:val="0"/>
      <w:marRight w:val="0"/>
      <w:marTop w:val="0"/>
      <w:marBottom w:val="0"/>
      <w:divBdr>
        <w:top w:val="none" w:sz="0" w:space="0" w:color="auto"/>
        <w:left w:val="none" w:sz="0" w:space="0" w:color="auto"/>
        <w:bottom w:val="none" w:sz="0" w:space="0" w:color="auto"/>
        <w:right w:val="none" w:sz="0" w:space="0" w:color="auto"/>
      </w:divBdr>
    </w:div>
    <w:div w:id="654988129">
      <w:bodyDiv w:val="1"/>
      <w:marLeft w:val="0"/>
      <w:marRight w:val="0"/>
      <w:marTop w:val="0"/>
      <w:marBottom w:val="0"/>
      <w:divBdr>
        <w:top w:val="none" w:sz="0" w:space="0" w:color="auto"/>
        <w:left w:val="none" w:sz="0" w:space="0" w:color="auto"/>
        <w:bottom w:val="none" w:sz="0" w:space="0" w:color="auto"/>
        <w:right w:val="none" w:sz="0" w:space="0" w:color="auto"/>
      </w:divBdr>
    </w:div>
    <w:div w:id="85053141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08300173">
      <w:bodyDiv w:val="1"/>
      <w:marLeft w:val="0"/>
      <w:marRight w:val="0"/>
      <w:marTop w:val="0"/>
      <w:marBottom w:val="0"/>
      <w:divBdr>
        <w:top w:val="none" w:sz="0" w:space="0" w:color="auto"/>
        <w:left w:val="none" w:sz="0" w:space="0" w:color="auto"/>
        <w:bottom w:val="none" w:sz="0" w:space="0" w:color="auto"/>
        <w:right w:val="none" w:sz="0" w:space="0" w:color="auto"/>
      </w:divBdr>
    </w:div>
    <w:div w:id="1451313910">
      <w:bodyDiv w:val="1"/>
      <w:marLeft w:val="0"/>
      <w:marRight w:val="0"/>
      <w:marTop w:val="0"/>
      <w:marBottom w:val="0"/>
      <w:divBdr>
        <w:top w:val="none" w:sz="0" w:space="0" w:color="auto"/>
        <w:left w:val="none" w:sz="0" w:space="0" w:color="auto"/>
        <w:bottom w:val="none" w:sz="0" w:space="0" w:color="auto"/>
        <w:right w:val="none" w:sz="0" w:space="0" w:color="auto"/>
      </w:divBdr>
    </w:div>
    <w:div w:id="1676108568">
      <w:bodyDiv w:val="1"/>
      <w:marLeft w:val="0"/>
      <w:marRight w:val="0"/>
      <w:marTop w:val="0"/>
      <w:marBottom w:val="0"/>
      <w:divBdr>
        <w:top w:val="none" w:sz="0" w:space="0" w:color="auto"/>
        <w:left w:val="none" w:sz="0" w:space="0" w:color="auto"/>
        <w:bottom w:val="none" w:sz="0" w:space="0" w:color="auto"/>
        <w:right w:val="none" w:sz="0" w:space="0" w:color="auto"/>
      </w:divBdr>
    </w:div>
    <w:div w:id="1679891128">
      <w:bodyDiv w:val="1"/>
      <w:marLeft w:val="0"/>
      <w:marRight w:val="0"/>
      <w:marTop w:val="0"/>
      <w:marBottom w:val="0"/>
      <w:divBdr>
        <w:top w:val="none" w:sz="0" w:space="0" w:color="auto"/>
        <w:left w:val="none" w:sz="0" w:space="0" w:color="auto"/>
        <w:bottom w:val="none" w:sz="0" w:space="0" w:color="auto"/>
        <w:right w:val="none" w:sz="0" w:space="0" w:color="auto"/>
      </w:divBdr>
    </w:div>
    <w:div w:id="1798841160">
      <w:bodyDiv w:val="1"/>
      <w:marLeft w:val="0"/>
      <w:marRight w:val="0"/>
      <w:marTop w:val="0"/>
      <w:marBottom w:val="0"/>
      <w:divBdr>
        <w:top w:val="none" w:sz="0" w:space="0" w:color="auto"/>
        <w:left w:val="none" w:sz="0" w:space="0" w:color="auto"/>
        <w:bottom w:val="none" w:sz="0" w:space="0" w:color="auto"/>
        <w:right w:val="none" w:sz="0" w:space="0" w:color="auto"/>
      </w:divBdr>
    </w:div>
    <w:div w:id="200023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ymmetricpartnership.co.uk/userfiles/Documents/13Influencing_and_Interpreting_Health_and_Social_Care_Policy_in_the_UK.pdf"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1u16\AppData\Roaming\Microsoft\Templates\UOS%20Templates\TF_Template_Word_Windows_2016.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91477243198835"/>
          <c:y val="3.4685135294391718E-2"/>
          <c:w val="0.85202259090536347"/>
          <c:h val="0.66464951508487868"/>
        </c:manualLayout>
      </c:layout>
      <c:barChart>
        <c:barDir val="col"/>
        <c:grouping val="clustered"/>
        <c:varyColors val="0"/>
        <c:ser>
          <c:idx val="0"/>
          <c:order val="0"/>
          <c:tx>
            <c:strRef>
              <c:f>'[Chart in Microsoft Word]SUMMARY'!$C$48</c:f>
              <c:strCache>
                <c:ptCount val="1"/>
                <c:pt idx="0">
                  <c:v>Average Occupancy of Residential Care Home Space</c:v>
                </c:pt>
              </c:strCache>
            </c:strRef>
          </c:tx>
          <c:spPr>
            <a:solidFill>
              <a:schemeClr val="tx2">
                <a:alpha val="65000"/>
              </a:schemeClr>
            </a:solidFill>
            <a:ln w="25400">
              <a:solidFill>
                <a:schemeClr val="tx2"/>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'[Chart in Microsoft Word]SUMMARY'!$D$1:$I$2</c:f>
              <c:multiLvlStrCache>
                <c:ptCount val="6"/>
                <c:lvl>
                  <c:pt idx="0">
                    <c:v>Option 1:         Basic Only</c:v>
                  </c:pt>
                  <c:pt idx="1">
                    <c:v>Option 2:         Complex Only</c:v>
                  </c:pt>
                  <c:pt idx="2">
                    <c:v>Option 3:        Basic and Complex</c:v>
                  </c:pt>
                  <c:pt idx="3">
                    <c:v>Option 1:         Basic Only</c:v>
                  </c:pt>
                  <c:pt idx="4">
                    <c:v>Option 2:         Complex Only</c:v>
                  </c:pt>
                  <c:pt idx="5">
                    <c:v>Option 3:        Basic and Complex</c:v>
                  </c:pt>
                </c:lvl>
                <c:lvl>
                  <c:pt idx="0">
                    <c:v>Conservative Scenario</c:v>
                  </c:pt>
                  <c:pt idx="3">
                    <c:v>Optimistic Scenario</c:v>
                  </c:pt>
                </c:lvl>
              </c:multiLvlStrCache>
            </c:multiLvlStrRef>
          </c:cat>
          <c:val>
            <c:numRef>
              <c:f>'[Chart in Microsoft Word]SUMMARY'!$D$55:$I$55</c:f>
              <c:numCache>
                <c:formatCode>0.00%</c:formatCode>
                <c:ptCount val="6"/>
                <c:pt idx="0">
                  <c:v>-8.4003680325736071E-3</c:v>
                </c:pt>
                <c:pt idx="1">
                  <c:v>-6.6357576784797541E-3</c:v>
                </c:pt>
                <c:pt idx="2">
                  <c:v>-1.4200924007525728E-2</c:v>
                </c:pt>
                <c:pt idx="3">
                  <c:v>-5.6863065102409786E-2</c:v>
                </c:pt>
                <c:pt idx="4">
                  <c:v>-4.5132379078224961E-2</c:v>
                </c:pt>
                <c:pt idx="5">
                  <c:v>-0.10158256879772305</c:v>
                </c:pt>
              </c:numCache>
            </c:numRef>
          </c:val>
          <c:extLst>
            <c:ext xmlns:c16="http://schemas.microsoft.com/office/drawing/2014/chart" uri="{C3380CC4-5D6E-409C-BE32-E72D297353CC}">
              <c16:uniqueId val="{00000000-8AF8-45F8-A2C4-2141FC1CD89D}"/>
            </c:ext>
          </c:extLst>
        </c:ser>
        <c:dLbls>
          <c:dLblPos val="outEnd"/>
          <c:showLegendKey val="0"/>
          <c:showVal val="1"/>
          <c:showCatName val="0"/>
          <c:showSerName val="0"/>
          <c:showPercent val="0"/>
          <c:showBubbleSize val="0"/>
        </c:dLbls>
        <c:gapWidth val="45"/>
        <c:overlap val="-9"/>
        <c:axId val="1615247952"/>
        <c:axId val="1606252752"/>
      </c:barChart>
      <c:catAx>
        <c:axId val="1615247952"/>
        <c:scaling>
          <c:orientation val="minMax"/>
        </c:scaling>
        <c:delete val="0"/>
        <c:axPos val="b"/>
        <c:numFmt formatCode="General" sourceLinked="1"/>
        <c:majorTickMark val="out"/>
        <c:minorTickMark val="none"/>
        <c:tickLblPos val="low"/>
        <c:spPr>
          <a:noFill/>
          <a:ln w="19050"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06252752"/>
        <c:crosses val="autoZero"/>
        <c:auto val="1"/>
        <c:lblAlgn val="ctr"/>
        <c:lblOffset val="100"/>
        <c:noMultiLvlLbl val="0"/>
      </c:catAx>
      <c:valAx>
        <c:axId val="16062527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15247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05750504445933"/>
          <c:y val="2.9931428063017549E-2"/>
          <c:w val="0.8393175733552195"/>
          <c:h val="0.74546173253767012"/>
        </c:manualLayout>
      </c:layout>
      <c:barChart>
        <c:barDir val="col"/>
        <c:grouping val="clustered"/>
        <c:varyColors val="0"/>
        <c:ser>
          <c:idx val="0"/>
          <c:order val="0"/>
          <c:spPr>
            <a:solidFill>
              <a:schemeClr val="accent1">
                <a:alpha val="78000"/>
              </a:schemeClr>
            </a:solidFill>
            <a:ln w="25400">
              <a:solidFill>
                <a:schemeClr val="tx2"/>
              </a:solidFill>
            </a:ln>
            <a:effectLst/>
          </c:spPr>
          <c:invertIfNegative val="0"/>
          <c:dPt>
            <c:idx val="4"/>
            <c:invertIfNegative val="0"/>
            <c:bubble3D val="0"/>
            <c:spPr>
              <a:solidFill>
                <a:schemeClr val="accent1">
                  <a:alpha val="78000"/>
                </a:schemeClr>
              </a:solidFill>
              <a:ln w="25400">
                <a:solidFill>
                  <a:schemeClr val="tx2"/>
                </a:solidFill>
              </a:ln>
              <a:effectLst/>
            </c:spPr>
            <c:extLst>
              <c:ext xmlns:c16="http://schemas.microsoft.com/office/drawing/2014/chart" uri="{C3380CC4-5D6E-409C-BE32-E72D297353CC}">
                <c16:uniqueId val="{00000001-2F39-4B1D-94CB-976A2C5A3C16}"/>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'Main simple cost'!$D$21:$I$22</c:f>
              <c:multiLvlStrCache>
                <c:ptCount val="6"/>
                <c:lvl>
                  <c:pt idx="0">
                    <c:v>Option 1: Basic Only</c:v>
                  </c:pt>
                  <c:pt idx="1">
                    <c:v>Option 2: Complex Only</c:v>
                  </c:pt>
                  <c:pt idx="2">
                    <c:v>Option 3:      Basic and Complex</c:v>
                  </c:pt>
                  <c:pt idx="3">
                    <c:v>Option 1: Basic Only</c:v>
                  </c:pt>
                  <c:pt idx="4">
                    <c:v>Option 2: Complex Only</c:v>
                  </c:pt>
                  <c:pt idx="5">
                    <c:v>Option 3: Basic and Complex</c:v>
                  </c:pt>
                </c:lvl>
                <c:lvl>
                  <c:pt idx="0">
                    <c:v>Conservative  Scenario</c:v>
                  </c:pt>
                  <c:pt idx="3">
                    <c:v>Optimistic Scenario</c:v>
                  </c:pt>
                </c:lvl>
              </c:multiLvlStrCache>
            </c:multiLvlStrRef>
          </c:cat>
          <c:val>
            <c:numRef>
              <c:f>'Main simple cost'!$D$29:$I$29</c:f>
              <c:numCache>
                <c:formatCode>0.00%</c:formatCode>
                <c:ptCount val="6"/>
                <c:pt idx="0">
                  <c:v>-1.3831762207159985E-2</c:v>
                </c:pt>
                <c:pt idx="1">
                  <c:v>-3.7543272499722634E-3</c:v>
                </c:pt>
                <c:pt idx="2">
                  <c:v>-1.6431027549761314E-2</c:v>
                </c:pt>
                <c:pt idx="3">
                  <c:v>-0.10933951917155876</c:v>
                </c:pt>
                <c:pt idx="4">
                  <c:v>-1.4667816547415943E-2</c:v>
                </c:pt>
                <c:pt idx="5">
                  <c:v>-0.12205546418507442</c:v>
                </c:pt>
              </c:numCache>
            </c:numRef>
          </c:val>
          <c:extLst>
            <c:ext xmlns:c16="http://schemas.microsoft.com/office/drawing/2014/chart" uri="{C3380CC4-5D6E-409C-BE32-E72D297353CC}">
              <c16:uniqueId val="{00000002-2F39-4B1D-94CB-976A2C5A3C16}"/>
            </c:ext>
          </c:extLst>
        </c:ser>
        <c:dLbls>
          <c:showLegendKey val="0"/>
          <c:showVal val="0"/>
          <c:showCatName val="0"/>
          <c:showSerName val="0"/>
          <c:showPercent val="0"/>
          <c:showBubbleSize val="0"/>
        </c:dLbls>
        <c:gapWidth val="58"/>
        <c:overlap val="-8"/>
        <c:axId val="573758976"/>
        <c:axId val="573759368"/>
      </c:barChart>
      <c:catAx>
        <c:axId val="573758976"/>
        <c:scaling>
          <c:orientation val="minMax"/>
        </c:scaling>
        <c:delete val="0"/>
        <c:axPos val="b"/>
        <c:numFmt formatCode="General" sourceLinked="1"/>
        <c:majorTickMark val="out"/>
        <c:minorTickMark val="none"/>
        <c:tickLblPos val="low"/>
        <c:spPr>
          <a:noFill/>
          <a:ln w="1905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3759368"/>
        <c:crosses val="autoZero"/>
        <c:auto val="1"/>
        <c:lblAlgn val="ctr"/>
        <c:lblOffset val="100"/>
        <c:noMultiLvlLbl val="0"/>
      </c:catAx>
      <c:valAx>
        <c:axId val="5737593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37589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66DBF9358D642977308E8BDD41417" ma:contentTypeVersion="8" ma:contentTypeDescription="Create a new document." ma:contentTypeScope="" ma:versionID="86d94ac71dfed464955c8cd5d308216e">
  <xsd:schema xmlns:xsd="http://www.w3.org/2001/XMLSchema" xmlns:xs="http://www.w3.org/2001/XMLSchema" xmlns:p="http://schemas.microsoft.com/office/2006/metadata/properties" xmlns:ns3="fed8f4de-1979-4fb9-a8ab-e10013d9b191" xmlns:ns4="d2b051c3-6f16-470c-8cbb-8607e45d60ca" targetNamespace="http://schemas.microsoft.com/office/2006/metadata/properties" ma:root="true" ma:fieldsID="ab022c719633e46a8475e5e0740f213f" ns3:_="" ns4:_="">
    <xsd:import namespace="fed8f4de-1979-4fb9-a8ab-e10013d9b191"/>
    <xsd:import namespace="d2b051c3-6f16-470c-8cbb-8607e45d60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8f4de-1979-4fb9-a8ab-e10013d9b1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051c3-6f16-470c-8cbb-8607e45d60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77BD8-042B-4DAE-B848-20F4548FE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8f4de-1979-4fb9-a8ab-e10013d9b191"/>
    <ds:schemaRef ds:uri="d2b051c3-6f16-470c-8cbb-8607e45d6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D1106-BA3F-4487-B0A4-5C2E94BA03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FD27D1-58BA-41F0-9CA7-4C94DF22AC0B}">
  <ds:schemaRefs>
    <ds:schemaRef ds:uri="http://schemas.microsoft.com/sharepoint/v3/contenttype/forms"/>
  </ds:schemaRefs>
</ds:datastoreItem>
</file>

<file path=customXml/itemProps4.xml><?xml version="1.0" encoding="utf-8"?>
<ds:datastoreItem xmlns:ds="http://schemas.openxmlformats.org/officeDocument/2006/customXml" ds:itemID="{F2548BAA-6BFA-4122-9374-F0E1B9EB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1</TotalTime>
  <Pages>30</Pages>
  <Words>18098</Words>
  <Characters>103160</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121016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Katherine Gale</dc:creator>
  <cp:lastModifiedBy>Steffen Bayer</cp:lastModifiedBy>
  <cp:revision>3</cp:revision>
  <cp:lastPrinted>2021-05-06T18:00:00Z</cp:lastPrinted>
  <dcterms:created xsi:type="dcterms:W3CDTF">2021-12-12T18:42:00Z</dcterms:created>
  <dcterms:modified xsi:type="dcterms:W3CDTF">2021-12-12T18:52:00Z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0x010100A1F66DBF9358D642977308E8BDD41417</vt:lpwstr>
  </property>
</Properties>
</file>