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45798" w14:textId="77777777" w:rsidR="00080FA7" w:rsidRPr="00151ED6" w:rsidRDefault="00080FA7" w:rsidP="00A23A4E">
      <w:pPr>
        <w:pStyle w:val="Normal11ptjustified"/>
        <w:spacing w:line="360" w:lineRule="auto"/>
        <w:jc w:val="center"/>
        <w:rPr>
          <w:sz w:val="24"/>
          <w:szCs w:val="24"/>
        </w:rPr>
      </w:pPr>
      <w:r>
        <w:rPr>
          <w:sz w:val="24"/>
          <w:szCs w:val="24"/>
        </w:rPr>
        <w:t>Supplementary Information for: FLAME OUT! END-TRIASSIC MASS EXTINCTION POLYCYCLIC AROMATIC HYDROCARBONS REFLECT MORE THAN FIRE</w:t>
      </w:r>
    </w:p>
    <w:p w14:paraId="6BB11132" w14:textId="62DCF14B" w:rsidR="00080FA7" w:rsidRPr="00A23AE6" w:rsidRDefault="00080FA7" w:rsidP="00251F02">
      <w:pPr>
        <w:pStyle w:val="Authors"/>
        <w:spacing w:line="360" w:lineRule="auto"/>
      </w:pPr>
      <w:r w:rsidRPr="00A23AE6">
        <w:rPr>
          <w:b/>
        </w:rPr>
        <w:t>Authors:</w:t>
      </w:r>
      <w:r w:rsidRPr="00A23AE6">
        <w:t xml:space="preserve"> C. P</w:t>
      </w:r>
      <w:r>
        <w:t>.</w:t>
      </w:r>
      <w:r w:rsidRPr="00A23AE6">
        <w:t xml:space="preserve"> Fox</w:t>
      </w:r>
      <w:r w:rsidRPr="00A23AE6">
        <w:rPr>
          <w:vertAlign w:val="superscript"/>
        </w:rPr>
        <w:t>1</w:t>
      </w:r>
      <w:r>
        <w:rPr>
          <w:vertAlign w:val="superscript"/>
        </w:rPr>
        <w:t>#</w:t>
      </w:r>
      <w:r w:rsidRPr="00A23AE6">
        <w:rPr>
          <w:vertAlign w:val="superscript"/>
        </w:rPr>
        <w:t>*</w:t>
      </w:r>
      <w:r w:rsidRPr="00A23AE6">
        <w:t>, J. H. Whiteside</w:t>
      </w:r>
      <w:r w:rsidRPr="00A23AE6">
        <w:rPr>
          <w:vertAlign w:val="superscript"/>
        </w:rPr>
        <w:t>2</w:t>
      </w:r>
      <w:r w:rsidRPr="00A23AE6">
        <w:t>, P. E. Olsen</w:t>
      </w:r>
      <w:r w:rsidRPr="00A23AE6">
        <w:rPr>
          <w:vertAlign w:val="superscript"/>
        </w:rPr>
        <w:t>3</w:t>
      </w:r>
      <w:r w:rsidRPr="00A23AE6">
        <w:t>, K. Grice</w:t>
      </w:r>
      <w:r>
        <w:rPr>
          <w:vertAlign w:val="superscript"/>
        </w:rPr>
        <w:t>1</w:t>
      </w:r>
    </w:p>
    <w:p w14:paraId="02EDA719" w14:textId="77777777" w:rsidR="00080FA7" w:rsidRDefault="00080FA7" w:rsidP="00251F02">
      <w:pPr>
        <w:pStyle w:val="AbstractSummary"/>
        <w:spacing w:line="360" w:lineRule="auto"/>
        <w:jc w:val="both"/>
        <w:rPr>
          <w:b/>
        </w:rPr>
      </w:pPr>
    </w:p>
    <w:p w14:paraId="72302E57" w14:textId="77777777" w:rsidR="00080FA7" w:rsidRPr="00080FA7" w:rsidRDefault="00080FA7" w:rsidP="00251F02">
      <w:pPr>
        <w:pStyle w:val="AbstractSummary"/>
        <w:spacing w:line="360" w:lineRule="auto"/>
        <w:jc w:val="both"/>
      </w:pPr>
      <w:r>
        <w:rPr>
          <w:b/>
        </w:rPr>
        <w:t>Bristol Channel Basin, southwest UK</w:t>
      </w:r>
    </w:p>
    <w:p w14:paraId="426BE8F4" w14:textId="6B2FC9E2" w:rsidR="002E576A" w:rsidRDefault="00080FA7" w:rsidP="00251F0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St. Audrie’s Bay and Lilstock outcrops in the Bristol Channel Basin, SW UK, are within close </w:t>
      </w:r>
      <w:r w:rsidR="00074285">
        <w:rPr>
          <w:rFonts w:ascii="Times New Roman" w:hAnsi="Times New Roman" w:cs="Times New Roman"/>
          <w:sz w:val="24"/>
          <w:szCs w:val="24"/>
        </w:rPr>
        <w:t xml:space="preserve">geographic </w:t>
      </w:r>
      <w:r>
        <w:rPr>
          <w:rFonts w:ascii="Times New Roman" w:hAnsi="Times New Roman" w:cs="Times New Roman"/>
          <w:sz w:val="24"/>
          <w:szCs w:val="24"/>
        </w:rPr>
        <w:t xml:space="preserve">proximity to </w:t>
      </w:r>
      <w:r w:rsidR="00074285">
        <w:rPr>
          <w:rFonts w:ascii="Times New Roman" w:hAnsi="Times New Roman" w:cs="Times New Roman"/>
          <w:sz w:val="24"/>
          <w:szCs w:val="24"/>
        </w:rPr>
        <w:t xml:space="preserve">each </w:t>
      </w:r>
      <w:r>
        <w:rPr>
          <w:rFonts w:ascii="Times New Roman" w:hAnsi="Times New Roman" w:cs="Times New Roman"/>
          <w:sz w:val="24"/>
          <w:szCs w:val="24"/>
        </w:rPr>
        <w:t xml:space="preserve">another, being approximately </w:t>
      </w:r>
      <w:r w:rsidR="002E576A">
        <w:rPr>
          <w:rFonts w:ascii="Times New Roman" w:hAnsi="Times New Roman" w:cs="Times New Roman"/>
          <w:sz w:val="24"/>
          <w:szCs w:val="24"/>
        </w:rPr>
        <w:t>7</w:t>
      </w:r>
      <w:r w:rsidR="002E576A">
        <w:rPr>
          <w:rFonts w:ascii="Times New Roman" w:hAnsi="Times New Roman" w:cs="Times New Roman"/>
          <w:sz w:val="24"/>
          <w:szCs w:val="24"/>
        </w:rPr>
        <w:t xml:space="preserve"> </w:t>
      </w:r>
      <w:r>
        <w:rPr>
          <w:rFonts w:ascii="Times New Roman" w:hAnsi="Times New Roman" w:cs="Times New Roman"/>
          <w:sz w:val="24"/>
          <w:szCs w:val="24"/>
        </w:rPr>
        <w:t xml:space="preserve">km part. The lithology between sections (Fig. S1) is so similar that comparisons between sections can be </w:t>
      </w:r>
      <w:r w:rsidR="00074285">
        <w:rPr>
          <w:rFonts w:ascii="Times New Roman" w:hAnsi="Times New Roman" w:cs="Times New Roman"/>
          <w:sz w:val="24"/>
          <w:szCs w:val="24"/>
        </w:rPr>
        <w:t xml:space="preserve">made </w:t>
      </w:r>
      <w:r>
        <w:rPr>
          <w:rFonts w:ascii="Times New Roman" w:hAnsi="Times New Roman" w:cs="Times New Roman"/>
          <w:sz w:val="24"/>
          <w:szCs w:val="24"/>
        </w:rPr>
        <w:t>without the aid of biostratigraphy and isotope geochemistry.</w:t>
      </w:r>
    </w:p>
    <w:p w14:paraId="6DC05880" w14:textId="77777777" w:rsidR="002839F2" w:rsidRDefault="002E576A" w:rsidP="002839F2">
      <w:pPr>
        <w:pStyle w:val="AbstractSummary"/>
        <w:spacing w:line="360" w:lineRule="auto"/>
        <w:ind w:firstLine="360"/>
        <w:jc w:val="both"/>
      </w:pPr>
      <w:r>
        <w:t xml:space="preserve">The Bristol Channel Basin, SW UK that includes the St. Audrie’s Bay (51.182833°, -3.286000°) and Lilstock (51.200757°, -3.176389°) sections, is well characterized in terms of paleontology, palynology </w:t>
      </w:r>
      <w:r>
        <w:fldChar w:fldCharType="begin" w:fldLock="1"/>
      </w:r>
      <w:r>
        <w:instrText>ADDIN CSL_CITATION {"citationItems":[{"id":"ITEM-1","itemData":{"author":[{"dropping-particle":"","family":"Warrington","given":"G","non-dropping-particle":"","parse-names":false,"suffix":""},{"dropping-particle":"","family":"Cope","given":"J C W","non-dropping-particle":"","parse-names":false,"suffix":""},{"dropping-particle":"","family":"Ivimey-Cook","given":"H C","non-dropping-particle":"","parse-names":false,"suffix":""}],"container-title":"International Subcommission on Jurassic Stratigraphy Newsletter","id":"ITEM-1","issued":{"date-parts":[["2008"]]},"page":"2-66","title":"The St Audrie's Bay-Doniford Bay section, Somerset, England: updated proposal for a candidate Global Stratotype Section and Point for the base of the Hettangian Stage, and of the Jurassic System","type":"article-journal","volume":"35"},"uris":["http://www.mendeley.com/documents/?uuid=f5ef3c97-370a-4e42-afa4-9f31faa3c2de"]},{"id":"ITEM-2","itemData":{"DOI":"10.1144/0016-76492007-029","ISSN":"0016-7649","abstract":"A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Society","id":"ITEM-2","issue":"1","issued":{"date-parts":[["2008","1","1"]]},"page":"319-332","title":"Palaeoecology of the Late Triassic extinction event in the SW UK","type":"article-journal","volume":"165"},"uris":["http://www.mendeley.com/documents/?uuid=c05ef9d0-7426-4ff6-b6f6-a9841453e18b"]}],"mendeley":{"formattedCitation":"(Mander et al., 2008; Warrington et al., 2008)","manualFormatting":"(Mander et al., 2008; Warrington et al., 2008 and refs therein; Bonis et al., 2010)","plainTextFormattedCitation":"(Mander et al., 2008; Warrington et al., 2008)","previouslyFormattedCitation":"(Mander et al., 2008; Warrington et al., 2008)"},"properties":{"noteIndex":0},"schema":"https://github.com/citation-style-language/schema/raw/master/csl-citation.json"}</w:instrText>
      </w:r>
      <w:r>
        <w:fldChar w:fldCharType="separate"/>
      </w:r>
      <w:r w:rsidRPr="002D1930">
        <w:rPr>
          <w:noProof/>
        </w:rPr>
        <w:t>(Mander et al., 2008; Warrington et al., 2008</w:t>
      </w:r>
      <w:r>
        <w:rPr>
          <w:noProof/>
        </w:rPr>
        <w:t xml:space="preserve"> and refs therein; Bonis et al., 2010</w:t>
      </w:r>
      <w:r w:rsidRPr="002D1930">
        <w:rPr>
          <w:noProof/>
        </w:rPr>
        <w:t>)</w:t>
      </w:r>
      <w:r>
        <w:fldChar w:fldCharType="end"/>
      </w:r>
      <w:r>
        <w:t xml:space="preserve">, and geochemistry </w:t>
      </w:r>
      <w:r>
        <w:fldChar w:fldCharType="begin" w:fldLock="1"/>
      </w:r>
      <w:r w:rsidR="00D97C1F">
        <w:instrText xml:space="preserve">ADDIN CSL_CITATION {"citationItems":[{"id":"ITEM-1","itemData":{"DOI":"10.1073/pnas.1917661117","abstract":"The end-Triassic mass extinction that occurred </w:instrText>
      </w:r>
      <w:r w:rsidR="00D97C1F">
        <w:rPr>
          <w:rFonts w:ascii="Cambria Math" w:hAnsi="Cambria Math" w:cs="Cambria Math"/>
        </w:rPr>
        <w:instrText>∼</w:instrText>
      </w:r>
      <w:r w:rsidR="00D97C1F">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-2","issued":{"date-parts":[["2022"]]},"title":"Two-pronged kill mechanism at the end-Triassic mass extinction","type":"article-journal"},"uris":["http://www.mendeley.com/documents/?uuid=037261d0-5628-4849-be97-7b88b33548f2"]},{"id":"ITEM-3","itemData":{"author":[{"dropping-particle":"","family":"Beith","given":"S. J.","non-dropping-particle":"","parse-names":false,"suffix":""},{"dropping-particle":"","family":"Fox","given":"Calum P","non-dropping-particle":"","parse-names":false,"suffix":""},{"dropping-particle":"","family":"Marshall","given":"John E. A.","non-dropping-particle":"","parse-names":false,"suffix":""},{"dropping-particle":"","family":"Whiteside","given":"Jessica H.","non-dropping-particle":"","parse-names":false,"suffix":""}],"container-title":"Palaeogeography, Palaeoclimatology, Palaeoecology (in press)","id":"ITEM-3","issued":{"date-parts":[["2021"]]},"title":"Persistent photic zone euxinia in the northwest Tethys impinged end-Triassic extinction recovery","type":"article-journal"},"uris":["http://www.mendeley.com/documents/?uuid=565f65c8-b0ec-4b26-97d0-76904e1fe01f"]},{"id":"ITEM-4","itemData":{"DOI":"10.1130/G34183.1","ISSN":"0091-7613","abstract":"The Late Triassic mass extinction event is the most severe global warming–related crisis to have affected important extant marine groups such as scleractinian corals, and offers potential insights into climate change scenarios. Here we present evidence from Chlorobi-derived biomarkers of episodic and persistent photic zone euxinia. From biomarkers and stable carbon isotopes, we present evidence of rapid mixing of atmospheric and oceanic carbon reservoirs. Global versus regional trends are resolved in kerogen organic matter type, carbonate δ13C, and bulk and pyrite δ34S. This suite of data demonstrates for the first time a comprehensive organic and stable isotope geochemical reconstruction of events leading up to the Late Triassic extinction event and its aftermath. The cascade of events prior to, during, and after the extinction is remarkably similar to those reported for the Late Permian extinction, the largest extinction event of the Phanerozoic. We predict that similar conditions will have occurred during all past episodes of rapid global warming and biotic crisis that are associated with similar rises in pCO2.","author":[{"dropping-particle":"","family":"Jaraula","given":"Caroline M B","non-dropping-particle":"","parse-names":false,"suffix":""},{"dropping-particle":"","family":"Grice","given":"Kliti","non-dropping-particle":"","parse-names":false,"suffix":""},{"dropping-particle":"","family":"Twitchett","given":"Richard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E","non-dropping-particle":"","parse-names":false,"suffix":""},{"dropping-particle":"","family":"LeMetayer","given":"Pierre","non-dropping-particle":"","parse-names":false,"suffix":""},{"dropping-particle":"","family":"Dastidar","given":"Apratim G","non-dropping-particle":"","parse-names":false,"suffix":""},{"dropping-particle":"","family":"Opazo","given":"L Felipe","non-dropping-particle":"","parse-names":false,"suffix":""}],"container-title":"Geology","id":"ITEM-4","issue":"9","issued":{"date-parts":[["2013","9","1"]]},"page":"955-958","title":"Elevated &lt;i&gt;p&lt;/i&gt;CO&lt;sub&gt;2&lt;/sub&gt; leading to Late Triassic extinction, persistent photic zone euxinia, and rising sea levels","type":"article-journal","volume":"41"},"uris":["http://www.mendeley.com/documents/?uuid=49b39731-a31f-49db-a76b-293f6e1bee2f"]}],"mendeley":{"formattedCitation":"(Beith et al., 2021; Fox et al., 2022, 2020; Jaraula et al., 2013)","plainTextFormattedCitation":"(Beith et al., 2021; Fox et al., 2022, 2020; Jaraula et al., 2013)","previouslyFormattedCitation":"(Beith et al., 2021; Fox et al., 2022, 2020; Jaraula et al., 2013)"},"properties":{"noteIndex":0},"schema":"https://github.com/citation-style-language/schema/raw/master/csl-citation.json"}</w:instrText>
      </w:r>
      <w:r>
        <w:fldChar w:fldCharType="separate"/>
      </w:r>
      <w:r w:rsidR="00173C4E" w:rsidRPr="00173C4E">
        <w:rPr>
          <w:noProof/>
        </w:rPr>
        <w:t>(Beith et al., 2021; Fox et al., 2022, 2020; Jaraula et al., 2013)</w:t>
      </w:r>
      <w:r>
        <w:fldChar w:fldCharType="end"/>
      </w:r>
      <w:r>
        <w:t xml:space="preserve">. Importantly, the St. Audrie’s Bay is a focal ETE section to which many records are compared. </w:t>
      </w:r>
      <w:r>
        <w:rPr>
          <w:lang w:val="en-GB"/>
        </w:rPr>
        <w:t xml:space="preserve">The </w:t>
      </w:r>
      <w:r>
        <w:t>St. Audrie’s Bay and Lilstock</w:t>
      </w:r>
      <w:r>
        <w:rPr>
          <w:lang w:val="en-GB"/>
        </w:rPr>
        <w:t xml:space="preserve"> sedimentary successions were located at ~31°N paleolatitude in the late Triassic/early Jurassic </w:t>
      </w:r>
      <w:r>
        <w:rPr>
          <w:lang w:val="en-GB"/>
        </w:rPr>
        <w:fldChar w:fldCharType="begin" w:fldLock="1"/>
      </w:r>
      <w:r>
        <w:rPr>
          <w:lang w:val="en-GB"/>
        </w:rPr>
        <w:instrText xml:space="preserve">ADDIN CSL_CITATION {"citationItems":[{"id":"ITEM-1","itemData":{"DOI":"10.1126/science.1105826","abstract":"We use a method based on a statistical geomagnetic field model to recognize and correct for inclination error in sedimentary rocks from early Mesozoic rift basins in North America, Greenland, and Europe. The congruence of the corrected sedimentary results and independent data from igneous rocks on a regional scale indicates that a geocentric axial dipole field operated in the Late Triassic. The corrected paleolatitudes indicate a faster poleward drift of </w:instrText>
      </w:r>
      <w:r>
        <w:rPr>
          <w:rFonts w:ascii="Cambria Math" w:hAnsi="Cambria Math" w:cs="Cambria Math"/>
          <w:lang w:val="en-GB"/>
        </w:rPr>
        <w:instrText>∼</w:instrText>
      </w:r>
      <w:r>
        <w:rPr>
          <w:lang w:val="en-GB"/>
        </w:rPr>
        <w:instrText>0.6 degrees per million years for this part of Pangea and suggest that the equatorial humid belt in the Late Triassic was about as wide as it is today.","author":[{"dropping-particle":"V","family":"Kent","given":"Dennis","non-dropping-particle":"","parse-names":false,"suffix":""},{"dropping-particle":"","family":"Tauxe","given":"Lisa","non-dropping-particle":"","parse-names":false,"suffix":""}],"container-title":"Science","id":"ITEM-1","issue":"5707","issued":{"date-parts":[["2005","1","14"]]},"page":"240 LP - 244","title":"Corrected Late Triassic Latitudes for Continents Adjacent to the North Atlantic","type":"article-journal","volume":"307"},"uris":["http://www.mendeley.com/documents/?uuid=fb68235d-d953-478c-8b56-fd63391bb3bb"]}],"mendeley":{"formattedCitation":"(Kent and Tauxe, 2005)","plainTextFormattedCitation":"(Kent and Tauxe, 2005)","previouslyFormattedCitation":"(Kent and Tauxe, 2005)"},"properties":{"noteIndex":0},"schema":"https://github.com/citation-style-language/schema/raw/master/csl-citation.json"}</w:instrText>
      </w:r>
      <w:r>
        <w:rPr>
          <w:lang w:val="en-GB"/>
        </w:rPr>
        <w:fldChar w:fldCharType="separate"/>
      </w:r>
      <w:r w:rsidRPr="00A249D1">
        <w:rPr>
          <w:noProof/>
          <w:lang w:val="en-GB"/>
        </w:rPr>
        <w:t>(Kent and Tauxe, 2005)</w:t>
      </w:r>
      <w:r>
        <w:rPr>
          <w:lang w:val="en-GB"/>
        </w:rPr>
        <w:fldChar w:fldCharType="end"/>
      </w:r>
      <w:r>
        <w:rPr>
          <w:lang w:val="en-GB"/>
        </w:rPr>
        <w:t xml:space="preserve"> and represent locations closer to </w:t>
      </w:r>
      <w:proofErr w:type="spellStart"/>
      <w:r>
        <w:rPr>
          <w:lang w:val="en-GB"/>
        </w:rPr>
        <w:t>paleoislands</w:t>
      </w:r>
      <w:proofErr w:type="spellEnd"/>
      <w:r>
        <w:rPr>
          <w:lang w:val="en-GB"/>
        </w:rPr>
        <w:t xml:space="preserve"> compared to other Bristol Channel Basin section e.g., Lavernock Point</w:t>
      </w:r>
      <w:r w:rsidR="00D97C1F">
        <w:rPr>
          <w:lang w:val="en-GB"/>
        </w:rPr>
        <w:t xml:space="preserve"> </w:t>
      </w:r>
      <w:r w:rsidR="00D97C1F">
        <w:rPr>
          <w:lang w:val="en-GB"/>
        </w:rPr>
        <w:fldChar w:fldCharType="begin" w:fldLock="1"/>
      </w:r>
      <w:r w:rsidR="000E1BC3">
        <w:rPr>
          <w:lang w:val="en-GB"/>
        </w:rPr>
        <w:instrText>ADDIN CSL_CITATION {"citationItems":[{"id":"ITEM-1","itemData":{"DOI":"10.1017/S0016756807003925","ISSN":"0016-7568","abstract":"Important vertebrate faunas occur in fissure deposits of Late Triassic–Jurassic age in SW Britain. Although the faunas are well described, their age and palaeoenvironment remain poorly understood. One such fissure system was documented in detail during quarrying operations at Tytherington and has yielded in situ palynomorphs that add much information concerning its age and palaeoenvironment. Significantly, the Tytherington fauna is of the sauropsid type that has generally been dated as Norian or pre-Penarth Group transgression and was also regarded as representing a distinct upland fauna. The palynomorphs, which include a significant marine component, demonstrate that the Tytherington Triassic fissures are infilled with Late Triassic (Rhaetian) sediments that match specific levels in the Westbury Formation. In addition, many of the Tytherington solutional fissures probably formed during the Rhaetian and are consistent with a fluctuating saline to freshwater environment. There is no prima facie evidence of solutional formation and infilling of the reptile-bearing deposits before the Rhaetian trangression. The fissure reptile fauna, which includes the early dinosaur Thecodontosaurus, inhabited a small fire-swept limestone island in the Rhaetian sea. The features of the herpetofauna are entirely consistent with this island model which has Quaternary analogues.","author":[{"dropping-particle":"","family":"Whiteside","given":"D I","non-dropping-particle":"","parse-names":false,"suffix":""},{"dropping-particle":"","family":"Marshall","given":"J E A","non-dropping-particle":"","parse-names":false,"suffix":""}],"container-title":"Geological Magazine","id":"ITEM-1","issue":"1","issued":{"date-parts":[["2008","1","1"]]},"page":"105-147","title":"The age, fauna and palaeoenvironment of the Late Triassic fissure deposits of Tytherington, South Gloucestershire, UK","type":"article-journal","volume":"145"},"uris":["http://www.mendeley.com/documents/?uuid=db6c2357-cace-4081-8a18-66ce959b89c3"]}],"mendeley":{"formattedCitation":"(Whiteside and Marshall, 2008)","plainTextFormattedCitation":"(Whiteside and Marshall, 2008)","previouslyFormattedCitation":"(Whiteside and Marshall, 2008)"},"properties":{"noteIndex":0},"schema":"https://github.com/citation-style-language/schema/raw/master/csl-citation.json"}</w:instrText>
      </w:r>
      <w:r w:rsidR="00D97C1F">
        <w:rPr>
          <w:lang w:val="en-GB"/>
        </w:rPr>
        <w:fldChar w:fldCharType="separate"/>
      </w:r>
      <w:r w:rsidR="00D97C1F" w:rsidRPr="00D97C1F">
        <w:rPr>
          <w:noProof/>
          <w:lang w:val="en-GB"/>
        </w:rPr>
        <w:t>(Whiteside and Marshall, 2008)</w:t>
      </w:r>
      <w:r w:rsidR="00D97C1F">
        <w:rPr>
          <w:lang w:val="en-GB"/>
        </w:rPr>
        <w:fldChar w:fldCharType="end"/>
      </w:r>
      <w:r>
        <w:rPr>
          <w:lang w:val="en-GB"/>
        </w:rPr>
        <w:t xml:space="preserve">. </w:t>
      </w:r>
      <w:bookmarkStart w:id="0" w:name="_Hlk92182660"/>
      <w:r>
        <w:t xml:space="preserve">The late Rhaetian to early Hettangian age strata (Triassic-Jurassic boundary transition) are represented by the Westbury, Lilstock, and Blue Lias formations, with the Lilstock Formation subdivided into the Cotham and Langport members. Some authors </w:t>
      </w:r>
      <w:r>
        <w:fldChar w:fldCharType="begin" w:fldLock="1"/>
      </w:r>
      <w:r>
        <w:instrText>ADDIN CSL_CITATION {"citationItems":[{"id":"ITEM-1","itemData":{"DOI":"DOI: 10.1017/S0016756820001107","ISSN":"0016-7568","abstract":"Two ammonites have been found in porcelaneous limestones of the White Lias Formation traditionally considered to be of Rhaetian (Late Triassic) age at Lavernock Point, south Wales (ST 181 681). These ammonites, named here Neophyllites lavernockensis. sp. nov, are the earliest recorded from the UK. This horizon is located directly above a major negative δ13C isotope anomaly (CIE1) in the Upper Cotham Member that marks the top of the Triassic System and below another negative δ13C isotope anomaly (CIE3). Both correlate with negative δ13C isotope anomalies in the Triassic–Jurassic global boundary stratotype section and point (GSSP) at Kuhjoch, Austria. This establishes the base of the tilmanni Chronozone, Hettangian Stage and Jurassic System in SW Britain within the White Lias Formation at Lavernock Point.","author":[{"dropping-particle":"","family":"Hodges","given":"Peter","non-dropping-particle":"","parse-names":false,"suffix":""}],"container-title":"Geological Magazine","edition":"2020/10/16","id":"ITEM-1","issue":"6","issued":{"date-parts":[["2021"]]},"page":"1109-1114","publisher":"Cambridge University Press","title":"A new ammonite from the Penarth Group, South Wales and the base of the Jurassic System in SW Britain","type":"article-journal","volume":"158"},"uris":["http://www.mendeley.com/documents/?uuid=84ce507a-99c5-4f07-9374-f417ca6b7f75"]}],"mendeley":{"formattedCitation":"(Hodges, 2021)","plainTextFormattedCitation":"(Hodges, 2021)","previouslyFormattedCitation":"(Hodges, 2021)"},"properties":{"noteIndex":0},"schema":"https://github.com/citation-style-language/schema/raw/master/csl-citation.json"}</w:instrText>
      </w:r>
      <w:r>
        <w:fldChar w:fldCharType="separate"/>
      </w:r>
      <w:r w:rsidRPr="00AE779E">
        <w:rPr>
          <w:noProof/>
        </w:rPr>
        <w:t>(Hodges, 2021)</w:t>
      </w:r>
      <w:r>
        <w:fldChar w:fldCharType="end"/>
      </w:r>
      <w:r>
        <w:t xml:space="preserve"> divide the same interval into the White Lias and Watchet formations and do not recognize the Lilstock Formation, but these units are rarely used along the southern outcrops of the Bristol Channel Basin and are not used here.</w:t>
      </w:r>
      <w:bookmarkEnd w:id="0"/>
    </w:p>
    <w:p w14:paraId="54BECD6D" w14:textId="77777777" w:rsidR="002839F2" w:rsidRDefault="002E576A" w:rsidP="002839F2">
      <w:pPr>
        <w:pStyle w:val="AbstractSummary"/>
        <w:spacing w:line="360" w:lineRule="auto"/>
        <w:ind w:firstLine="360"/>
        <w:jc w:val="both"/>
      </w:pPr>
      <w:r>
        <w:t xml:space="preserve">The Westbury Formation, a regionally extensive marine unit that contains the precursor CIE, consists of dark grey to black organic rich mudstones (“shales”) and subordinate silty calcareous mudstones that are interbedded with grey limestone concretions. The Westbury Formation contains small-sized invertebrate fossils with low diversity and a notable absence of fossil groups such as sponges, bryozoans, and ammonites, deposited during fluctuating, </w:t>
      </w:r>
      <w:r w:rsidRPr="005F5390">
        <w:t>albeit</w:t>
      </w:r>
      <w:r>
        <w:t xml:space="preserve"> low, salinities </w:t>
      </w:r>
      <w:r>
        <w:fldChar w:fldCharType="begin" w:fldLock="1"/>
      </w:r>
      <w:r>
        <w:instrText>ADDIN CSL_CITATION {"citationItems":[{"id":"ITEM-1","itemData":{"author":[{"dropping-particle":"","family":"Swift","given":"A","non-dropping-particle":"","parse-names":false,"suffix":""}],"container-title":"Fossils of the Rhaetian Penarth Group","editor":[{"dropping-particle":"","family":"Swift","given":"A","non-dropping-particle":"","parse-names":false,"suffix":""},{"dropping-particle":"","family":"Martill","given":"D M","non-dropping-particle":"","parse-names":false,"suffix":""}],"id":"ITEM-1","issued":{"date-parts":[["1999"]]},"page":"15-31","publisher":"The Palaeontological Association","title":"Stratigraphy (including biostratigraphy)","type":"chapter"},"uris":["http://www.mendeley.com/documents/?uuid=d5710978-5bae-4f7b-a47e-6041992b4ce8"]}],"mendeley":{"formattedCitation":"(Swift, 1999)","plainTextFormattedCitation":"(Swift, 1999)","previouslyFormattedCitation":"(Swift, 1999)"},"properties":{"noteIndex":0},"schema":"https://github.com/citation-style-language/schema/raw/master/csl-citation.json"}</w:instrText>
      </w:r>
      <w:r>
        <w:fldChar w:fldCharType="separate"/>
      </w:r>
      <w:r w:rsidRPr="00A249D1">
        <w:rPr>
          <w:noProof/>
        </w:rPr>
        <w:t>(Swift, 1999)</w:t>
      </w:r>
      <w:r>
        <w:fldChar w:fldCharType="end"/>
      </w:r>
      <w:r>
        <w:t xml:space="preserve">. The Formation generally represents a calm offshore but shallow sea with maximum </w:t>
      </w:r>
      <w:r>
        <w:lastRenderedPageBreak/>
        <w:t xml:space="preserve">flooding surface in the middle of the Formation, possibly at a maximum total organic carbon spike below the precursor CIE recorded in the middle/upper portion of the Formation </w:t>
      </w:r>
      <w:r>
        <w:fldChar w:fldCharType="begin" w:fldLock="1"/>
      </w:r>
      <w:r>
        <w:instrText>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Britain","type":"article-journal","volume":"161"},"uris":["http://www.mendeley.com/documents/?uuid=0c161847-107d-4486-b8ca-6a19f9c6d51a"]}],"mendeley":{"formattedCitation":"(Hesselbo et al., 2004)","plainTextFormattedCitation":"(Hesselbo et al., 2004)","previouslyFormattedCitation":"(Hesselbo et al., 2004)"},"properties":{"noteIndex":0},"schema":"https://github.com/citation-style-language/schema/raw/master/csl-citation.json"}</w:instrText>
      </w:r>
      <w:r>
        <w:fldChar w:fldCharType="separate"/>
      </w:r>
      <w:r w:rsidRPr="00DB4F76">
        <w:rPr>
          <w:noProof/>
        </w:rPr>
        <w:t>(Hesselbo et al., 2004)</w:t>
      </w:r>
      <w:r>
        <w:fldChar w:fldCharType="end"/>
      </w:r>
      <w:r>
        <w:t>.</w:t>
      </w:r>
    </w:p>
    <w:p w14:paraId="45C6206F" w14:textId="77777777" w:rsidR="002839F2" w:rsidRDefault="002E576A" w:rsidP="002839F2">
      <w:pPr>
        <w:pStyle w:val="AbstractSummary"/>
        <w:spacing w:line="360" w:lineRule="auto"/>
        <w:ind w:firstLine="360"/>
        <w:jc w:val="both"/>
      </w:pPr>
      <w:r>
        <w:t xml:space="preserve">Overlaying the Westbury Formation, the Cotham Member contains green-grey calcareous mudstones, subordinate limestones, and sandstones. Lithological features during this interval include soft sediment deformation of sandstones that are cut by siltstone-filled desiccation cracks (above which a hiatus is recorded), wave ripples, and possible raindrop imprints, indicating a shallower water environment. The Cotham Member is separated into the upper and lower units above and below where the first (and deepest) desiccation cracks occur. It is at this interval the initial CIE begins. Water depth is inferred to shallow upward through the lower Cotham Member, although marine pelagophytes swiftly reduce at the Westbury Formation to Cotham Member boundary suggesting a regression event </w:t>
      </w:r>
      <w:r>
        <w:fldChar w:fldCharType="begin" w:fldLock="1"/>
      </w:r>
      <w:r>
        <w:instrText xml:space="preserve">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Britain","type":"article-journal","volume":"161"},"uris":["http://www.mendeley.com/documents/?uuid=0c161847-107d-4486-b8ca-6a19f9c6d51a"]},{"id":"ITEM-2","itemData":{"DOI":"10.1073/pnas.1917661117","abstract":"The end-Triassic mass extinction that occurred </w:instrText>
      </w:r>
      <w:r>
        <w:rPr>
          <w:rFonts w:ascii="Cambria Math" w:hAnsi="Cambria Math" w:cs="Cambria Math"/>
        </w:rPr>
        <w:instrText>∼</w:instrText>
      </w:r>
      <w: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Sciences","id":"ITEM-2","issue":"48","issued":{"date-parts":[["2020","12","1"]]},"page":"30171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 Hesselbo et al., 2004)","plainTextFormattedCitation":"(Fox et al., 2020; Hesselbo et al., 2004)","previouslyFormattedCitation":"(Fox et al., 2020; Hesselbo et al., 2004)"},"properties":{"noteIndex":0},"schema":"https://github.com/citation-style-language/schema/raw/master/csl-citation.json"}</w:instrText>
      </w:r>
      <w:r>
        <w:fldChar w:fldCharType="separate"/>
      </w:r>
      <w:r w:rsidRPr="00BB1D4F">
        <w:rPr>
          <w:noProof/>
        </w:rPr>
        <w:t>(Fox et al., 2020; Hesselbo et al., 2004)</w:t>
      </w:r>
      <w:r>
        <w:fldChar w:fldCharType="end"/>
      </w:r>
      <w:r>
        <w:t xml:space="preserve">. This interval, especially the upper part, is marked by a near absence of marine biota, representing a shallow brackish to freshwater lagoon-type environment, on the order of 10s of cm at some intervals </w:t>
      </w:r>
      <w:r>
        <w:fldChar w:fldCharType="begin" w:fldLock="1"/>
      </w:r>
      <w:r>
        <w:instrText>ADDIN CSL_CITATION {"citationItems":[{"id":"ITEM-1","itemData":{"DOI":"DOI: 10.1017/S001675680002776X","ISSN":"0016-7568","abstract":"Summary. The late Triassic (Rhaetian) Cotham Member in southwest Britain was deposited in a shallow, dominantly freshwater lagoon and contains a bed of synsedimentary deformation which can be traced for at least 25 km. The bed includes microfaults and plastically deformed slump-folds. In south Wales and north Somerset the top of the bed is slightly eroded and desiccation cracks up to I m deep are present. The deformation was probably caused by earthquake activity and associated uplift in the north Somerset-south Wales area. Earthquake activity is inferred to have been part of the early Cimmerian tectonic phase in northern Europe. The bed of synsedimentary deformation is a stratigraphic 'event' which can be used for correlation in this area.","author":[{"dropping-particle":"","family":"Mayall","given":"M J","non-dropping-particle":"","parse-names":false,"suffix":""}],"container-title":"Geological Magazine","edition":"2009/05/01","id":"ITEM-1","issue":"6","issued":{"date-parts":[["1983"]]},"page":"613-622","publisher":"Cambridge University Press","title":"An earthquake origin for synsedimentary deformation in a late Triassic (Rhaetian) lagoonal sequence, southwest Britain","type":"article-journal","volume":"120"},"uris":["http://www.mendeley.com/documents/?uuid=c9021f7d-36fc-4803-9a02-3f7d782338b5"]},{"id":"ITEM-2","itemData":{"author":[{"dropping-particle":"","family":"Warrington","given":"G","non-dropping-particle":"","parse-names":false,"suffix":""},{"dropping-particle":"","family":"Cope","given":"J C W","non-dropping-particle":"","parse-names":false,"suffix":""},{"dropping-particle":"","family":"Ivimey-Cook","given":"H C","non-dropping-particle":"","parse-names":false,"suffix":""}],"container-title":"International Subcommission on Jurassic Stratigraphy Newsletter","id":"ITEM-2","issued":{"date-parts":[["2008"]]},"page":"2-66","title":"The St Audrie's Bay-Doniford Bay section, Somerset, England: updated proposal for a candidate Global Stratotype Section and Point for the base of the Hettangian Stage, and of the Jurassic System","type":"article-journal","volume":"35"},"uris":["http://www.mendeley.com/documents/?uuid=f5ef3c97-370a-4e42-afa4-9f31faa3c2de"]}],"mendeley":{"formattedCitation":"(Mayall, 1983; Warrington et al., 2008)","manualFormatting":"(Mayall, 1983; Mander et al., 2008; Warrington et al., 2008 and refs therein)","plainTextFormattedCitation":"(Mayall, 1983; Warrington et al., 2008)","previouslyFormattedCitation":"(Mayall, 1983; Warrington et al., 2008)"},"properties":{"noteIndex":0},"schema":"https://github.com/citation-style-language/schema/raw/master/csl-citation.json"}</w:instrText>
      </w:r>
      <w:r>
        <w:fldChar w:fldCharType="separate"/>
      </w:r>
      <w:r w:rsidRPr="00BB1D4F">
        <w:rPr>
          <w:noProof/>
        </w:rPr>
        <w:t>(Mayall, 1983;</w:t>
      </w:r>
      <w:r>
        <w:rPr>
          <w:noProof/>
        </w:rPr>
        <w:t xml:space="preserve"> Mander et al., 2008;</w:t>
      </w:r>
      <w:r w:rsidRPr="00BB1D4F">
        <w:rPr>
          <w:noProof/>
        </w:rPr>
        <w:t xml:space="preserve"> Warrington et al., 2008</w:t>
      </w:r>
      <w:r>
        <w:rPr>
          <w:noProof/>
        </w:rPr>
        <w:t xml:space="preserve"> and refs therein</w:t>
      </w:r>
      <w:r w:rsidRPr="00BB1D4F">
        <w:rPr>
          <w:noProof/>
        </w:rPr>
        <w:t>)</w:t>
      </w:r>
      <w:r>
        <w:fldChar w:fldCharType="end"/>
      </w:r>
      <w:r>
        <w:t xml:space="preserve">. Lithological differences occur in the lower Cotham Member and Westbury Formation between St. Audrie’s Bay and Lilstock; there is clear separation between the Westbury Formation and the lower Cotham Member at St. Audrie’s Bay. Lithological changes are less obvious at the section we sampled at Lilstock because of laterally inconsistent, post-depositional mixing, where the light-colored basal lower Cotham Member and dark upper Westbury Formation strata are churned. </w:t>
      </w:r>
    </w:p>
    <w:p w14:paraId="7CF4D397" w14:textId="77777777" w:rsidR="002839F2" w:rsidRDefault="002E576A" w:rsidP="002839F2">
      <w:pPr>
        <w:pStyle w:val="AbstractSummary"/>
        <w:spacing w:line="360" w:lineRule="auto"/>
        <w:ind w:firstLine="360"/>
        <w:jc w:val="both"/>
      </w:pPr>
      <w:r>
        <w:t xml:space="preserve">The Langport Member contains nodular/laminated peloidal and </w:t>
      </w:r>
      <w:proofErr w:type="spellStart"/>
      <w:r>
        <w:t>microspar</w:t>
      </w:r>
      <w:proofErr w:type="spellEnd"/>
      <w:r>
        <w:t xml:space="preserve"> pale grey limestones with marine fossils returning in close proximity to a minor transgression event and termination of the initial CIE </w:t>
      </w:r>
      <w:r>
        <w:fldChar w:fldCharType="begin" w:fldLock="1"/>
      </w:r>
      <w:r>
        <w:instrText xml:space="preserve">ADDIN CSL_CITATION {"citationItems":[{"id":"ITEM-1","itemData":{"DOI":"10.1073/pnas.1917661117","abstract":"The end-Triassic mass extinction that occurred </w:instrText>
      </w:r>
      <w:r>
        <w:rPr>
          <w:rFonts w:ascii="Cambria Math" w:hAnsi="Cambria Math" w:cs="Cambria Math"/>
        </w:rPr>
        <w:instrText>∼</w:instrText>
      </w:r>
      <w: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Society","id":"ITEM-2","issue":"1","issued":{"date-parts":[["2008","1","1"]]},"page":"319-332","title":"Palaeoecology of the Late Triassic extinction event in the SW UK","type":"article-journal","volume":"165"},"uris":["http://www.mendeley.com/documents/?uuid=c05ef9d0-7426-4ff6-b6f6-a9841453e18b"]},{"id":"ITEM-3","itemData":{"DOI":"https://doi.org/10.1016/S0016-7878(08)80259-3","ISSN":"0016-7878","abstract":"The complex crises of the end-Triassic and Early Jurassic (Toarcian) mass extinctions are well recorded in the British Isles where they coincide with major palaeoenvironmental changes. The end-Triassic extinction occurs within the quasi-marine Lilstock Formation, the fauna of which is dominated by eurytopic bivalves. These suffered a major extinction event (77% of species), including all infaunal forms, within the basal beds of the Formation. This crisis slightly predates a series of environmental events that include, in ascending order, an intense phase of seismicity (the onset of Central Atlantic flood basalt volcanism?), sea-level fall and a negative δ13Corg spike. The extinction is linked most clearly (i.e. closest in timing) with regression and seismicity. A further sea-level fall is recorded at the top of the Formation, followed by transgression and the spread of anoxia. These events are not associated with any further bivalve losses although conodonts disappeared at this time. The link between extinction and oxygen-poor conditions is demonstrated better by the Toarcian crisis, when a bivalve extinction event (85% species loss) coincided with the onset of intense anoxia within the middle of the Semicelatum Subzone of the Yorkshire coast sections. However, these losses are part of several extinction pulses spread over more than a million years. These began earlier, at the Pliensbachian/Toarcian stage boundary when ammonites, brachiopods and ostracods all suffered losses coinciding with regression and cooling. However, the subsequent transgression saw a brief spread of marine anoxia (represented by the Sulphur Band in Yorkshire sections) that may also be implicated in the extinctions. Black shale deposition is extremely widespread in the British Toarcian record, with the remarkable exception of the Somerset and south Dorset areas where condensed, fully-oxygenated, deep-water conditions are recorded by the Leptaena Bed and ‘Junction Bed’. Even more remarkably, severe extinction losses (of brachiopods and ostracods) are recorded in this apparently benign depositional setting.","author":[{"dropping-particle":"","family":"Wignall","given":"Paul B","non-dropping-particle":"","parse-names":false,"suffix":""},{"dropping-particle":"","family":"Bond","given":"David P G","non-dropping-particle":"","parse-names":false,"suffix":""}],"container-title":"Proceedings of the Geologists' Association","id":"ITEM-3","issue":"1","issued":{"date-parts":[["2008"]]},"page":"73-84","title":"The end-Triassic and Early Jurassic mass extinction records in the British Isles","type":"article-journal","volume":"119"},"uris":["http://www.mendeley.com/documents/?uuid=22b810c3-bf9c-4c2e-a02d-e9ecc8acaf2c"]}],"mendeley":{"formattedCitation":"(Fox et al., 2020; Mander et al., 2008; Wignall and Bond, 2008)","plainTextFormattedCitation":"(Fox et al., 2020; Mander et al., 2008; Wignall and Bond, 2008)","previouslyFormattedCitation":"(Fox et al., 2020; Mander et al., 2008; Wignall and Bond, 2008)"},"properties":{"noteIndex":0},"schema":"https://github.com/citation-style-language/schema/raw/master/csl-citation.json"}</w:instrText>
      </w:r>
      <w:r>
        <w:fldChar w:fldCharType="separate"/>
      </w:r>
      <w:r w:rsidRPr="00A249D1">
        <w:rPr>
          <w:noProof/>
        </w:rPr>
        <w:t>(Fox et al., 2020; Mander et al., 2008; Wignall and Bond, 2008)</w:t>
      </w:r>
      <w:r>
        <w:fldChar w:fldCharType="end"/>
      </w:r>
      <w:r>
        <w:t xml:space="preserve">. In the SW UK, this Member has been described as representing the distal part of a carbonate ramp </w:t>
      </w:r>
      <w:r>
        <w:fldChar w:fldCharType="begin" w:fldLock="1"/>
      </w:r>
      <w:r>
        <w:instrText>ADDIN CSL_CITATION {"citationItems":[{"id":"ITEM-1","itemData":{"DOI":"10.1144/0016-764903-033","ISSN":"0016-7649","abstract":"The Late Triassic to Early Jurassic aged succession of SW Britain (the Penarth and lower Lias Groups) comprises mudstone, sandstone and limestone strata deposited in a variety of marine to non-marine environments. Faunal and floral characteristics of these successions have led to the proposal that one location in SW England, St Audrie's Bay, should serve as the Global Stratotype Section and Point (GSSP) for the base of the Hettangian Stage and, thus, for the Triassic–Jurassic (Tr–J) boundary. The sections of SW Britain have also been used previously to infer sea-level change history and relate this to potential kill mechanisms associated with the Tr–J boundary mass extinction. Chemostratigraphic, biofacies and lithofacies data are used here to suggest alternative models of sea-level change in relation to possible Tr–J boundary horizons in the sections of SW Britain. A sea-level lowstand surface of erosion is inferred to occur within the Cotham Member of the Lilstock Formation, a unit deposited in an environment that was often subaerially exposed. In contrast to previous interpretations, the top surface of the overlying Langport Member (here inferred to be deposited on a carbonate ramp of depositional or tectonic origin) represents a drowning event of at least regional extent. All horizons regarded as plausible levels at which to place the Tr–J boundary based on fossil distributions lie within strata deposited during relative sea-level rise. However, it is doubtful whether the higher horizons proposed to mark the boundary faithfully record times of true biotic change on a global scale and, additionally, there is no positive evidence that sea-level fall had any relation to the genesis of proposed Tr–J marker horizons. It is unlikely that sea-level fall played a significant role in the Tr–J boundary extinctions in either a local or a global context.","author":[{"dropping-particle":"","family":"Hesselbo","given":"Stephen P","non-dropping-particle":"","parse-names":false,"suffix":""},{"dropping-particle":"","family":"Robinson","given":"Stuart A","non-dropping-particle":"","parse-names":false,"suffix":""},{"dropping-particle":"","family":"Surlyk","given":"Finn","non-dropping-particle":"","parse-names":false,"suffix":""}],"container-title":"Journal of the Geological Society","id":"ITEM-1","issue":"3","issued":{"date-parts":[["2004","5","1"]]},"page":"365-379","title":"Sea-level change and facies development across potential Triassic–Jurassic boundary horizons, SW Britain","type":"article-journal","volume":"161"},"uris":["http://www.mendeley.com/documents/?uuid=0c161847-107d-4486-b8ca-6a19f9c6d51a"]}],"mendeley":{"formattedCitation":"(Hesselbo et al., 2004)","plainTextFormattedCitation":"(Hesselbo et al., 2004)","previouslyFormattedCitation":"(Hesselbo et al., 2004)"},"properties":{"noteIndex":0},"schema":"https://github.com/citation-style-language/schema/raw/master/csl-citation.json"}</w:instrText>
      </w:r>
      <w:r>
        <w:fldChar w:fldCharType="separate"/>
      </w:r>
      <w:r w:rsidRPr="00DF574B">
        <w:rPr>
          <w:noProof/>
        </w:rPr>
        <w:t>(Hesselbo et al., 2004)</w:t>
      </w:r>
      <w:r>
        <w:fldChar w:fldCharType="end"/>
      </w:r>
      <w:r>
        <w:t xml:space="preserve">, or a warm, shallow, carbonate-rich lagoon </w:t>
      </w:r>
      <w:r>
        <w:fldChar w:fldCharType="begin" w:fldLock="1"/>
      </w:r>
      <w:r>
        <w:instrText>ADDIN CSL_CITATION {"citationItems":[{"id":"ITEM-1","itemData":{"DOI":"https://doi.org/10.1016/j.palaeo.2004.07.018","ISSN":"0031-0182","abstract":"The St. Audrie's Bay section in west Somerset comprises the uppermost Mercia Mudstone Group, the Penarth Group and the basal Lias Group and includes a candidate Global Stratotype Section and Point for the base of the Jurassic. The magnetostratigraphy has been evaluated through 122 m of this section at 147 stratigraphic levels, which range in age from mid-Norian to earliest Hettangian. In red dolomitic mudstones, the remanence is carried predominantly by haematite, whereas in non-red lithologies, it is mostly carried by magnetite. The mean virtual geomagnetic poles fall near the mean Upper Triassic and Lower Jurassic apparent polar wander track and display the start of the northeast-directed track typical of the Jurassic. The magnetostratigraphy comprises nine major magnetozones, five of normal polarity and four reversed, together with several minor magnetozones. In the Mercia Mudstone Group, the 68 m of the Twyning Mudstone Formation examined includes three major normal magnetozones (SA2n, SA3n and SA4n) and the Blue Anchor Formation has predominantly reversed polarity (SA4r) except at its top, in the Williton Member. The Penarth Group and basal Lias Group have predominantly normal polarity (SA5 to SA6n) but short reversals occur within the Westbury Formation and at the base of the Lilstock Formation and the Lias Group (SA5r). This magnetostratigraphy is a good match with that found in the upper part of the Newark Supergroup succession in the eastern USA. The distinctive long reversal (SA4r) in the Blue Anchor Formation is equivalent to Newark Supergroup magnetozone interval E18r to E20r. Magnetozone SA5n, located mainly in the Penarth Group, probably equates with part of E22n and all of E23n in the Newark Supergroup. The reversed magnetozone, SA5r, at the base of the Lias Group, may correspond either with E23r in the Exeter Member (Passaic Formation) in the Newark Supergroup or with an undetected reverse polarity interval within the Newark Basin flood basalts. A change in the composition and diversity of terrestrial microfloras that occurs in the upper part of the Penarth Group at St. Audrie's Bay and elsewhere in the UK, is similar to that interpreted as marking the Triassic–Jurassic boundary in the Newark Supergroup. At St. Audrie's Bay, this change occurs c. 0.6 m below SA5r, within the Rhaetian, whereas in the Newark Supergroup, it occurs c. 20 m above the potentially equivalent E23r. Reconciliation of these disparities requires that either the mic…","author":[{"dropping-particle":"","family":"Hounslow","given":"Mark W","non-dropping-particle":"","parse-names":false,"suffix":""},{"dropping-particle":"","family":"Posen","given":"Paulette E","non-dropping-particle":"","parse-names":false,"suffix":""},{"dropping-particle":"","family":"Warrington","given":"Geoffrey","non-dropping-particle":"","parse-names":false,"suffix":""}],"container-title":"Palaeogeography, Palaeoclimatology, Palaeoecology","id":"ITEM-1","issue":"3","issued":{"date-parts":[["2004"]]},"page":"331-358","title":"Magnetostratigraphy and biostratigraphy of the Upper Triassic and lowermost Jurassic succession, St. Audrie's Bay, UK","type":"article-journal","volume":"213"},"uris":["http://www.mendeley.com/documents/?uuid=c6203b34-5a01-4b8b-9c71-dd405bb918ec"]}],"mendeley":{"formattedCitation":"(Hounslow et al., 2004)","plainTextFormattedCitation":"(Hounslow et al., 2004)","previouslyFormattedCitation":"(Hounslow et al., 2004)"},"properties":{"noteIndex":0},"schema":"https://github.com/citation-style-language/schema/raw/master/csl-citation.json"}</w:instrText>
      </w:r>
      <w:r>
        <w:fldChar w:fldCharType="separate"/>
      </w:r>
      <w:r w:rsidRPr="00A75365">
        <w:rPr>
          <w:noProof/>
        </w:rPr>
        <w:t>(Hounslow et al., 2004)</w:t>
      </w:r>
      <w:r>
        <w:fldChar w:fldCharType="end"/>
      </w:r>
      <w:r>
        <w:t xml:space="preserve"> punctuating more humid conditions with increased aridity </w:t>
      </w:r>
      <w:r>
        <w:fldChar w:fldCharType="begin" w:fldLock="1"/>
      </w:r>
      <w:r>
        <w:instrText>ADDIN CSL_CITATION {"citationItems":[{"id":"ITEM-1","itemData":{"DOI":"https://doi.org/10.1016/S0016-7878(08)80259-3","ISSN":"0016-7878","abstract":"The complex crises of the end-Triassic and Early Jurassic (Toarcian) mass extinctions are well recorded in the British Isles where they coincide with major palaeoenvironmental changes. The end-Triassic extinction occurs within the quasi-marine Lilstock Formation, the fauna of which is dominated by eurytopic bivalves. These suffered a major extinction event (77% of species), including all infaunal forms, within the basal beds of the Formation. This crisis slightly predates a series of environmental events that include, in ascending order, an intense phase of seismicity (the onset of Central Atlantic flood basalt volcanism?), sea-level fall and a negative δ13Corg spike. The extinction is linked most clearly (i.e. closest in timing) with regression and seismicity. A further sea-level fall is recorded at the top of the Formation, followed by transgression and the spread of anoxia. These events are not associated with any further bivalve losses although conodonts disappeared at this time. The link between extinction and oxygen-poor conditions is demonstrated better by the Toarcian crisis, when a bivalve extinction event (85% species loss) coincided with the onset of intense anoxia within the middle of the Semicelatum Subzone of the Yorkshire coast sections. However, these losses are part of several extinction pulses spread over more than a million years. These began earlier, at the Pliensbachian/Toarcian stage boundary when ammonites, brachiopods and ostracods all suffered losses coinciding with regression and cooling. However, the subsequent transgression saw a brief spread of marine anoxia (represented by the Sulphur Band in Yorkshire sections) that may also be implicated in the extinctions. Black shale deposition is extremely widespread in the British Toarcian record, with the remarkable exception of the Somerset and south Dorset areas where condensed, fully-oxygenated, deep-water conditions are recorded by the Leptaena Bed and ‘Junction Bed’. Even more remarkably, severe extinction losses (of brachiopods and ostracods) are recorded in this apparently benign depositional setting.","author":[{"dropping-particle":"","family":"Wignall","given":"Paul B","non-dropping-particle":"","parse-names":false,"suffix":""},{"dropping-particle":"","family":"Bond","given":"David P G","non-dropping-particle":"","parse-names":false,"suffix":""}],"container-title":"Proceedings of the Geologists' Association","id":"ITEM-1","issue":"1","issued":{"date-parts":[["2008"]]},"page":"73-84","title":"The end-Triassic and Early Jurassic mass extinction records in the British Isles","type":"article-journal","volume":"119"},"uris":["http://www.mendeley.com/documents/?uuid=22b810c3-bf9c-4c2e-a02d-e9ecc8acaf2c"]}],"mendeley":{"formattedCitation":"(Wignall and Bond, 2008)","plainTextFormattedCitation":"(Wignall and Bond, 2008)","previouslyFormattedCitation":"(Wignall and Bond, 2008)"},"properties":{"noteIndex":0},"schema":"https://github.com/citation-style-language/schema/raw/master/csl-citation.json"}</w:instrText>
      </w:r>
      <w:r>
        <w:fldChar w:fldCharType="separate"/>
      </w:r>
      <w:r w:rsidRPr="00540405">
        <w:rPr>
          <w:noProof/>
        </w:rPr>
        <w:t>(Wignall and Bond, 2008)</w:t>
      </w:r>
      <w:r>
        <w:fldChar w:fldCharType="end"/>
      </w:r>
      <w:r>
        <w:t xml:space="preserve">. Biomarkers of microbial mat containing organisms, laminar and thrombolytic stromatolites, and an absence of metazoans are evidenced within the Cotham and Langport members during the initial CIE supporting the formation of microbial mats that likely accounts for the negative </w:t>
      </w:r>
      <w:r w:rsidRPr="00EA5608">
        <w:rPr>
          <w:shd w:val="clear" w:color="auto" w:fill="FFFFFF"/>
        </w:rPr>
        <w:t>δ</w:t>
      </w:r>
      <w:r>
        <w:rPr>
          <w:shd w:val="clear" w:color="auto" w:fill="FFFFFF"/>
          <w:vertAlign w:val="superscript"/>
        </w:rPr>
        <w:t>13</w:t>
      </w:r>
      <w:r>
        <w:rPr>
          <w:shd w:val="clear" w:color="auto" w:fill="FFFFFF"/>
        </w:rPr>
        <w:t>C</w:t>
      </w:r>
      <w:r>
        <w:rPr>
          <w:shd w:val="clear" w:color="auto" w:fill="FFFFFF"/>
          <w:vertAlign w:val="subscript"/>
        </w:rPr>
        <w:t>org</w:t>
      </w:r>
      <w:r>
        <w:t xml:space="preserve"> anomaly </w:t>
      </w:r>
      <w:r>
        <w:fldChar w:fldCharType="begin" w:fldLock="1"/>
      </w:r>
      <w:r>
        <w:instrText xml:space="preserve">ADDIN CSL_CITATION {"citationItems":[{"id":"ITEM-1","itemData":{"DOI":"10.1073/pnas.1917661117","abstract":"The end-Triassic mass extinction that occurred </w:instrText>
      </w:r>
      <w:r>
        <w:rPr>
          <w:rFonts w:ascii="Cambria Math" w:hAnsi="Cambria Math" w:cs="Cambria Math"/>
        </w:rPr>
        <w:instrText>∼</w:instrText>
      </w:r>
      <w: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2020)","manualFormatting":"(Fox et al., 2020 and refs therein)","plainTextFormattedCitation":"(Fox et al., 2020)","previouslyFormattedCitation":"(Fox et al., 2020)"},"properties":{"noteIndex":0},"schema":"https://github.com/citation-style-language/schema/raw/master/csl-citation.json"}</w:instrText>
      </w:r>
      <w:r>
        <w:fldChar w:fldCharType="separate"/>
      </w:r>
      <w:r w:rsidRPr="00AF066C">
        <w:rPr>
          <w:noProof/>
        </w:rPr>
        <w:t>(Fox et al., 2020</w:t>
      </w:r>
      <w:r>
        <w:rPr>
          <w:noProof/>
        </w:rPr>
        <w:t xml:space="preserve"> and refs therein)</w:t>
      </w:r>
      <w:r>
        <w:fldChar w:fldCharType="end"/>
      </w:r>
      <w:r>
        <w:t xml:space="preserve">. The initial CIE and apparent “dead zone” is purported to mark the extinction </w:t>
      </w:r>
      <w:r>
        <w:lastRenderedPageBreak/>
        <w:t xml:space="preserve">horizon </w:t>
      </w:r>
      <w:r>
        <w:fldChar w:fldCharType="begin" w:fldLock="1"/>
      </w:r>
      <w:r>
        <w:instrText>ADDIN CSL_CITATION {"citationItems":[{"id":"ITEM-1","itemData":{"DOI":"10.1144/0016-76492007-029","ISSN":"0016-7649","abstract":"A high-resolution palaeoecological study of the shelly invertebrate macrofauna across two marine Triassic–Jurassic boundary sections in the UK (St. Audrie's Bay and Lavernock Point) is presented. Loss of taxonomic richness occurs in the upper Westbury Formation to lower Lilstock Formation (late Rhaetian), but if sample size is taken into account there is little convincing evidence of a catastrophic marine extinction. There is, however, good evidence for significant palaeoecological change in the benthic marine ecosystem at this time. The immediate post-event recovery interval in the upper Lilstock Formation is characterized by assemblages of low abundance, low diversity, high dominance and low evenness. Body-sizes of taxa that survived the event and originated afterwards were low until the later Hettangian. Recovery to higher abundance, higher diversity and higher evenness is recorded in the Psiloceras planorbis Zone. Recovery of the benthic ecosystem in the aftermath of the Late Triassic event was disrupted by marine anoxia and shows additional similarities to the (much slower) recovery that followed the Late Permian event. The pattern of body-size changes recorded in the shelly fossil record closely matches that of the trace fossil record. Shell thickness trends do not support a biocalcification crisis during the Late Triassic biotic event.","author":[{"dropping-particle":"","family":"Mander","given":"Luke","non-dropping-particle":"","parse-names":false,"suffix":""},{"dropping-particle":"","family":"Twitchett","given":"Richard J","non-dropping-particle":"","parse-names":false,"suffix":""},{"dropping-particle":"","family":"Benton","given":"Michael J","non-dropping-particle":"","parse-names":false,"suffix":""}],"container-title":"Journal of the Geological Society","id":"ITEM-1","issue":"1","issued":{"date-parts":[["2008","1","1"]]},"page":"319-332","title":"Palaeoecology of the Late Triassic extinction event in the SW UK","type":"article-journal","volume":"165"},"uris":["http://www.mendeley.com/documents/?uuid=c05ef9d0-7426-4ff6-b6f6-a9841453e18b"]}],"mendeley":{"formattedCitation":"(Mander et al., 2008)","plainTextFormattedCitation":"(Mander et al., 2008)","previouslyFormattedCitation":"(Mander et al., 2008)"},"properties":{"noteIndex":0},"schema":"https://github.com/citation-style-language/schema/raw/master/csl-citation.json"}</w:instrText>
      </w:r>
      <w:r>
        <w:fldChar w:fldCharType="separate"/>
      </w:r>
      <w:r w:rsidRPr="00A249D1">
        <w:rPr>
          <w:noProof/>
        </w:rPr>
        <w:t>(Mander et al., 2008)</w:t>
      </w:r>
      <w:r>
        <w:fldChar w:fldCharType="end"/>
      </w:r>
      <w:r>
        <w:t>. However, lack of marine biota at this interval is simply explained by low water depth and low salinity (described above).</w:t>
      </w:r>
    </w:p>
    <w:p w14:paraId="24B63ACA" w14:textId="77777777" w:rsidR="002839F2" w:rsidRDefault="002E576A" w:rsidP="002839F2">
      <w:pPr>
        <w:pStyle w:val="AbstractSummary"/>
        <w:spacing w:line="360" w:lineRule="auto"/>
        <w:jc w:val="both"/>
      </w:pPr>
      <w:r>
        <w:t xml:space="preserve">The transition from the Langport Member to the Blue Lias Formation is marked by a flooding event, in which marine water quickly became stratified, anoxic, euxinic and acidic </w:t>
      </w:r>
      <w:r>
        <w:fldChar w:fldCharType="begin" w:fldLock="1"/>
      </w:r>
      <w:r>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extinction","type":"article-journal"},"uris":["http://www.mendeley.com/documents/?uuid=037261d0-5628-4849-be97-7b88b33548f2"]}],"mendeley":{"formattedCitation":"(Fox et al., 2022)","plainTextFormattedCitation":"(Fox et al., 2022)","previouslyFormattedCitation":"(Fox et al., 2022)"},"properties":{"noteIndex":0},"schema":"https://github.com/citation-style-language/schema/raw/master/csl-citation.json"}</w:instrText>
      </w:r>
      <w:r>
        <w:fldChar w:fldCharType="separate"/>
      </w:r>
      <w:r w:rsidRPr="00184130">
        <w:rPr>
          <w:noProof/>
        </w:rPr>
        <w:t>(Fox et al., 2022)</w:t>
      </w:r>
      <w:r>
        <w:fldChar w:fldCharType="end"/>
      </w:r>
      <w:r>
        <w:t xml:space="preserve">, and shift to organic-matter rich highly lithified black shales, termed the paper shales </w:t>
      </w:r>
      <w:r>
        <w:fldChar w:fldCharType="begin" w:fldLock="1"/>
      </w:r>
      <w:r>
        <w:instrText>ADDIN CSL_CITATION {"citationItems":[{"id":"ITEM-1","itemData":{"DOI":"10.1144/GSL.JGS.1911.067.01-04.03","abstract":"I. Introduction.In Somerset the Rhætic rocks have a greater superficial extent than in any other county. It was anticipated that their investigation would prove of exceptional interest for several reasons: notably because—(a) It has long been known that the Series attains an unusual thickness in places in this county, while it also frequently assumes a littoral facies when in contact with the Palæozoic rocks that formed land-areas during its time of deposition;(b) The discovery in the top-portion of the ‘Grey Marls’ of Watchet of Microlestes teeth, associated with characteristic Rhætic fossils, has long been an important fact in the discussion as to whether the ‘Grey and Tea-green Marls’ (auctt.) should be classed with the Rhætic or with the Keuper;(c) The Pteria-contorta Shales, with their associated hard beds, have yielded a rich assemblage of invertebrate fossils; and(d) The White Lias is excellently developed, and its relationship to the Lower Lias can be studied in many sections.In order, however, that students of the Series should have at their disposal easily-comprehended facts concerning the detailed stratigraphy, as also a knowledge of the position of certain strata bearing well-known names, and the horizons whence many of the well-preserved specimens now housed in our museums came, much detailed work was necessary. The main points that required to be settled were:—(a) The stratigraphical position of the marls that had yielded the Microlestes teeth and other characteristic Rhætic fossils;(β) The true position of the ‘Wedmore Stone,’ Moore&amp;#039;s ‘Flinty Bed,’","author":[{"dropping-particle":"","family":"Richardson","given":"Linsdall","non-dropping-particle":"","parse-names":false,"suffix":""}],"container-title":"Quarterly Journal of the Geological Society","id":"ITEM-1","issue":"1-4","issued":{"date-parts":[["1911","2","1"]]},"page":"1-74","title":"The Rhætic and Contiguous Deposits of West, MID, &amp;amp;amp; Part of East Somerset","type":"article-journal","volume":"67"},"uris":["http://www.mendeley.com/documents/?uuid=3b45a9d8-58e1-4ca2-b817-596913e03f87"]}],"mendeley":{"formattedCitation":"(Richardson, 1911)","plainTextFormattedCitation":"(Richardson, 1911)","previouslyFormattedCitation":"(Richardson, 1911)"},"properties":{"noteIndex":0},"schema":"https://github.com/citation-style-language/schema/raw/master/csl-citation.json"}</w:instrText>
      </w:r>
      <w:r>
        <w:fldChar w:fldCharType="separate"/>
      </w:r>
      <w:r w:rsidRPr="00473250">
        <w:rPr>
          <w:noProof/>
        </w:rPr>
        <w:t>(Richardson, 1911)</w:t>
      </w:r>
      <w:r>
        <w:fldChar w:fldCharType="end"/>
      </w:r>
      <w:r>
        <w:t xml:space="preserve">. Better placement for the extinction horizon is within the very basal Blue Lias Formation coincident with a Lilliput assemblage of bivalves, last occurrences of conodonts and the reptile clade </w:t>
      </w:r>
      <w:proofErr w:type="spellStart"/>
      <w:r>
        <w:t>Phytosauria</w:t>
      </w:r>
      <w:proofErr w:type="spellEnd"/>
      <w:r>
        <w:t xml:space="preserve"> </w:t>
      </w:r>
      <w:r>
        <w:fldChar w:fldCharType="begin" w:fldLock="1"/>
      </w:r>
      <w:r>
        <w:instrText xml:space="preserve">ADDIN CSL_CITATION {"citationItems":[{"id":"ITEM-1","itemData":{"DOI":"10.1073/pnas.1917661117","abstract":"The end-Triassic mass extinction that occurred </w:instrText>
      </w:r>
      <w:r>
        <w:rPr>
          <w:rFonts w:ascii="Cambria Math" w:hAnsi="Cambria Math" w:cs="Cambria Math"/>
        </w:rPr>
        <w:instrText>∼</w:instrText>
      </w:r>
      <w: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carbon","type":"article-journal","volume":"117"},"uris":["http://www.mendeley.com/documents/?uuid=42d5ad45-4ba0-4b12-940f-377c7823c015"]},{"id":"ITEM-2","itemData":{"DOI":"10.1016/j.earscirev.2020.103282","ISSN":"00128252","abstract":"The end-Triassic mass extinction was one of the big five crises of the fossil record. It affected diverse marine groups, including bivalves, brachiopods, ostracods, calcareous algae, radiolarians, and tetrapods and coincided with major changes in palynological assemblages. The rapidity of the event has long been debated and here we show that it can be resolved into two distinct, short-lived extinction pulses separated by a several hundred-thousand-year interlude phase. Detailed collecting in the British Isles shows the first extinction in the lower Cotham Member eliminated many bivalves and ostracods. This event has been previously considered as the end-Triassic mass extinction horizon, however a second extinction is also seen at the top of the Langport Member after a phase of recovery marked by diversity increase. This younger crisis caused the loss of further bivalves, ostracods and the last of the conodonts. The two phases of marine extinctions coincide with marked turnovers amongst palynofloral assemblages with the interlude phase manifest as a fern spore-dominated interval (the Polypodiisporites polymicroforatus abundance interval). Correlation of Triassic-Jurassic boundary sections (and their associated extinction record) in Europe has been controversial. The most parsimonious correlation scheme assumes that a brief, high amplitude negative excursion of δ13Corg values, seen at the level of the first extinction phase in the UK, is manifest in other European sections in the same way. Alternative correlation schemes require complex scenarios with extinction occurring in some areas as recovery is happening elsewhere. In Europe, the first extinction coincides with regression whilst the second occurs at a flooding surface marked by the spread of anoxia. The extinction history of the terminal Triassic crisis is remarkably similar to that seen during other extinction events (end-Ordovician, Permo-Triassic, Toarcian) and suggests that, if the ultimate driver of these crises – large igneous province eruptions – is the same, then they show the same “double-punch” eruption history separated by a more benign interval of a few hundred-thousand-year duration.","author":[{"dropping-particle":"","family":"Wignall","given":"Paul B.","non-dropping-particle":"","parse-names":false,"suffix":""},{"dropping-particle":"","family":"Atkinson","given":"Jed W.","non-dropping-particle":"","parse-names":false,"suffix":""}],"container-title":"Earth-Science Reviews","id":"ITEM-2","issued":{"date-parts":[["2020"]]},"page":"103282","publisher":"Elsevier","title":"A two-phase end-Triassic mass extinction","type":"article-journal","volume":"208"},"uris":["http://www.mendeley.com/documents/?uuid=c84473ad-6100-4a63-a231-2dc81779c26a"]}],"mendeley":{"formattedCitation":"(Fox et al., 2020; Wignall and Atkinson, 2020)","plainTextFormattedCitation":"(Fox et al., 2020; Wignall and Atkinson, 2020)","previouslyFormattedCitation":"(Fox et al., 2020; Wignall and Atkinson, 2020)"},"properties":{"noteIndex":0},"schema":"https://github.com/citation-style-language/schema/raw/master/csl-citation.json"}</w:instrText>
      </w:r>
      <w:r>
        <w:fldChar w:fldCharType="separate"/>
      </w:r>
      <w:r w:rsidRPr="00473250">
        <w:rPr>
          <w:noProof/>
        </w:rPr>
        <w:t>(Fox et al., 2020; Wignall and Atkinson, 2020)</w:t>
      </w:r>
      <w:r>
        <w:fldChar w:fldCharType="end"/>
      </w:r>
      <w:r>
        <w:t xml:space="preserve">, and the strongest evidence of CAMP-driven environmental perturbations; acidification, anoxia, and photic zone euxinia (PZE) </w:t>
      </w:r>
      <w:r>
        <w:fldChar w:fldCharType="begin" w:fldLock="1"/>
      </w:r>
      <w:r>
        <w:instrText>ADDIN CSL_CITATION {"citationItems":[{"id":"ITEM-1","itemData":{"DOI":"10.1130/G49560.1","abstract":"High-resolution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-1","issued":{"date-parts":[["2022"]]},"title":"Two-pronged kill mechanism at the end-Triassic mass extinction","type":"article-journal"},"uris":["http://www.mendeley.com/documents/?uuid=037261d0-5628-4849-be97-7b88b33548f2"]},{"id":"ITEM-2","itemData":{"author":[{"dropping-particle":"","family":"Beith","given":"S. J.","non-dropping-particle":"","parse-names":false,"suffix":""},{"dropping-particle":"","family":"Fox","given":"Calum P","non-dropping-particle":"","parse-names":false,"suffix":""},{"dropping-particle":"","family":"Marshall","given":"John E. A.","non-dropping-particle":"","parse-names":false,"suffix":""},{"dropping-particle":"","family":"Whiteside","given":"Jessica H.","non-dropping-particle":"","parse-names":false,"suffix":""}],"container-title":"Palaeogeography, Palaeoclimatology, Palaeoecology (in press)","id":"ITEM-2","issued":{"date-parts":[["2021"]]},"title":"Persistent photic zone euxinia in the northwest Tethys impinged end-Triassic extinction recovery","type":"article-journal"},"uris":["http://www.mendeley.com/documents/?uuid=565f65c8-b0ec-4b26-97d0-76904e1fe01f"]},{"id":"ITEM-3","itemData":{"DOI":"https://doi.org/10.1016/j.palaeo.2019.05.011","ISSN":"0031-0182","abstract":"Oxygen restricted conditions were widespread in European shelf seas after the end-Triassic mass extinction event and they are reported to have hindered the recovery of marine benthos. Here we reconstruct the redox history of the Early Jurassic Blue Lias Formation of southwest Britain using pyrite framboid size analysis and compare this with the recovery of bivalves based on field and museum collections. Results suggest widespread dysoxia punctuated by periods of anoxia in the region, with the latter developing frequently in deeper water settings. Despite these harsh conditions, initial benthic recovery occurred rapidly in the British Jurassic, especially in shallowest settings, and shows no relationship with the intensity of dysoxia. A stable diversity was reached by the first recognised ammonite zone after the end-Triassic mass extinction. This contrasts with the deeper-water, more oxygen-poor sections where the diversity increase was still continuing in the earliest Sinemurian Stage, considerably longer than previously reported. Similar recovery rates are seen amongst other groups (brachiopods and ammonites). Oxygen-poor conditions have been suggested to delay recovery after the Permo-Triassic mass extinction, but this is not the case after the end-Triassic crisis. We suggest that this was because the European dysoxia was only a regional phenomenon and there were plenty of well-ventilated regions available to allow an untrammelled bounce back.","author":[{"dropping-particle":"","family":"Atkinson","given":"J W","non-dropping-particle":"","parse-names":false,"suffix":""},{"dropping-particle":"","family":"Wignall","given":"P B","non-dropping-particle":"","parse-names":false,"suffix":""}],"container-title":"Palaeogeography, Palaeoclimatology, Palaeoecology","id":"ITEM-3","issued":{"date-parts":[["2019"]]},"page":"99-119","title":"How quick was marine recovery after the end-Triassic mass extinction and what role did anoxia play?","type":"article-journal","volume":"528"},"uris":["http://www.mendeley.com/documents/?uuid=30ffc704-c951-4597-9d1e-0ce598a64382"]}],"mendeley":{"formattedCitation":"(Atkinson and Wignall, 2019; Beith et al., 2021; Fox et al., 2022)","plainTextFormattedCitation":"(Atkinson and Wignall, 2019; Beith et al., 2021; Fox et al., 2022)","previouslyFormattedCitation":"(Atkinson and Wignall, 2019; Beith et al., 2021; Fox et al., 2022)"},"properties":{"noteIndex":0},"schema":"https://github.com/citation-style-language/schema/raw/master/csl-citation.json"}</w:instrText>
      </w:r>
      <w:r>
        <w:fldChar w:fldCharType="separate"/>
      </w:r>
      <w:r w:rsidRPr="00184130">
        <w:rPr>
          <w:noProof/>
        </w:rPr>
        <w:t>(Atkinson and Wignall, 2019; Beith et al., 2021; Fox et al., 2022)</w:t>
      </w:r>
      <w:r>
        <w:fldChar w:fldCharType="end"/>
      </w:r>
      <w:r>
        <w:t>. This portion of the Blue Lias Formation, termed the pre-planorbis beds, is at least 10s of meters preventing influence of wave action on bottom waters.</w:t>
      </w:r>
      <w:r w:rsidR="002839F2">
        <w:t xml:space="preserve"> </w:t>
      </w:r>
    </w:p>
    <w:p w14:paraId="59BC13BD" w14:textId="136EF352" w:rsidR="00080FA7" w:rsidRDefault="002E576A" w:rsidP="00251F02">
      <w:pPr>
        <w:pStyle w:val="AbstractSummary"/>
        <w:spacing w:line="360" w:lineRule="auto"/>
        <w:ind w:firstLine="720"/>
        <w:jc w:val="both"/>
      </w:pPr>
      <w:r>
        <w:t>Samples from the St. Audrie’s Bay section in this study span the upper two meters of the Westbury Formation, through Cotham and Langport members of the Lilstock Formation, to the very base of the Blue Lias Formation. Samples from the Lilstock section begin at the very top of the Westbury Formation, continue through the Cotham and Langport members of the Lilstock Formation and the lower 1.2 meters of the Blue Lias Formation. Lithological similarities between sections allow for correlation independent of geochemical proxies</w:t>
      </w:r>
      <w:r w:rsidR="00173C4E">
        <w:t>.</w:t>
      </w:r>
    </w:p>
    <w:p w14:paraId="3411E920" w14:textId="77777777" w:rsidR="00173C4E" w:rsidRDefault="00173C4E" w:rsidP="00251F02">
      <w:pPr>
        <w:pStyle w:val="AbstractSummary"/>
        <w:spacing w:line="360" w:lineRule="auto"/>
        <w:ind w:firstLine="720"/>
        <w:jc w:val="both"/>
      </w:pPr>
    </w:p>
    <w:p w14:paraId="1F4E0CFC" w14:textId="3C5B2081" w:rsidR="00080FA7" w:rsidRPr="00080FA7" w:rsidRDefault="00080FA7" w:rsidP="00251F02">
      <w:pPr>
        <w:pStyle w:val="AbstractSummary"/>
        <w:spacing w:line="360" w:lineRule="auto"/>
        <w:jc w:val="both"/>
      </w:pPr>
      <w:r>
        <w:rPr>
          <w:b/>
        </w:rPr>
        <w:t>Polycyclic Aromatic Hydrocarbons (PAHs)</w:t>
      </w:r>
      <w:r w:rsidR="00757501">
        <w:rPr>
          <w:b/>
        </w:rPr>
        <w:t xml:space="preserve"> and Compound-Specific Isotopes</w:t>
      </w:r>
    </w:p>
    <w:p w14:paraId="1054D26D" w14:textId="00B32813" w:rsidR="00080FA7" w:rsidRDefault="006C406A" w:rsidP="00251F0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080FA7">
        <w:rPr>
          <w:rFonts w:ascii="Times New Roman" w:hAnsi="Times New Roman" w:cs="Times New Roman"/>
          <w:sz w:val="24"/>
          <w:szCs w:val="24"/>
        </w:rPr>
        <w:t xml:space="preserve">able </w:t>
      </w:r>
      <w:r>
        <w:rPr>
          <w:rFonts w:ascii="Times New Roman" w:hAnsi="Times New Roman" w:cs="Times New Roman"/>
          <w:sz w:val="24"/>
          <w:szCs w:val="24"/>
        </w:rPr>
        <w:t>S</w:t>
      </w:r>
      <w:r w:rsidR="00080FA7">
        <w:rPr>
          <w:rFonts w:ascii="Times New Roman" w:hAnsi="Times New Roman" w:cs="Times New Roman"/>
          <w:sz w:val="24"/>
          <w:szCs w:val="24"/>
        </w:rPr>
        <w:t xml:space="preserve">1 </w:t>
      </w:r>
      <w:r w:rsidR="000E1BC3">
        <w:rPr>
          <w:rFonts w:ascii="Times New Roman" w:hAnsi="Times New Roman" w:cs="Times New Roman"/>
          <w:sz w:val="24"/>
          <w:szCs w:val="24"/>
        </w:rPr>
        <w:t>provides</w:t>
      </w:r>
      <w:r w:rsidR="00790232">
        <w:rPr>
          <w:rFonts w:ascii="Times New Roman" w:hAnsi="Times New Roman" w:cs="Times New Roman"/>
          <w:sz w:val="24"/>
          <w:szCs w:val="24"/>
        </w:rPr>
        <w:t xml:space="preserve"> </w:t>
      </w:r>
      <w:r w:rsidR="00080FA7">
        <w:rPr>
          <w:rFonts w:ascii="Times New Roman" w:hAnsi="Times New Roman" w:cs="Times New Roman"/>
          <w:sz w:val="24"/>
          <w:szCs w:val="24"/>
        </w:rPr>
        <w:t xml:space="preserve">the </w:t>
      </w:r>
      <w:r w:rsidR="00080FA7">
        <w:rPr>
          <w:rFonts w:ascii="Times New Roman" w:hAnsi="Times New Roman" w:cs="Times New Roman"/>
          <w:i/>
          <w:sz w:val="24"/>
          <w:szCs w:val="24"/>
        </w:rPr>
        <w:t>m/z</w:t>
      </w:r>
      <w:r w:rsidR="00080FA7">
        <w:rPr>
          <w:rFonts w:ascii="Times New Roman" w:hAnsi="Times New Roman" w:cs="Times New Roman"/>
          <w:sz w:val="24"/>
          <w:szCs w:val="24"/>
        </w:rPr>
        <w:t xml:space="preserve"> transitions used in selection ion monitoring mass spectrometry methods</w:t>
      </w:r>
      <w:r>
        <w:rPr>
          <w:rFonts w:ascii="Times New Roman" w:hAnsi="Times New Roman" w:cs="Times New Roman"/>
          <w:sz w:val="24"/>
          <w:szCs w:val="24"/>
        </w:rPr>
        <w:t xml:space="preserve"> for all PAH compounds used in this study</w:t>
      </w:r>
      <w:r w:rsidR="00080FA7">
        <w:rPr>
          <w:rFonts w:ascii="Times New Roman" w:hAnsi="Times New Roman" w:cs="Times New Roman"/>
          <w:sz w:val="24"/>
          <w:szCs w:val="24"/>
        </w:rPr>
        <w:t>.</w:t>
      </w:r>
      <w:r w:rsidR="00BB60D4">
        <w:rPr>
          <w:rFonts w:ascii="Times New Roman" w:hAnsi="Times New Roman" w:cs="Times New Roman"/>
          <w:sz w:val="24"/>
          <w:szCs w:val="24"/>
        </w:rPr>
        <w:t xml:space="preserve"> </w:t>
      </w:r>
      <w:r w:rsidR="00BB60D4">
        <w:rPr>
          <w:rFonts w:ascii="Times New Roman" w:hAnsi="Times New Roman" w:cs="Times New Roman"/>
          <w:sz w:val="24"/>
          <w:szCs w:val="24"/>
        </w:rPr>
        <w:fldChar w:fldCharType="begin" w:fldLock="1"/>
      </w:r>
      <w:r w:rsidR="00BB60D4">
        <w:rPr>
          <w:rFonts w:ascii="Times New Roman" w:hAnsi="Times New Roman" w:cs="Times New Roman"/>
          <w:sz w:val="24"/>
          <w:szCs w:val="24"/>
        </w:rP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BB60D4">
        <w:rPr>
          <w:rFonts w:ascii="Cambria Math" w:hAnsi="Cambria Math" w:cs="Cambria Math"/>
          <w:sz w:val="24"/>
          <w:szCs w:val="24"/>
        </w:rPr>
        <w:instrText>∼</w:instrText>
      </w:r>
      <w:r w:rsidR="00BB60D4">
        <w:rPr>
          <w:rFonts w:ascii="Times New Roman" w:hAnsi="Times New Roman" w:cs="Times New Roman"/>
          <w:sz w:val="24"/>
          <w:szCs w:val="24"/>
        </w:rPr>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2020)","manualFormatting":"Karp et al., (2020)","plainTextFormattedCitation":"(Karp et al., 2020)","previouslyFormattedCitation":"(Karp et al., 2020)"},"properties":{"noteIndex":0},"schema":"https://github.com/citation-style-language/schema/raw/master/csl-citation.json"}</w:instrText>
      </w:r>
      <w:r w:rsidR="00BB60D4">
        <w:rPr>
          <w:rFonts w:ascii="Times New Roman" w:hAnsi="Times New Roman" w:cs="Times New Roman"/>
          <w:sz w:val="24"/>
          <w:szCs w:val="24"/>
        </w:rPr>
        <w:fldChar w:fldCharType="separate"/>
      </w:r>
      <w:r w:rsidR="00BB60D4" w:rsidRPr="00BB60D4">
        <w:rPr>
          <w:rFonts w:ascii="Times New Roman" w:hAnsi="Times New Roman" w:cs="Times New Roman"/>
          <w:noProof/>
          <w:sz w:val="24"/>
          <w:szCs w:val="24"/>
        </w:rPr>
        <w:t xml:space="preserve">Karp et al., </w:t>
      </w:r>
      <w:r w:rsidR="00BB60D4">
        <w:rPr>
          <w:rFonts w:ascii="Times New Roman" w:hAnsi="Times New Roman" w:cs="Times New Roman"/>
          <w:noProof/>
          <w:sz w:val="24"/>
          <w:szCs w:val="24"/>
        </w:rPr>
        <w:t>(</w:t>
      </w:r>
      <w:r w:rsidR="00BB60D4" w:rsidRPr="00BB60D4">
        <w:rPr>
          <w:rFonts w:ascii="Times New Roman" w:hAnsi="Times New Roman" w:cs="Times New Roman"/>
          <w:noProof/>
          <w:sz w:val="24"/>
          <w:szCs w:val="24"/>
        </w:rPr>
        <w:t>2020)</w:t>
      </w:r>
      <w:r w:rsidR="00BB60D4">
        <w:rPr>
          <w:rFonts w:ascii="Times New Roman" w:hAnsi="Times New Roman" w:cs="Times New Roman"/>
          <w:sz w:val="24"/>
          <w:szCs w:val="24"/>
        </w:rPr>
        <w:fldChar w:fldCharType="end"/>
      </w:r>
      <w:r w:rsidR="00B6425D">
        <w:rPr>
          <w:rFonts w:ascii="Times New Roman" w:hAnsi="Times New Roman" w:cs="Times New Roman"/>
          <w:sz w:val="24"/>
          <w:szCs w:val="24"/>
        </w:rPr>
        <w:t xml:space="preserve"> </w:t>
      </w:r>
      <w:r w:rsidR="00BB60D4">
        <w:rPr>
          <w:rFonts w:ascii="Times New Roman" w:hAnsi="Times New Roman" w:cs="Times New Roman"/>
          <w:sz w:val="24"/>
          <w:szCs w:val="24"/>
        </w:rPr>
        <w:t>suggest</w:t>
      </w:r>
      <w:r w:rsidR="00B6425D">
        <w:rPr>
          <w:rFonts w:ascii="Times New Roman" w:hAnsi="Times New Roman" w:cs="Times New Roman"/>
          <w:sz w:val="24"/>
          <w:szCs w:val="24"/>
        </w:rPr>
        <w:t xml:space="preserve"> that combustion-derived PAHs should be grouped based on their physiological characteristics rather than ring number</w:t>
      </w:r>
      <w:r w:rsidR="00790232">
        <w:rPr>
          <w:rFonts w:ascii="Times New Roman" w:hAnsi="Times New Roman" w:cs="Times New Roman"/>
          <w:sz w:val="24"/>
          <w:szCs w:val="24"/>
        </w:rPr>
        <w:t xml:space="preserve">; </w:t>
      </w:r>
      <w:r w:rsidR="00757501">
        <w:rPr>
          <w:rFonts w:ascii="Times New Roman" w:hAnsi="Times New Roman" w:cs="Times New Roman"/>
          <w:sz w:val="24"/>
          <w:szCs w:val="24"/>
        </w:rPr>
        <w:t xml:space="preserve">comparison between PAH groupings based on physiological characteristics </w:t>
      </w:r>
      <w:r w:rsidR="009A46AE">
        <w:rPr>
          <w:rFonts w:ascii="Times New Roman" w:hAnsi="Times New Roman" w:cs="Times New Roman"/>
          <w:sz w:val="24"/>
          <w:szCs w:val="24"/>
        </w:rPr>
        <w:t>and ring number is give</w:t>
      </w:r>
      <w:r w:rsidR="0001779E">
        <w:rPr>
          <w:rFonts w:ascii="Times New Roman" w:hAnsi="Times New Roman" w:cs="Times New Roman"/>
          <w:sz w:val="24"/>
          <w:szCs w:val="24"/>
        </w:rPr>
        <w:t>n</w:t>
      </w:r>
      <w:r w:rsidR="009A46AE">
        <w:rPr>
          <w:rFonts w:ascii="Times New Roman" w:hAnsi="Times New Roman" w:cs="Times New Roman"/>
          <w:sz w:val="24"/>
          <w:szCs w:val="24"/>
        </w:rPr>
        <w:t xml:space="preserve"> in Fig S2</w:t>
      </w:r>
      <w:r w:rsidR="00B6425D">
        <w:rPr>
          <w:rFonts w:ascii="Times New Roman" w:hAnsi="Times New Roman" w:cs="Times New Roman"/>
          <w:sz w:val="24"/>
          <w:szCs w:val="24"/>
        </w:rPr>
        <w:t>.</w:t>
      </w:r>
      <w:r w:rsidR="009A46AE">
        <w:rPr>
          <w:rFonts w:ascii="Times New Roman" w:hAnsi="Times New Roman" w:cs="Times New Roman"/>
          <w:sz w:val="24"/>
          <w:szCs w:val="24"/>
        </w:rPr>
        <w:t xml:space="preserve"> Additionally,</w:t>
      </w:r>
      <w:r w:rsidR="00B6425D">
        <w:rPr>
          <w:rFonts w:ascii="Times New Roman" w:hAnsi="Times New Roman" w:cs="Times New Roman"/>
          <w:sz w:val="24"/>
          <w:szCs w:val="24"/>
        </w:rPr>
        <w:t xml:space="preserve"> </w:t>
      </w:r>
      <w:r w:rsidR="009A46AE">
        <w:rPr>
          <w:rFonts w:ascii="Times New Roman" w:hAnsi="Times New Roman" w:cs="Times New Roman"/>
          <w:sz w:val="24"/>
          <w:szCs w:val="24"/>
        </w:rPr>
        <w:t>F</w:t>
      </w:r>
      <w:r w:rsidR="00B6425D">
        <w:rPr>
          <w:rFonts w:ascii="Times New Roman" w:hAnsi="Times New Roman" w:cs="Times New Roman"/>
          <w:sz w:val="24"/>
          <w:szCs w:val="24"/>
        </w:rPr>
        <w:t>ig</w:t>
      </w:r>
      <w:r w:rsidR="009A46AE">
        <w:rPr>
          <w:rFonts w:ascii="Times New Roman" w:hAnsi="Times New Roman" w:cs="Times New Roman"/>
          <w:sz w:val="24"/>
          <w:szCs w:val="24"/>
        </w:rPr>
        <w:t>.</w:t>
      </w:r>
      <w:r w:rsidR="00B6425D">
        <w:rPr>
          <w:rFonts w:ascii="Times New Roman" w:hAnsi="Times New Roman" w:cs="Times New Roman"/>
          <w:sz w:val="24"/>
          <w:szCs w:val="24"/>
        </w:rPr>
        <w:t xml:space="preserve"> </w:t>
      </w:r>
      <w:r w:rsidR="00757501">
        <w:rPr>
          <w:rFonts w:ascii="Times New Roman" w:hAnsi="Times New Roman" w:cs="Times New Roman"/>
          <w:sz w:val="24"/>
          <w:szCs w:val="24"/>
        </w:rPr>
        <w:t>S</w:t>
      </w:r>
      <w:r w:rsidR="00B6425D">
        <w:rPr>
          <w:rFonts w:ascii="Times New Roman" w:hAnsi="Times New Roman" w:cs="Times New Roman"/>
          <w:sz w:val="24"/>
          <w:szCs w:val="24"/>
        </w:rPr>
        <w:t xml:space="preserve">2 shows all combustion-related PAHs that </w:t>
      </w:r>
      <w:r w:rsidR="00790232">
        <w:rPr>
          <w:rFonts w:ascii="Times New Roman" w:hAnsi="Times New Roman" w:cs="Times New Roman"/>
          <w:sz w:val="24"/>
          <w:szCs w:val="24"/>
        </w:rPr>
        <w:t>comprise</w:t>
      </w:r>
      <w:r w:rsidR="00B6425D">
        <w:rPr>
          <w:rFonts w:ascii="Times New Roman" w:hAnsi="Times New Roman" w:cs="Times New Roman"/>
          <w:sz w:val="24"/>
          <w:szCs w:val="24"/>
        </w:rPr>
        <w:t xml:space="preserve"> the total concentration of combustion-derived PAHs</w:t>
      </w:r>
      <w:r w:rsidR="00757501">
        <w:rPr>
          <w:rFonts w:ascii="Times New Roman" w:hAnsi="Times New Roman" w:cs="Times New Roman"/>
          <w:sz w:val="24"/>
          <w:szCs w:val="24"/>
        </w:rPr>
        <w:t xml:space="preserve"> presented in Fig. 2</w:t>
      </w:r>
      <w:r w:rsidR="009A46AE">
        <w:rPr>
          <w:rFonts w:ascii="Times New Roman" w:hAnsi="Times New Roman" w:cs="Times New Roman"/>
          <w:sz w:val="24"/>
          <w:szCs w:val="24"/>
        </w:rPr>
        <w:t>.</w:t>
      </w:r>
      <w:r w:rsidR="00B6425D">
        <w:rPr>
          <w:rFonts w:ascii="Times New Roman" w:hAnsi="Times New Roman" w:cs="Times New Roman"/>
          <w:sz w:val="24"/>
          <w:szCs w:val="24"/>
        </w:rPr>
        <w:t xml:space="preserve"> </w:t>
      </w:r>
      <w:r w:rsidR="00757501">
        <w:rPr>
          <w:rFonts w:ascii="Times New Roman" w:hAnsi="Times New Roman" w:cs="Times New Roman"/>
          <w:sz w:val="24"/>
          <w:szCs w:val="24"/>
        </w:rPr>
        <w:t>Fig</w:t>
      </w:r>
      <w:r w:rsidR="009A46AE">
        <w:rPr>
          <w:rFonts w:ascii="Times New Roman" w:hAnsi="Times New Roman" w:cs="Times New Roman"/>
          <w:sz w:val="24"/>
          <w:szCs w:val="24"/>
        </w:rPr>
        <w:t>.</w:t>
      </w:r>
      <w:r w:rsidR="00757501">
        <w:rPr>
          <w:rFonts w:ascii="Times New Roman" w:hAnsi="Times New Roman" w:cs="Times New Roman"/>
          <w:sz w:val="24"/>
          <w:szCs w:val="24"/>
        </w:rPr>
        <w:t xml:space="preserve"> S3 shows the extended profile of all </w:t>
      </w:r>
      <w:r w:rsidR="00757501" w:rsidRPr="00251F02">
        <w:rPr>
          <w:rFonts w:ascii="Times New Roman" w:hAnsi="Times New Roman" w:cs="Times New Roman"/>
          <w:i/>
          <w:sz w:val="24"/>
          <w:szCs w:val="24"/>
        </w:rPr>
        <w:t>n</w:t>
      </w:r>
      <w:r w:rsidR="00757501">
        <w:rPr>
          <w:rFonts w:ascii="Times New Roman" w:hAnsi="Times New Roman" w:cs="Times New Roman"/>
          <w:sz w:val="24"/>
          <w:szCs w:val="24"/>
        </w:rPr>
        <w:t>-alkanes and regular isoprenoids</w:t>
      </w:r>
      <w:r w:rsidR="00BB60D4">
        <w:rPr>
          <w:rFonts w:ascii="Times New Roman" w:hAnsi="Times New Roman" w:cs="Times New Roman"/>
          <w:sz w:val="24"/>
          <w:szCs w:val="24"/>
        </w:rPr>
        <w:t xml:space="preserve">, </w:t>
      </w:r>
      <w:r w:rsidR="00790232">
        <w:rPr>
          <w:rFonts w:ascii="Times New Roman" w:hAnsi="Times New Roman" w:cs="Times New Roman"/>
          <w:sz w:val="24"/>
          <w:szCs w:val="24"/>
        </w:rPr>
        <w:t>(</w:t>
      </w:r>
      <w:r w:rsidR="009A46AE">
        <w:rPr>
          <w:rFonts w:ascii="Times New Roman" w:hAnsi="Times New Roman" w:cs="Times New Roman"/>
          <w:sz w:val="24"/>
          <w:szCs w:val="24"/>
        </w:rPr>
        <w:t xml:space="preserve">some data of which </w:t>
      </w:r>
      <w:r w:rsidR="00790232">
        <w:rPr>
          <w:rFonts w:ascii="Times New Roman" w:hAnsi="Times New Roman" w:cs="Times New Roman"/>
          <w:sz w:val="24"/>
          <w:szCs w:val="24"/>
        </w:rPr>
        <w:t xml:space="preserve">were </w:t>
      </w:r>
      <w:r w:rsidR="009A46AE">
        <w:rPr>
          <w:rFonts w:ascii="Times New Roman" w:hAnsi="Times New Roman" w:cs="Times New Roman"/>
          <w:sz w:val="24"/>
          <w:szCs w:val="24"/>
        </w:rPr>
        <w:t>first presented in</w:t>
      </w:r>
      <w:r w:rsidR="000E1BC3">
        <w:rPr>
          <w:rFonts w:ascii="Times New Roman" w:hAnsi="Times New Roman" w:cs="Times New Roman"/>
          <w:sz w:val="24"/>
          <w:szCs w:val="24"/>
        </w:rPr>
        <w:t xml:space="preserve"> </w:t>
      </w:r>
      <w:r w:rsidR="000E1BC3">
        <w:rPr>
          <w:rFonts w:ascii="Times New Roman" w:hAnsi="Times New Roman" w:cs="Times New Roman"/>
          <w:sz w:val="24"/>
          <w:szCs w:val="24"/>
        </w:rPr>
        <w:fldChar w:fldCharType="begin" w:fldLock="1"/>
      </w:r>
      <w:r w:rsidR="000E1BC3">
        <w:rPr>
          <w:rFonts w:ascii="Times New Roman" w:hAnsi="Times New Roman" w:cs="Times New Roman"/>
          <w:sz w:val="24"/>
          <w:szCs w:val="24"/>
        </w:rPr>
        <w:instrText xml:space="preserve">ADDIN CSL_CITATION {"citationItems":[{"id":"ITEM-1","itemData":{"DOI":"10.1073/pnas.1917661117","abstract":"The end-Triassic mass extinction that occurred </w:instrText>
      </w:r>
      <w:r w:rsidR="000E1BC3">
        <w:rPr>
          <w:rFonts w:ascii="Cambria Math" w:hAnsi="Cambria Math" w:cs="Cambria Math"/>
          <w:sz w:val="24"/>
          <w:szCs w:val="24"/>
        </w:rPr>
        <w:instrText>∼</w:instrText>
      </w:r>
      <w:r w:rsidR="000E1BC3">
        <w:rPr>
          <w:rFonts w:ascii="Times New Roman" w:hAnsi="Times New Roman" w:cs="Times New Roman"/>
          <w:sz w:val="24"/>
          <w:szCs w:val="24"/>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-2","issued":{"date-parts":[["2022"]]},"title":"Two-pronged kill mechanism at the end-Triassic mass extinction","type":"article-journal"},"uris":["http://www.mendeley.com/documents/?uuid=037261d0-5628-4849-be97-7b88b33548f2"]}],"mendeley":{"formattedCitation":"(Fox et al., 2022, 2020)","manualFormatting":"Fox et al., (2022, 2020)","plainTextFormattedCitation":"(Fox et al., 2022, 2020)","previouslyFormattedCitation":"(Fox et al., 2022, 2020)"},"properties":{"noteIndex":0},"schema":"https://github.com/citation-style-language/schema/raw/master/csl-citation.json"}</w:instrText>
      </w:r>
      <w:r w:rsidR="000E1BC3">
        <w:rPr>
          <w:rFonts w:ascii="Times New Roman" w:hAnsi="Times New Roman" w:cs="Times New Roman"/>
          <w:sz w:val="24"/>
          <w:szCs w:val="24"/>
        </w:rPr>
        <w:fldChar w:fldCharType="separate"/>
      </w:r>
      <w:r w:rsidR="000E1BC3" w:rsidRPr="000E1BC3">
        <w:rPr>
          <w:rFonts w:ascii="Times New Roman" w:hAnsi="Times New Roman" w:cs="Times New Roman"/>
          <w:noProof/>
          <w:sz w:val="24"/>
          <w:szCs w:val="24"/>
        </w:rPr>
        <w:t xml:space="preserve">Fox et al., </w:t>
      </w:r>
      <w:r w:rsidR="000E1BC3">
        <w:rPr>
          <w:rFonts w:ascii="Times New Roman" w:hAnsi="Times New Roman" w:cs="Times New Roman"/>
          <w:noProof/>
          <w:sz w:val="24"/>
          <w:szCs w:val="24"/>
        </w:rPr>
        <w:t>(</w:t>
      </w:r>
      <w:r w:rsidR="000E1BC3" w:rsidRPr="000E1BC3">
        <w:rPr>
          <w:rFonts w:ascii="Times New Roman" w:hAnsi="Times New Roman" w:cs="Times New Roman"/>
          <w:noProof/>
          <w:sz w:val="24"/>
          <w:szCs w:val="24"/>
        </w:rPr>
        <w:t>2022, 2020)</w:t>
      </w:r>
      <w:r w:rsidR="000E1BC3">
        <w:rPr>
          <w:rFonts w:ascii="Times New Roman" w:hAnsi="Times New Roman" w:cs="Times New Roman"/>
          <w:sz w:val="24"/>
          <w:szCs w:val="24"/>
        </w:rPr>
        <w:fldChar w:fldCharType="end"/>
      </w:r>
      <w:r w:rsidR="00757501">
        <w:rPr>
          <w:rFonts w:ascii="Times New Roman" w:hAnsi="Times New Roman" w:cs="Times New Roman"/>
          <w:sz w:val="24"/>
          <w:szCs w:val="24"/>
        </w:rPr>
        <w:t>, terrestrial vs.</w:t>
      </w:r>
      <w:r w:rsidR="009A46AE">
        <w:rPr>
          <w:rFonts w:ascii="Times New Roman" w:hAnsi="Times New Roman" w:cs="Times New Roman"/>
          <w:sz w:val="24"/>
          <w:szCs w:val="24"/>
        </w:rPr>
        <w:t xml:space="preserve"> marine input</w:t>
      </w:r>
      <w:r w:rsidR="00BB60D4">
        <w:rPr>
          <w:rFonts w:ascii="Times New Roman" w:hAnsi="Times New Roman" w:cs="Times New Roman"/>
          <w:sz w:val="24"/>
          <w:szCs w:val="24"/>
        </w:rPr>
        <w:t xml:space="preserve"> </w:t>
      </w:r>
      <w:r w:rsidR="00BB60D4">
        <w:rPr>
          <w:rFonts w:ascii="Times New Roman" w:hAnsi="Times New Roman" w:cs="Times New Roman"/>
          <w:sz w:val="24"/>
          <w:szCs w:val="24"/>
        </w:rPr>
        <w:fldChar w:fldCharType="begin" w:fldLock="1"/>
      </w:r>
      <w:r w:rsidR="00391661">
        <w:rPr>
          <w:rFonts w:ascii="Times New Roman" w:hAnsi="Times New Roman" w:cs="Times New Roman"/>
          <w:sz w:val="24"/>
          <w:szCs w:val="24"/>
        </w:rPr>
        <w:instrText>ADDIN CSL_CITATION {"citationItems":[{"id":"ITEM-1","itemData":{"DOI":"DOI: 10.1017/CBO9781107326040","ISBN":"9780521039987","abstract":"The second edition of The Biomarker Guide is a fully updated and expanded version of this essential reference. Now in two volumes, it provides a comprehensive account of the role that biomarker technology plays both in petroleum exploration and in understanding Earth history and processes. Biomarkers and Isotopes in Petroleum Exploration and Earth History itemizes parameters used to genetically correlate petroleum and interpret thermal maturity and extent of biodegradation. It documents most known petroleum systems by geologic age throughout Earth history. The Biomarker Guide is an invaluable resource for geologists, petroleum geochemists, biogeochemists, and environmental scientists.","author":[{"dropping-particle":"","family":"Peters","given":"K E","non-dropping-particle":"","parse-names":false,"suffix":""},{"dropping-particle":"","family":"Walters","given":"C C","non-dropping-particle":"","parse-names":false,"suffix":""},{"dropping-particle":"","family":"Moldowan","given":"J M","non-dropping-particle":"","parse-names":false,"suffix":""}],"edition":"2","id":"ITEM-1","issued":{"date-parts":[["2004"]]},"publisher":"Cambridge University Press","publisher-place":"Cambridge","title":"The Biomarker Guide: Volume 2: Biomarkers and Isotopes in Petroleum Systems and Earth History","type":"book","volume":"2"},"uris":["http://www.mendeley.com/documents/?uuid=608197ab-766b-4fc9-aa38-c0a71fbef4f2"]}],"mendeley":{"formattedCitation":"(Peters et al., 2004)","plainTextFormattedCitation":"(Peters et al., 2004)","previouslyFormattedCitation":"(Peters et al., 2004)"},"properties":{"noteIndex":0},"schema":"https://github.com/citation-style-language/schema/raw/master/csl-citation.json"}</w:instrText>
      </w:r>
      <w:r w:rsidR="00BB60D4">
        <w:rPr>
          <w:rFonts w:ascii="Times New Roman" w:hAnsi="Times New Roman" w:cs="Times New Roman"/>
          <w:sz w:val="24"/>
          <w:szCs w:val="24"/>
        </w:rPr>
        <w:fldChar w:fldCharType="separate"/>
      </w:r>
      <w:r w:rsidR="00BB60D4" w:rsidRPr="00BB60D4">
        <w:rPr>
          <w:rFonts w:ascii="Times New Roman" w:hAnsi="Times New Roman" w:cs="Times New Roman"/>
          <w:noProof/>
          <w:sz w:val="24"/>
          <w:szCs w:val="24"/>
        </w:rPr>
        <w:t>(Peters et al., 2004)</w:t>
      </w:r>
      <w:r w:rsidR="00BB60D4">
        <w:rPr>
          <w:rFonts w:ascii="Times New Roman" w:hAnsi="Times New Roman" w:cs="Times New Roman"/>
          <w:sz w:val="24"/>
          <w:szCs w:val="24"/>
        </w:rPr>
        <w:fldChar w:fldCharType="end"/>
      </w:r>
      <w:r w:rsidR="00BB60D4">
        <w:rPr>
          <w:rFonts w:ascii="Times New Roman" w:hAnsi="Times New Roman" w:cs="Times New Roman"/>
          <w:sz w:val="24"/>
          <w:szCs w:val="24"/>
        </w:rPr>
        <w:t xml:space="preserve"> </w:t>
      </w:r>
      <w:r w:rsidR="009A46AE">
        <w:rPr>
          <w:rFonts w:ascii="Times New Roman" w:hAnsi="Times New Roman" w:cs="Times New Roman"/>
          <w:sz w:val="24"/>
          <w:szCs w:val="24"/>
        </w:rPr>
        <w:t>and eukaryotic vs. bacterial input</w:t>
      </w:r>
      <w:r w:rsidR="00BB60D4">
        <w:rPr>
          <w:rFonts w:ascii="Times New Roman" w:hAnsi="Times New Roman" w:cs="Times New Roman"/>
          <w:sz w:val="24"/>
          <w:szCs w:val="24"/>
        </w:rPr>
        <w:t xml:space="preserve"> </w:t>
      </w:r>
      <w:r w:rsidR="00BB60D4">
        <w:rPr>
          <w:rFonts w:ascii="Times New Roman" w:hAnsi="Times New Roman" w:cs="Times New Roman"/>
          <w:sz w:val="24"/>
          <w:szCs w:val="24"/>
        </w:rPr>
        <w:fldChar w:fldCharType="begin" w:fldLock="1"/>
      </w:r>
      <w:r w:rsidR="00391661">
        <w:rPr>
          <w:rFonts w:ascii="Times New Roman" w:hAnsi="Times New Roman" w:cs="Times New Roman"/>
          <w:sz w:val="24"/>
          <w:szCs w:val="24"/>
        </w:rPr>
        <w:instrText xml:space="preserve">ADDIN CSL_CITATION {"citationItems":[{"id":"ITEM-1","itemData":{"DOI":"10.1073/pnas.1917661117","abstract":"The end-Triassic mass extinction that occurred </w:instrText>
      </w:r>
      <w:r w:rsidR="00391661">
        <w:rPr>
          <w:rFonts w:ascii="Cambria Math" w:hAnsi="Cambria Math" w:cs="Cambria Math"/>
          <w:sz w:val="24"/>
          <w:szCs w:val="24"/>
        </w:rPr>
        <w:instrText>∼</w:instrText>
      </w:r>
      <w:r w:rsidR="00391661">
        <w:rPr>
          <w:rFonts w:ascii="Times New Roman" w:hAnsi="Times New Roman" w:cs="Times New Roman"/>
          <w:sz w:val="24"/>
          <w:szCs w:val="24"/>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carbon","type":"article-journal","volume":"117"},"uris":["http://www.mendeley.com/documents/?uuid=42d5ad45-4ba0-4b12-940f-377c7823c015"]},{"id":"ITEM-2","itemData":{"DOI":"10.1130/G34183.1","ISSN":"0091-7613","abstract":"The Late Triassic mass extinction event is the most severe global warming–related crisis to have affected important extant marine groups such as scleractinian corals, and offers potential insights into climate change scenarios. Here we present evidence from Chlorobi-derived biomarkers of episodic and persistent photic zone euxinia. From biomarkers and stable carbon isotopes, we present evidence of rapid mixing of atmospheric and oceanic carbon reservoirs. Global versus regional trends are resolved in kerogen organic matter type, carbonate δ13C, and bulk and pyrite δ34S. This suite of data demonstrates for the first time a comprehensive organic and stable isotope geochemical reconstruction of events leading up to the Late Triassic extinction event and its aftermath. The cascade of events prior to, during, and after the extinction is remarkably similar to those reported for the Late Permian extinction, the largest extinction event of the Phanerozoic. We predict that similar conditions will have occurred during all past episodes of rapid global warming and biotic crisis that are associated with similar rises in pCO2.","author":[{"dropping-particle":"","family":"Jaraula","given":"Caroline M B","non-dropping-particle":"","parse-names":false,"suffix":""},{"dropping-particle":"","family":"Grice","given":"Kliti","non-dropping-particle":"","parse-names":false,"suffix":""},{"dropping-particle":"","family":"Twitchett","given":"Richard J","non-dropping-particle":"","parse-names":false,"suffix":""},{"dropping-particle":"","family":"Böttcher","given":"Michael E","non-dropping-particle":"","parse-names":false,"suffix":""},{"dropping-particle":"","family":"LeMetayer","given":"Pierre","non-dropping-particle":"","parse-names":false,"suffix":""},{"dropping-particle":"","family":"Dastidar","given":"Apratim G","non-dropping-particle":"","parse-names":false,"suffix":""},{"dropping-particle":"","family":"Opazo","given":"L Felipe","non-dropping-particle":"","parse-names":false,"suffix":""}],"container-title":"Geology","id":"ITEM-2","issue":"9","issued":{"date-parts":[["2013","9","1"]]},"page":"955-958","title":"Elevated &lt;i&gt;p&lt;/i&gt;CO&lt;sub&gt;2&lt;/sub&gt; leading to Late Triassic extinction, persistent photic zone euxinia, and rising sea levels","type":"article-journal","volume":"41"},"uris":["http://www.mendeley.com/documents/?uuid=49b39731-a31f-49db-a76b-293f6e1bee2f"]},{"id":"ITEM-3","itemData":{"DOI":"10.1126/science.1104323","abstract":"Carbon and sulfur isotopic data, together with biomarker and iron speciation analyses of the Hovea-3 core that was drilled in the Perth Basin, Western Australia, indicate that euxinic conditions prevailed in the paleowater column during the Permian-Triassic superanoxic event. Biomarkers diagnostic for anoxygenic photosynthesis by Chlorobiaceae are particularly abundant at the boundary and into the Early Triassic. Similar conditions prevailed in the contemporaneous seas off South China. Our evidence for widespread photiczone euxinic conditions suggests that sulfide toxicity was a driver of the extinction and a factor in the protracted recovery.","author":[{"dropping-particle":"","family":"Grice","given":"Kliti","non-dropping-particle":"","parse-names":false,"suffix":""},{"dropping-particle":"","family":"Cao","given":"Changqun","non-dropping-particle":"","parse-names":false,"suffix":""},{"dropping-particle":"","family":"Love","given":"Gordon D","non-dropping-particle":"","parse-names":false,"suffix":""},{"dropping-particle":"","family":"Böttcher","given":"Michael E","non-dropping-particle":"","parse-names":false,"suffix":""},{"dropping-particle":"","family":"Twitchett","given":"Richard J","non-dropping-particle":"","parse-names":false,"suffix":""},{"dropping-particle":"","family":"Grosjean","given":"Emmanuelle","non-dropping-particle":"","parse-names":false,"suffix":""},{"dropping-particle":"","family":"Summons","given":"Roger E","non-dropping-particle":"","parse-names":false,"suffix":""},{"dropping-particle":"","family":"Turgeon","given":"Steven C","non-dropping-particle":"","parse-names":false,"suffix":""},{"dropping-particle":"","family":"Dunning","given":"William","non-dropping-particle":"","parse-names":false,"suffix":""},{"dropping-particle":"","family":"Jin","given":"Yugan","non-dropping-particle":"","parse-names":false,"suffix":""}],"container-title":"Science","id":"ITEM-3","issue":"5710","issued":{"date-parts":[["2005","2","4"]]},"page":"706 LP  - 709","title":"Photic Zone Euxinia During the Permian-Triassic Superanoxic Event","type":"article-journal","volume":"307"},"uris":["http://www.mendeley.com/documents/?uuid=4ebd9a83-bb49-4e2f-9b3c-e0330ec552c9"]}],"mendeley":{"formattedCitation":"(Fox et al., 2020; Grice et al., 2005; Jaraula et al., 2013)","plainTextFormattedCitation":"(Fox et al., 2020; Grice et al., 2005; Jaraula et al., 2013)","previouslyFormattedCitation":"(Fox et al., 2020; Grice et al., 2005; Jaraula et al., 2013)"},"properties":{"noteIndex":0},"schema":"https://github.com/citation-style-language/schema/raw/master/csl-citation.json"}</w:instrText>
      </w:r>
      <w:r w:rsidR="00BB60D4">
        <w:rPr>
          <w:rFonts w:ascii="Times New Roman" w:hAnsi="Times New Roman" w:cs="Times New Roman"/>
          <w:sz w:val="24"/>
          <w:szCs w:val="24"/>
        </w:rPr>
        <w:fldChar w:fldCharType="separate"/>
      </w:r>
      <w:r w:rsidR="00391661" w:rsidRPr="00391661">
        <w:rPr>
          <w:rFonts w:ascii="Times New Roman" w:hAnsi="Times New Roman" w:cs="Times New Roman"/>
          <w:noProof/>
          <w:sz w:val="24"/>
          <w:szCs w:val="24"/>
        </w:rPr>
        <w:t>(Fox et al., 2020; Grice et al., 2005; Jaraula et al., 2013)</w:t>
      </w:r>
      <w:r w:rsidR="00BB60D4">
        <w:rPr>
          <w:rFonts w:ascii="Times New Roman" w:hAnsi="Times New Roman" w:cs="Times New Roman"/>
          <w:sz w:val="24"/>
          <w:szCs w:val="24"/>
        </w:rPr>
        <w:fldChar w:fldCharType="end"/>
      </w:r>
      <w:r w:rsidR="00757501">
        <w:rPr>
          <w:rFonts w:ascii="Times New Roman" w:hAnsi="Times New Roman" w:cs="Times New Roman"/>
          <w:sz w:val="24"/>
          <w:szCs w:val="24"/>
        </w:rPr>
        <w:t xml:space="preserve">. </w:t>
      </w:r>
      <w:r w:rsidR="009A46AE">
        <w:rPr>
          <w:rFonts w:ascii="Times New Roman" w:hAnsi="Times New Roman" w:cs="Times New Roman"/>
          <w:sz w:val="24"/>
          <w:szCs w:val="24"/>
        </w:rPr>
        <w:t xml:space="preserve">Note that in Fig. S3, the depth profile of St. Audrie’s Bay is expanded </w:t>
      </w:r>
      <w:r w:rsidR="00790232">
        <w:rPr>
          <w:rFonts w:ascii="Times New Roman" w:hAnsi="Times New Roman" w:cs="Times New Roman"/>
          <w:sz w:val="24"/>
          <w:szCs w:val="24"/>
        </w:rPr>
        <w:t xml:space="preserve">so </w:t>
      </w:r>
      <w:r w:rsidR="009A46AE">
        <w:rPr>
          <w:rFonts w:ascii="Times New Roman" w:hAnsi="Times New Roman" w:cs="Times New Roman"/>
          <w:sz w:val="24"/>
          <w:szCs w:val="24"/>
        </w:rPr>
        <w:t xml:space="preserve">that the lithological transitions correlate to those </w:t>
      </w:r>
      <w:r w:rsidR="009A46AE">
        <w:rPr>
          <w:rFonts w:ascii="Times New Roman" w:hAnsi="Times New Roman" w:cs="Times New Roman"/>
          <w:sz w:val="24"/>
          <w:szCs w:val="24"/>
        </w:rPr>
        <w:lastRenderedPageBreak/>
        <w:t>at Lilstock based on Fig. S1, and two depths profiles are produce</w:t>
      </w:r>
      <w:r w:rsidR="00790232">
        <w:rPr>
          <w:rFonts w:ascii="Times New Roman" w:hAnsi="Times New Roman" w:cs="Times New Roman"/>
          <w:sz w:val="24"/>
          <w:szCs w:val="24"/>
        </w:rPr>
        <w:t>d</w:t>
      </w:r>
      <w:r w:rsidR="009A46AE">
        <w:rPr>
          <w:rFonts w:ascii="Times New Roman" w:hAnsi="Times New Roman" w:cs="Times New Roman"/>
          <w:sz w:val="24"/>
          <w:szCs w:val="24"/>
        </w:rPr>
        <w:t xml:space="preserve"> (original and scaled). For full details see</w:t>
      </w:r>
      <w:r w:rsidR="00BB60D4">
        <w:rPr>
          <w:rFonts w:ascii="Times New Roman" w:hAnsi="Times New Roman" w:cs="Times New Roman"/>
          <w:sz w:val="24"/>
          <w:szCs w:val="24"/>
        </w:rPr>
        <w:t xml:space="preserve"> </w:t>
      </w:r>
      <w:r w:rsidR="00BB60D4">
        <w:rPr>
          <w:rFonts w:ascii="Times New Roman" w:hAnsi="Times New Roman" w:cs="Times New Roman"/>
          <w:sz w:val="24"/>
          <w:szCs w:val="24"/>
        </w:rPr>
        <w:fldChar w:fldCharType="begin" w:fldLock="1"/>
      </w:r>
      <w:r w:rsidR="00BB60D4">
        <w:rPr>
          <w:rFonts w:ascii="Times New Roman" w:hAnsi="Times New Roman" w:cs="Times New Roman"/>
          <w:sz w:val="24"/>
          <w:szCs w:val="24"/>
        </w:rPr>
        <w:instrText xml:space="preserve">ADDIN CSL_CITATION {"citationItems":[{"id":"ITEM-1","itemData":{"DOI":"10.1073/pnas.1917661117","abstract":"The end-Triassic mass extinction that occurred </w:instrText>
      </w:r>
      <w:r w:rsidR="00BB60D4">
        <w:rPr>
          <w:rFonts w:ascii="Cambria Math" w:hAnsi="Cambria Math" w:cs="Cambria Math"/>
          <w:sz w:val="24"/>
          <w:szCs w:val="24"/>
        </w:rPr>
        <w:instrText>∼</w:instrText>
      </w:r>
      <w:r w:rsidR="00BB60D4">
        <w:rPr>
          <w:rFonts w:ascii="Times New Roman" w:hAnsi="Times New Roman" w:cs="Times New Roman"/>
          <w:sz w:val="24"/>
          <w:szCs w:val="24"/>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carbon","type":"article-journal","volume":"117"},"uris":["http://www.mendeley.com/documents/?uuid=42d5ad45-4ba0-4b12-940f-377c7823c015"]}],"mendeley":{"formattedCitation":"(Fox et al., 2020)","manualFormatting":"Fox et al., (2020)","plainTextFormattedCitation":"(Fox et al., 2020)","previouslyFormattedCitation":"(Fox et al., 2020)"},"properties":{"noteIndex":0},"schema":"https://github.com/citation-style-language/schema/raw/master/csl-citation.json"}</w:instrText>
      </w:r>
      <w:r w:rsidR="00BB60D4">
        <w:rPr>
          <w:rFonts w:ascii="Times New Roman" w:hAnsi="Times New Roman" w:cs="Times New Roman"/>
          <w:sz w:val="24"/>
          <w:szCs w:val="24"/>
        </w:rPr>
        <w:fldChar w:fldCharType="separate"/>
      </w:r>
      <w:r w:rsidR="00BB60D4" w:rsidRPr="00BB60D4">
        <w:rPr>
          <w:rFonts w:ascii="Times New Roman" w:hAnsi="Times New Roman" w:cs="Times New Roman"/>
          <w:noProof/>
          <w:sz w:val="24"/>
          <w:szCs w:val="24"/>
        </w:rPr>
        <w:t xml:space="preserve">Fox et al., </w:t>
      </w:r>
      <w:r w:rsidR="00BB60D4">
        <w:rPr>
          <w:rFonts w:ascii="Times New Roman" w:hAnsi="Times New Roman" w:cs="Times New Roman"/>
          <w:noProof/>
          <w:sz w:val="24"/>
          <w:szCs w:val="24"/>
        </w:rPr>
        <w:t>(</w:t>
      </w:r>
      <w:r w:rsidR="00BB60D4" w:rsidRPr="00BB60D4">
        <w:rPr>
          <w:rFonts w:ascii="Times New Roman" w:hAnsi="Times New Roman" w:cs="Times New Roman"/>
          <w:noProof/>
          <w:sz w:val="24"/>
          <w:szCs w:val="24"/>
        </w:rPr>
        <w:t>2020)</w:t>
      </w:r>
      <w:r w:rsidR="00BB60D4">
        <w:rPr>
          <w:rFonts w:ascii="Times New Roman" w:hAnsi="Times New Roman" w:cs="Times New Roman"/>
          <w:sz w:val="24"/>
          <w:szCs w:val="24"/>
        </w:rPr>
        <w:fldChar w:fldCharType="end"/>
      </w:r>
      <w:r w:rsidR="009A46AE">
        <w:rPr>
          <w:rFonts w:ascii="Times New Roman" w:hAnsi="Times New Roman" w:cs="Times New Roman"/>
          <w:sz w:val="24"/>
          <w:szCs w:val="24"/>
        </w:rPr>
        <w:t xml:space="preserve">. </w:t>
      </w:r>
      <w:r w:rsidR="000E1BC3">
        <w:rPr>
          <w:rFonts w:ascii="Times New Roman" w:hAnsi="Times New Roman" w:cs="Times New Roman"/>
          <w:sz w:val="24"/>
          <w:szCs w:val="24"/>
        </w:rPr>
        <w:t xml:space="preserve">Fig. S4 and S5 show full pyrogenic vs. petrogenic profiles, with ratios based on </w:t>
      </w:r>
      <w:r w:rsidR="000E1BC3">
        <w:rPr>
          <w:rFonts w:ascii="Times New Roman" w:hAnsi="Times New Roman" w:cs="Times New Roman"/>
          <w:sz w:val="24"/>
          <w:szCs w:val="24"/>
        </w:rPr>
        <w:fldChar w:fldCharType="begin" w:fldLock="1"/>
      </w:r>
      <w:r w:rsidR="000E1BC3">
        <w:rPr>
          <w:rFonts w:ascii="Times New Roman" w:hAnsi="Times New Roman" w:cs="Times New Roman"/>
          <w:sz w:val="24"/>
          <w:szCs w:val="24"/>
        </w:rPr>
        <w:instrText>ADDIN CSL_CITATION {"citationItems":[{"id":"ITEM-1","itemData":{"DOI":"https://doi.org/10.1016/S0146-6380(02)00002-5","ISSN":"0146-6380","abstract":"Parent and alkyl PAHs (51 compounds and alkyl homologues) have been quantified in suspended particulates and sediments (345 samples) from the Fraser River system, British Columbia, Canada. The best potential to distinguish natural and anthropogenic sources is exhibited by ratios of the principal mass 178, 202, 228 and 276 parent PAHs, 1,7/2,6+1,7-DMP (dimethylphenanthrene), the phenanthrene/anthracene and fluoranthene/pyrene alkyl PAH series and several less commonly applied PAHs (e.g. acephenanthrylene and pentaphene). Using these ratios we infer sources of PAH to the Fraser basin and evaluate the consistency of these source assignments and the suitability of various commonly applied PAH ratios as indicators. PAH ratios and total concentration data reveal a basin lightly impacted by a variety of sources in its remote regions, especially near roads, but heavily impacted in urban areas, particularly near Vancouver. Contamination sources shift from biomass (e.g. wood and grass) burning to vehicle emissions between remote and urban locations. Stormwater and wastewater discharges appear to collect PAH from urban areas and release them as point sources. In contaminated areas ratios are specific for combustion vs. petroleum sources, and some ratios (202 and 276) distinguish biomass or coal from liquid fossil fuel combustion. At lower concentrations multiple sources at times make interpretations based on a single ratio misleading and the higher mass ratios (228 and 276) may be most applicable to urban areas. In all cases the examination of a variety of PAH indicator ratios that encompass a range of masses is necessary for a robust interpretation.","author":[{"dropping-particle":"","family":"Yunker","given":"Mark B","non-dropping-particle":"","parse-names":false,"suffix":""},{"dropping-particle":"","family":"Macdonald","given":"Robie W","non-dropping-particle":"","parse-names":false,"suffix":""},{"dropping-particle":"","family":"Vingarzan","given":"Roxanne","non-dropping-particle":"","parse-names":false,"suffix":""},{"dropping-particle":"","family":"Mitchell","given":"Reginald H","non-dropping-particle":"","parse-names":false,"suffix":""},{"dropping-particle":"","family":"Goyette","given":"Darcy","non-dropping-particle":"","parse-names":false,"suffix":""},{"dropping-particle":"","family":"Sylvestre","given":"Stephanie","non-dropping-particle":"","parse-names":false,"suffix":""}],"container-title":"Organic Geochemistry","id":"ITEM-1","issue":"4","issued":{"date-parts":[["2002"]]},"page":"489-515","title":"PAHs in the Fraser River basin: a critical appraisal of PAH ratios as indicators of PAH source and composition","type":"article-journal","volume":"33"},"uris":["http://www.mendeley.com/documents/?uuid=5a13b9d0-7343-4826-989d-0bc88313263c"]}],"mendeley":{"formattedCitation":"(Yunker et al., 2002)","manualFormatting":"Yunker et al., (2002)","plainTextFormattedCitation":"(Yunker et al., 2002)","previouslyFormattedCitation":"(Yunker et al., 2002)"},"properties":{"noteIndex":0},"schema":"https://github.com/citation-style-language/schema/raw/master/csl-citation.json"}</w:instrText>
      </w:r>
      <w:r w:rsidR="000E1BC3">
        <w:rPr>
          <w:rFonts w:ascii="Times New Roman" w:hAnsi="Times New Roman" w:cs="Times New Roman"/>
          <w:sz w:val="24"/>
          <w:szCs w:val="24"/>
        </w:rPr>
        <w:fldChar w:fldCharType="separate"/>
      </w:r>
      <w:r w:rsidR="000E1BC3" w:rsidRPr="000E1BC3">
        <w:rPr>
          <w:rFonts w:ascii="Times New Roman" w:hAnsi="Times New Roman" w:cs="Times New Roman"/>
          <w:noProof/>
          <w:sz w:val="24"/>
          <w:szCs w:val="24"/>
        </w:rPr>
        <w:t xml:space="preserve">Yunker et al., </w:t>
      </w:r>
      <w:r w:rsidR="000E1BC3">
        <w:rPr>
          <w:rFonts w:ascii="Times New Roman" w:hAnsi="Times New Roman" w:cs="Times New Roman"/>
          <w:noProof/>
          <w:sz w:val="24"/>
          <w:szCs w:val="24"/>
        </w:rPr>
        <w:t>(</w:t>
      </w:r>
      <w:r w:rsidR="000E1BC3" w:rsidRPr="000E1BC3">
        <w:rPr>
          <w:rFonts w:ascii="Times New Roman" w:hAnsi="Times New Roman" w:cs="Times New Roman"/>
          <w:noProof/>
          <w:sz w:val="24"/>
          <w:szCs w:val="24"/>
        </w:rPr>
        <w:t>2002)</w:t>
      </w:r>
      <w:r w:rsidR="000E1BC3">
        <w:rPr>
          <w:rFonts w:ascii="Times New Roman" w:hAnsi="Times New Roman" w:cs="Times New Roman"/>
          <w:sz w:val="24"/>
          <w:szCs w:val="24"/>
        </w:rPr>
        <w:fldChar w:fldCharType="end"/>
      </w:r>
      <w:r w:rsidR="000E1BC3">
        <w:rPr>
          <w:rFonts w:ascii="Times New Roman" w:hAnsi="Times New Roman" w:cs="Times New Roman"/>
          <w:sz w:val="24"/>
          <w:szCs w:val="24"/>
        </w:rPr>
        <w:t xml:space="preserve">. </w:t>
      </w:r>
    </w:p>
    <w:p w14:paraId="3A45BF17" w14:textId="77777777" w:rsidR="00722C16" w:rsidRDefault="00722C16" w:rsidP="00251F02">
      <w:pPr>
        <w:pStyle w:val="AbstractSummary"/>
        <w:spacing w:line="360" w:lineRule="auto"/>
        <w:rPr>
          <w:b/>
        </w:rPr>
      </w:pPr>
    </w:p>
    <w:p w14:paraId="6588EE35" w14:textId="02EF881F" w:rsidR="00722C16" w:rsidRDefault="00722C16" w:rsidP="00251F02">
      <w:pPr>
        <w:pStyle w:val="AbstractSummary"/>
        <w:spacing w:line="360" w:lineRule="auto"/>
        <w:rPr>
          <w:b/>
        </w:rPr>
      </w:pPr>
      <w:r>
        <w:rPr>
          <w:b/>
        </w:rPr>
        <w:t>Wildfires in the ETE</w:t>
      </w:r>
    </w:p>
    <w:p w14:paraId="51275ED7" w14:textId="69F4C54D" w:rsidR="00722C16" w:rsidRDefault="00722C16" w:rsidP="00251F02">
      <w:pPr>
        <w:pStyle w:val="AbstractSummary"/>
        <w:spacing w:line="360" w:lineRule="auto"/>
        <w:ind w:firstLine="360"/>
        <w:jc w:val="both"/>
      </w:pPr>
      <w:r>
        <w:t>Evidence of wildfires come</w:t>
      </w:r>
      <w:r w:rsidR="00FE77AA">
        <w:t>s</w:t>
      </w:r>
      <w:r>
        <w:t xml:space="preserve"> from increased charcoal abundances and the combustion-derived PAHs phenanthrene, fluoranthene, pyrene, benzo(</w:t>
      </w:r>
      <w:r w:rsidRPr="00251F02">
        <w:rPr>
          <w:i/>
        </w:rPr>
        <w:t>a</w:t>
      </w:r>
      <w:r>
        <w:t>)anthracene, chrysene, triphenylene, benzo(</w:t>
      </w:r>
      <w:r>
        <w:rPr>
          <w:i/>
          <w:iCs/>
        </w:rPr>
        <w:t>e</w:t>
      </w:r>
      <w:r>
        <w:t>)pyrene, benzo(</w:t>
      </w:r>
      <w:r>
        <w:rPr>
          <w:i/>
          <w:iCs/>
        </w:rPr>
        <w:t>a</w:t>
      </w:r>
      <w:r>
        <w:t>)pyrene, benzo(</w:t>
      </w:r>
      <w:proofErr w:type="spellStart"/>
      <w:r>
        <w:rPr>
          <w:i/>
          <w:iCs/>
        </w:rPr>
        <w:t>bjk</w:t>
      </w:r>
      <w:proofErr w:type="spellEnd"/>
      <w:r>
        <w:t xml:space="preserve">)fluoranthene, </w:t>
      </w:r>
      <w:proofErr w:type="spellStart"/>
      <w:r>
        <w:t>Indeno</w:t>
      </w:r>
      <w:proofErr w:type="spellEnd"/>
      <w:r>
        <w:t>[1,2,3-</w:t>
      </w:r>
      <w:proofErr w:type="gramStart"/>
      <w:r>
        <w:t>cd]pyrene</w:t>
      </w:r>
      <w:proofErr w:type="gramEnd"/>
      <w:r>
        <w:t>, benzo(</w:t>
      </w:r>
      <w:proofErr w:type="spellStart"/>
      <w:r>
        <w:rPr>
          <w:i/>
          <w:iCs/>
        </w:rPr>
        <w:t>ghi</w:t>
      </w:r>
      <w:proofErr w:type="spellEnd"/>
      <w:r>
        <w:t>)perylene, and coronene  (Fig. 1; Table 1</w:t>
      </w:r>
      <w:r w:rsidR="00D97C1F">
        <w:t xml:space="preserve"> in the main text</w:t>
      </w:r>
      <w:r>
        <w:t xml:space="preserve">) with those having a HMW (i.e., </w:t>
      </w:r>
      <w:r w:rsidR="00F063BE">
        <w:t xml:space="preserve">five </w:t>
      </w:r>
      <w:r>
        <w:t xml:space="preserve">or more rings) best representing evidence of paleowildfires. Thus far, charcoal and combustion-derived PAH evidence of wildfire through ETE is found in </w:t>
      </w:r>
      <w:r w:rsidR="00FE77AA">
        <w:t xml:space="preserve">samples from various sites in </w:t>
      </w:r>
      <w:r>
        <w:t>German, Danish, Polish, Greenland, Iranian and Chinese Basins, some of which extend into the lower Jurassic. Figure 2</w:t>
      </w:r>
      <w:r w:rsidR="00D348D1">
        <w:t xml:space="preserve"> in the main manuscript</w:t>
      </w:r>
      <w:r>
        <w:t xml:space="preserve"> gives</w:t>
      </w:r>
      <w:r w:rsidR="00D348D1">
        <w:t xml:space="preserve"> the localities and </w:t>
      </w:r>
      <w:r>
        <w:t xml:space="preserve">summary of these increases relative to correlative records and </w:t>
      </w:r>
      <w:proofErr w:type="spellStart"/>
      <w:r>
        <w:t>biostratigraphic</w:t>
      </w:r>
      <w:proofErr w:type="spellEnd"/>
      <w:r>
        <w:t xml:space="preserve"> markers</w:t>
      </w:r>
      <w:r w:rsidR="00D348D1">
        <w:t>. Here we present a more comprehensive review.</w:t>
      </w:r>
    </w:p>
    <w:p w14:paraId="6E6E340C" w14:textId="77777777" w:rsidR="00722C16" w:rsidRDefault="00722C16" w:rsidP="00251F02">
      <w:pPr>
        <w:pStyle w:val="AbstractSummary"/>
        <w:spacing w:line="360" w:lineRule="auto"/>
        <w:ind w:firstLine="360"/>
        <w:jc w:val="both"/>
      </w:pPr>
      <w:r>
        <w:t>In Greenland (</w:t>
      </w:r>
      <w:proofErr w:type="spellStart"/>
      <w:r>
        <w:t>Astartekløft</w:t>
      </w:r>
      <w:proofErr w:type="spellEnd"/>
      <w:r>
        <w:t>), increases in the HMW PAHs benzo(</w:t>
      </w:r>
      <w:proofErr w:type="spellStart"/>
      <w:r>
        <w:rPr>
          <w:i/>
          <w:iCs/>
        </w:rPr>
        <w:t>ghi</w:t>
      </w:r>
      <w:proofErr w:type="spellEnd"/>
      <w:r>
        <w:t>)</w:t>
      </w:r>
      <w:proofErr w:type="spellStart"/>
      <w:r>
        <w:t>peryelene</w:t>
      </w:r>
      <w:proofErr w:type="spellEnd"/>
      <w:r>
        <w:t xml:space="preserve"> and coronene occur within the CIE </w:t>
      </w:r>
      <w:r>
        <w:fldChar w:fldCharType="begin" w:fldLock="1"/>
      </w:r>
      <w: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Pr>
          <w:rFonts w:ascii="Cambria Math" w:hAnsi="Cambria Math" w:cs="Cambria Math"/>
        </w:rPr>
        <w:instrText>∼</w:instrText>
      </w:r>
      <w: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2014)","plainTextFormattedCitation":"(Williford et al., 2014)","previouslyFormattedCitation":"(Williford et al., 2014)"},"properties":{"noteIndex":0},"schema":"https://github.com/citation-style-language/schema/raw/master/csl-citation.json"}</w:instrText>
      </w:r>
      <w:r>
        <w:fldChar w:fldCharType="separate"/>
      </w:r>
      <w:r>
        <w:rPr>
          <w:noProof/>
        </w:rPr>
        <w:t>(Williford et al., 2014)</w:t>
      </w:r>
      <w:r>
        <w:fldChar w:fldCharType="end"/>
      </w:r>
      <w:r>
        <w:t xml:space="preserve"> correlated to the initial and main CIE in the SW UK </w:t>
      </w:r>
      <w:r>
        <w:fldChar w:fldCharType="begin" w:fldLock="1"/>
      </w:r>
      <w:r>
        <w:instrText>ADDIN CSL_CITATION {"citationItems":[{"id":"ITEM-1","itemData":{"ISSN":"0091-7613","abstract":"Mass extinction at the Triassic-Jurassic (Tr-J) boundary occurred about the same time (200 Ma) as one of the largest volcanic eruptive events known, that which characterized the Central Atlantic magmatic province. Organic carbon isotope data from the UK and Greenland demonstrate that changes in flora and fauna from terrestrial and marine environments occurred synchronously with a light carbon isotope excursion, and that this happened earlier than the Tr-J boundary marked by ammonites in the UK. The results also point toward synchronicity between extinctions and eruption of the first Central Atlantic magmatic province lavas, suggesting a causal link between loss of taxa and the very earliest eruptive phases. The initial isotopic excursion potentially provides a widely correlatable marker for the base of the Jurassic. A temporary return to heavier values followed, but relatively light carbon dominated the shallow oceanic and atmospheric reservoirs for at least 600 k.y.","author":[{"dropping-particle":"","family":"Hesselbo","given":"Stephen P","non-dropping-particle":"","parse-names":false,"suffix":""},{"dropping-particle":"","family":"Robinson","given":"Stuart A","non-dropping-particle":"","parse-names":false,"suffix":""},{"dropping-particle":"","family":"Surlyk","given":"Finn","non-dropping-particle":"","parse-names":false,"suffix":""},{"dropping-particle":"","family":"Piasecki","given":"Stefan","non-dropping-particle":"","parse-names":false,"suffix":""}],"container-title":"Geology","id":"ITEM-1","issue":"3","issued":{"date-parts":[["2002","3","1"]]},"page":"251-254","title":"Terrestrial and marine extinction at the Triassic-Jurassic boundary synchronized with major carbon-cycle perturbation: A link to initiation of massive volcanism?","type":"article-journal","volume":"30"},"uris":["http://www.mendeley.com/documents/?uuid=c53ba0f4-545e-42d9-99b4-198381a55b6a"]},{"id":"ITEM-2","itemData":{"DOI":"10.1038/ngeo871","ISSN":"1752-0908","abstract":"An episode of climate warming 200 Myr ago was associated with catastrophic environmental changes. Experimental and palaeontological data suggest that a climate-driven shift to more flammable leaf shapes contributed to increased fire activity in East Greenland at this time.","author":[{"dropping-particle":"","family":"Belcher","given":"Claire M","non-dropping-particle":"","parse-names":false,"suffix":""},{"dropping-particle":"","family":"Mander","given":"Luke","non-dropping-particle":"","parse-names":false,"suffix":""},{"dropping-particle":"","family":"Rein","given":"Guillermo","non-dropping-particle":"","parse-names":false,"suffix":""},{"dropping-particle":"","family":"Jervis","given":"Freddy X","non-dropping-particle":"","parse-names":false,"suffix":""},{"dropping-particle":"","family":"Haworth","given":"Matthew","non-dropping-particle":"","parse-names":false,"suffix":""},{"dropping-particle":"","family":"Hesselbo","given":"Stephen P","non-dropping-particle":"","parse-names":false,"suffix":""},{"dropping-particle":"","family":"Glasspool","given":"Ian J","non-dropping-particle":"","parse-names":false,"suffix":""},{"dropping-particle":"","family":"McElwain","given":"Jennifer C","non-dropping-particle":"","parse-names":false,"suffix":""}],"container-title":"Nature Geoscience","id":"ITEM-2","issue":"6","issued":{"date-parts":[["2010"]]},"page":"426-429","title":"Increased fire activity at the Triassic/Jurassic boundary in Greenland due to climate-driven floral change","type":"article-journal","volume":"3"},"uris":["http://www.mendeley.com/documents/?uuid=78e7635c-a3b7-42ee-aa0c-f030be5a8ddd"]},{"id":"ITEM-3","itemData":{"DOI":"10.1144/jgs2012-018","ISSN":"0016-7649","abstract":"We present a palynological study of a terrestrial Triassic{\\textendash}Jurassic (Tr{\\textendash}J; c. 200 Ma) boundary section at Astartekløft, East Greenland. We have generated a new palynostratigraphic scheme and vegetation history for this locality, and have integrated these with existing carbon isotope records. Samples for palynological analysis were collected from precisely the same stratigraphic horizons as plant macrofossils and samples used for geochemical analyses. Our results highlight four local sporomorph assemblage zones that are compositionally distinct from each other at Astartekløft. The extremely low abundance of Classopollis pollen in all samples, and the pronounced decline of Ricciisporites tuberculatus during the Late Rhaetian are notable features of the sporomorph record of Tr{\\textendash}J vegetation at Astartekløft. Correlation of Astartekløft and a marine Tr{\\textendash}J boundary section at St Audrie{\\textquoteright}s Bay, UK, provides no support for the idea that extinction and diversity loss in terrestrial ecosystems preceded biotic change in marine ecosystems at the Tr{\\textendash}J. Instead, the available data support suggestions that the onset of the Tr{\\textendash}J biotic crisis was synchronous in terrestrial and marine environments. Peak extinction among plants at Astartekløft occurred relatively late in the sequence of events across the Tr{\\textendash}J, and may represent a response to long-term cumulative effects of volcanism at this time.Supplementary material Plates of selected sporomorphs recovered from Astartekløft and a full pollen diagram are available at www.geolsoc.org.uk/SUP18553.","author":[{"dropping-particle":"","family":"Mander","given":"Luke","non-dropping-particle":"","parse-names":false,"suffix":""},{"dropping-particle":"","family":"Kürschner","given":"Wolfram M","non-dropping-particle":"","parse-names":false,"suffix":""},{"dropping-particle":"","family":"McElwain","given":"Jennifer C","non-dropping-particle":"","parse-names":false,"suffix":""}],"container-title":"Journal of the Geological Society","id":"ITEM-3","issue":"1","issued":{"date-parts":[["2013"]]},"page":"37-46","publisher":"Geological Society of London","title":"Palynostratigraphy and vegetation history of the Triassic{\\textendash}Jurassic transition in East Greenland","type":"article-journal","volume":"170"},"uris":["http://www.mendeley.com/documents/?uuid=000f8aec-7883-48d9-8ec8-930d6ebcc51f"]}],"mendeley":{"formattedCitation":"(Belcher et al., 2010; Hesselbo et al., 2002; Mander et al., 2013)","plainTextFormattedCitation":"(Belcher et al., 2010; Hesselbo et al., 2002; Mander et al., 2013)","previouslyFormattedCitation":"(Belcher et al., 2010; Hesselbo et al., 2002; Mander et al., 2013)"},"properties":{"noteIndex":0},"schema":"https://github.com/citation-style-language/schema/raw/master/csl-citation.json"}</w:instrText>
      </w:r>
      <w:r>
        <w:fldChar w:fldCharType="separate"/>
      </w:r>
      <w:r>
        <w:rPr>
          <w:noProof/>
        </w:rPr>
        <w:t>(Belcher et al., 2010; Hesselbo et al., 2002; Mander et al., 2013)</w:t>
      </w:r>
      <w:r>
        <w:fldChar w:fldCharType="end"/>
      </w:r>
      <w:r>
        <w:t xml:space="preserve">. These PAH increases coincide with maximum charcoal content, increased gymnosperm resin derivatives, maximum plant turnover, and abrupt plant diversity loss, and are interpreted to represent paleowildfire activity and terrestrial ecosystem stress </w:t>
      </w:r>
      <w:r>
        <w:fldChar w:fldCharType="begin" w:fldLock="1"/>
      </w:r>
      <w: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Pr>
          <w:rFonts w:ascii="Cambria Math" w:hAnsi="Cambria Math" w:cs="Cambria Math"/>
        </w:rPr>
        <w:instrText>∼</w:instrText>
      </w:r>
      <w: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2014)","manualFormatting":"(Williford et al., 2014 and refs therein)","plainTextFormattedCitation":"(Williford et al., 2014)","previouslyFormattedCitation":"(Williford et al., 2014)"},"properties":{"noteIndex":0},"schema":"https://github.com/citation-style-language/schema/raw/master/csl-citation.json"}</w:instrText>
      </w:r>
      <w:r>
        <w:fldChar w:fldCharType="separate"/>
      </w:r>
      <w:r>
        <w:rPr>
          <w:noProof/>
        </w:rPr>
        <w:t>(Williford et al., 2014 and refs therein)</w:t>
      </w:r>
      <w:r>
        <w:fldChar w:fldCharType="end"/>
      </w:r>
      <w:r>
        <w:t>.</w:t>
      </w:r>
    </w:p>
    <w:p w14:paraId="14CF9750" w14:textId="41653800" w:rsidR="00722C16" w:rsidRDefault="00722C16" w:rsidP="00251F02">
      <w:pPr>
        <w:pStyle w:val="AbstractSummary"/>
        <w:spacing w:line="360" w:lineRule="auto"/>
        <w:ind w:firstLine="360"/>
        <w:jc w:val="both"/>
      </w:pPr>
      <w:r>
        <w:t>In</w:t>
      </w:r>
      <w:r w:rsidR="000A303C">
        <w:t xml:space="preserve"> the Polish Basin,</w:t>
      </w:r>
      <w:r>
        <w:t xml:space="preserve"> Poland increased charcoal abundances and elevated concentrations of combustion-derived PAHs in two upper Triassic and five lower Jurassic sections are attributed to wildfire activity </w:t>
      </w:r>
      <w:r>
        <w:fldChar w:fldCharType="begin" w:fldLock="1"/>
      </w:r>
      <w:r>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hydrocarbons","type":"article-journal","volume":"24"},"uris":["http://www.mendeley.com/documents/?uuid=2a6cb468-e7c6-4713-aac1-81b87c770762"]}],"mendeley":{"formattedCitation":"(Marynowski and Simoneit, 2009)","plainTextFormattedCitation":"(Marynowski and Simoneit, 2009)","previouslyFormattedCitation":"(Marynowski and Simoneit, 2009)"},"properties":{"noteIndex":0},"schema":"https://github.com/citation-style-language/schema/raw/master/csl-citation.json"}</w:instrText>
      </w:r>
      <w:r>
        <w:fldChar w:fldCharType="separate"/>
      </w:r>
      <w:r>
        <w:rPr>
          <w:noProof/>
        </w:rPr>
        <w:t>(Marynowski and Simoneit, 2009)</w:t>
      </w:r>
      <w:r>
        <w:fldChar w:fldCharType="end"/>
      </w:r>
      <w:r>
        <w:t xml:space="preserve">. Two pulses of increased combustion-derived PAHs are recorded in the Triassic-Jurassic </w:t>
      </w:r>
      <w:bookmarkStart w:id="1" w:name="_Hlk92176553"/>
      <w:bookmarkStart w:id="2" w:name="_Hlk92175349"/>
      <w:proofErr w:type="spellStart"/>
      <w:r>
        <w:t>Kamień</w:t>
      </w:r>
      <w:proofErr w:type="spellEnd"/>
      <w:r>
        <w:t xml:space="preserve"> </w:t>
      </w:r>
      <w:proofErr w:type="spellStart"/>
      <w:r>
        <w:t>Pomorski</w:t>
      </w:r>
      <w:proofErr w:type="spellEnd"/>
      <w:r>
        <w:t xml:space="preserve"> IG-1</w:t>
      </w:r>
      <w:bookmarkEnd w:id="1"/>
      <w:r>
        <w:t xml:space="preserve"> </w:t>
      </w:r>
      <w:bookmarkEnd w:id="2"/>
      <w:r>
        <w:t xml:space="preserve">section in NW Poland. The first increase takes place in the initial CIE during elevated total organic carbon (TOC) and close to evidence of darkened palynomorphs. The second and larger increase takes place at the Triassic-Jurassic boundary and coincides with darkened palynomorphs and the onset of the main CIE </w:t>
      </w:r>
      <w:r>
        <w:fldChar w:fldCharType="begin" w:fldLock="1"/>
      </w:r>
      <w:r>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hydrocarbons","type":"article-journal","volume":"24"},"uris":["http://www.mendeley.com/documents/?uuid=2a6cb468-e7c6-4713-aac1-81b87c770762"]},{"id":"ITEM-2","itemData":{"DOI":"10.1017/S0016756811000914","ISSN":"0016-7568","abstract":"The Kamień Pomorski IG-1 borehole (Pomerania, NW Poland) yields a profile through the Triassic–Jurassic (T–J) transition in continental deposits. An integrated study of the sedimentology, sequence stratigraphy, palynology, biostratigraphy and geochemistry of these deposits has been carried out on the boundary interval, which represents a time of major environmental change. Two lithological units within the transitional section are distinguished: the Lower–Middle Rhaetian Wielichowo Beds of alluvial plain facies, which shows evidence of a semi-arid climate, and the Upper Rhaetian to Lower Hettangian Zagaje Formation, lying above a marked erosional sequence boundary, composed of mudstone-claystone and sandstone deposited in a fluvial-lacustrine environment. Carbon isotope values obtained from palynomaceral separates, and thus reflecting isotopic changes in atmospheric CO2, show significant fluctuations through the Rhaetian; the most conspicuous negative δ13Corg excursion is correlated with the Rhaetian ‘initial’ excursion and shows two sub-peaks, pointing to short-term carbon-cycle disturbances of lesser magnitude. Above the ‘initial’ negative excursion, there is a positive excursion followed again by more negative values, representing subordinate fluctuation within a positive excursion and is correlated with the T–J boundary. Seventy-two miospore taxa have been determined from the studied T–J transitional section. Two major palynological assemblages have been distinguished: the lower one, typically Rhaetian, named the Cingulizonates rhaeticus–Limbosporites lundblandii association, which corresponds to the Rhaetipollis–Ricciisporites (= Rhaetipollis–Limbosporites) Zone; and the upper one, typically Hettangian, named the Conbaculatisporites mesozoicus– Dictyophyllidites mortoni–Cerebropollenites thiergartii association (with the age-diagnostic pollen C. thiergartii), which corresponds to the Pinuspollenites–Trachysporites (= Trachysporites–Heliosporites) Zone. The T–J palynofloral turnover occurred in a humid period and is more conspicuous then palynofloral changes observed in Greenland, the Tethyan domain or other parts of NE Europe. The osmium isotope system is studied herein for the first time from T–J continental deposits and shows marked disturbances similar to those measured in marine deposits and attributed to volcanic fallout. Carbon and osmium isotope correlation and coeval increase in polycyclic aromatic hydrocarbon (PAH) content and darkening of…","author":[{"dropping-particle":"","family":"Pieńkowski","given":"Grzegorz","non-dropping-particle":"","parse-names":false,"suffix":""},{"dropping-particle":"","family":"Niedźwiedzki","given":"Grzegorz","non-dropping-particle":"","parse-names":false,"suffix":""},{"dropping-particle":"","family":"Waksmundzka","given":"Marta","non-dropping-particle":"","parse-names":false,"suffix":""}],"container-title":"Geological Magazine","id":"ITEM-2","issue":"2","issued":{"date-parts":[["2011","9","12"]]},"page":"308-332","title":"Sedimentological, palynological and geochemical studies of the terrestrial Triassic–Jurassic boundary in northwestern Poland","type":"article-journal","volume":"149"},"uris":["http://www.mendeley.com/documents/?uuid=a0ba88ba-d64b-4229-8c6a-22e361f52868"]},{"id":"ITEM-3","itemData":{"DOI":"10.1130/2014.2505(13)","ISBN":"9780813725055","abstract":"Eight climatic events can be distinguished in the Triassic–Jurassic (ca. 201 Ma) continental strata of Poland. These events are distinguished by kaolinite/illite ratio, chemical index of alteration (CIA), color of sediments, and palynomorphs. The first transition to wetter climate, evidenced by a shift from smectite- to kaolinite-dominated mudrocks, coincides with the earlier (“precursor”) Rhaetian negative δ13Corg excursion, which means that the beginning of climate perturbations predates the oldest known Central Atlantic magmatic province flood basalts by some 100–200 k.y. The later global, late Rhaetian “initial” negative δ13Corg excursion is divided into two subpeaks, each corresponding to hot and humid events, separated by a cooler and drier event. The upper subpeak is also associated with perturbation of the osmium isotope system (attributed to volcanic fallout), and darkened miospores, pointing to acid rains. Between the “initial” excursion and the Triassic-Jurassic boundary interval, five climatic fluctuations are inferred from the changing kaolinite/illite ratio, the last two of which are also associated with an Os isotope perturbation, polycyclic aromatic hydrocarbon (PAH) occurrences, a “spore peak,” and darkened miospores. A series of periodic atmospheric loading events by CO2, CH4, or alternatively by SO2, sulfate aerosols, and toxic compounds, is inferred to have caused this series of rapid climatic reversals and resulting extinction of many less-adapted forms. Just above the palynofloral extinction level, appearance of new forms commenced Jurassic palynofloral recovery. Tetrapod evolution events in the end-Triassic–earliest Jurassic were related to the extinction of the Pseudosuchia, Dicynodontia, Capitosauroidea, Plagiosaroidea, and Rhynchosauria, while appearance of highly diversified tetrapod ichnofauna in the earliest Jurassic strata indicates a rapid recovery and refill of ecological niches by dinosaurs.","author":[{"dropping-particle":"","family":"Pieńkowski","given":"Grzegorz","non-dropping-particle":"","parse-names":false,"suffix":""},{"dropping-particle":"","family":"Niedźwiedzki","given":"Grzegorz","non-dropping-particle":"","parse-names":false,"suffix":""},{"dropping-particle":"","family":"Brański","given":"Paweł","non-dropping-particle":"","parse-names":false,"suffix":""}],"container-title":"Volcanism, Impacts, and Mass Extinctions: Causes and Effects","editor":[{"dropping-particle":"","family":"Keller","given":"Gerta","non-dropping-particle":"","parse-names":false,"suffix":""},{"dropping-particle":"","family":"Kerr","given":"Andrew C","non-dropping-particle":"","parse-names":false,"suffix":""}],"id":"ITEM-3","issued":{"date-parts":[["2014","9","1"]]},"page":"0","publisher":"Geological Society of America","title":"Climatic reversals related to the Central Atlantic magmatic province caused the end-Triassic biotic crisis—Evidence from continental strata in Poland","type":"chapter","volume":"505"},"uris":["http://www.mendeley.com/documents/?uuid=e5b7cf6f-9d8c-4f49-aa43-458779817569"]}],"mendeley":{"formattedCitation":"(Marynowski and Simoneit, 2009; Pieńkowski et al., 2014, 2011)","plainTextFormattedCitation":"(Marynowski and Simoneit, 2009; Pieńkowski et al., 2014, 2011)","previouslyFormattedCitation":"(Marynowski and Simoneit, 2009; Pieńkowski et al., 2014, 2011)"},"properties":{"noteIndex":0},"schema":"https://github.com/citation-style-language/schema/raw/master/csl-citation.json"}</w:instrText>
      </w:r>
      <w:r>
        <w:fldChar w:fldCharType="separate"/>
      </w:r>
      <w:r>
        <w:rPr>
          <w:noProof/>
        </w:rPr>
        <w:t>(Marynowski and Simoneit, 2009; Pieńkowski et al., 2014, 2011)</w:t>
      </w:r>
      <w:r>
        <w:fldChar w:fldCharType="end"/>
      </w:r>
      <w:r>
        <w:t xml:space="preserve">. Each pulse is characterized by </w:t>
      </w:r>
      <w:r>
        <w:lastRenderedPageBreak/>
        <w:t>similar concentrations of LMW and HMW PAHs but those most abundant include the phenanthrene, fluoranthene, pyrene, and benzo(</w:t>
      </w:r>
      <w:proofErr w:type="spellStart"/>
      <w:r>
        <w:rPr>
          <w:i/>
          <w:iCs/>
        </w:rPr>
        <w:t>ghi</w:t>
      </w:r>
      <w:proofErr w:type="spellEnd"/>
      <w:r>
        <w:t xml:space="preserve">)perylene </w:t>
      </w:r>
      <w:r>
        <w:fldChar w:fldCharType="begin" w:fldLock="1"/>
      </w:r>
      <w:r>
        <w:instrText>ADDIN CSL_CITATION {"citationItems":[{"id":"ITEM-1","itemData":{"ISSN":"08831351, 19385323","abstract":"[Laboratory tests indicate that 15% O₂, instead of 12%, is required for the propagation of a widespread forest fire, a 3% increase from what was previously assumed. The presence of widespread wildfire records in the Upper Triassic and Lower Jurassic of Central Europe suggests that the lower limit for O₂ during this time was at least 15%. Wildfire records are based on the co-occurrence of charcoal fragments and elevated concentrations of pyrolytic polycyclic aromatic hydrocarbons (PAHs). In all samples charcoal fragments are large to medium-sized and angular, suggesting that they were transported by rivers only short distances after charcoalification. Calculated combustion temperatures vary with stratigraphic position and average 295-377 °C, which is characteristic for ground or near-surface wildfires. The most extensive wildfires occurred in the earliest Jurassic and their intensities successively decreased with time. Average concentrations of the sum of pyrolytic PAHs for the lowermost Jurassic Zagaje Formation reached ~1253 μg/g total organic carbon (TOC), whereas for the Upper Triassic-Lower Jurassic Sktoby Formation they did not exceed ~16 μg/g TOC. Charcoal-bearing sequences were also characterized by the presence of phenyl-PAHs (Ph-PAHs) and oxygen-containing aromatic compounds. The dominance of the more stable Ph-PAH isomers in these immature to low-maturity sedimentary rocks supports their pyrolytic origin. The oxygenated PAHs may also be derived from combustion processes.]","author":[{"dropping-particle":"","family":"Marynowski","given":"Leszek","non-dropping-particle":"","parse-names":false,"suffix":""},{"dropping-particle":"","family":"Simoneit","given":"Bernd R T","non-dropping-particle":"","parse-names":false,"suffix":""}],"container-title":"Palaios","id":"ITEM-1","issue":"11/12","issued":{"date-parts":[["2009","4","9"]]},"page":"785-798","publisher":"SEPM Society for Sedimentary Geology","title":"Widespread upper Triassic to lower Jurassic wildfire records from Poland: Evidence from charcoal and pyrolytic and pyrolytic polycyclic aromatic hydrocarbons","type":"article-journal","volume":"24"},"uris":["http://www.mendeley.com/documents/?uuid=2a6cb468-e7c6-4713-aac1-81b87c770762"]}],"mendeley":{"formattedCitation":"(Marynowski and Simoneit, 2009)","plainTextFormattedCitation":"(Marynowski and Simoneit, 2009)","previouslyFormattedCitation":"(Marynowski and Simoneit, 2009)"},"properties":{"noteIndex":0},"schema":"https://github.com/citation-style-language/schema/raw/master/csl-citation.json"}</w:instrText>
      </w:r>
      <w:r>
        <w:fldChar w:fldCharType="separate"/>
      </w:r>
      <w:r>
        <w:rPr>
          <w:noProof/>
        </w:rPr>
        <w:t>(Marynowski and Simoneit, 2009)</w:t>
      </w:r>
      <w:r>
        <w:fldChar w:fldCharType="end"/>
      </w:r>
      <w:r>
        <w:t xml:space="preserve">. </w:t>
      </w:r>
    </w:p>
    <w:p w14:paraId="7AECA1B7" w14:textId="33A6E2FF" w:rsidR="00722C16" w:rsidRDefault="00722C16" w:rsidP="00251F02">
      <w:pPr>
        <w:pStyle w:val="AbstractSummary"/>
        <w:spacing w:line="360" w:lineRule="auto"/>
        <w:ind w:firstLine="360"/>
        <w:jc w:val="both"/>
      </w:pPr>
      <w:r>
        <w:t xml:space="preserve">The Central/Southern Chinese sections </w:t>
      </w:r>
      <w:proofErr w:type="spellStart"/>
      <w:r>
        <w:t>Guangyuan</w:t>
      </w:r>
      <w:proofErr w:type="spellEnd"/>
      <w:r>
        <w:t xml:space="preserve"> and </w:t>
      </w:r>
      <w:proofErr w:type="spellStart"/>
      <w:r>
        <w:t>Hechuan</w:t>
      </w:r>
      <w:proofErr w:type="spellEnd"/>
      <w:r>
        <w:t xml:space="preserve"> in the N and S Sichuan Basin, respectively, both show </w:t>
      </w:r>
      <w:r w:rsidR="00FE77AA">
        <w:t xml:space="preserve">three </w:t>
      </w:r>
      <w:r>
        <w:t xml:space="preserve">pulsed increases in </w:t>
      </w:r>
      <w:r w:rsidR="00F063BE">
        <w:t xml:space="preserve">three </w:t>
      </w:r>
      <w:r>
        <w:t xml:space="preserve">to </w:t>
      </w:r>
      <w:r w:rsidR="00F063BE">
        <w:t xml:space="preserve">six </w:t>
      </w:r>
      <w:r>
        <w:t xml:space="preserve">ringed combustion-derived PAHs. Ascribed to a combustion origin based on PAH ratios (e.g., Fluoranthene/Fluoranthene + Pyrene), two pulses occur in the Rhaetian attributed to changes in the paleo-Intertropical Convergence Zone and another at the Triassic-Jurassic boundary attributed to CAMP-driving global warming. Additionally, increases in furan-structured O-containing PAHs occur </w:t>
      </w:r>
      <w:r w:rsidR="00FE77AA">
        <w:t xml:space="preserve">coincident </w:t>
      </w:r>
      <w:proofErr w:type="gramStart"/>
      <w:r w:rsidR="00FE77AA">
        <w:t>with</w:t>
      </w:r>
      <w:r>
        <w:t xml:space="preserve"> </w:t>
      </w:r>
      <w:r w:rsidR="00FE77AA">
        <w:t xml:space="preserve"> </w:t>
      </w:r>
      <w:r>
        <w:t>combustion</w:t>
      </w:r>
      <w:proofErr w:type="gramEnd"/>
      <w:r>
        <w:t xml:space="preserve">-derived PAHs and are attributed to weathering. Although not chemostratigraphically correlated, increases </w:t>
      </w:r>
      <w:r w:rsidR="00FE77AA">
        <w:t xml:space="preserve">in </w:t>
      </w:r>
      <w:r>
        <w:t xml:space="preserve">combustion-derived PAHs at the Triassic-Jurassic boundary coincide with shifts to the </w:t>
      </w:r>
      <w:r>
        <w:rPr>
          <w:shd w:val="clear" w:color="auto" w:fill="FFFFFF"/>
        </w:rPr>
        <w:t>δ</w:t>
      </w:r>
      <w:r>
        <w:rPr>
          <w:shd w:val="clear" w:color="auto" w:fill="FFFFFF"/>
          <w:vertAlign w:val="superscript"/>
        </w:rPr>
        <w:t>13</w:t>
      </w:r>
      <w:r>
        <w:rPr>
          <w:shd w:val="clear" w:color="auto" w:fill="FFFFFF"/>
        </w:rPr>
        <w:t>C</w:t>
      </w:r>
      <w:r>
        <w:rPr>
          <w:shd w:val="clear" w:color="auto" w:fill="FFFFFF"/>
          <w:vertAlign w:val="subscript"/>
        </w:rPr>
        <w:t>org</w:t>
      </w:r>
      <w:r>
        <w:t xml:space="preserve"> record, albeit negative in </w:t>
      </w:r>
      <w:proofErr w:type="spellStart"/>
      <w:r>
        <w:t>Guangyuan</w:t>
      </w:r>
      <w:proofErr w:type="spellEnd"/>
      <w:r>
        <w:t xml:space="preserve"> and positive in </w:t>
      </w:r>
      <w:proofErr w:type="spellStart"/>
      <w:r>
        <w:t>Hechuan</w:t>
      </w:r>
      <w:proofErr w:type="spellEnd"/>
      <w:r>
        <w:t xml:space="preserve"> </w:t>
      </w:r>
      <w:r>
        <w:fldChar w:fldCharType="begin" w:fldLock="1"/>
      </w:r>
      <w:r>
        <w:instrText>ADDIN CSL_CITATION {"citationItems":[{"id":"ITEM-1","itemData":{"DOI":"https://doi.org/10.1016/j.earscirev.2019.102970","ISSN":"0012-8252","abstract":"Emplacement of the Central Atlantic Magmatic Province (CAMP) during the Triassic-Jurassic (Tr-J) transition is believed to have indirectly increased wildfire frequency through climatic warming and drying. To date, evidence for wildfires has come mainly from within the CAMP region. Here, we present biomarker evidence for wildfires in the form of polycyclic aromatic hydrocarbons (PAHs) in two terrestrial Triassic-Jurassic boundary sections in the Sichuan Basin, southwestern China. Pyrolytic PAHs of probable wildfire origin identified in these sections include pyrene, benzofluoranthene, benzo[e]pyrene, indeno[1,2,3-cd]pyrene, benzo[ghi]perylene, and coronene. Sharp increases in the abundances of pyrolytic PAHs normalized to total organic carbon were found during the Rhaetian Stage (R1 and R2) and at the Tr-J boundary. The ratios of pyrolytic PAHs (PPAHs) to methylated homologues document the combustion origin of PPAHs from methylated PAHs during these intervals of increased wildfire frequency. The abundances of oxygenated PAHs with furan structure show the same stratigraphic trend, testifying to enhanced soil erosion or weathering that may have resulted from a reduction of vegetative cover. Although CAMP-induced climate changes probably set the stage for more frequent wildfires in South China, the immediate trigger was probably a southward shift of the paleo-Intertropical Convergence Zone (ITCZ). These observations suggest a complex feedback involving climatic warming, precipitation and evapo-transpiration, vegetation density, and wildfire prevalence during the Tr-J transition.","author":[{"dropping-particle":"","family":"Song","given":"Yi","non-dropping-particle":"","parse-names":false,"suffix":""},{"dropping-particle":"","family":"Algeo","given":"Thomas J","non-dropping-particle":"","parse-names":false,"suffix":""},{"dropping-particle":"","family":"Wu","given":"Wenjun","non-dropping-particle":"","parse-names":false,"suffix":""},{"dropping-particle":"","family":"Luo","given":"Genming","non-dropping-particle":"","parse-names":false,"suffix":""},{"dropping-particle":"","family":"Li","given":"Liqin","non-dropping-particle":"","parse-names":false,"suffix":""},{"dropping-particle":"","family":"Wang","given":"Yongdong","non-dropping-particle":"","parse-names":false,"suffix":""},{"dropping-particle":"","family":"Xie","given":"Shucheng","non-dropping-particle":"","parse-names":false,"suffix":""}],"container-title":"Earth-Science Reviews","id":"ITEM-1","issued":{"date-parts":[["2020"]]},"page":"102970","title":"Distribution of pyrolytic PAHs across the Triassic-Jurassic boundary in the Sichuan Basin, southwestern China: Evidence of wildfire outside the Central Atlantic Magmatic Province","type":"article-journal","volume":"201"},"uris":["http://www.mendeley.com/documents/?uuid=177f61fb-4d2a-4442-b15d-f8ffbd214856"]}],"mendeley":{"formattedCitation":"(Song et al., 2020)","plainTextFormattedCitation":"(Song et al., 2020)","previouslyFormattedCitation":"(Song et al., 2020)"},"properties":{"noteIndex":0},"schema":"https://github.com/citation-style-language/schema/raw/master/csl-citation.json"}</w:instrText>
      </w:r>
      <w:r>
        <w:fldChar w:fldCharType="separate"/>
      </w:r>
      <w:r>
        <w:rPr>
          <w:noProof/>
        </w:rPr>
        <w:t>(Song et al., 2020)</w:t>
      </w:r>
      <w:r>
        <w:fldChar w:fldCharType="end"/>
      </w:r>
      <w:r>
        <w:t xml:space="preserve">. Additionally, the </w:t>
      </w:r>
      <w:proofErr w:type="spellStart"/>
      <w:r>
        <w:t>Qili</w:t>
      </w:r>
      <w:proofErr w:type="spellEnd"/>
      <w:r>
        <w:t xml:space="preserve"> section in the NE Sichuan Basin various charcoal fragments are found in the upper Rhaetian and Triassic-Jurassic boundary </w:t>
      </w:r>
      <w:r>
        <w:fldChar w:fldCharType="begin" w:fldLock="1"/>
      </w:r>
      <w:r>
        <w:instrText>ADDIN CSL_CITATION {"citationItems":[{"id":"ITEM-1","itemData":{"DOI":"10.1007/s12549-017-0315-y","ISSN":"1867-1608","abstract":"The Upper Triassic Xujiahe and Lower Jurassic Zhenzhuchong formations of the Sichuan Basin, China, are important sources of plant fossils and windows into the intervening extinction event. However, there is an on-going debate as to whether the environment represented by the Xujiahe and Zhenzhuchong formations was continental or included an important marine component. We studied the Xujiahe–Zhenzhuchong section near Qili Town of Xuanhan County, in the east of the basin and report hummocky and swaley cross-stratification in the Xujiahe Formation. This, along with minor Skolithos and heterolithic bedding, provides strong evidence for shallow marine conditions and favours an interpretation as the deposits of a wave-dominated coast. It also suggests common and extreme storm activity, possibly hurricanes, at what was a mid-latitude (c. 34–40°N) location in the Late Triassic. Charcoal is found in most samples throughout the section. The predominant fossil wood morphology is consistent with Xenoxylon. Together, the sedimentological evidence of storms and fire suggests a highly disturbed environment.","author":[{"dropping-particle":"","family":"Pole","given":"Mike","non-dropping-particle":"","parse-names":false,"suffix":""},{"dropping-particle":"","family":"Wang","given":"Yongdong","non-dropping-particle":"","parse-names":false,"suffix":""},{"dropping-particle":"","family":"Dong","given":"Chong","non-dropping-particle":"","parse-names":false,"suffix":""},{"dropping-particle":"","family":"Xie","given":"Xiaoping","non-dropping-particle":"","parse-names":false,"suffix":""},{"dropping-particle":"","family":"Tian","given":"Ning","non-dropping-particle":"","parse-names":false,"suffix":""},{"dropping-particle":"","family":"Li","given":"Liqin","non-dropping-particle":"","parse-names":false,"suffix":""},{"dropping-particle":"","family":"Zhou","given":"Ning","non-dropping-particle":"","parse-names":false,"suffix":""},{"dropping-particle":"","family":"Lu","given":"Ning","non-dropping-particle":"","parse-names":false,"suffix":""},{"dropping-particle":"","family":"Xie","given":"Aowei","non-dropping-particle":"","parse-names":false,"suffix":""},{"dropping-particle":"","family":"Zhang","given":"Xiaoqing","non-dropping-particle":"","parse-names":false,"suffix":""}],"container-title":"Palaeobiodiversity and Palaeoenvironments","id":"ITEM-1","issue":"1","issued":{"date-parts":[["2018"]]},"page":"29-47","title":"Fires and storms—a Triassic–Jurassic transition section in the Sichuan Basin, China","type":"article-journal","volume":"98"},"uris":["http://www.mendeley.com/documents/?uuid=47ee6d8c-f890-4959-84ab-fbe93f3c6773"]}],"mendeley":{"formattedCitation":"(Pole et al., 2018)","plainTextFormattedCitation":"(Pole et al., 2018)","previouslyFormattedCitation":"(Pole et al., 2018)"},"properties":{"noteIndex":0},"schema":"https://github.com/citation-style-language/schema/raw/master/csl-citation.json"}</w:instrText>
      </w:r>
      <w:r>
        <w:fldChar w:fldCharType="separate"/>
      </w:r>
      <w:r>
        <w:rPr>
          <w:noProof/>
        </w:rPr>
        <w:t>(Pole et al., 2018)</w:t>
      </w:r>
      <w:r>
        <w:fldChar w:fldCharType="end"/>
      </w:r>
      <w:r>
        <w:t xml:space="preserve">. In the more poleward </w:t>
      </w:r>
      <w:proofErr w:type="spellStart"/>
      <w:r>
        <w:t>Junggar</w:t>
      </w:r>
      <w:proofErr w:type="spellEnd"/>
      <w:r>
        <w:t xml:space="preserve"> Basin, NW China, minor initial CIE combustion-derived PAHs increases are driven by benzo(</w:t>
      </w:r>
      <w:proofErr w:type="spellStart"/>
      <w:r>
        <w:rPr>
          <w:i/>
          <w:iCs/>
        </w:rPr>
        <w:t>bjk</w:t>
      </w:r>
      <w:proofErr w:type="spellEnd"/>
      <w:proofErr w:type="gramStart"/>
      <w:r>
        <w:rPr>
          <w:i/>
          <w:iCs/>
        </w:rPr>
        <w:t>?</w:t>
      </w:r>
      <w:r>
        <w:t>)</w:t>
      </w:r>
      <w:proofErr w:type="spellStart"/>
      <w:r>
        <w:t>fluoranthenes</w:t>
      </w:r>
      <w:proofErr w:type="spellEnd"/>
      <w:proofErr w:type="gramEnd"/>
      <w:r>
        <w:t xml:space="preserve">. However, in the main CIE and above the last occurrence of </w:t>
      </w:r>
      <w:proofErr w:type="spellStart"/>
      <w:r>
        <w:rPr>
          <w:i/>
          <w:iCs/>
        </w:rPr>
        <w:t>Cerebropollenites</w:t>
      </w:r>
      <w:proofErr w:type="spellEnd"/>
      <w:r>
        <w:rPr>
          <w:i/>
          <w:iCs/>
        </w:rPr>
        <w:t xml:space="preserve"> </w:t>
      </w:r>
      <w:proofErr w:type="spellStart"/>
      <w:r>
        <w:rPr>
          <w:i/>
          <w:iCs/>
        </w:rPr>
        <w:t>thiergartii</w:t>
      </w:r>
      <w:proofErr w:type="spellEnd"/>
      <w:r>
        <w:t xml:space="preserve"> much larger increases of combustion-derived PAHs are recorded and driven by phenanthrene, fluoranthene, and pyrene </w:t>
      </w:r>
      <w:r>
        <w:fldChar w:fldCharType="begin" w:fldLock="1"/>
      </w:r>
      <w:r>
        <w:instrText>ADDIN CSL_CITATION {"citationItems":[{"id":"ITEM-1","itemData":{"DOI":"https://doi.org/10.1016/j.palaeo.2021.110559","ISSN":"0031-0182","abstract":"Carbon isotope stratigraphic records across the Triassic-Jurassic (Tr-J) boundary show carbon isotope excursions in both marine and terrestrial sections, indicating frequent perturbations of the global carbon cycles, which are linked to the ~600 kyr pulsed emplacement of the Central Atlantic Magmatic Province (CAMP). However, few detailed carbon isotope stratigraphic reports from high-latitude terrestrial deposition have been documented in contrast to the contemporaneous low- to mid-latitude records. It hampers the understanding of the climatic response in the high-latitude terrestrial areas and the modeling global carbon cycles triggered by CAMP volcanisms. Here, we present high-resolution organic carbon isotope data primarily originated from C3 plants in the Haojiagou section in the paleo-high-latitude Junggar Basin, NW China. Combined with previously published biostratigraphic and geochemical results, carbon isotope stratigraphy with distinct “initial negative carbon isotope excursions” (I-CIE) and “main negative carbon isotope excursions” (M-CIE) is built in the Junggar Basin and allows a global stratigraphic correlation. The end-Triassic mass extinction (ETE) and the Tr-J boundary is then well identified. The excursion magnitude is similar to that in Greenland and Poland where the sections are also terrestrial. Climatic pattern recorded in the Junggar Basin rapidly changed across the Tr-J transition and coincides with a bloom of fern spores, increased wildfire activities, enhanced hydrological cycles and soil loss.","author":[{"dropping-particle":"","family":"Fang","given":"Yanan","non-dropping-particle":"","parse-names":false,"suffix":""},{"dropping-particle":"","family":"Fang","given":"Linhao","non-dropping-particle":"","parse-names":false,"suffix":""},{"dropping-particle":"","family":"Deng","given":"Shenghui","non-dropping-particle":"","parse-names":false,"suffix":""},{"dropping-particle":"","family":"Lu","given":"Yuanzheng","non-dropping-particle":"","parse-names":false,"suffix":""},{"dropping-particle":"","family":"Wang","given":"Bo","non-dropping-particle":"","parse-names":false,"suffix":""},{"dropping-particle":"","family":"Zhao","given":"Xiangdong","non-dropping-particle":"","parse-names":false,"suffix":""},{"dropping-particle":"","family":"Wang","given":"Yizhe","non-dropping-particle":"","parse-names":false,"suffix":""},{"dropping-particle":"","family":"Zhang","given":"Haichun","non-dropping-particle":"","parse-names":false,"suffix":""},{"dropping-particle":"","family":"Zhang","given":"Xinzhi","non-dropping-particle":"","parse-names":false,"suffix":""},{"dropping-particle":"","family":"Sha","given":"Jingeng","non-dropping-particle":"","parse-names":false,"suffix":""}],"container-title":"Palaeogeography, Palaeoclimatology, Palaeoecology","id":"ITEM-1","issued":{"date-parts":[["2021"]]},"page":"110559","title":"Carbon isotope stratigraphy across the Triassic-Jurassic boundary in the high-latitude terrestrial Junggar Basin, NW China","type":"article-journal","volume":"577"},"uris":["http://www.mendeley.com/documents/?uuid=ab66d73b-ed97-439d-b004-4b2d160f2cca"]}],"mendeley":{"formattedCitation":"(Fang et al., 2021)","plainTextFormattedCitation":"(Fang et al., 2021)","previouslyFormattedCitation":"(Fang et al., 2021)"},"properties":{"noteIndex":0},"schema":"https://github.com/citation-style-language/schema/raw/master/csl-citation.json"}</w:instrText>
      </w:r>
      <w:r>
        <w:fldChar w:fldCharType="separate"/>
      </w:r>
      <w:r>
        <w:rPr>
          <w:noProof/>
        </w:rPr>
        <w:t>(Fang et al., 2021)</w:t>
      </w:r>
      <w:r>
        <w:fldChar w:fldCharType="end"/>
      </w:r>
      <w:r>
        <w:t xml:space="preserve">. </w:t>
      </w:r>
    </w:p>
    <w:p w14:paraId="6304D886" w14:textId="5CCE4B37" w:rsidR="00722C16" w:rsidRDefault="009B711F" w:rsidP="00251F02">
      <w:pPr>
        <w:pStyle w:val="AbstractSummary"/>
        <w:spacing w:line="360" w:lineRule="auto"/>
        <w:ind w:firstLine="810"/>
        <w:jc w:val="both"/>
      </w:pPr>
      <w:r>
        <w:t>In th</w:t>
      </w:r>
      <w:r w:rsidRPr="009B711F">
        <w:rPr>
          <w:rFonts w:asciiTheme="majorBidi" w:hAnsiTheme="majorBidi" w:cstheme="majorBidi"/>
        </w:rPr>
        <w:t xml:space="preserve">e </w:t>
      </w:r>
      <w:proofErr w:type="spellStart"/>
      <w:r w:rsidRPr="009B711F">
        <w:rPr>
          <w:rFonts w:asciiTheme="majorBidi" w:hAnsiTheme="majorBidi" w:cstheme="majorBidi"/>
        </w:rPr>
        <w:t>H</w:t>
      </w:r>
      <w:r w:rsidRPr="009B711F">
        <w:rPr>
          <w:rFonts w:asciiTheme="majorBidi" w:hAnsiTheme="majorBidi" w:cstheme="majorBidi"/>
          <w:color w:val="202124"/>
          <w:shd w:val="clear" w:color="auto" w:fill="FFFFFF"/>
        </w:rPr>
        <w:t>ä</w:t>
      </w:r>
      <w:r>
        <w:rPr>
          <w:rFonts w:asciiTheme="majorBidi" w:hAnsiTheme="majorBidi" w:cstheme="majorBidi"/>
          <w:color w:val="202124"/>
          <w:shd w:val="clear" w:color="auto" w:fill="FFFFFF"/>
        </w:rPr>
        <w:t>gnach</w:t>
      </w:r>
      <w:proofErr w:type="spellEnd"/>
      <w:r>
        <w:rPr>
          <w:rFonts w:asciiTheme="majorBidi" w:hAnsiTheme="majorBidi" w:cstheme="majorBidi"/>
          <w:color w:val="202124"/>
          <w:shd w:val="clear" w:color="auto" w:fill="FFFFFF"/>
        </w:rPr>
        <w:t xml:space="preserve"> Quarry,</w:t>
      </w:r>
      <w:r w:rsidR="00722C16" w:rsidRPr="009B711F">
        <w:rPr>
          <w:rFonts w:asciiTheme="majorBidi" w:hAnsiTheme="majorBidi" w:cstheme="majorBidi"/>
        </w:rPr>
        <w:t xml:space="preserve"> SW</w:t>
      </w:r>
      <w:r w:rsidR="00722C16">
        <w:t xml:space="preserve"> Germany, charcoal evidence in the late Triassic (upper </w:t>
      </w:r>
      <w:proofErr w:type="spellStart"/>
      <w:r w:rsidR="00722C16">
        <w:t>Keuper</w:t>
      </w:r>
      <w:proofErr w:type="spellEnd"/>
      <w:r w:rsidR="00722C16">
        <w:t xml:space="preserve">/late Rhaetian) is </w:t>
      </w:r>
      <w:r w:rsidR="00FE77AA">
        <w:t xml:space="preserve">taken </w:t>
      </w:r>
      <w:r w:rsidR="00722C16">
        <w:t xml:space="preserve">as direct evidence of paleowildfire activity, although no mention of the frequency is given </w:t>
      </w:r>
      <w:r w:rsidR="00722C16">
        <w:fldChar w:fldCharType="begin" w:fldLock="1"/>
      </w:r>
      <w:r w:rsidR="00722C16">
        <w:instrText>ADDIN CSL_CITATION {"citationItems":[{"id":"ITEM-1","itemData":{"DOI":"https://doi.org/10.1002/gj.1229","ISSN":"0072-1050","abstract":"Abstract So far only very few reports deal with Triassic (especially macro- or mesofossil) charcoal in detail. Here we present the first results of a detailed study of fossil charcoal from Late Triassic sandstones of the Tübingen Sandstein (Exter-Formation, Rhaetian) in the vicinity of Tübingen in SW Germany. The discovery of charcoal at this locality can be regarded as direct evidence of wildfires in the hinterland of the Rhaetian sea and all charcoal fragments studied so far represent gymnosperm woods. At the moment nothing can be stated about the frequency and extent of such fires, although the occurrence of charcoal in different sandstone-bodies points to more than one fire event. The charcoal content of the marginal marine deposit probably represents a larger region and not only the vegetation in the direct vicinity of the shore. A considerable amount of transport is indicated by abrasion of some of the charcoal fragments and the taphonomic sorting, leading to the selected accumulation of woody fragments. Some charcoal fragments are permineralized by goethite and we assume that in this case the goethite is the primary permineralization agent. Our data support the assumption that during the Late Triassic atmospheric oxygen concentrations were high enough to sustain larger wildfires. Copyright ? 2010 John Wiley &amp; Sons, Ltd.","author":[{"dropping-particle":"","family":"Uhl","given":"Dieter","non-dropping-particle":"","parse-names":false,"suffix":""},{"dropping-particle":"","family":"Montenari","given":"Michael","non-dropping-particle":"","parse-names":false,"suffix":""}],"container-title":"Geological Journal","id":"ITEM-1","issue":"1","issued":{"date-parts":[["2011","1","1"]]},"note":"https://doi.org/10.1002/gj.1229","page":"34-41","publisher":"John Wiley &amp; Sons, Ltd","title":"Charcoal as evidence of palaeo-wildfires in the Late Triassic of SW Germany","type":"article-journal","volume":"46"},"uris":["http://www.mendeley.com/documents/?uuid=2e8af47e-b4e3-43c0-ada1-9d59d1ae34e7"]}],"mendeley":{"formattedCitation":"(Uhl and Montenari, 2011)","plainTextFormattedCitation":"(Uhl and Montenari, 2011)","previouslyFormattedCitation":"(Uhl and Montenari, 2011)"},"properties":{"noteIndex":0},"schema":"https://github.com/citation-style-language/schema/raw/master/csl-citation.json"}</w:instrText>
      </w:r>
      <w:r w:rsidR="00722C16">
        <w:fldChar w:fldCharType="separate"/>
      </w:r>
      <w:r w:rsidR="00722C16">
        <w:rPr>
          <w:noProof/>
        </w:rPr>
        <w:t>(Uhl and Montenari, 2011)</w:t>
      </w:r>
      <w:r w:rsidR="00722C16">
        <w:fldChar w:fldCharType="end"/>
      </w:r>
      <w:r w:rsidR="00722C16">
        <w:t>. In N Germany (Mariental-1) PAHs increase in the Trilete beds and the basal portion of the CIE chemostratigraphically correlated to the initial CIE in the SW UK (Fig. 2). Based on increases in the ratio of the high-molecular-weight (HMW) PAHs coronene to benzo[</w:t>
      </w:r>
      <w:r w:rsidR="00722C16">
        <w:rPr>
          <w:i/>
        </w:rPr>
        <w:t>a</w:t>
      </w:r>
      <w:r w:rsidR="00722C16">
        <w:t>]pyrene (C/</w:t>
      </w:r>
      <w:proofErr w:type="spellStart"/>
      <w:r w:rsidR="00722C16">
        <w:t>BaP</w:t>
      </w:r>
      <w:proofErr w:type="spellEnd"/>
      <w:r w:rsidR="00722C16">
        <w:t xml:space="preserve">; values of 3.46) and high concentrations of coronene (Fig. 2) PAH increases were attributed directly to CAMP activity, possibly intrusions into coal beds, rather than CAMP-induced biomass burning. This hypothesis is based on 1) an absence of charcoal; 2) darkened palynomorphs in the Trilete beds that are attributed to CAMP-induced soil acidification and/or </w:t>
      </w:r>
      <w:proofErr w:type="spellStart"/>
      <w:r w:rsidR="00722C16">
        <w:t>sulphuric</w:t>
      </w:r>
      <w:proofErr w:type="spellEnd"/>
      <w:r w:rsidR="00722C16">
        <w:t xml:space="preserve"> acid depositions </w:t>
      </w:r>
      <w:r w:rsidR="00722C16">
        <w:fldChar w:fldCharType="begin" w:fldLock="1"/>
      </w:r>
      <w:r w:rsidR="00722C16">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2009)","plainTextFormattedCitation":"(van de Schootbrugge et al., 2009)","previouslyFormattedCitation":"(van de Schootbrugge et al., 2009)"},"properties":{"noteIndex":0},"schema":"https://github.com/citation-style-language/schema/raw/master/csl-citation.json"}</w:instrText>
      </w:r>
      <w:r w:rsidR="00722C16">
        <w:fldChar w:fldCharType="separate"/>
      </w:r>
      <w:r w:rsidR="00722C16">
        <w:rPr>
          <w:noProof/>
        </w:rPr>
        <w:t>(van de Schootbrugge et al., 2009)</w:t>
      </w:r>
      <w:r w:rsidR="00722C16">
        <w:fldChar w:fldCharType="end"/>
      </w:r>
      <w:r w:rsidR="00722C16">
        <w:t>; and 3) data from burn experiments in which biomass burning resulted in both low concentrations of HMW compounds including coronene and low ratios of C/</w:t>
      </w:r>
      <w:proofErr w:type="spellStart"/>
      <w:r w:rsidR="00722C16">
        <w:t>BaP</w:t>
      </w:r>
      <w:proofErr w:type="spellEnd"/>
      <w:r w:rsidR="00722C16">
        <w:t xml:space="preserve"> </w:t>
      </w:r>
      <w:r w:rsidR="00722C16">
        <w:fldChar w:fldCharType="begin" w:fldLock="1"/>
      </w:r>
      <w:r w:rsidR="00722C16">
        <w:instrText>ADDIN CSL_CITATION {"citationItems":[{"id":"ITEM-1","itemData":{"DOI":"10.1021/es00080a019","ISSN":"0013-936X","author":[{"dropping-particle":"","family":"Freeman","given":"Diana J","non-dropping-particle":"","parse-names":false,"suffix":""},{"dropping-particle":"","family":"Cattell","given":"Frank C R","non-dropping-particle":"","parse-names":false,"suffix":""}],"container-title":"Environmental Science &amp; Technology","id":"ITEM-1","issue":"10","issued":{"date-parts":[["1990","10","1"]]},"note":"doi: 10.1021/es00080a019","page":"1581-1585","publisher":"American Chemical Society","title":"Woodburning as a source of atmospheric polycyclic aromatic hydrocarbons","type":"article-journal","volume":"24"},"uris":["http://www.mendeley.com/documents/?uuid=c1169a4f-76a1-45cd-920e-a1a9d0d34463"]}],"mendeley":{"formattedCitation":"(Freeman and Cattell, 1990)","plainTextFormattedCitation":"(Freeman and Cattell, 1990)","previouslyFormattedCitation":"(Freeman and Cattell, 1990)"},"properties":{"noteIndex":0},"schema":"https://github.com/citation-style-language/schema/raw/master/csl-citation.json"}</w:instrText>
      </w:r>
      <w:r w:rsidR="00722C16">
        <w:fldChar w:fldCharType="separate"/>
      </w:r>
      <w:r w:rsidR="00722C16">
        <w:rPr>
          <w:noProof/>
        </w:rPr>
        <w:t>(Freeman and Cattell, 1990)</w:t>
      </w:r>
      <w:r w:rsidR="00722C16">
        <w:fldChar w:fldCharType="end"/>
      </w:r>
      <w:r w:rsidR="00722C16">
        <w:t xml:space="preserve">. However, based on more recent findings, PAH increases at Mariental-1 could be attributed to biomass burning rather than a direct signal of the CAMP. For example, periods of intense biomass burning </w:t>
      </w:r>
      <w:r w:rsidR="00722C16">
        <w:lastRenderedPageBreak/>
        <w:t>can preferentially form HMW pyrogenic PAHs, i.e. PAH compounds containing more aromatic rings including coronene (</w:t>
      </w:r>
      <w:r w:rsidR="00F063BE">
        <w:t xml:space="preserve">six </w:t>
      </w:r>
      <w:r w:rsidR="00722C16">
        <w:t xml:space="preserve">rings) </w:t>
      </w:r>
      <w:r w:rsidR="00722C16">
        <w:fldChar w:fldCharType="begin" w:fldLock="1"/>
      </w:r>
      <w:r w:rsidR="00722C16">
        <w:instrText>ADDIN CSL_CITATION {"citationItems":[{"id":"ITEM-1","itemData":{"DOI":"https://doi.org/10.1111/j.1365-3091.2005.00712.x","ISSN":"0037-0746","abstract":"Abstract Lithostratigraphic and organic chemostratigraphic studies of fluvial/lacustrine sediments in the Late Cretaceous Fort Crittenden Formation in south-eastern Arizona USA, reveal changes in palaeoclimate and tectonics as well as associated fluctuations in lake level. The lower Fort Crittenden is dominated by marginal wetland to deep-water lake deposits, whereas the upper Fort Crittenden is characterized by wetland to deltaic deposits. Abundance of polycyclic aromatic hydrocarbons (PAH) and reflectance of fusinite substantiate the impact of wildfires within the watershed. Organic geochemical evidence of wildfires is linked with sedimentological indicators of seasonal aridity suggesting that wildfires were common occurrences. Sedimentological evidence for seasonal aridity includes mottles and pseudoslickensides on ped structures within wetland mudstones. Distinct variations in PAH assemblages, characterized by the number of aromatic rings, indicate that there were variations in the intensities of wildfires, assuming no variations in the types of fuel. Fusinite reflectance values are consistent with combustion temperatures from 470 to 550?°C observed in modern wildfires.","author":[{"dropping-particle":"","family":"Finkelstein","given":"David B","non-dropping-particle":"","parse-names":false,"suffix":""},{"dropping-particle":"","family":"Pratt","given":"Lisa M","non-dropping-particle":"","parse-names":false,"suffix":""},{"dropping-particle":"","family":"Curtin","given":"Tara M","non-dropping-particle":"","parse-names":false,"suffix":""},{"dropping-particle":"","family":"Brassell","given":"Simon C","non-dropping-particle":"","parse-names":false,"suffix":""}],"container-title":"Sedimentology","id":"ITEM-1","issue":"3","issued":{"date-parts":[["2005","6","1"]]},"note":"https://doi.org/10.1111/j.1365-3091.2005.00712.x","page":"587-599","publisher":"John Wiley &amp; Sons, Ltd","title":"Wildfires and seasonal aridity recorded in Late Cretaceous strata from south-eastern Arizona, USA","type":"article-journal","volume":"52"},"uris":["http://www.mendeley.com/documents/?uuid=7b2a410a-778f-4ac9-a81c-0e3a568f091b"]}],"mendeley":{"formattedCitation":"(Finkelstein et al., 2005)","plainTextFormattedCitation":"(Finkelstein et al., 2005)","previouslyFormattedCitation":"(Finkelstein et al., 2005)"},"properties":{"noteIndex":0},"schema":"https://github.com/citation-style-language/schema/raw/master/csl-citation.json"}</w:instrText>
      </w:r>
      <w:r w:rsidR="00722C16">
        <w:fldChar w:fldCharType="separate"/>
      </w:r>
      <w:r w:rsidR="00722C16">
        <w:rPr>
          <w:noProof/>
        </w:rPr>
        <w:t>(Finkelstein et al., 2005)</w:t>
      </w:r>
      <w:r w:rsidR="00722C16">
        <w:fldChar w:fldCharType="end"/>
      </w:r>
      <w:r w:rsidR="00722C16">
        <w:t xml:space="preserve"> with studies during other mass extinction events using increased abundances of coronene to indicate </w:t>
      </w:r>
      <w:r w:rsidR="00FE77AA">
        <w:t xml:space="preserve">intervals </w:t>
      </w:r>
      <w:r w:rsidR="00722C16">
        <w:t xml:space="preserve">of most intense paleowildfire activity </w:t>
      </w:r>
      <w:r w:rsidR="00722C16">
        <w:fldChar w:fldCharType="begin" w:fldLock="1"/>
      </w:r>
      <w:r w:rsidR="00722C16">
        <w:instrText xml:space="preserve">ADDIN CSL_CITATION {"citationItems":[{"id":"ITEM-1","itemData":{"DOI":"10.1130/G48022.1","ISSN":"0091-7613","abstract":"Eruption of the Siberian Traps large igneous province (LIP) is thought to have triggered the Permian-Triassic biological crisis, the largest of the Phanerozoic mass extinctions. Mercury concentration enrichments have been widely used as a proxy for volcanic inputs to sediments, especially for ancient LIP eruptions. However, detailed correlations of magmatic pulses with extinction events in the terrestrial and marine realms are not fully resolved. Here we use paired coronene (a six-ring polycyclic aromatic hydrocarbon, a high-temperature combustion proxy) and mercury spikes as a refined proxy for LIP emplacement. In records from stratigraphic sections in south China and Italy, we identify two sets of paired coronene-mercury spikes accompanied by land plant biomarker spikes, followed by a rapid decrease coinciding with terrestrial ecological disturbance and extinction of marine metazoans. Each short-term episode is likely caused by high-temperature combustion of sedimentary hydrocarbons during initial sill emplacement of the Siberian Traps LIP. These data indicate that discrete volcanic eruptions could have caused the terrestrial ecosystem crisis followed by the marine ecosystem crisis in </w:instrText>
      </w:r>
      <w:r w:rsidR="00722C16">
        <w:rPr>
          <w:rFonts w:ascii="Cambria Math" w:hAnsi="Cambria Math" w:cs="Cambria Math"/>
        </w:rPr>
        <w:instrText>∼</w:instrText>
      </w:r>
      <w:r w:rsidR="00722C16">
        <w:instrText>60 k.y., and that the terrestrial ecosystem was disrupted by smaller global environmental changes than the marine ecosystem.","author":[{"dropping-particle":"","family":"Kaiho","given":"Kunio","non-dropping-particle":"","parse-names":false,"suffix":""},{"dropping-particle":"","family":"Aftabuzzaman","given":"Md.","non-dropping-particle":"","parse-names":false,"suffix":""},{"dropping-particle":"","family":"Jones","given":"David S","non-dropping-particle":"","parse-names":false,"suffix":""},{"dropping-particle":"","family":"Tian","given":"Li","non-dropping-particle":"","parse-names":false,"suffix":""}],"container-title":"Geology","id":"ITEM-1","issue":"3","issued":{"date-parts":[["2020","11","4"]]},"page":"289-293","title":"Pulsed volcanic combustion events coincident with the end-Permian terrestrial disturbance and the following global crisis","type":"article-journal","volume":"49"},"uris":["http://www.mendeley.com/documents/?uuid=d4c99482-36ac-433b-91ed-6ae901fd6e02"]}],"mendeley":{"formattedCitation":"(Kaiho et al., 2020)","plainTextFormattedCitation":"(Kaiho et al., 2020)","previouslyFormattedCitation":"(Kaiho et al., 2020)"},"properties":{"noteIndex":0},"schema":"https://github.com/citation-style-language/schema/raw/master/csl-citation.json"}</w:instrText>
      </w:r>
      <w:r w:rsidR="00722C16">
        <w:fldChar w:fldCharType="separate"/>
      </w:r>
      <w:r w:rsidR="00722C16">
        <w:rPr>
          <w:noProof/>
        </w:rPr>
        <w:t>(Kaiho et al., 2020)</w:t>
      </w:r>
      <w:r w:rsidR="00722C16">
        <w:fldChar w:fldCharType="end"/>
      </w:r>
      <w:r w:rsidR="00722C16">
        <w:t>. Additionally, increases in the pyrogenic PAHs benzo(</w:t>
      </w:r>
      <w:r w:rsidR="00722C16">
        <w:rPr>
          <w:i/>
        </w:rPr>
        <w:t>a</w:t>
      </w:r>
      <w:r w:rsidR="00722C16">
        <w:t>)anthracene and benzo(</w:t>
      </w:r>
      <w:proofErr w:type="spellStart"/>
      <w:r w:rsidR="00722C16">
        <w:rPr>
          <w:i/>
        </w:rPr>
        <w:t>ghi</w:t>
      </w:r>
      <w:proofErr w:type="spellEnd"/>
      <w:r w:rsidR="00722C16">
        <w:t>)perylene at Mariental-1 are</w:t>
      </w:r>
      <w:r w:rsidR="008D5582">
        <w:t xml:space="preserve"> equal to or</w:t>
      </w:r>
      <w:r w:rsidR="00722C16">
        <w:t xml:space="preserve"> much greater than those of coronene and benzo(</w:t>
      </w:r>
      <w:r w:rsidR="00722C16">
        <w:rPr>
          <w:i/>
        </w:rPr>
        <w:t>a</w:t>
      </w:r>
      <w:r w:rsidR="00722C16">
        <w:t xml:space="preserve">)pyrene (see </w:t>
      </w:r>
      <w:r w:rsidR="008D5582">
        <w:t>Fig. S6</w:t>
      </w:r>
      <w:r w:rsidR="00722C16">
        <w:t xml:space="preserve">); a profile consistent with combustion of terrestrial material </w:t>
      </w:r>
      <w:r w:rsidR="00722C16">
        <w:fldChar w:fldCharType="begin" w:fldLock="1"/>
      </w:r>
      <w:r w:rsidR="00722C16">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722C16">
        <w:rPr>
          <w:rFonts w:ascii="Cambria Math" w:hAnsi="Cambria Math" w:cs="Cambria Math"/>
        </w:rPr>
        <w:instrText>∼</w:instrText>
      </w:r>
      <w:r w:rsidR="00722C16">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id":"ITEM-2","itemData":{"DOI":"10.1021/es00080a019","ISSN":"0013-936X","author":[{"dropping-particle":"","family":"Freeman","given":"Diana J","non-dropping-particle":"","parse-names":false,"suffix":""},{"dropping-particle":"","family":"Cattell","given":"Frank C R","non-dropping-particle":"","parse-names":false,"suffix":""}],"container-title":"Environmental Science &amp; Technology","id":"ITEM-2","issue":"10","issued":{"date-parts":[["1990","10","1"]]},"note":"doi: 10.1021/es00080a019","page":"1581-1585","publisher":"American Chemical Society","title":"Woodburning as a source of atmospheric polycyclic aromatic hydrocarbons","type":"article-journal","volume":"24"},"uris":["http://www.mendeley.com/documents/?uuid=c1169a4f-76a1-45cd-920e-a1a9d0d34463"]}],"mendeley":{"formattedCitation":"(Freeman and Cattell, 1990; Karp et al., 2020)","plainTextFormattedCitation":"(Freeman and Cattell, 1990; Karp et al., 2020)","previouslyFormattedCitation":"(Freeman and Cattell, 1990; Karp et al., 2020)"},"properties":{"noteIndex":0},"schema":"https://github.com/citation-style-language/schema/raw/master/csl-citation.json"}</w:instrText>
      </w:r>
      <w:r w:rsidR="00722C16">
        <w:fldChar w:fldCharType="separate"/>
      </w:r>
      <w:r w:rsidR="00722C16">
        <w:rPr>
          <w:noProof/>
        </w:rPr>
        <w:t>(Freeman and Cattell, 1990; Karp et al., 2020)</w:t>
      </w:r>
      <w:r w:rsidR="00722C16">
        <w:fldChar w:fldCharType="end"/>
      </w:r>
      <w:r w:rsidR="00722C16">
        <w:t xml:space="preserve">. Finally, sedimentary charcoal preservation is biased towards high temperature burning events and combustion of woody </w:t>
      </w:r>
      <w:proofErr w:type="gramStart"/>
      <w:r w:rsidR="00722C16">
        <w:t>material</w:t>
      </w:r>
      <w:proofErr w:type="gramEnd"/>
      <w:r w:rsidR="00722C16">
        <w:t xml:space="preserve"> but Mariental-1 PAH increases coincide with fern proliferation. </w:t>
      </w:r>
    </w:p>
    <w:p w14:paraId="4BF36E03" w14:textId="44A299D5" w:rsidR="00722C16" w:rsidRDefault="00722C16" w:rsidP="00251F02">
      <w:pPr>
        <w:pStyle w:val="AbstractSummary"/>
        <w:spacing w:line="360" w:lineRule="auto"/>
        <w:ind w:firstLine="360"/>
        <w:jc w:val="both"/>
      </w:pPr>
      <w:r>
        <w:t xml:space="preserve">Charcoal (fusain) found in South Wales (Bristol Channel Basin, SW UK), in stratigraphic intervals described as the latest Rhaetian (likely the </w:t>
      </w:r>
      <w:proofErr w:type="spellStart"/>
      <w:r>
        <w:t>Penarth</w:t>
      </w:r>
      <w:proofErr w:type="spellEnd"/>
      <w:r>
        <w:t xml:space="preserve"> Group) and lower Lias (see next section for further details), is ascribed to paleowildfire activity </w:t>
      </w:r>
      <w:r>
        <w:fldChar w:fldCharType="begin" w:fldLock="1"/>
      </w:r>
      <w:r>
        <w:instrText>ADDIN CSL_CITATION {"citationItems":[{"id":"ITEM-1","itemData":{"DOI":"10.2307/2257405","ISSN":"00220477, 13652745","author":[{"dropping-particle":"","family":"Harris","given":"T M","non-dropping-particle":"","parse-names":false,"suffix":""}],"container-title":"Journal of Ecology","id":"ITEM-1","issue":"2","issued":{"date-parts":[["1958","12","22"]]},"page":"447-453","publisher":"[Wiley, British Ecological Society]","title":"Forest Fire in the Mesozoic","type":"article-journal","volume":"46"},"uris":["http://www.mendeley.com/documents/?uuid=dd473b75-612a-4265-a569-11aba65ef2ac"]}],"mendeley":{"formattedCitation":"(Harris, 1958)","plainTextFormattedCitation":"(Harris, 1958)","previouslyFormattedCitation":"(Harris, 1958)"},"properties":{"noteIndex":0},"schema":"https://github.com/citation-style-language/schema/raw/master/csl-citation.json"}</w:instrText>
      </w:r>
      <w:r>
        <w:fldChar w:fldCharType="separate"/>
      </w:r>
      <w:r>
        <w:rPr>
          <w:noProof/>
        </w:rPr>
        <w:t>(Harris, 1958)</w:t>
      </w:r>
      <w:r>
        <w:fldChar w:fldCharType="end"/>
      </w:r>
      <w:r>
        <w:t xml:space="preserve">. However, due to limited information it is difficult to discern at </w:t>
      </w:r>
      <w:r w:rsidR="000C19F9">
        <w:t xml:space="preserve">precisely </w:t>
      </w:r>
      <w:r>
        <w:t xml:space="preserve">which intervals these charcoal intervals occur and how much their abundances increase or change. At the </w:t>
      </w:r>
      <w:proofErr w:type="spellStart"/>
      <w:r>
        <w:t>Kamarmacheh</w:t>
      </w:r>
      <w:proofErr w:type="spellEnd"/>
      <w:r>
        <w:t xml:space="preserve"> </w:t>
      </w:r>
      <w:proofErr w:type="spellStart"/>
      <w:r>
        <w:t>Kuh</w:t>
      </w:r>
      <w:proofErr w:type="spellEnd"/>
      <w:r>
        <w:t xml:space="preserve"> section, </w:t>
      </w:r>
      <w:proofErr w:type="spellStart"/>
      <w:r>
        <w:t>Tabas</w:t>
      </w:r>
      <w:proofErr w:type="spellEnd"/>
      <w:r>
        <w:t xml:space="preserve"> Basin in Central Iran combustion chars and charcoal (</w:t>
      </w:r>
      <w:proofErr w:type="spellStart"/>
      <w:r>
        <w:t>semifusinite</w:t>
      </w:r>
      <w:proofErr w:type="spellEnd"/>
      <w:r>
        <w:t xml:space="preserve">) increase across the Triassic-Jurassic boundary </w:t>
      </w:r>
      <w:r>
        <w:fldChar w:fldCharType="begin" w:fldLock="1"/>
      </w:r>
      <w:r>
        <w:instrText>ADDIN CSL_CITATION {"citationItems":[{"id":"ITEM-1","itemData":{"DOI":"10.1007/s40789-021-00436-2","ISSN":"2198-7823","abstract":"This paper presents organic geochemical evidence pointing to the occurrence of wildfire events at the Triassic–Jurassic boundary in Central Iran. The studied outcrop section (the Kamarmacheh Kuh section) is comprised of the Upper Triassic Nayband Formation which passes conformably into the Lower Jurassic Ab-e-Haji Formation with no sharp boundary. Organic petrographical studies reveal a higher concentration of semi-fusinite macerals and microscopic charcoal at the boundary between studied formations. This observation can be an evidence for widespread wildfire events at the Triassic–Jurassic boundary of the studied area. Following these fires, vast areas of land were exposed for erosion and large volumes of clastic sediments were provided due to increased run-off. This agrees well with previous sedimentological and stratigraphical studies suggesting a major change in the depositional conditions from marine to non-marine at the Triassic–Jurassic boundary of the Tabas Basin. These findings can have important implications about paleo-depositional settings of the studied formations and the nature of the associated organic matter.","author":[{"dropping-particle":"","family":"Alipour","given":"Majid","non-dropping-particle":"","parse-names":false,"suffix":""},{"dropping-particle":"","family":"Alizadeh","given":"Bahram","non-dropping-particle":"","parse-names":false,"suffix":""},{"dropping-particle":"","family":"Jahangard","given":"AmirAbbas","non-dropping-particle":"","parse-names":false,"suffix":""},{"dropping-particle":"","family":"GandomiSani","given":"AhmadReza","non-dropping-particle":"","parse-names":false,"suffix":""}],"container-title":"International Journal of Coal Science &amp; Technology","id":"ITEM-1","issue":"5","issued":{"date-parts":[["2021"]]},"page":"897-907","title":"Wildfire events at the Triassic–Jurassic boundary of the Tabas Basin, Central Iran","type":"article-journal","volume":"8"},"uris":["http://www.mendeley.com/documents/?uuid=0c846c00-7d69-4fe5-8c41-7f06ff770105"]}],"mendeley":{"formattedCitation":"(Alipour et al., 2021)","plainTextFormattedCitation":"(Alipour et al., 2021)","previouslyFormattedCitation":"(Alipour et al., 2021)"},"properties":{"noteIndex":0},"schema":"https://github.com/citation-style-language/schema/raw/master/csl-citation.json"}</w:instrText>
      </w:r>
      <w:r>
        <w:fldChar w:fldCharType="separate"/>
      </w:r>
      <w:r>
        <w:rPr>
          <w:noProof/>
        </w:rPr>
        <w:t>(Alipour et al., 2021)</w:t>
      </w:r>
      <w:r>
        <w:fldChar w:fldCharType="end"/>
      </w:r>
      <w:r>
        <w:t>. Finally, the coal beds of Denmark and Southern Sweden show increasing charcoal abundances across the Triassic-Jurassic boundary beginning in the latest Rhaetian with increased charcoal throughout the lower Jurassic (Hettangian and Sinemurian). Notably the two latest Rhaetian charcoal-containing coal beds reportedly correspond to the middle Westbury Formation in the SW UK (i.e., below the initial CIE). However, these coal beds were deposit</w:t>
      </w:r>
      <w:r w:rsidR="00711966">
        <w:t>ed</w:t>
      </w:r>
      <w:r>
        <w:t xml:space="preserve"> during a maximum flooding event, which in the SW UK occurs at the </w:t>
      </w:r>
      <w:r w:rsidR="00711966">
        <w:t xml:space="preserve">transition from the </w:t>
      </w:r>
      <w:r>
        <w:t xml:space="preserve">Lilstock Formation to </w:t>
      </w:r>
      <w:r w:rsidR="00711966">
        <w:t xml:space="preserve">the </w:t>
      </w:r>
      <w:r>
        <w:t>Blue Lias Formation.</w:t>
      </w:r>
    </w:p>
    <w:p w14:paraId="72583E6E" w14:textId="77777777" w:rsidR="00722C16" w:rsidRPr="00722C16" w:rsidRDefault="00722C16" w:rsidP="00251F02">
      <w:pPr>
        <w:spacing w:line="360" w:lineRule="auto"/>
        <w:jc w:val="both"/>
        <w:rPr>
          <w:rFonts w:ascii="Times New Roman" w:hAnsi="Times New Roman" w:cs="Times New Roman"/>
          <w:sz w:val="24"/>
          <w:szCs w:val="24"/>
          <w:lang w:val="en-US"/>
        </w:rPr>
      </w:pPr>
    </w:p>
    <w:p w14:paraId="4185A1BE" w14:textId="48A98E3A" w:rsidR="00490533" w:rsidRDefault="00490533" w:rsidP="00251F02">
      <w:pPr>
        <w:pStyle w:val="AbstractSummary"/>
        <w:spacing w:line="360" w:lineRule="auto"/>
        <w:rPr>
          <w:b/>
        </w:rPr>
      </w:pPr>
      <w:r>
        <w:rPr>
          <w:b/>
        </w:rPr>
        <w:t>Mass Balance Calculations</w:t>
      </w:r>
    </w:p>
    <w:p w14:paraId="5F7F015D" w14:textId="2F91B7CD" w:rsidR="00490533" w:rsidRDefault="00490533" w:rsidP="00251F02">
      <w:pPr>
        <w:pStyle w:val="AbstractSummary"/>
        <w:spacing w:line="360" w:lineRule="auto"/>
        <w:jc w:val="both"/>
      </w:pPr>
      <w:r>
        <w:t xml:space="preserve">The </w:t>
      </w:r>
      <w:r w:rsidR="00711966">
        <w:t xml:space="preserve">following </w:t>
      </w:r>
      <w:r>
        <w:t>mass balance calculation gives the isotopic composition of a material, such as sedimentary organic matter, if the isotopic composition and abundance is known of the materials contents:</w:t>
      </w:r>
    </w:p>
    <w:p w14:paraId="49727D37" w14:textId="77777777" w:rsidR="00490533" w:rsidRPr="00A37FB4" w:rsidRDefault="0040117F" w:rsidP="00251F02">
      <w:pPr>
        <w:spacing w:line="360" w:lineRule="auto"/>
        <w:jc w:val="both"/>
        <w:rPr>
          <w:rFonts w:ascii="Segoe UI" w:hAnsi="Segoe UI" w:cs="Segoe UI"/>
          <w:shd w:val="clear" w:color="auto" w:fill="FFFFFF"/>
        </w:rPr>
      </w:pPr>
      <m:oMathPara>
        <m:oMath>
          <m:sSub>
            <m:sSubPr>
              <m:ctrlPr>
                <w:rPr>
                  <w:rFonts w:ascii="Cambria Math" w:hAnsi="Cambria Math" w:cs="Segoe UI"/>
                  <w:i/>
                  <w:shd w:val="clear" w:color="auto" w:fill="FFFFFF"/>
                </w:rPr>
              </m:ctrlPr>
            </m:sSubPr>
            <m:e>
              <m:r>
                <w:rPr>
                  <w:rFonts w:ascii="Cambria Math" w:hAnsi="Cambria Math" w:cs="Segoe UI"/>
                  <w:shd w:val="clear" w:color="auto" w:fill="FFFFFF"/>
                </w:rPr>
                <m:t>δ</m:t>
              </m:r>
            </m:e>
            <m:sub>
              <m:r>
                <w:rPr>
                  <w:rFonts w:ascii="Cambria Math" w:hAnsi="Cambria Math" w:cs="Segoe UI"/>
                  <w:shd w:val="clear" w:color="auto" w:fill="FFFFFF"/>
                </w:rPr>
                <m:t>T</m:t>
              </m:r>
            </m:sub>
          </m:sSub>
          <m:r>
            <w:rPr>
              <w:rFonts w:ascii="Cambria Math" w:hAnsi="Cambria Math" w:cs="Segoe UI"/>
              <w:shd w:val="clear" w:color="auto" w:fill="FFFFFF"/>
            </w:rPr>
            <m:t xml:space="preserve">= </m:t>
          </m:r>
          <m:sSub>
            <m:sSubPr>
              <m:ctrlPr>
                <w:rPr>
                  <w:rFonts w:ascii="Cambria Math" w:hAnsi="Cambria Math" w:cs="Segoe UI"/>
                  <w:i/>
                  <w:shd w:val="clear" w:color="auto" w:fill="FFFFFF"/>
                </w:rPr>
              </m:ctrlPr>
            </m:sSubPr>
            <m:e>
              <m:r>
                <w:rPr>
                  <w:rFonts w:ascii="Cambria Math" w:hAnsi="Cambria Math" w:cs="Segoe UI"/>
                  <w:shd w:val="clear" w:color="auto" w:fill="FFFFFF"/>
                </w:rPr>
                <m:t>δ</m:t>
              </m:r>
            </m:e>
            <m:sub>
              <m:r>
                <w:rPr>
                  <w:rFonts w:ascii="Cambria Math" w:hAnsi="Cambria Math" w:cs="Segoe UI"/>
                  <w:shd w:val="clear" w:color="auto" w:fill="FFFFFF"/>
                </w:rPr>
                <m:t>1</m:t>
              </m:r>
            </m:sub>
          </m:sSub>
          <m:sSub>
            <m:sSubPr>
              <m:ctrlPr>
                <w:rPr>
                  <w:rFonts w:ascii="Cambria Math" w:hAnsi="Cambria Math" w:cs="Segoe UI"/>
                  <w:i/>
                  <w:shd w:val="clear" w:color="auto" w:fill="FFFFFF"/>
                </w:rPr>
              </m:ctrlPr>
            </m:sSubPr>
            <m:e>
              <m:r>
                <w:rPr>
                  <w:rFonts w:ascii="Cambria Math" w:hAnsi="Cambria Math" w:cs="Segoe UI"/>
                  <w:shd w:val="clear" w:color="auto" w:fill="FFFFFF"/>
                </w:rPr>
                <m:t>M</m:t>
              </m:r>
            </m:e>
            <m:sub>
              <m:r>
                <w:rPr>
                  <w:rFonts w:ascii="Cambria Math" w:hAnsi="Cambria Math" w:cs="Segoe UI"/>
                  <w:shd w:val="clear" w:color="auto" w:fill="FFFFFF"/>
                </w:rPr>
                <m:t>1</m:t>
              </m:r>
            </m:sub>
          </m:sSub>
          <m:r>
            <w:rPr>
              <w:rFonts w:ascii="Cambria Math" w:hAnsi="Cambria Math" w:cs="Segoe UI"/>
              <w:shd w:val="clear" w:color="auto" w:fill="FFFFFF"/>
            </w:rPr>
            <m:t xml:space="preserve">+ </m:t>
          </m:r>
          <m:sSub>
            <m:sSubPr>
              <m:ctrlPr>
                <w:rPr>
                  <w:rFonts w:ascii="Cambria Math" w:hAnsi="Cambria Math" w:cs="Segoe UI"/>
                  <w:i/>
                  <w:shd w:val="clear" w:color="auto" w:fill="FFFFFF"/>
                </w:rPr>
              </m:ctrlPr>
            </m:sSubPr>
            <m:e>
              <m:r>
                <w:rPr>
                  <w:rFonts w:ascii="Cambria Math" w:hAnsi="Cambria Math" w:cs="Segoe UI"/>
                  <w:shd w:val="clear" w:color="auto" w:fill="FFFFFF"/>
                </w:rPr>
                <m:t>δ</m:t>
              </m:r>
            </m:e>
            <m:sub>
              <m:r>
                <w:rPr>
                  <w:rFonts w:ascii="Cambria Math" w:hAnsi="Cambria Math" w:cs="Segoe UI"/>
                  <w:shd w:val="clear" w:color="auto" w:fill="FFFFFF"/>
                </w:rPr>
                <m:t>2</m:t>
              </m:r>
            </m:sub>
          </m:sSub>
          <m:sSub>
            <m:sSubPr>
              <m:ctrlPr>
                <w:rPr>
                  <w:rFonts w:ascii="Cambria Math" w:hAnsi="Cambria Math" w:cs="Segoe UI"/>
                  <w:i/>
                  <w:shd w:val="clear" w:color="auto" w:fill="FFFFFF"/>
                </w:rPr>
              </m:ctrlPr>
            </m:sSubPr>
            <m:e>
              <m:r>
                <w:rPr>
                  <w:rFonts w:ascii="Cambria Math" w:hAnsi="Cambria Math" w:cs="Segoe UI"/>
                  <w:shd w:val="clear" w:color="auto" w:fill="FFFFFF"/>
                </w:rPr>
                <m:t>M</m:t>
              </m:r>
            </m:e>
            <m:sub>
              <m:r>
                <w:rPr>
                  <w:rFonts w:ascii="Cambria Math" w:hAnsi="Cambria Math" w:cs="Segoe UI"/>
                  <w:shd w:val="clear" w:color="auto" w:fill="FFFFFF"/>
                </w:rPr>
                <m:t>2</m:t>
              </m:r>
            </m:sub>
          </m:sSub>
          <m:r>
            <w:rPr>
              <w:rFonts w:ascii="Cambria Math" w:hAnsi="Cambria Math" w:cs="Segoe UI"/>
              <w:shd w:val="clear" w:color="auto" w:fill="FFFFFF"/>
            </w:rPr>
            <m:t xml:space="preserve"> + </m:t>
          </m:r>
          <m:sSub>
            <m:sSubPr>
              <m:ctrlPr>
                <w:rPr>
                  <w:rFonts w:ascii="Cambria Math" w:hAnsi="Cambria Math" w:cs="Segoe UI"/>
                  <w:i/>
                  <w:shd w:val="clear" w:color="auto" w:fill="FFFFFF"/>
                </w:rPr>
              </m:ctrlPr>
            </m:sSubPr>
            <m:e>
              <m:r>
                <w:rPr>
                  <w:rFonts w:ascii="Cambria Math" w:hAnsi="Cambria Math" w:cs="Segoe UI"/>
                  <w:shd w:val="clear" w:color="auto" w:fill="FFFFFF"/>
                </w:rPr>
                <m:t>δ</m:t>
              </m:r>
            </m:e>
            <m:sub>
              <m:r>
                <w:rPr>
                  <w:rFonts w:ascii="Cambria Math" w:hAnsi="Cambria Math" w:cs="Segoe UI"/>
                  <w:shd w:val="clear" w:color="auto" w:fill="FFFFFF"/>
                </w:rPr>
                <m:t>n</m:t>
              </m:r>
            </m:sub>
          </m:sSub>
          <m:sSub>
            <m:sSubPr>
              <m:ctrlPr>
                <w:rPr>
                  <w:rFonts w:ascii="Cambria Math" w:hAnsi="Cambria Math" w:cs="Segoe UI"/>
                  <w:i/>
                  <w:shd w:val="clear" w:color="auto" w:fill="FFFFFF"/>
                </w:rPr>
              </m:ctrlPr>
            </m:sSubPr>
            <m:e>
              <m:r>
                <w:rPr>
                  <w:rFonts w:ascii="Cambria Math" w:hAnsi="Cambria Math" w:cs="Segoe UI"/>
                  <w:shd w:val="clear" w:color="auto" w:fill="FFFFFF"/>
                </w:rPr>
                <m:t>M</m:t>
              </m:r>
            </m:e>
            <m:sub>
              <m:r>
                <w:rPr>
                  <w:rFonts w:ascii="Cambria Math" w:hAnsi="Cambria Math" w:cs="Segoe UI"/>
                  <w:shd w:val="clear" w:color="auto" w:fill="FFFFFF"/>
                </w:rPr>
                <m:t>n</m:t>
              </m:r>
            </m:sub>
          </m:sSub>
          <m:r>
            <w:rPr>
              <w:rFonts w:ascii="Cambria Math" w:hAnsi="Cambria Math" w:cs="Segoe UI"/>
              <w:shd w:val="clear" w:color="auto" w:fill="FFFFFF"/>
            </w:rPr>
            <m:t xml:space="preserve"> </m:t>
          </m:r>
        </m:oMath>
      </m:oMathPara>
    </w:p>
    <w:p w14:paraId="06C2383D" w14:textId="2CF44996" w:rsidR="00490533" w:rsidRPr="00A37FB4" w:rsidRDefault="00490533" w:rsidP="00251F02">
      <w:pPr>
        <w:pStyle w:val="AbstractSummary"/>
        <w:spacing w:line="360" w:lineRule="auto"/>
        <w:jc w:val="both"/>
      </w:pPr>
      <w:r>
        <w:t xml:space="preserve">Here, T is the total isotopic composition of the system/material, </w:t>
      </w:r>
      <w:r w:rsidRPr="00490533">
        <w:rPr>
          <w:rFonts w:ascii="Symbol" w:hAnsi="Symbol"/>
        </w:rPr>
        <w:t></w:t>
      </w:r>
      <w:r w:rsidRPr="00490533">
        <w:rPr>
          <w:i/>
          <w:iCs/>
          <w:vertAlign w:val="subscript"/>
        </w:rPr>
        <w:t>n</w:t>
      </w:r>
      <w:r>
        <w:t xml:space="preserve"> is the isotopic composition and M</w:t>
      </w:r>
      <w:r w:rsidRPr="00490533">
        <w:rPr>
          <w:i/>
          <w:iCs/>
          <w:vertAlign w:val="subscript"/>
        </w:rPr>
        <w:t>n</w:t>
      </w:r>
      <w:r>
        <w:t xml:space="preserve"> is mass of each individual component. </w:t>
      </w:r>
      <w:r w:rsidR="00A37FB4">
        <w:t xml:space="preserve">Using the relative abundances and isotopic compositions </w:t>
      </w:r>
      <w:r w:rsidR="00A37FB4">
        <w:lastRenderedPageBreak/>
        <w:t xml:space="preserve">of pristane, phytane, and various </w:t>
      </w:r>
      <w:r w:rsidR="00A37FB4">
        <w:rPr>
          <w:i/>
          <w:iCs/>
        </w:rPr>
        <w:t>n</w:t>
      </w:r>
      <w:r w:rsidR="00A37FB4">
        <w:t>-alkanes representing lower trophic photosynthetic organisms and higher land plants we used the mass balance calculation to show how changes from these biomarkers, their isotopic composition, and their abundances produce a similar profile to the bulk organic carbon isotope record (</w:t>
      </w:r>
      <w:r w:rsidR="00A37FB4" w:rsidRPr="00A37FB4">
        <w:rPr>
          <w:rFonts w:ascii="Symbol" w:hAnsi="Symbol"/>
        </w:rPr>
        <w:t></w:t>
      </w:r>
      <w:r w:rsidR="00A37FB4" w:rsidRPr="00A37FB4">
        <w:rPr>
          <w:vertAlign w:val="superscript"/>
        </w:rPr>
        <w:t>13</w:t>
      </w:r>
      <w:r w:rsidR="00A37FB4">
        <w:t>C</w:t>
      </w:r>
      <w:r w:rsidR="00A37FB4" w:rsidRPr="00A37FB4">
        <w:rPr>
          <w:vertAlign w:val="subscript"/>
        </w:rPr>
        <w:t>org</w:t>
      </w:r>
      <w:r w:rsidR="00A37FB4">
        <w:t>) (Fig 4 in the main text). We used the following equation</w:t>
      </w:r>
    </w:p>
    <w:p w14:paraId="1BD736CB" w14:textId="1F0B36A5" w:rsidR="00A37FB4" w:rsidRPr="00A37FB4" w:rsidRDefault="0040117F" w:rsidP="00251F02">
      <w:pPr>
        <w:spacing w:line="360" w:lineRule="auto"/>
        <w:jc w:val="both"/>
        <w:rPr>
          <w:rFonts w:asciiTheme="majorBidi" w:eastAsia="Times New Roman" w:hAnsiTheme="majorBidi" w:cstheme="majorBidi"/>
          <w:iCs/>
          <w:sz w:val="14"/>
          <w:szCs w:val="14"/>
          <w:shd w:val="clear" w:color="auto" w:fill="FFFFFF"/>
        </w:rPr>
      </w:pPr>
      <m:oMathPara>
        <m:oMathParaPr>
          <m:jc m:val="center"/>
        </m:oMathParaPr>
        <m:oMath>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δ</m:t>
              </m:r>
            </m:e>
            <m:sub>
              <m:r>
                <m:rPr>
                  <m:sty m:val="p"/>
                </m:rPr>
                <w:rPr>
                  <w:rFonts w:ascii="Cambria Math" w:hAnsi="Cambria Math" w:cstheme="majorBidi"/>
                  <w:sz w:val="14"/>
                  <w:szCs w:val="14"/>
                  <w:shd w:val="clear" w:color="auto" w:fill="FFFFFF"/>
                </w:rPr>
                <m:t>T</m:t>
              </m:r>
            </m:sub>
          </m:sSub>
          <m:r>
            <m:rPr>
              <m:sty m:val="p"/>
            </m:rPr>
            <w:rPr>
              <w:rFonts w:ascii="Cambria Math" w:hAnsi="Cambria Math" w:cstheme="majorBidi"/>
              <w:sz w:val="14"/>
              <w:szCs w:val="14"/>
              <w:shd w:val="clear" w:color="auto" w:fill="FFFFFF"/>
            </w:rPr>
            <m:t xml:space="preserve">= </m:t>
          </m:r>
          <m:sSub>
            <m:sSubPr>
              <m:ctrlPr>
                <w:rPr>
                  <w:rFonts w:ascii="Cambria Math" w:hAnsi="Cambria Math" w:cstheme="majorBidi"/>
                  <w:iCs/>
                  <w:sz w:val="14"/>
                  <w:szCs w:val="14"/>
                  <w:shd w:val="clear" w:color="auto" w:fill="FFFFFF"/>
                </w:rPr>
              </m:ctrlPr>
            </m:sSubPr>
            <m:e>
              <m:sSup>
                <m:sSupPr>
                  <m:ctrlPr>
                    <w:rPr>
                      <w:rFonts w:ascii="Cambria Math" w:hAnsi="Cambria Math" w:cstheme="majorBidi"/>
                      <w:iCs/>
                      <w:sz w:val="14"/>
                      <w:szCs w:val="14"/>
                      <w:shd w:val="clear" w:color="auto" w:fill="FFFFFF"/>
                    </w:rPr>
                  </m:ctrlPr>
                </m:sSupPr>
                <m:e>
                  <m:r>
                    <m:rPr>
                      <m:sty m:val="p"/>
                    </m:rPr>
                    <w:rPr>
                      <w:rFonts w:ascii="Cambria Math" w:hAnsi="Cambria Math" w:cstheme="majorBidi"/>
                      <w:sz w:val="14"/>
                      <w:szCs w:val="14"/>
                      <w:shd w:val="clear" w:color="auto" w:fill="FFFFFF"/>
                    </w:rPr>
                    <m:t>δ</m:t>
                  </m:r>
                </m:e>
                <m:sup>
                  <m:r>
                    <m:rPr>
                      <m:sty m:val="p"/>
                    </m:rPr>
                    <w:rPr>
                      <w:rFonts w:ascii="Cambria Math" w:hAnsi="Cambria Math" w:cstheme="majorBidi"/>
                      <w:sz w:val="14"/>
                      <w:szCs w:val="14"/>
                      <w:shd w:val="clear" w:color="auto" w:fill="FFFFFF"/>
                    </w:rPr>
                    <m:t>13</m:t>
                  </m:r>
                </m:sup>
              </m:sSup>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m:rPr>
                      <m:sty m:val="p"/>
                    </m:rPr>
                    <w:rPr>
                      <w:rFonts w:ascii="Cambria Math" w:hAnsi="Cambria Math" w:cstheme="majorBidi"/>
                      <w:sz w:val="14"/>
                      <w:szCs w:val="14"/>
                      <w:shd w:val="clear" w:color="auto" w:fill="FFFFFF"/>
                    </w:rPr>
                    <m:t>pr</m:t>
                  </m:r>
                </m:sub>
              </m:sSub>
              <m:r>
                <m:rPr>
                  <m:sty m:val="p"/>
                </m:rPr>
                <w:rPr>
                  <w:rFonts w:ascii="Cambria Math" w:hAnsi="Cambria Math" w:cstheme="majorBidi"/>
                  <w:sz w:val="14"/>
                  <w:szCs w:val="14"/>
                  <w:shd w:val="clear" w:color="auto" w:fill="FFFFFF"/>
                </w:rPr>
                <m:t>M</m:t>
              </m:r>
            </m:e>
            <m:sub>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w:rPr>
                      <w:rFonts w:ascii="Cambria Math" w:hAnsi="Cambria Math" w:cstheme="majorBidi"/>
                      <w:sz w:val="14"/>
                      <w:szCs w:val="14"/>
                      <w:shd w:val="clear" w:color="auto" w:fill="FFFFFF"/>
                    </w:rPr>
                    <m:t>pr</m:t>
                  </m:r>
                </m:sub>
              </m:sSub>
            </m:sub>
          </m:sSub>
          <m:r>
            <m:rPr>
              <m:sty m:val="p"/>
            </m:rPr>
            <w:rPr>
              <w:rFonts w:ascii="Cambria Math" w:hAnsi="Cambria Math" w:cstheme="majorBidi"/>
              <w:sz w:val="14"/>
              <w:szCs w:val="14"/>
              <w:shd w:val="clear" w:color="auto" w:fill="FFFFFF"/>
            </w:rPr>
            <m:t>+</m:t>
          </m:r>
          <m:sSub>
            <m:sSubPr>
              <m:ctrlPr>
                <w:rPr>
                  <w:rFonts w:ascii="Cambria Math" w:hAnsi="Cambria Math" w:cstheme="majorBidi"/>
                  <w:iCs/>
                  <w:sz w:val="14"/>
                  <w:szCs w:val="14"/>
                  <w:shd w:val="clear" w:color="auto" w:fill="FFFFFF"/>
                </w:rPr>
              </m:ctrlPr>
            </m:sSubPr>
            <m:e>
              <m:sSup>
                <m:sSupPr>
                  <m:ctrlPr>
                    <w:rPr>
                      <w:rFonts w:ascii="Cambria Math" w:hAnsi="Cambria Math" w:cstheme="majorBidi"/>
                      <w:iCs/>
                      <w:sz w:val="14"/>
                      <w:szCs w:val="14"/>
                      <w:shd w:val="clear" w:color="auto" w:fill="FFFFFF"/>
                    </w:rPr>
                  </m:ctrlPr>
                </m:sSupPr>
                <m:e>
                  <m:r>
                    <m:rPr>
                      <m:sty m:val="p"/>
                    </m:rPr>
                    <w:rPr>
                      <w:rFonts w:ascii="Cambria Math" w:hAnsi="Cambria Math" w:cstheme="majorBidi"/>
                      <w:sz w:val="14"/>
                      <w:szCs w:val="14"/>
                      <w:shd w:val="clear" w:color="auto" w:fill="FFFFFF"/>
                    </w:rPr>
                    <m:t>δ</m:t>
                  </m:r>
                </m:e>
                <m:sup>
                  <m:r>
                    <m:rPr>
                      <m:sty m:val="p"/>
                    </m:rPr>
                    <w:rPr>
                      <w:rFonts w:ascii="Cambria Math" w:hAnsi="Cambria Math" w:cstheme="majorBidi"/>
                      <w:sz w:val="14"/>
                      <w:szCs w:val="14"/>
                      <w:shd w:val="clear" w:color="auto" w:fill="FFFFFF"/>
                    </w:rPr>
                    <m:t>13</m:t>
                  </m:r>
                </m:sup>
              </m:sSup>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m:rPr>
                      <m:sty m:val="p"/>
                    </m:rPr>
                    <w:rPr>
                      <w:rFonts w:ascii="Cambria Math" w:hAnsi="Cambria Math" w:cstheme="majorBidi"/>
                      <w:sz w:val="14"/>
                      <w:szCs w:val="14"/>
                      <w:shd w:val="clear" w:color="auto" w:fill="FFFFFF"/>
                    </w:rPr>
                    <m:t>ph</m:t>
                  </m:r>
                </m:sub>
              </m:sSub>
              <m:r>
                <m:rPr>
                  <m:sty m:val="p"/>
                </m:rPr>
                <w:rPr>
                  <w:rFonts w:ascii="Cambria Math" w:hAnsi="Cambria Math" w:cstheme="majorBidi"/>
                  <w:sz w:val="14"/>
                  <w:szCs w:val="14"/>
                  <w:shd w:val="clear" w:color="auto" w:fill="FFFFFF"/>
                </w:rPr>
                <m:t>M</m:t>
              </m:r>
            </m:e>
            <m:sub>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w:rPr>
                      <w:rFonts w:ascii="Cambria Math" w:hAnsi="Cambria Math" w:cstheme="majorBidi"/>
                      <w:sz w:val="14"/>
                      <w:szCs w:val="14"/>
                      <w:shd w:val="clear" w:color="auto" w:fill="FFFFFF"/>
                    </w:rPr>
                    <m:t>ph</m:t>
                  </m:r>
                </m:sub>
              </m:sSub>
            </m:sub>
          </m:sSub>
          <m:r>
            <m:rPr>
              <m:sty m:val="p"/>
            </m:rPr>
            <w:rPr>
              <w:rFonts w:ascii="Cambria Math" w:hAnsi="Cambria Math" w:cstheme="majorBidi"/>
              <w:sz w:val="14"/>
              <w:szCs w:val="14"/>
              <w:shd w:val="clear" w:color="auto" w:fill="FFFFFF"/>
            </w:rPr>
            <m:t>+</m:t>
          </m:r>
          <m:sSub>
            <m:sSubPr>
              <m:ctrlPr>
                <w:rPr>
                  <w:rFonts w:ascii="Cambria Math" w:hAnsi="Cambria Math" w:cstheme="majorBidi"/>
                  <w:iCs/>
                  <w:sz w:val="14"/>
                  <w:szCs w:val="14"/>
                  <w:shd w:val="clear" w:color="auto" w:fill="FFFFFF"/>
                </w:rPr>
              </m:ctrlPr>
            </m:sSubPr>
            <m:e>
              <m:sSup>
                <m:sSupPr>
                  <m:ctrlPr>
                    <w:rPr>
                      <w:rFonts w:ascii="Cambria Math" w:hAnsi="Cambria Math" w:cstheme="majorBidi"/>
                      <w:iCs/>
                      <w:sz w:val="14"/>
                      <w:szCs w:val="14"/>
                      <w:shd w:val="clear" w:color="auto" w:fill="FFFFFF"/>
                    </w:rPr>
                  </m:ctrlPr>
                </m:sSupPr>
                <m:e>
                  <m:r>
                    <m:rPr>
                      <m:sty m:val="p"/>
                    </m:rPr>
                    <w:rPr>
                      <w:rFonts w:ascii="Cambria Math" w:hAnsi="Cambria Math" w:cstheme="majorBidi"/>
                      <w:sz w:val="14"/>
                      <w:szCs w:val="14"/>
                      <w:shd w:val="clear" w:color="auto" w:fill="FFFFFF"/>
                    </w:rPr>
                    <m:t>δ</m:t>
                  </m:r>
                </m:e>
                <m:sup>
                  <m:r>
                    <m:rPr>
                      <m:sty m:val="p"/>
                    </m:rPr>
                    <w:rPr>
                      <w:rFonts w:ascii="Cambria Math" w:hAnsi="Cambria Math" w:cstheme="majorBidi"/>
                      <w:sz w:val="14"/>
                      <w:szCs w:val="14"/>
                      <w:shd w:val="clear" w:color="auto" w:fill="FFFFFF"/>
                    </w:rPr>
                    <m:t>13</m:t>
                  </m:r>
                </m:sup>
              </m:sSup>
              <m:sSub>
                <m:sSubPr>
                  <m:ctrlPr>
                    <w:rPr>
                      <w:rFonts w:ascii="Cambria Math" w:hAnsi="Cambria Math" w:cstheme="majorBidi"/>
                      <w:iCs/>
                      <w:sz w:val="14"/>
                      <w:szCs w:val="14"/>
                      <w:shd w:val="clear" w:color="auto" w:fill="FFFFFF"/>
                    </w:rPr>
                  </m:ctrlPr>
                </m:sSubPr>
                <m:e>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r>
                    <m:rPr>
                      <m:sty m:val="p"/>
                    </m:rPr>
                    <w:rPr>
                      <w:rFonts w:ascii="Cambria Math" w:hAnsi="Cambria Math" w:cstheme="majorBidi"/>
                      <w:sz w:val="14"/>
                      <w:szCs w:val="14"/>
                      <w:shd w:val="clear" w:color="auto" w:fill="FFFFFF"/>
                    </w:rPr>
                    <m:t>C</m:t>
                  </m:r>
                </m:e>
                <m:sub>
                  <m:r>
                    <m:rPr>
                      <m:sty m:val="p"/>
                    </m:rPr>
                    <w:rPr>
                      <w:rFonts w:ascii="Cambria Math" w:hAnsi="Cambria Math" w:cstheme="majorBidi"/>
                      <w:sz w:val="14"/>
                      <w:szCs w:val="14"/>
                      <w:shd w:val="clear" w:color="auto" w:fill="FFFFFF"/>
                    </w:rPr>
                    <m:t>17</m:t>
                  </m:r>
                </m:sub>
              </m:sSub>
              <m:r>
                <m:rPr>
                  <m:sty m:val="p"/>
                </m:rPr>
                <w:rPr>
                  <w:rFonts w:ascii="Cambria Math" w:hAnsi="Cambria Math" w:cstheme="majorBidi"/>
                  <w:sz w:val="14"/>
                  <w:szCs w:val="14"/>
                  <w:shd w:val="clear" w:color="auto" w:fill="FFFFFF"/>
                </w:rPr>
                <m:t>M</m:t>
              </m:r>
            </m:e>
            <m:sub>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w:rPr>
                      <w:rFonts w:ascii="Cambria Math" w:hAnsi="Cambria Math" w:cstheme="majorBidi"/>
                      <w:sz w:val="14"/>
                      <w:szCs w:val="14"/>
                      <w:shd w:val="clear" w:color="auto" w:fill="FFFFFF"/>
                    </w:rPr>
                    <m:t>17</m:t>
                  </m:r>
                </m:sub>
              </m:sSub>
            </m:sub>
          </m:sSub>
          <m:r>
            <m:rPr>
              <m:sty m:val="p"/>
            </m:rPr>
            <w:rPr>
              <w:rFonts w:ascii="Cambria Math" w:hAnsi="Cambria Math" w:cstheme="majorBidi"/>
              <w:sz w:val="14"/>
              <w:szCs w:val="14"/>
              <w:shd w:val="clear" w:color="auto" w:fill="FFFFFF"/>
            </w:rPr>
            <m:t>+</m:t>
          </m:r>
          <m:sSub>
            <m:sSubPr>
              <m:ctrlPr>
                <w:rPr>
                  <w:rFonts w:ascii="Cambria Math" w:hAnsi="Cambria Math" w:cstheme="majorBidi"/>
                  <w:iCs/>
                  <w:sz w:val="14"/>
                  <w:szCs w:val="14"/>
                  <w:shd w:val="clear" w:color="auto" w:fill="FFFFFF"/>
                </w:rPr>
              </m:ctrlPr>
            </m:sSubPr>
            <m:e>
              <m:sSup>
                <m:sSupPr>
                  <m:ctrlPr>
                    <w:rPr>
                      <w:rFonts w:ascii="Cambria Math" w:hAnsi="Cambria Math" w:cstheme="majorBidi"/>
                      <w:iCs/>
                      <w:sz w:val="14"/>
                      <w:szCs w:val="14"/>
                      <w:shd w:val="clear" w:color="auto" w:fill="FFFFFF"/>
                    </w:rPr>
                  </m:ctrlPr>
                </m:sSupPr>
                <m:e>
                  <m:r>
                    <m:rPr>
                      <m:sty m:val="p"/>
                    </m:rPr>
                    <w:rPr>
                      <w:rFonts w:ascii="Cambria Math" w:hAnsi="Cambria Math" w:cstheme="majorBidi"/>
                      <w:sz w:val="14"/>
                      <w:szCs w:val="14"/>
                      <w:shd w:val="clear" w:color="auto" w:fill="FFFFFF"/>
                    </w:rPr>
                    <m:t>δ</m:t>
                  </m:r>
                </m:e>
                <m:sup>
                  <m:r>
                    <m:rPr>
                      <m:sty m:val="p"/>
                    </m:rPr>
                    <w:rPr>
                      <w:rFonts w:ascii="Cambria Math" w:hAnsi="Cambria Math" w:cstheme="majorBidi"/>
                      <w:sz w:val="14"/>
                      <w:szCs w:val="14"/>
                      <w:shd w:val="clear" w:color="auto" w:fill="FFFFFF"/>
                    </w:rPr>
                    <m:t>13</m:t>
                  </m:r>
                </m:sup>
              </m:sSup>
              <m:sSub>
                <m:sSubPr>
                  <m:ctrlPr>
                    <w:rPr>
                      <w:rFonts w:ascii="Cambria Math" w:hAnsi="Cambria Math" w:cstheme="majorBidi"/>
                      <w:iCs/>
                      <w:sz w:val="14"/>
                      <w:szCs w:val="14"/>
                      <w:shd w:val="clear" w:color="auto" w:fill="FFFFFF"/>
                    </w:rPr>
                  </m:ctrlPr>
                </m:sSubPr>
                <m:e>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r>
                    <m:rPr>
                      <m:sty m:val="p"/>
                    </m:rPr>
                    <w:rPr>
                      <w:rFonts w:ascii="Cambria Math" w:hAnsi="Cambria Math" w:cstheme="majorBidi"/>
                      <w:sz w:val="14"/>
                      <w:szCs w:val="14"/>
                      <w:shd w:val="clear" w:color="auto" w:fill="FFFFFF"/>
                    </w:rPr>
                    <m:t>C</m:t>
                  </m:r>
                </m:e>
                <m:sub>
                  <m:r>
                    <m:rPr>
                      <m:sty m:val="p"/>
                    </m:rPr>
                    <w:rPr>
                      <w:rFonts w:ascii="Cambria Math" w:hAnsi="Cambria Math" w:cstheme="majorBidi"/>
                      <w:sz w:val="14"/>
                      <w:szCs w:val="14"/>
                      <w:shd w:val="clear" w:color="auto" w:fill="FFFFFF"/>
                    </w:rPr>
                    <m:t>18</m:t>
                  </m:r>
                </m:sub>
              </m:sSub>
              <m:r>
                <m:rPr>
                  <m:sty m:val="p"/>
                </m:rPr>
                <w:rPr>
                  <w:rFonts w:ascii="Cambria Math" w:hAnsi="Cambria Math" w:cstheme="majorBidi"/>
                  <w:sz w:val="14"/>
                  <w:szCs w:val="14"/>
                  <w:shd w:val="clear" w:color="auto" w:fill="FFFFFF"/>
                </w:rPr>
                <m:t>M</m:t>
              </m:r>
            </m:e>
            <m:sub>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w:rPr>
                      <w:rFonts w:ascii="Cambria Math" w:hAnsi="Cambria Math" w:cstheme="majorBidi"/>
                      <w:sz w:val="14"/>
                      <w:szCs w:val="14"/>
                      <w:shd w:val="clear" w:color="auto" w:fill="FFFFFF"/>
                    </w:rPr>
                    <m:t>18</m:t>
                  </m:r>
                </m:sub>
              </m:sSub>
            </m:sub>
          </m:sSub>
          <m:r>
            <m:rPr>
              <m:sty m:val="p"/>
            </m:rPr>
            <w:rPr>
              <w:rFonts w:ascii="Cambria Math" w:hAnsi="Cambria Math" w:cstheme="majorBidi"/>
              <w:sz w:val="14"/>
              <w:szCs w:val="14"/>
              <w:shd w:val="clear" w:color="auto" w:fill="FFFFFF"/>
            </w:rPr>
            <m:t>+</m:t>
          </m:r>
          <m:sSub>
            <m:sSubPr>
              <m:ctrlPr>
                <w:rPr>
                  <w:rFonts w:ascii="Cambria Math" w:hAnsi="Cambria Math" w:cstheme="majorBidi"/>
                  <w:iCs/>
                  <w:sz w:val="14"/>
                  <w:szCs w:val="14"/>
                  <w:shd w:val="clear" w:color="auto" w:fill="FFFFFF"/>
                </w:rPr>
              </m:ctrlPr>
            </m:sSubPr>
            <m:e>
              <m:sSup>
                <m:sSupPr>
                  <m:ctrlPr>
                    <w:rPr>
                      <w:rFonts w:ascii="Cambria Math" w:hAnsi="Cambria Math" w:cstheme="majorBidi"/>
                      <w:iCs/>
                      <w:sz w:val="14"/>
                      <w:szCs w:val="14"/>
                      <w:shd w:val="clear" w:color="auto" w:fill="FFFFFF"/>
                    </w:rPr>
                  </m:ctrlPr>
                </m:sSupPr>
                <m:e>
                  <m:r>
                    <m:rPr>
                      <m:sty m:val="p"/>
                    </m:rPr>
                    <w:rPr>
                      <w:rFonts w:ascii="Cambria Math" w:hAnsi="Cambria Math" w:cstheme="majorBidi"/>
                      <w:sz w:val="14"/>
                      <w:szCs w:val="14"/>
                      <w:shd w:val="clear" w:color="auto" w:fill="FFFFFF"/>
                    </w:rPr>
                    <m:t>δ</m:t>
                  </m:r>
                </m:e>
                <m:sup>
                  <m:r>
                    <m:rPr>
                      <m:sty m:val="p"/>
                    </m:rPr>
                    <w:rPr>
                      <w:rFonts w:ascii="Cambria Math" w:hAnsi="Cambria Math" w:cstheme="majorBidi"/>
                      <w:sz w:val="14"/>
                      <w:szCs w:val="14"/>
                      <w:shd w:val="clear" w:color="auto" w:fill="FFFFFF"/>
                    </w:rPr>
                    <m:t>13</m:t>
                  </m:r>
                </m:sup>
              </m:sSup>
              <m:sSub>
                <m:sSubPr>
                  <m:ctrlPr>
                    <w:rPr>
                      <w:rFonts w:ascii="Cambria Math" w:hAnsi="Cambria Math" w:cstheme="majorBidi"/>
                      <w:iCs/>
                      <w:sz w:val="14"/>
                      <w:szCs w:val="14"/>
                      <w:shd w:val="clear" w:color="auto" w:fill="FFFFFF"/>
                    </w:rPr>
                  </m:ctrlPr>
                </m:sSubPr>
                <m:e>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r>
                    <m:rPr>
                      <m:sty m:val="p"/>
                    </m:rPr>
                    <w:rPr>
                      <w:rFonts w:ascii="Cambria Math" w:hAnsi="Cambria Math" w:cstheme="majorBidi"/>
                      <w:sz w:val="14"/>
                      <w:szCs w:val="14"/>
                      <w:shd w:val="clear" w:color="auto" w:fill="FFFFFF"/>
                    </w:rPr>
                    <m:t>C</m:t>
                  </m:r>
                </m:e>
                <m:sub>
                  <m:r>
                    <m:rPr>
                      <m:sty m:val="p"/>
                    </m:rPr>
                    <w:rPr>
                      <w:rFonts w:ascii="Cambria Math" w:hAnsi="Cambria Math" w:cstheme="majorBidi"/>
                      <w:sz w:val="14"/>
                      <w:szCs w:val="14"/>
                      <w:shd w:val="clear" w:color="auto" w:fill="FFFFFF"/>
                    </w:rPr>
                    <m:t>19</m:t>
                  </m:r>
                </m:sub>
              </m:sSub>
              <m:r>
                <m:rPr>
                  <m:sty m:val="p"/>
                </m:rPr>
                <w:rPr>
                  <w:rFonts w:ascii="Cambria Math" w:hAnsi="Cambria Math" w:cstheme="majorBidi"/>
                  <w:sz w:val="14"/>
                  <w:szCs w:val="14"/>
                  <w:shd w:val="clear" w:color="auto" w:fill="FFFFFF"/>
                </w:rPr>
                <m:t>M</m:t>
              </m:r>
            </m:e>
            <m:sub>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w:rPr>
                      <w:rFonts w:ascii="Cambria Math" w:hAnsi="Cambria Math" w:cstheme="majorBidi"/>
                      <w:sz w:val="14"/>
                      <w:szCs w:val="14"/>
                      <w:shd w:val="clear" w:color="auto" w:fill="FFFFFF"/>
                    </w:rPr>
                    <m:t>19</m:t>
                  </m:r>
                </m:sub>
              </m:sSub>
            </m:sub>
          </m:sSub>
          <m:r>
            <m:rPr>
              <m:sty m:val="p"/>
            </m:rPr>
            <w:rPr>
              <w:rFonts w:ascii="Cambria Math" w:hAnsi="Cambria Math" w:cstheme="majorBidi"/>
              <w:sz w:val="14"/>
              <w:szCs w:val="14"/>
              <w:shd w:val="clear" w:color="auto" w:fill="FFFFFF"/>
            </w:rPr>
            <m:t>+</m:t>
          </m:r>
          <m:sSub>
            <m:sSubPr>
              <m:ctrlPr>
                <w:rPr>
                  <w:rFonts w:ascii="Cambria Math" w:hAnsi="Cambria Math" w:cstheme="majorBidi"/>
                  <w:iCs/>
                  <w:sz w:val="14"/>
                  <w:szCs w:val="14"/>
                  <w:shd w:val="clear" w:color="auto" w:fill="FFFFFF"/>
                </w:rPr>
              </m:ctrlPr>
            </m:sSubPr>
            <m:e>
              <m:sSup>
                <m:sSupPr>
                  <m:ctrlPr>
                    <w:rPr>
                      <w:rFonts w:ascii="Cambria Math" w:hAnsi="Cambria Math" w:cstheme="majorBidi"/>
                      <w:iCs/>
                      <w:sz w:val="14"/>
                      <w:szCs w:val="14"/>
                      <w:shd w:val="clear" w:color="auto" w:fill="FFFFFF"/>
                    </w:rPr>
                  </m:ctrlPr>
                </m:sSupPr>
                <m:e>
                  <m:r>
                    <m:rPr>
                      <m:sty m:val="p"/>
                    </m:rPr>
                    <w:rPr>
                      <w:rFonts w:ascii="Cambria Math" w:hAnsi="Cambria Math" w:cstheme="majorBidi"/>
                      <w:sz w:val="14"/>
                      <w:szCs w:val="14"/>
                      <w:shd w:val="clear" w:color="auto" w:fill="FFFFFF"/>
                    </w:rPr>
                    <m:t>δ</m:t>
                  </m:r>
                </m:e>
                <m:sup>
                  <m:r>
                    <m:rPr>
                      <m:sty m:val="p"/>
                    </m:rPr>
                    <w:rPr>
                      <w:rFonts w:ascii="Cambria Math" w:hAnsi="Cambria Math" w:cstheme="majorBidi"/>
                      <w:sz w:val="14"/>
                      <w:szCs w:val="14"/>
                      <w:shd w:val="clear" w:color="auto" w:fill="FFFFFF"/>
                    </w:rPr>
                    <m:t>13</m:t>
                  </m:r>
                </m:sup>
              </m:sSup>
              <m:sSub>
                <m:sSubPr>
                  <m:ctrlPr>
                    <w:rPr>
                      <w:rFonts w:ascii="Cambria Math" w:hAnsi="Cambria Math" w:cstheme="majorBidi"/>
                      <w:iCs/>
                      <w:sz w:val="14"/>
                      <w:szCs w:val="14"/>
                      <w:shd w:val="clear" w:color="auto" w:fill="FFFFFF"/>
                    </w:rPr>
                  </m:ctrlPr>
                </m:sSubPr>
                <m:e>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r>
                    <m:rPr>
                      <m:sty m:val="p"/>
                    </m:rPr>
                    <w:rPr>
                      <w:rFonts w:ascii="Cambria Math" w:hAnsi="Cambria Math" w:cstheme="majorBidi"/>
                      <w:sz w:val="14"/>
                      <w:szCs w:val="14"/>
                      <w:shd w:val="clear" w:color="auto" w:fill="FFFFFF"/>
                    </w:rPr>
                    <m:t>C</m:t>
                  </m:r>
                </m:e>
                <m:sub>
                  <m:r>
                    <m:rPr>
                      <m:sty m:val="p"/>
                    </m:rPr>
                    <w:rPr>
                      <w:rFonts w:ascii="Cambria Math" w:hAnsi="Cambria Math" w:cstheme="majorBidi"/>
                      <w:sz w:val="14"/>
                      <w:szCs w:val="14"/>
                      <w:shd w:val="clear" w:color="auto" w:fill="FFFFFF"/>
                    </w:rPr>
                    <m:t>27</m:t>
                  </m:r>
                </m:sub>
              </m:sSub>
              <m:r>
                <m:rPr>
                  <m:sty m:val="p"/>
                </m:rPr>
                <w:rPr>
                  <w:rFonts w:ascii="Cambria Math" w:hAnsi="Cambria Math" w:cstheme="majorBidi"/>
                  <w:sz w:val="14"/>
                  <w:szCs w:val="14"/>
                  <w:shd w:val="clear" w:color="auto" w:fill="FFFFFF"/>
                </w:rPr>
                <m:t>M</m:t>
              </m:r>
            </m:e>
            <m:sub>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w:rPr>
                      <w:rFonts w:ascii="Cambria Math" w:hAnsi="Cambria Math" w:cstheme="majorBidi"/>
                      <w:sz w:val="14"/>
                      <w:szCs w:val="14"/>
                      <w:shd w:val="clear" w:color="auto" w:fill="FFFFFF"/>
                    </w:rPr>
                    <m:t>27</m:t>
                  </m:r>
                </m:sub>
              </m:sSub>
              <m:r>
                <w:rPr>
                  <w:rFonts w:ascii="Cambria Math" w:hAnsi="Cambria Math" w:cstheme="majorBidi"/>
                  <w:sz w:val="14"/>
                  <w:szCs w:val="14"/>
                  <w:shd w:val="clear" w:color="auto" w:fill="FFFFFF"/>
                </w:rPr>
                <m:t xml:space="preserve"> </m:t>
              </m:r>
            </m:sub>
          </m:sSub>
          <m:r>
            <m:rPr>
              <m:sty m:val="p"/>
            </m:rPr>
            <w:rPr>
              <w:rFonts w:ascii="Cambria Math" w:hAnsi="Cambria Math" w:cstheme="majorBidi"/>
              <w:sz w:val="14"/>
              <w:szCs w:val="14"/>
              <w:shd w:val="clear" w:color="auto" w:fill="FFFFFF"/>
            </w:rPr>
            <m:t>+</m:t>
          </m:r>
          <m:sSub>
            <m:sSubPr>
              <m:ctrlPr>
                <w:rPr>
                  <w:rFonts w:ascii="Cambria Math" w:hAnsi="Cambria Math" w:cstheme="majorBidi"/>
                  <w:iCs/>
                  <w:sz w:val="14"/>
                  <w:szCs w:val="14"/>
                  <w:shd w:val="clear" w:color="auto" w:fill="FFFFFF"/>
                </w:rPr>
              </m:ctrlPr>
            </m:sSubPr>
            <m:e>
              <m:sSup>
                <m:sSupPr>
                  <m:ctrlPr>
                    <w:rPr>
                      <w:rFonts w:ascii="Cambria Math" w:hAnsi="Cambria Math" w:cstheme="majorBidi"/>
                      <w:iCs/>
                      <w:sz w:val="14"/>
                      <w:szCs w:val="14"/>
                      <w:shd w:val="clear" w:color="auto" w:fill="FFFFFF"/>
                    </w:rPr>
                  </m:ctrlPr>
                </m:sSupPr>
                <m:e>
                  <m:r>
                    <m:rPr>
                      <m:sty m:val="p"/>
                    </m:rPr>
                    <w:rPr>
                      <w:rFonts w:ascii="Cambria Math" w:hAnsi="Cambria Math" w:cstheme="majorBidi"/>
                      <w:sz w:val="14"/>
                      <w:szCs w:val="14"/>
                      <w:shd w:val="clear" w:color="auto" w:fill="FFFFFF"/>
                    </w:rPr>
                    <m:t>δ</m:t>
                  </m:r>
                </m:e>
                <m:sup>
                  <m:r>
                    <m:rPr>
                      <m:sty m:val="p"/>
                    </m:rPr>
                    <w:rPr>
                      <w:rFonts w:ascii="Cambria Math" w:hAnsi="Cambria Math" w:cstheme="majorBidi"/>
                      <w:sz w:val="14"/>
                      <w:szCs w:val="14"/>
                      <w:shd w:val="clear" w:color="auto" w:fill="FFFFFF"/>
                    </w:rPr>
                    <m:t>13</m:t>
                  </m:r>
                </m:sup>
              </m:sSup>
              <m:sSub>
                <m:sSubPr>
                  <m:ctrlPr>
                    <w:rPr>
                      <w:rFonts w:ascii="Cambria Math" w:hAnsi="Cambria Math" w:cstheme="majorBidi"/>
                      <w:iCs/>
                      <w:sz w:val="14"/>
                      <w:szCs w:val="14"/>
                      <w:shd w:val="clear" w:color="auto" w:fill="FFFFFF"/>
                    </w:rPr>
                  </m:ctrlPr>
                </m:sSubPr>
                <m:e>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r>
                    <m:rPr>
                      <m:sty m:val="p"/>
                    </m:rPr>
                    <w:rPr>
                      <w:rFonts w:ascii="Cambria Math" w:hAnsi="Cambria Math" w:cstheme="majorBidi"/>
                      <w:sz w:val="14"/>
                      <w:szCs w:val="14"/>
                      <w:shd w:val="clear" w:color="auto" w:fill="FFFFFF"/>
                    </w:rPr>
                    <m:t>C</m:t>
                  </m:r>
                </m:e>
                <m:sub>
                  <m:r>
                    <m:rPr>
                      <m:sty m:val="p"/>
                    </m:rPr>
                    <w:rPr>
                      <w:rFonts w:ascii="Cambria Math" w:hAnsi="Cambria Math" w:cstheme="majorBidi"/>
                      <w:sz w:val="14"/>
                      <w:szCs w:val="14"/>
                      <w:shd w:val="clear" w:color="auto" w:fill="FFFFFF"/>
                    </w:rPr>
                    <m:t>29</m:t>
                  </m:r>
                </m:sub>
              </m:sSub>
              <m:r>
                <m:rPr>
                  <m:sty m:val="p"/>
                </m:rPr>
                <w:rPr>
                  <w:rFonts w:ascii="Cambria Math" w:hAnsi="Cambria Math" w:cstheme="majorBidi"/>
                  <w:sz w:val="14"/>
                  <w:szCs w:val="14"/>
                  <w:shd w:val="clear" w:color="auto" w:fill="FFFFFF"/>
                </w:rPr>
                <m:t>M</m:t>
              </m:r>
            </m:e>
            <m:sub>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w:rPr>
                      <w:rFonts w:ascii="Cambria Math" w:hAnsi="Cambria Math" w:cstheme="majorBidi"/>
                      <w:sz w:val="14"/>
                      <w:szCs w:val="14"/>
                      <w:shd w:val="clear" w:color="auto" w:fill="FFFFFF"/>
                    </w:rPr>
                    <m:t>29</m:t>
                  </m:r>
                </m:sub>
              </m:sSub>
            </m:sub>
          </m:sSub>
          <m:r>
            <m:rPr>
              <m:sty m:val="p"/>
            </m:rPr>
            <w:rPr>
              <w:rFonts w:ascii="Cambria Math" w:hAnsi="Cambria Math" w:cstheme="majorBidi"/>
              <w:sz w:val="14"/>
              <w:szCs w:val="14"/>
              <w:shd w:val="clear" w:color="auto" w:fill="FFFFFF"/>
            </w:rPr>
            <m:t>+</m:t>
          </m:r>
          <m:sSub>
            <m:sSubPr>
              <m:ctrlPr>
                <w:rPr>
                  <w:rFonts w:ascii="Cambria Math" w:hAnsi="Cambria Math" w:cstheme="majorBidi"/>
                  <w:iCs/>
                  <w:sz w:val="14"/>
                  <w:szCs w:val="14"/>
                  <w:shd w:val="clear" w:color="auto" w:fill="FFFFFF"/>
                </w:rPr>
              </m:ctrlPr>
            </m:sSubPr>
            <m:e>
              <m:sSup>
                <m:sSupPr>
                  <m:ctrlPr>
                    <w:rPr>
                      <w:rFonts w:ascii="Cambria Math" w:hAnsi="Cambria Math" w:cstheme="majorBidi"/>
                      <w:iCs/>
                      <w:sz w:val="14"/>
                      <w:szCs w:val="14"/>
                      <w:shd w:val="clear" w:color="auto" w:fill="FFFFFF"/>
                    </w:rPr>
                  </m:ctrlPr>
                </m:sSupPr>
                <m:e>
                  <m:r>
                    <m:rPr>
                      <m:sty m:val="p"/>
                    </m:rPr>
                    <w:rPr>
                      <w:rFonts w:ascii="Cambria Math" w:hAnsi="Cambria Math" w:cstheme="majorBidi"/>
                      <w:sz w:val="14"/>
                      <w:szCs w:val="14"/>
                      <w:shd w:val="clear" w:color="auto" w:fill="FFFFFF"/>
                    </w:rPr>
                    <m:t>δ</m:t>
                  </m:r>
                </m:e>
                <m:sup>
                  <m:r>
                    <m:rPr>
                      <m:sty m:val="p"/>
                    </m:rPr>
                    <w:rPr>
                      <w:rFonts w:ascii="Cambria Math" w:hAnsi="Cambria Math" w:cstheme="majorBidi"/>
                      <w:sz w:val="14"/>
                      <w:szCs w:val="14"/>
                      <w:shd w:val="clear" w:color="auto" w:fill="FFFFFF"/>
                    </w:rPr>
                    <m:t>13</m:t>
                  </m:r>
                </m:sup>
              </m:sSup>
              <m:sSub>
                <m:sSubPr>
                  <m:ctrlPr>
                    <w:rPr>
                      <w:rFonts w:ascii="Cambria Math" w:hAnsi="Cambria Math" w:cstheme="majorBidi"/>
                      <w:iCs/>
                      <w:sz w:val="14"/>
                      <w:szCs w:val="14"/>
                      <w:shd w:val="clear" w:color="auto" w:fill="FFFFFF"/>
                    </w:rPr>
                  </m:ctrlPr>
                </m:sSubPr>
                <m:e>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r>
                    <m:rPr>
                      <m:sty m:val="p"/>
                    </m:rPr>
                    <w:rPr>
                      <w:rFonts w:ascii="Cambria Math" w:hAnsi="Cambria Math" w:cstheme="majorBidi"/>
                      <w:sz w:val="14"/>
                      <w:szCs w:val="14"/>
                      <w:shd w:val="clear" w:color="auto" w:fill="FFFFFF"/>
                    </w:rPr>
                    <m:t>C</m:t>
                  </m:r>
                </m:e>
                <m:sub>
                  <m:r>
                    <m:rPr>
                      <m:sty m:val="p"/>
                    </m:rPr>
                    <w:rPr>
                      <w:rFonts w:ascii="Cambria Math" w:hAnsi="Cambria Math" w:cstheme="majorBidi"/>
                      <w:sz w:val="14"/>
                      <w:szCs w:val="14"/>
                      <w:shd w:val="clear" w:color="auto" w:fill="FFFFFF"/>
                    </w:rPr>
                    <m:t>31</m:t>
                  </m:r>
                </m:sub>
              </m:sSub>
              <m:r>
                <m:rPr>
                  <m:sty m:val="p"/>
                </m:rPr>
                <w:rPr>
                  <w:rFonts w:ascii="Cambria Math" w:hAnsi="Cambria Math" w:cstheme="majorBidi"/>
                  <w:sz w:val="14"/>
                  <w:szCs w:val="14"/>
                  <w:shd w:val="clear" w:color="auto" w:fill="FFFFFF"/>
                </w:rPr>
                <m:t>M</m:t>
              </m:r>
            </m:e>
            <m:sub>
              <m:r>
                <w:rPr>
                  <w:rFonts w:ascii="Cambria Math" w:hAnsi="Cambria Math" w:cstheme="majorBidi"/>
                  <w:sz w:val="14"/>
                  <w:szCs w:val="14"/>
                  <w:shd w:val="clear" w:color="auto" w:fill="FFFFFF"/>
                </w:rPr>
                <m:t>n</m:t>
              </m:r>
              <m:r>
                <m:rPr>
                  <m:nor/>
                </m:rPr>
                <w:rPr>
                  <w:rFonts w:ascii="Cambria Math" w:hAnsi="Cambria Math" w:cstheme="majorBidi"/>
                  <w:iCs/>
                  <w:sz w:val="14"/>
                  <w:szCs w:val="14"/>
                  <w:shd w:val="clear" w:color="auto" w:fill="FFFFFF"/>
                </w:rPr>
                <m:t>-</m:t>
              </m:r>
              <m:sSub>
                <m:sSubPr>
                  <m:ctrlPr>
                    <w:rPr>
                      <w:rFonts w:ascii="Cambria Math" w:hAnsi="Cambria Math" w:cstheme="majorBidi"/>
                      <w:iCs/>
                      <w:sz w:val="14"/>
                      <w:szCs w:val="14"/>
                      <w:shd w:val="clear" w:color="auto" w:fill="FFFFFF"/>
                    </w:rPr>
                  </m:ctrlPr>
                </m:sSubPr>
                <m:e>
                  <m:r>
                    <m:rPr>
                      <m:sty m:val="p"/>
                    </m:rPr>
                    <w:rPr>
                      <w:rFonts w:ascii="Cambria Math" w:hAnsi="Cambria Math" w:cstheme="majorBidi"/>
                      <w:sz w:val="14"/>
                      <w:szCs w:val="14"/>
                      <w:shd w:val="clear" w:color="auto" w:fill="FFFFFF"/>
                    </w:rPr>
                    <m:t>C</m:t>
                  </m:r>
                </m:e>
                <m:sub>
                  <m:r>
                    <w:rPr>
                      <w:rFonts w:ascii="Cambria Math" w:hAnsi="Cambria Math" w:cstheme="majorBidi"/>
                      <w:sz w:val="14"/>
                      <w:szCs w:val="14"/>
                      <w:shd w:val="clear" w:color="auto" w:fill="FFFFFF"/>
                    </w:rPr>
                    <m:t>31</m:t>
                  </m:r>
                </m:sub>
              </m:sSub>
            </m:sub>
          </m:sSub>
        </m:oMath>
      </m:oMathPara>
    </w:p>
    <w:p w14:paraId="29BA730D" w14:textId="77777777" w:rsidR="00490533" w:rsidRPr="00A37FB4" w:rsidRDefault="00490533" w:rsidP="00251F02">
      <w:pPr>
        <w:pStyle w:val="AbstractSummary"/>
        <w:spacing w:line="360" w:lineRule="auto"/>
        <w:jc w:val="both"/>
        <w:rPr>
          <w:lang w:val="en-AU"/>
        </w:rPr>
      </w:pPr>
    </w:p>
    <w:p w14:paraId="5B73310B" w14:textId="63F42EF6" w:rsidR="00BB60D4" w:rsidRPr="00080FA7" w:rsidRDefault="00BB60D4" w:rsidP="00251F02">
      <w:pPr>
        <w:pStyle w:val="AbstractSummary"/>
        <w:spacing w:line="360" w:lineRule="auto"/>
        <w:jc w:val="both"/>
      </w:pPr>
      <w:r>
        <w:rPr>
          <w:b/>
        </w:rPr>
        <w:t>References</w:t>
      </w:r>
    </w:p>
    <w:p w14:paraId="3149F4A8" w14:textId="6917A5C9" w:rsidR="006A3421" w:rsidRPr="006A3421" w:rsidRDefault="00BB60D4"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A3421" w:rsidRPr="006A3421">
        <w:rPr>
          <w:rFonts w:ascii="Times New Roman" w:hAnsi="Times New Roman" w:cs="Times New Roman"/>
          <w:noProof/>
          <w:sz w:val="24"/>
          <w:szCs w:val="24"/>
        </w:rPr>
        <w:t>Alipour, M., Alizadeh, B., Jahangard, A., GandomiSani, A., 2021. Wildfire events at the Triassic–Jurassic boundary of the Tabas Basin, Central Iran. Int. J. Coal Sci. Technol. 8, 897–907. https://doi.org/10.1007/s40789-021-00436-2</w:t>
      </w:r>
    </w:p>
    <w:p w14:paraId="7D3B93F0"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Atkinson, J.W., Wignall, P.B., 2019. How quick was marine recovery after the end-Triassic mass extinction and what role did anoxia play? Palaeogeogr. Palaeoclimatol. Palaeoecol. 528, 99–119. https://doi.org/https://doi.org/10.1016/j.palaeo.2019.05.011</w:t>
      </w:r>
    </w:p>
    <w:p w14:paraId="71A76641"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Beith, S.J., Fox, C.P., Marshall, J.E.A., Whiteside, J.H., 2021. Persistent photic zone euxinia in the northwest Tethys impinged end-Triassic extinction recovery. Palaeogeogr. Palaeoclimatol. Palaeoecol. (in Press.</w:t>
      </w:r>
    </w:p>
    <w:p w14:paraId="3E0AC66C"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Belcher, C.M., Mander, L., Rein, G., Jervis, F.X., Haworth, M., Hesselbo, S.P., Glasspool, I.J., McElwain, J.C., 2010. Increased fire activity at the Triassic/Jurassic boundary in Greenland due to climate-driven floral change. Nat. Geosci. 3, 426–429. https://doi.org/10.1038/ngeo871</w:t>
      </w:r>
    </w:p>
    <w:p w14:paraId="3E6AEBFC"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Fang, Y., Fang, L., Deng, S., Lu, Y., Wang, B., Zhao, X., Wang, Y., Zhang, H., Zhang, X., Sha, J., 2021. Carbon isotope stratigraphy across the Triassic-Jurassic boundary in the high-latitude terrestrial Junggar Basin, NW China. Palaeogeogr. Palaeoclimatol. Palaeoecol. 577, 110559. https://doi.org/https://doi.org/10.1016/j.palaeo.2021.110559</w:t>
      </w:r>
    </w:p>
    <w:p w14:paraId="26EBF8B7"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Finkelstein, D.B., Pratt, L.M., Curtin, T.M., Brassell, S.C., 2005. Wildfires and seasonal aridity recorded in Late Cretaceous strata from south-eastern Arizona, USA. Sedimentology 52, 587–599. https://doi.org/https://doi.org/10.1111/j.1365-3091.2005.00712.x</w:t>
      </w:r>
    </w:p>
    <w:p w14:paraId="45B159F9"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 xml:space="preserve">Fox, C.P., Cui, X., Whiteside, J.H., Olsen, P.E., Summons, R.E., Grice, K., 2020. Molecular and </w:t>
      </w:r>
      <w:r w:rsidRPr="006A3421">
        <w:rPr>
          <w:rFonts w:ascii="Times New Roman" w:hAnsi="Times New Roman" w:cs="Times New Roman"/>
          <w:noProof/>
          <w:sz w:val="24"/>
          <w:szCs w:val="24"/>
        </w:rPr>
        <w:lastRenderedPageBreak/>
        <w:t>isotopic evidence reveals the end-Triassic carbon isotope excursion is not from massive exogenous light carbon. Proc. Natl. Acad. Sci. 117, 30171 LP – 30178. https://doi.org/10.1073/pnas.1917661117</w:t>
      </w:r>
    </w:p>
    <w:p w14:paraId="3FD588F6"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Fox, C.P., Whiteside, J.H., Olsen, P.E., Cui, X., Summons, R.E., Idiz, E., Grice, K., 2022. Two-pronged kill mechanism at the end-Triassic mass extinction. Geology. https://doi.org/10.1130/G49560.1</w:t>
      </w:r>
    </w:p>
    <w:p w14:paraId="7DF42798"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Freeman, D.J., Cattell, F.C.R., 1990. Woodburning as a source of atmospheric polycyclic aromatic hydrocarbons. Environ. Sci. Technol. 24, 1581–1585. https://doi.org/10.1021/es00080a019</w:t>
      </w:r>
    </w:p>
    <w:p w14:paraId="1A9FF772"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Grice, K., Cao, C., Love, G.D., Böttcher, M.E., Twitchett, R.J., Grosjean, E., Summons, R.E., Turgeon, S.C., Dunning, W., Jin, Y., 2005. Photic Zone Euxinia During the Permian-Triassic Superanoxic Event. Science (80-. ). 307, 706 LP – 709. https://doi.org/10.1126/science.1104323</w:t>
      </w:r>
    </w:p>
    <w:p w14:paraId="05E48265"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Harris, T.M., 1958. Forest Fire in the Mesozoic. J. Ecol. 46, 447–453. https://doi.org/10.2307/2257405</w:t>
      </w:r>
    </w:p>
    <w:p w14:paraId="2A6B1617"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Hesselbo, S.P., Robinson, S.A., Surlyk, F., 2004. Sea-level change and facies development across potential Triassic–Jurassic boundary horizons, SW Britain. J. Geol. Soc. London. 161, 365–379. https://doi.org/10.1144/0016-764903-033</w:t>
      </w:r>
    </w:p>
    <w:p w14:paraId="693B2913"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Hesselbo, S.P., Robinson, S.A., Surlyk, F., Piasecki, S., 2002. Terrestrial and marine extinction at the Triassic-Jurassic boundary synchronized with major carbon-cycle perturbation: A link to initiation of massive volcanism? Geology 30, 251–254.</w:t>
      </w:r>
    </w:p>
    <w:p w14:paraId="1DA3AB00"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Hodges, P., 2021. A new ammonite from the Penarth Group, South Wales and the base of the Jurassic System in SW Britain. Geol. Mag. 158, 1109–1114. https://doi.org/DOI: 10.1017/S0016756820001107</w:t>
      </w:r>
    </w:p>
    <w:p w14:paraId="2AE3E476"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Hounslow, M.W., Posen, P.E., Warrington, G., 2004. Magnetostratigraphy and biostratigraphy of the Upper Triassic and lowermost Jurassic succession, St. Audrie’s Bay, UK. Palaeogeogr. Palaeoclimatol. Palaeoecol. 213, 331–358. https://doi.org/https://doi.org/10.1016/j.palaeo.2004.07.018</w:t>
      </w:r>
    </w:p>
    <w:p w14:paraId="03C044F5"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lastRenderedPageBreak/>
        <w:t xml:space="preserve">Jaraula, C.M.B., Grice, K., Twitchett, R.J., Böttcher, M.E., LeMetayer, P., Dastidar, A.G., Opazo, L.F., 2013. Elevated </w:t>
      </w:r>
      <w:r w:rsidRPr="006A3421">
        <w:rPr>
          <w:rFonts w:ascii="Times New Roman" w:hAnsi="Times New Roman" w:cs="Times New Roman"/>
          <w:i/>
          <w:iCs/>
          <w:noProof/>
          <w:sz w:val="24"/>
          <w:szCs w:val="24"/>
        </w:rPr>
        <w:t>p</w:t>
      </w:r>
      <w:r w:rsidRPr="006A3421">
        <w:rPr>
          <w:rFonts w:ascii="Times New Roman" w:hAnsi="Times New Roman" w:cs="Times New Roman"/>
          <w:noProof/>
          <w:sz w:val="24"/>
          <w:szCs w:val="24"/>
        </w:rPr>
        <w:t>CO</w:t>
      </w:r>
      <w:r w:rsidRPr="006A3421">
        <w:rPr>
          <w:rFonts w:ascii="Times New Roman" w:hAnsi="Times New Roman" w:cs="Times New Roman"/>
          <w:noProof/>
          <w:sz w:val="24"/>
          <w:szCs w:val="24"/>
          <w:vertAlign w:val="subscript"/>
        </w:rPr>
        <w:t>2</w:t>
      </w:r>
      <w:r w:rsidRPr="006A3421">
        <w:rPr>
          <w:rFonts w:ascii="Times New Roman" w:hAnsi="Times New Roman" w:cs="Times New Roman"/>
          <w:noProof/>
          <w:sz w:val="24"/>
          <w:szCs w:val="24"/>
        </w:rPr>
        <w:t xml:space="preserve"> leading to Late Triassic extinction, persistent photic zone euxinia, and rising sea levels. Geology 41, 955–958. https://doi.org/10.1130/G34183.1</w:t>
      </w:r>
    </w:p>
    <w:p w14:paraId="0222266D"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Kaiho, K., Aftabuzzaman, M., Jones, D.S., Tian, L., 2020. Pulsed volcanic combustion events coincident with the end-Permian terrestrial disturbance and the following global crisis. Geology 49, 289–293. https://doi.org/10.1130/G48022.1</w:t>
      </w:r>
    </w:p>
    <w:p w14:paraId="7328D8A5"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Karp, A.T., Holman, A.I., Hopper, P., Grice, K., Freeman, K.H., 2020. Fire distinguishers: Refined interpretations of polycyclic aromatic hydrocarbons for paleo-applications. Geochim. Cosmochim. Acta 289, 93–113. https://doi.org/https://doi.org/10.1016/j.gca.2020.08.024</w:t>
      </w:r>
    </w:p>
    <w:p w14:paraId="010C22DD"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Kent, D. V, Tauxe, L., 2005. Corrected Late Triassic Latitudes for Continents Adjacent to the North Atlantic. Science (80-. ). 307, 240 LP – 244. https://doi.org/10.1126/science.1105826</w:t>
      </w:r>
    </w:p>
    <w:p w14:paraId="49A23880"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Mander, L., Kürschner, W.M., McElwain, J.C., 2013. Palynostratigraphy and vegetation history of the Triassic{\textendash}Jurassic transition in East Greenland. J. Geol. Soc. London. 170, 37–46. https://doi.org/10.1144/jgs2012-018</w:t>
      </w:r>
    </w:p>
    <w:p w14:paraId="6F5E5386"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Mander, L., Twitchett, R.J., Benton, M.J., 2008. Palaeoecology of the Late Triassic extinction event in the SW UK. J. Geol. Soc. London. 165, 319–332. https://doi.org/10.1144/0016-76492007-029</w:t>
      </w:r>
    </w:p>
    <w:p w14:paraId="10B73CDC"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Marynowski, L., Simoneit, B.R.T., 2009. Widespread upper Triassic to lower Jurassic wildfire records from Poland: Evidence from charcoal and pyrolytic and pyrolytic polycyclic aromatic hydrocarbons. Palaios 24, 785–798.</w:t>
      </w:r>
    </w:p>
    <w:p w14:paraId="60A67D17"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Mayall, M.J., 1983. An earthquake origin for synsedimentary deformation in a late Triassic (Rhaetian) lagoonal sequence, southwest Britain. Geol. Mag. 120, 613–622. https://doi.org/DOI: 10.1017/S001675680002776X</w:t>
      </w:r>
    </w:p>
    <w:p w14:paraId="6E19CBE5"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Peters, K.E., Walters, C.C., Moldowan, J.M., 2004. The Biomarker Guide: Volume 2: Biomarkers and Isotopes in Petroleum Systems and Earth History, 2nd ed. Cambridge University Press, Cambridge. https://doi.org/DOI: 10.1017/CBO9781107326040</w:t>
      </w:r>
    </w:p>
    <w:p w14:paraId="6EB009A6"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 xml:space="preserve">Pieńkowski, G., Niedźwiedzki, G., Brański, P., 2014. Climatic reversals related to the Central </w:t>
      </w:r>
      <w:r w:rsidRPr="006A3421">
        <w:rPr>
          <w:rFonts w:ascii="Times New Roman" w:hAnsi="Times New Roman" w:cs="Times New Roman"/>
          <w:noProof/>
          <w:sz w:val="24"/>
          <w:szCs w:val="24"/>
        </w:rPr>
        <w:lastRenderedPageBreak/>
        <w:t>Atlantic magmatic province caused the end-Triassic biotic crisis—Evidence from continental strata in Poland, in: Keller, G., Kerr, A.C. (Eds.), Volcanism, Impacts, and Mass Extinctions: Causes and Effects. Geological Society of America, p. 0. https://doi.org/10.1130/2014.2505(13)</w:t>
      </w:r>
    </w:p>
    <w:p w14:paraId="726F1013"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Pieńkowski, G., Niedźwiedzki, G., Waksmundzka, M., 2011. Sedimentological, palynological and geochemical studies of the terrestrial Triassic–Jurassic boundary in northwestern Poland. Geol. Mag. 149, 308–332. https://doi.org/10.1017/S0016756811000914</w:t>
      </w:r>
    </w:p>
    <w:p w14:paraId="29C8A2F6"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Pole, M., Wang, Y., Dong, C., Xie, X., Tian, N., Li, L., Zhou, N., Lu, N., Xie, A., Zhang, X., 2018. Fires and storms—a Triassic–Jurassic transition section in the Sichuan Basin, China. Palaeobiodiversity and Palaeoenvironments 98, 29–47. https://doi.org/10.1007/s12549-017-0315-y</w:t>
      </w:r>
    </w:p>
    <w:p w14:paraId="11208D2A"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Richardson, L., 1911. The Rhætic and Contiguous Deposits of West, MID, &amp;amp;amp; Part of East Somerset. Q. J. Geol. Soc. 67, 1–74. https://doi.org/10.1144/GSL.JGS.1911.067.01-04.03</w:t>
      </w:r>
    </w:p>
    <w:p w14:paraId="28D436E9"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Song, Y., Algeo, T.J., Wu, W., Luo, G., Li, L., Wang, Y., Xie, S., 2020. Distribution of pyrolytic PAHs across the Triassic-Jurassic boundary in the Sichuan Basin, southwestern China: Evidence of wildfire outside the Central Atlantic Magmatic Province. Earth-Science Rev. 201, 102970. https://doi.org/https://doi.org/10.1016/j.earscirev.2019.102970</w:t>
      </w:r>
    </w:p>
    <w:p w14:paraId="704B5A64"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Swift, A., 1999. Stratigraphy (including biostratigraphy), in: Swift, A., Martill, D.M. (Eds.), Fossils of the Rhaetian Penarth Group. The Palaeontological Association, pp. 15–31.</w:t>
      </w:r>
    </w:p>
    <w:p w14:paraId="15D78EB0"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Uhl, D., Montenari, M., 2011. Charcoal as evidence of palaeo-wildfires in the Late Triassic of SW Germany. Geol. J. 46, 34–41. https://doi.org/https://doi.org/10.1002/gj.1229</w:t>
      </w:r>
    </w:p>
    <w:p w14:paraId="0989C032"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van de Schootbrugge, B., Bachan, A., Suan, G., Richoz, S., Payne, J.L., 2013. Microbes, mud and methane: cause and consequence of recurrent Early Jurassic anoxia following the end-Triassic mass extinction. Palaeontology 56, 685–709. https://doi.org/https://doi.org/10.1111/pala.12034</w:t>
      </w:r>
    </w:p>
    <w:p w14:paraId="049EF1DE"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 xml:space="preserve">van de Schootbrugge, B., Quan, T.M., Lindström, S., Püttmann, W., Heunisch, C., Pross, J., Fiebig, J., Petschick, R., Röhling, H.-G., Richoz, S., Rosenthal, Y., Falkowski, P.G., 2009. </w:t>
      </w:r>
      <w:r w:rsidRPr="006A3421">
        <w:rPr>
          <w:rFonts w:ascii="Times New Roman" w:hAnsi="Times New Roman" w:cs="Times New Roman"/>
          <w:noProof/>
          <w:sz w:val="24"/>
          <w:szCs w:val="24"/>
        </w:rPr>
        <w:lastRenderedPageBreak/>
        <w:t>Floral changes across the Triassic/Jurassic boundary linked to flood basalt volcanism. Nat. Geosci. 2, 589–594. https://doi.org/10.1038/ngeo577</w:t>
      </w:r>
    </w:p>
    <w:p w14:paraId="60B191DC"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Warrington, G., Cope, J.C.W., Ivimey-Cook, H.C., 2008. The St Audrie’s Bay-Doniford Bay section, Somerset, England: updated proposal for a candidate Global Stratotype Section and Point for the base of the Hettangian Stage, and of the Jurassic System. Int. Subcomm. Jurassic Stratigr. Newsl. 35, 2–66.</w:t>
      </w:r>
    </w:p>
    <w:p w14:paraId="17359850"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Whiteside, D.I., Marshall, J.E.A., 2008. The age, fauna and palaeoenvironment of the Late Triassic fissure deposits of Tytherington, South Gloucestershire, UK. Geol. Mag. 145, 105–147. https://doi.org/10.1017/S0016756807003925</w:t>
      </w:r>
    </w:p>
    <w:p w14:paraId="7E210468"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Wignall, P.B., Atkinson, J.W., 2020. A two-phase end-Triassic mass extinction. Earth-Science Rev. 208, 103282. https://doi.org/10.1016/j.earscirev.2020.103282</w:t>
      </w:r>
    </w:p>
    <w:p w14:paraId="53B317B2"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Wignall, P.B., Bond, D.P.G., 2008. The end-Triassic and Early Jurassic mass extinction records in the British Isles. Proc. Geol. Assoc. 119, 73–84. https://doi.org/https://doi.org/10.1016/S0016-7878(08)80259-3</w:t>
      </w:r>
    </w:p>
    <w:p w14:paraId="18A0E2B4"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szCs w:val="24"/>
        </w:rPr>
      </w:pPr>
      <w:r w:rsidRPr="006A3421">
        <w:rPr>
          <w:rFonts w:ascii="Times New Roman" w:hAnsi="Times New Roman" w:cs="Times New Roman"/>
          <w:noProof/>
          <w:sz w:val="24"/>
          <w:szCs w:val="24"/>
        </w:rPr>
        <w:t>Williford, K.H., Grice, K., Holman, A., McElwain, J.C., 2014. An organic record of terrestrial ecosystem collapse and recovery at the Triassic–Jurassic boundary in East Greenland. Geochim. Cosmochim. Acta 127, 251–263. https://doi.org/https://doi.org/10.1016/j.gca.2013.11.033</w:t>
      </w:r>
    </w:p>
    <w:p w14:paraId="6F25E177" w14:textId="77777777" w:rsidR="006A3421" w:rsidRPr="006A3421" w:rsidRDefault="006A3421" w:rsidP="00251F02">
      <w:pPr>
        <w:widowControl w:val="0"/>
        <w:autoSpaceDE w:val="0"/>
        <w:autoSpaceDN w:val="0"/>
        <w:adjustRightInd w:val="0"/>
        <w:spacing w:line="360" w:lineRule="auto"/>
        <w:ind w:left="480" w:hanging="480"/>
        <w:rPr>
          <w:rFonts w:ascii="Times New Roman" w:hAnsi="Times New Roman" w:cs="Times New Roman"/>
          <w:noProof/>
          <w:sz w:val="24"/>
        </w:rPr>
      </w:pPr>
      <w:r w:rsidRPr="006A3421">
        <w:rPr>
          <w:rFonts w:ascii="Times New Roman" w:hAnsi="Times New Roman" w:cs="Times New Roman"/>
          <w:noProof/>
          <w:sz w:val="24"/>
          <w:szCs w:val="24"/>
        </w:rPr>
        <w:t>Yunker, M.B., Macdonald, R.W., Vingarzan, R., Mitchell, R.H., Goyette, D., Sylvestre, S., 2002. PAHs in the Fraser River basin: a critical appraisal of PAH ratios as indicators of PAH source and composition. Org. Geochem. 33, 489–515. https://doi.org/https://doi.org/10.1016/S0146-6380(02)00002-5</w:t>
      </w:r>
    </w:p>
    <w:p w14:paraId="4B5C98F8" w14:textId="29C53876" w:rsidR="00BB60D4" w:rsidRDefault="00BB60D4" w:rsidP="00251F02">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br w:type="page"/>
      </w:r>
    </w:p>
    <w:p w14:paraId="56E1A6B4" w14:textId="4088CF7F" w:rsidR="00BB60D4" w:rsidRDefault="0001779E" w:rsidP="00251F02">
      <w:pPr>
        <w:spacing w:line="360" w:lineRule="auto"/>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5B8D19B2" wp14:editId="57E826F5">
            <wp:extent cx="5769172" cy="76892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9172" cy="7689215"/>
                    </a:xfrm>
                    <a:prstGeom prst="rect">
                      <a:avLst/>
                    </a:prstGeom>
                  </pic:spPr>
                </pic:pic>
              </a:graphicData>
            </a:graphic>
          </wp:inline>
        </w:drawing>
      </w:r>
    </w:p>
    <w:p w14:paraId="6A7DD787" w14:textId="4FC8050C" w:rsidR="00BB60D4" w:rsidRDefault="00BB60D4" w:rsidP="00251F02">
      <w:pPr>
        <w:spacing w:line="360" w:lineRule="auto"/>
        <w:rPr>
          <w:rFonts w:ascii="Times New Roman" w:hAnsi="Times New Roman" w:cs="Times New Roman"/>
          <w:sz w:val="24"/>
          <w:szCs w:val="24"/>
        </w:rPr>
      </w:pPr>
      <w:r>
        <w:rPr>
          <w:rFonts w:ascii="Times New Roman" w:hAnsi="Times New Roman" w:cs="Times New Roman"/>
          <w:sz w:val="24"/>
          <w:szCs w:val="24"/>
        </w:rPr>
        <w:t>Figure S1:</w:t>
      </w:r>
      <w:r w:rsidR="0001779E">
        <w:rPr>
          <w:rFonts w:ascii="Times New Roman" w:hAnsi="Times New Roman" w:cs="Times New Roman"/>
          <w:sz w:val="24"/>
          <w:szCs w:val="24"/>
        </w:rPr>
        <w:t xml:space="preserve"> Lithological comparison between</w:t>
      </w:r>
      <w:r>
        <w:rPr>
          <w:rFonts w:ascii="Times New Roman" w:hAnsi="Times New Roman" w:cs="Times New Roman"/>
          <w:sz w:val="24"/>
          <w:szCs w:val="24"/>
        </w:rPr>
        <w:t xml:space="preserve"> </w:t>
      </w:r>
      <w:r w:rsidR="0001779E">
        <w:rPr>
          <w:rFonts w:ascii="Times New Roman" w:hAnsi="Times New Roman" w:cs="Times New Roman"/>
          <w:sz w:val="24"/>
          <w:szCs w:val="24"/>
        </w:rPr>
        <w:t>St. Audrie’s Bay (left) and Lilstock (right).</w:t>
      </w:r>
      <w:r>
        <w:rPr>
          <w:rFonts w:ascii="Times New Roman" w:hAnsi="Times New Roman" w:cs="Times New Roman"/>
          <w:sz w:val="24"/>
          <w:szCs w:val="24"/>
        </w:rPr>
        <w:br w:type="page"/>
      </w:r>
    </w:p>
    <w:p w14:paraId="624B3E4D" w14:textId="7B4F5490" w:rsidR="0001779E" w:rsidRDefault="0001779E" w:rsidP="00251F02">
      <w:pPr>
        <w:spacing w:line="360" w:lineRule="auto"/>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anchor distT="0" distB="0" distL="114300" distR="114300" simplePos="0" relativeHeight="251658240" behindDoc="1" locked="0" layoutInCell="1" allowOverlap="1" wp14:anchorId="2D6C1BE3" wp14:editId="60BED34C">
            <wp:simplePos x="0" y="0"/>
            <wp:positionH relativeFrom="margin">
              <wp:align>center</wp:align>
            </wp:positionH>
            <wp:positionV relativeFrom="paragraph">
              <wp:posOffset>0</wp:posOffset>
            </wp:positionV>
            <wp:extent cx="5198193" cy="7307580"/>
            <wp:effectExtent l="0" t="0" r="2540" b="7620"/>
            <wp:wrapTight wrapText="bothSides">
              <wp:wrapPolygon edited="0">
                <wp:start x="475" y="113"/>
                <wp:lineTo x="79" y="1126"/>
                <wp:lineTo x="0" y="1633"/>
                <wp:lineTo x="396" y="2928"/>
                <wp:lineTo x="0" y="2984"/>
                <wp:lineTo x="0" y="3210"/>
                <wp:lineTo x="396" y="3829"/>
                <wp:lineTo x="0" y="4505"/>
                <wp:lineTo x="0" y="4674"/>
                <wp:lineTo x="396" y="4730"/>
                <wp:lineTo x="396" y="5631"/>
                <wp:lineTo x="0" y="5912"/>
                <wp:lineTo x="0" y="6081"/>
                <wp:lineTo x="317" y="6532"/>
                <wp:lineTo x="0" y="7376"/>
                <wp:lineTo x="317" y="8334"/>
                <wp:lineTo x="158" y="8840"/>
                <wp:lineTo x="475" y="9291"/>
                <wp:lineTo x="79" y="10755"/>
                <wp:lineTo x="0" y="11937"/>
                <wp:lineTo x="396" y="12838"/>
                <wp:lineTo x="0" y="13627"/>
                <wp:lineTo x="0" y="13739"/>
                <wp:lineTo x="396" y="13739"/>
                <wp:lineTo x="396" y="14640"/>
                <wp:lineTo x="0" y="15372"/>
                <wp:lineTo x="0" y="15429"/>
                <wp:lineTo x="396" y="15541"/>
                <wp:lineTo x="396" y="16442"/>
                <wp:lineTo x="0" y="17062"/>
                <wp:lineTo x="0" y="17118"/>
                <wp:lineTo x="396" y="17343"/>
                <wp:lineTo x="237" y="18920"/>
                <wp:lineTo x="792" y="19145"/>
                <wp:lineTo x="0" y="19426"/>
                <wp:lineTo x="79" y="20271"/>
                <wp:lineTo x="158" y="20947"/>
                <wp:lineTo x="237" y="21566"/>
                <wp:lineTo x="3246" y="21566"/>
                <wp:lineTo x="19077" y="21341"/>
                <wp:lineTo x="19236" y="21003"/>
                <wp:lineTo x="21215" y="20947"/>
                <wp:lineTo x="21531" y="19089"/>
                <wp:lineTo x="21452" y="18244"/>
                <wp:lineTo x="20186" y="17343"/>
                <wp:lineTo x="21373" y="17343"/>
                <wp:lineTo x="21373" y="16611"/>
                <wp:lineTo x="20423" y="16442"/>
                <wp:lineTo x="20186" y="15541"/>
                <wp:lineTo x="21452" y="13965"/>
                <wp:lineTo x="21531" y="13176"/>
                <wp:lineTo x="21294" y="13007"/>
                <wp:lineTo x="20186" y="12838"/>
                <wp:lineTo x="21452" y="11994"/>
                <wp:lineTo x="21531" y="11825"/>
                <wp:lineTo x="20581" y="11656"/>
                <wp:lineTo x="15990" y="10924"/>
                <wp:lineTo x="1029" y="10136"/>
                <wp:lineTo x="21452" y="10136"/>
                <wp:lineTo x="21531" y="8953"/>
                <wp:lineTo x="20661" y="8334"/>
                <wp:lineTo x="20977" y="6532"/>
                <wp:lineTo x="21452" y="5743"/>
                <wp:lineTo x="21452" y="4730"/>
                <wp:lineTo x="20265" y="3829"/>
                <wp:lineTo x="21056" y="3829"/>
                <wp:lineTo x="21531" y="3491"/>
                <wp:lineTo x="21452" y="1802"/>
                <wp:lineTo x="15278" y="1126"/>
                <wp:lineTo x="15911" y="1126"/>
                <wp:lineTo x="15674" y="901"/>
                <wp:lineTo x="950" y="113"/>
                <wp:lineTo x="475" y="113"/>
              </wp:wrapPolygon>
            </wp:wrapTight>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8193" cy="7307580"/>
                    </a:xfrm>
                    <a:prstGeom prst="rect">
                      <a:avLst/>
                    </a:prstGeom>
                  </pic:spPr>
                </pic:pic>
              </a:graphicData>
            </a:graphic>
            <wp14:sizeRelH relativeFrom="page">
              <wp14:pctWidth>0</wp14:pctWidth>
            </wp14:sizeRelH>
            <wp14:sizeRelV relativeFrom="page">
              <wp14:pctHeight>0</wp14:pctHeight>
            </wp14:sizeRelV>
          </wp:anchor>
        </w:drawing>
      </w:r>
    </w:p>
    <w:p w14:paraId="6DEC3CD4" w14:textId="77777777" w:rsidR="0001779E" w:rsidRDefault="0001779E" w:rsidP="00251F02">
      <w:pPr>
        <w:tabs>
          <w:tab w:val="left" w:pos="2148"/>
        </w:tabs>
        <w:spacing w:line="360" w:lineRule="auto"/>
        <w:rPr>
          <w:rFonts w:ascii="Times New Roman" w:hAnsi="Times New Roman" w:cs="Times New Roman"/>
          <w:sz w:val="24"/>
          <w:szCs w:val="24"/>
        </w:rPr>
      </w:pPr>
    </w:p>
    <w:p w14:paraId="53B9BD3D"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159842A0"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04031547"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00938A50"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7396CDF1"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4E79EE2B"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05947C6F"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576166D0"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21629F4C"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30FA6267"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10A35500"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65327CA0"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2EA6464C"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27EA6FD0"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3D9A4793"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61D156E6"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0A6E2AD8"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04F38F79"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6BDA31B8" w14:textId="77777777" w:rsidR="008631B5" w:rsidRDefault="008631B5" w:rsidP="00251F02">
      <w:pPr>
        <w:tabs>
          <w:tab w:val="left" w:pos="2148"/>
        </w:tabs>
        <w:spacing w:line="360" w:lineRule="auto"/>
        <w:jc w:val="both"/>
        <w:rPr>
          <w:rFonts w:ascii="Times New Roman" w:hAnsi="Times New Roman" w:cs="Times New Roman"/>
          <w:sz w:val="24"/>
          <w:szCs w:val="24"/>
        </w:rPr>
      </w:pPr>
    </w:p>
    <w:p w14:paraId="756B2E80" w14:textId="07A3BA81" w:rsidR="00BB60D4" w:rsidRDefault="00BB60D4" w:rsidP="00251F02">
      <w:pPr>
        <w:tabs>
          <w:tab w:val="left" w:pos="214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S2: </w:t>
      </w:r>
      <w:r w:rsidR="0001779E">
        <w:rPr>
          <w:rFonts w:ascii="Times New Roman" w:hAnsi="Times New Roman" w:cs="Times New Roman"/>
          <w:sz w:val="24"/>
          <w:szCs w:val="24"/>
        </w:rPr>
        <w:t xml:space="preserve">Individual PAH biomarkers related to combustion and PAH groupings based on ring number and physicochemical properties (i.e., </w:t>
      </w:r>
      <w:r w:rsidR="006B46A6">
        <w:rPr>
          <w:rFonts w:ascii="Times New Roman" w:hAnsi="Times New Roman" w:cs="Times New Roman"/>
          <w:sz w:val="24"/>
          <w:szCs w:val="24"/>
        </w:rPr>
        <w:t xml:space="preserve">octanal-water partition </w:t>
      </w:r>
      <w:r w:rsidR="008631B5">
        <w:rPr>
          <w:rFonts w:ascii="Times New Roman" w:hAnsi="Times New Roman" w:cs="Times New Roman"/>
          <w:sz w:val="24"/>
          <w:szCs w:val="24"/>
        </w:rPr>
        <w:t>coefficients</w:t>
      </w:r>
      <w:r w:rsidR="0001779E">
        <w:rPr>
          <w:rFonts w:ascii="Times New Roman" w:hAnsi="Times New Roman" w:cs="Times New Roman"/>
          <w:sz w:val="24"/>
          <w:szCs w:val="24"/>
        </w:rPr>
        <w:t>).</w:t>
      </w:r>
      <w:r w:rsidR="006B46A6">
        <w:rPr>
          <w:rFonts w:ascii="Times New Roman" w:hAnsi="Times New Roman" w:cs="Times New Roman"/>
          <w:sz w:val="24"/>
          <w:szCs w:val="24"/>
        </w:rPr>
        <w:t xml:space="preserve"> </w:t>
      </w:r>
      <w:r w:rsidR="008631B5">
        <w:rPr>
          <w:rFonts w:ascii="Times New Roman" w:hAnsi="Times New Roman" w:cs="Times New Roman"/>
          <w:sz w:val="24"/>
          <w:szCs w:val="24"/>
        </w:rPr>
        <w:t xml:space="preserve">Upper panel (I): </w:t>
      </w:r>
      <w:r w:rsidR="008631B5">
        <w:rPr>
          <w:rFonts w:ascii="Times New Roman" w:hAnsi="Times New Roman" w:cs="Times New Roman"/>
          <w:sz w:val="24"/>
          <w:szCs w:val="24"/>
        </w:rPr>
        <w:lastRenderedPageBreak/>
        <w:t xml:space="preserve">Lilstock. Lower panel (II): St. Audrie’s Bay. </w:t>
      </w:r>
      <w:r w:rsidR="006B46A6">
        <w:rPr>
          <w:rFonts w:ascii="Times New Roman" w:hAnsi="Times New Roman" w:cs="Times New Roman"/>
          <w:sz w:val="24"/>
          <w:szCs w:val="24"/>
        </w:rPr>
        <w:t xml:space="preserve">Purple, </w:t>
      </w:r>
      <w:proofErr w:type="gramStart"/>
      <w:r w:rsidR="006B46A6">
        <w:rPr>
          <w:rFonts w:ascii="Times New Roman" w:hAnsi="Times New Roman" w:cs="Times New Roman"/>
          <w:sz w:val="24"/>
          <w:szCs w:val="24"/>
        </w:rPr>
        <w:t>blue</w:t>
      </w:r>
      <w:proofErr w:type="gramEnd"/>
      <w:r w:rsidR="006B46A6">
        <w:rPr>
          <w:rFonts w:ascii="Times New Roman" w:hAnsi="Times New Roman" w:cs="Times New Roman"/>
          <w:sz w:val="24"/>
          <w:szCs w:val="24"/>
        </w:rPr>
        <w:t xml:space="preserve"> and yellow bars represent the precursor CIE, increased in perylene index, and the initial CIE, respectively. Green- and peach-coloured bars in the Blue Lias Formation represent shoaled and deeper photic zone euxinia, respectively. Symbols for individual PAH compounds given at the bottom of the graph. Rock-Eval groupings first published in Fox et al., (2021). For PAHs grouped on ring no.: A – </w:t>
      </w:r>
      <w:r w:rsidR="008631B5">
        <w:rPr>
          <w:rFonts w:ascii="Times New Roman" w:hAnsi="Times New Roman" w:cs="Times New Roman"/>
          <w:sz w:val="24"/>
          <w:szCs w:val="24"/>
        </w:rPr>
        <w:t>phenanthrene and fluoranthene (</w:t>
      </w:r>
      <w:r w:rsidR="00F063BE">
        <w:rPr>
          <w:rFonts w:ascii="Times New Roman" w:hAnsi="Times New Roman" w:cs="Times New Roman"/>
          <w:sz w:val="24"/>
          <w:szCs w:val="24"/>
        </w:rPr>
        <w:t xml:space="preserve">three </w:t>
      </w:r>
      <w:r w:rsidR="008631B5">
        <w:rPr>
          <w:rFonts w:ascii="Times New Roman" w:hAnsi="Times New Roman" w:cs="Times New Roman"/>
          <w:sz w:val="24"/>
          <w:szCs w:val="24"/>
        </w:rPr>
        <w:t>rings); B – benzo(</w:t>
      </w:r>
      <w:r w:rsidR="008631B5" w:rsidRPr="00251F02">
        <w:rPr>
          <w:rFonts w:ascii="Times New Roman" w:hAnsi="Times New Roman" w:cs="Times New Roman"/>
          <w:i/>
          <w:sz w:val="24"/>
          <w:szCs w:val="24"/>
        </w:rPr>
        <w:t>a</w:t>
      </w:r>
      <w:r w:rsidR="008631B5">
        <w:rPr>
          <w:rFonts w:ascii="Times New Roman" w:hAnsi="Times New Roman" w:cs="Times New Roman"/>
          <w:sz w:val="24"/>
          <w:szCs w:val="24"/>
        </w:rPr>
        <w:t>)anthracene, Chrysene and Triphenylene (</w:t>
      </w:r>
      <w:r w:rsidR="00F063BE">
        <w:rPr>
          <w:rFonts w:ascii="Times New Roman" w:hAnsi="Times New Roman" w:cs="Times New Roman"/>
          <w:sz w:val="24"/>
          <w:szCs w:val="24"/>
        </w:rPr>
        <w:t xml:space="preserve">four </w:t>
      </w:r>
      <w:r w:rsidR="008631B5">
        <w:rPr>
          <w:rFonts w:ascii="Times New Roman" w:hAnsi="Times New Roman" w:cs="Times New Roman"/>
          <w:sz w:val="24"/>
          <w:szCs w:val="24"/>
        </w:rPr>
        <w:t>rings); C – benzo(</w:t>
      </w:r>
      <w:r w:rsidR="008631B5" w:rsidRPr="00251F02">
        <w:rPr>
          <w:rFonts w:ascii="Times New Roman" w:hAnsi="Times New Roman" w:cs="Times New Roman"/>
          <w:i/>
          <w:sz w:val="24"/>
          <w:szCs w:val="24"/>
        </w:rPr>
        <w:t>e</w:t>
      </w:r>
      <w:r w:rsidR="008631B5">
        <w:rPr>
          <w:rFonts w:ascii="Times New Roman" w:hAnsi="Times New Roman" w:cs="Times New Roman"/>
          <w:sz w:val="24"/>
          <w:szCs w:val="24"/>
        </w:rPr>
        <w:t>)pyrene and benzo(</w:t>
      </w:r>
      <w:r w:rsidR="008631B5" w:rsidRPr="00251F02">
        <w:rPr>
          <w:rFonts w:ascii="Times New Roman" w:hAnsi="Times New Roman" w:cs="Times New Roman"/>
          <w:i/>
          <w:sz w:val="24"/>
          <w:szCs w:val="24"/>
        </w:rPr>
        <w:t>a</w:t>
      </w:r>
      <w:r w:rsidR="008631B5">
        <w:rPr>
          <w:rFonts w:ascii="Times New Roman" w:hAnsi="Times New Roman" w:cs="Times New Roman"/>
          <w:sz w:val="24"/>
          <w:szCs w:val="24"/>
        </w:rPr>
        <w:t>)pyrene</w:t>
      </w:r>
      <w:r w:rsidR="00E80A71">
        <w:rPr>
          <w:rFonts w:ascii="Times New Roman" w:hAnsi="Times New Roman" w:cs="Times New Roman"/>
          <w:sz w:val="24"/>
          <w:szCs w:val="24"/>
        </w:rPr>
        <w:t xml:space="preserve"> (five rings)</w:t>
      </w:r>
      <w:r w:rsidR="008631B5">
        <w:rPr>
          <w:rFonts w:ascii="Times New Roman" w:hAnsi="Times New Roman" w:cs="Times New Roman"/>
          <w:sz w:val="24"/>
          <w:szCs w:val="24"/>
        </w:rPr>
        <w:t>; D – benzo(</w:t>
      </w:r>
      <w:proofErr w:type="spellStart"/>
      <w:r w:rsidR="008631B5" w:rsidRPr="00251F02">
        <w:rPr>
          <w:rFonts w:ascii="Times New Roman" w:hAnsi="Times New Roman" w:cs="Times New Roman"/>
          <w:i/>
          <w:sz w:val="24"/>
          <w:szCs w:val="24"/>
        </w:rPr>
        <w:t>ghi</w:t>
      </w:r>
      <w:proofErr w:type="spellEnd"/>
      <w:r w:rsidR="008631B5">
        <w:rPr>
          <w:rFonts w:ascii="Times New Roman" w:hAnsi="Times New Roman" w:cs="Times New Roman"/>
          <w:sz w:val="24"/>
          <w:szCs w:val="24"/>
        </w:rPr>
        <w:t>)perylene and coronene</w:t>
      </w:r>
      <w:r w:rsidR="00E80A71">
        <w:rPr>
          <w:rFonts w:ascii="Times New Roman" w:hAnsi="Times New Roman" w:cs="Times New Roman"/>
          <w:sz w:val="24"/>
          <w:szCs w:val="24"/>
        </w:rPr>
        <w:t xml:space="preserve"> (6 and 7 rings, respectively)</w:t>
      </w:r>
      <w:r w:rsidR="008631B5">
        <w:rPr>
          <w:rFonts w:ascii="Times New Roman" w:hAnsi="Times New Roman" w:cs="Times New Roman"/>
          <w:sz w:val="24"/>
          <w:szCs w:val="24"/>
        </w:rPr>
        <w:t xml:space="preserve">. </w:t>
      </w:r>
      <w:r w:rsidR="006B46A6">
        <w:rPr>
          <w:rFonts w:ascii="Times New Roman" w:hAnsi="Times New Roman" w:cs="Times New Roman"/>
          <w:sz w:val="24"/>
          <w:szCs w:val="24"/>
        </w:rPr>
        <w:t xml:space="preserve">For PAH groupings based on physiochemical properties: A – phenanthrene and anthracene; B – </w:t>
      </w:r>
      <w:r w:rsidR="008631B5">
        <w:rPr>
          <w:rFonts w:ascii="Times New Roman" w:hAnsi="Times New Roman" w:cs="Times New Roman"/>
          <w:sz w:val="24"/>
          <w:szCs w:val="24"/>
        </w:rPr>
        <w:t>p</w:t>
      </w:r>
      <w:r w:rsidR="006B46A6">
        <w:rPr>
          <w:rFonts w:ascii="Times New Roman" w:hAnsi="Times New Roman" w:cs="Times New Roman"/>
          <w:sz w:val="24"/>
          <w:szCs w:val="24"/>
        </w:rPr>
        <w:t xml:space="preserve">yrene and </w:t>
      </w:r>
      <w:r w:rsidR="008631B5">
        <w:rPr>
          <w:rFonts w:ascii="Times New Roman" w:hAnsi="Times New Roman" w:cs="Times New Roman"/>
          <w:sz w:val="24"/>
          <w:szCs w:val="24"/>
        </w:rPr>
        <w:t>f</w:t>
      </w:r>
      <w:r w:rsidR="006B46A6">
        <w:rPr>
          <w:rFonts w:ascii="Times New Roman" w:hAnsi="Times New Roman" w:cs="Times New Roman"/>
          <w:sz w:val="24"/>
          <w:szCs w:val="24"/>
        </w:rPr>
        <w:t xml:space="preserve">luoranthene; C – </w:t>
      </w:r>
      <w:r w:rsidR="008631B5">
        <w:rPr>
          <w:rFonts w:ascii="Times New Roman" w:hAnsi="Times New Roman" w:cs="Times New Roman"/>
          <w:sz w:val="24"/>
          <w:szCs w:val="24"/>
        </w:rPr>
        <w:t>b</w:t>
      </w:r>
      <w:r w:rsidR="006B46A6">
        <w:rPr>
          <w:rFonts w:ascii="Times New Roman" w:hAnsi="Times New Roman" w:cs="Times New Roman"/>
          <w:sz w:val="24"/>
          <w:szCs w:val="24"/>
        </w:rPr>
        <w:t>enzo(</w:t>
      </w:r>
      <w:proofErr w:type="spellStart"/>
      <w:r w:rsidR="006B46A6" w:rsidRPr="00251F02">
        <w:rPr>
          <w:rFonts w:ascii="Times New Roman" w:hAnsi="Times New Roman" w:cs="Times New Roman"/>
          <w:i/>
          <w:sz w:val="24"/>
          <w:szCs w:val="24"/>
        </w:rPr>
        <w:t>bj</w:t>
      </w:r>
      <w:r w:rsidR="008631B5" w:rsidRPr="00251F02">
        <w:rPr>
          <w:rFonts w:ascii="Times New Roman" w:hAnsi="Times New Roman" w:cs="Times New Roman"/>
          <w:i/>
          <w:sz w:val="24"/>
          <w:szCs w:val="24"/>
        </w:rPr>
        <w:t>k</w:t>
      </w:r>
      <w:proofErr w:type="spellEnd"/>
      <w:r w:rsidR="006B46A6">
        <w:rPr>
          <w:rFonts w:ascii="Times New Roman" w:hAnsi="Times New Roman" w:cs="Times New Roman"/>
          <w:sz w:val="24"/>
          <w:szCs w:val="24"/>
        </w:rPr>
        <w:t>)</w:t>
      </w:r>
      <w:r w:rsidR="008631B5">
        <w:rPr>
          <w:rFonts w:ascii="Times New Roman" w:hAnsi="Times New Roman" w:cs="Times New Roman"/>
          <w:sz w:val="24"/>
          <w:szCs w:val="24"/>
        </w:rPr>
        <w:t>f</w:t>
      </w:r>
      <w:r w:rsidR="006B46A6">
        <w:rPr>
          <w:rFonts w:ascii="Times New Roman" w:hAnsi="Times New Roman" w:cs="Times New Roman"/>
          <w:sz w:val="24"/>
          <w:szCs w:val="24"/>
        </w:rPr>
        <w:t xml:space="preserve">luoranthene, </w:t>
      </w:r>
      <w:r w:rsidR="008631B5">
        <w:rPr>
          <w:rFonts w:ascii="Times New Roman" w:hAnsi="Times New Roman" w:cs="Times New Roman"/>
          <w:sz w:val="24"/>
          <w:szCs w:val="24"/>
        </w:rPr>
        <w:t>b</w:t>
      </w:r>
      <w:r w:rsidR="006B46A6">
        <w:rPr>
          <w:rFonts w:ascii="Times New Roman" w:hAnsi="Times New Roman" w:cs="Times New Roman"/>
          <w:sz w:val="24"/>
          <w:szCs w:val="24"/>
        </w:rPr>
        <w:t>enzo(</w:t>
      </w:r>
      <w:r w:rsidR="006B46A6" w:rsidRPr="00251F02">
        <w:rPr>
          <w:rFonts w:ascii="Times New Roman" w:hAnsi="Times New Roman" w:cs="Times New Roman"/>
          <w:i/>
          <w:sz w:val="24"/>
          <w:szCs w:val="24"/>
        </w:rPr>
        <w:t>a</w:t>
      </w:r>
      <w:r w:rsidR="006B46A6">
        <w:rPr>
          <w:rFonts w:ascii="Times New Roman" w:hAnsi="Times New Roman" w:cs="Times New Roman"/>
          <w:sz w:val="24"/>
          <w:szCs w:val="24"/>
        </w:rPr>
        <w:t xml:space="preserve">)anthracene, </w:t>
      </w:r>
      <w:r w:rsidR="008631B5">
        <w:rPr>
          <w:rFonts w:ascii="Times New Roman" w:hAnsi="Times New Roman" w:cs="Times New Roman"/>
          <w:sz w:val="24"/>
          <w:szCs w:val="24"/>
        </w:rPr>
        <w:t>b</w:t>
      </w:r>
      <w:r w:rsidR="006B46A6">
        <w:rPr>
          <w:rFonts w:ascii="Times New Roman" w:hAnsi="Times New Roman" w:cs="Times New Roman"/>
          <w:sz w:val="24"/>
          <w:szCs w:val="24"/>
        </w:rPr>
        <w:t>enzo(</w:t>
      </w:r>
      <w:r w:rsidR="006B46A6" w:rsidRPr="00251F02">
        <w:rPr>
          <w:rFonts w:ascii="Times New Roman" w:hAnsi="Times New Roman" w:cs="Times New Roman"/>
          <w:i/>
          <w:sz w:val="24"/>
          <w:szCs w:val="24"/>
        </w:rPr>
        <w:t>a</w:t>
      </w:r>
      <w:r w:rsidR="006B46A6">
        <w:rPr>
          <w:rFonts w:ascii="Times New Roman" w:hAnsi="Times New Roman" w:cs="Times New Roman"/>
          <w:sz w:val="24"/>
          <w:szCs w:val="24"/>
        </w:rPr>
        <w:t xml:space="preserve">)pyrene, </w:t>
      </w:r>
      <w:r w:rsidR="008631B5">
        <w:rPr>
          <w:rFonts w:ascii="Times New Roman" w:hAnsi="Times New Roman" w:cs="Times New Roman"/>
          <w:sz w:val="24"/>
          <w:szCs w:val="24"/>
        </w:rPr>
        <w:t>c</w:t>
      </w:r>
      <w:r w:rsidR="006B46A6">
        <w:rPr>
          <w:rFonts w:ascii="Times New Roman" w:hAnsi="Times New Roman" w:cs="Times New Roman"/>
          <w:sz w:val="24"/>
          <w:szCs w:val="24"/>
        </w:rPr>
        <w:t xml:space="preserve">hrysene and </w:t>
      </w:r>
      <w:r w:rsidR="008631B5">
        <w:rPr>
          <w:rFonts w:ascii="Times New Roman" w:hAnsi="Times New Roman" w:cs="Times New Roman"/>
          <w:sz w:val="24"/>
          <w:szCs w:val="24"/>
        </w:rPr>
        <w:t>t</w:t>
      </w:r>
      <w:r w:rsidR="006B46A6">
        <w:rPr>
          <w:rFonts w:ascii="Times New Roman" w:hAnsi="Times New Roman" w:cs="Times New Roman"/>
          <w:sz w:val="24"/>
          <w:szCs w:val="24"/>
        </w:rPr>
        <w:t xml:space="preserve">riphenylene; D – </w:t>
      </w:r>
      <w:proofErr w:type="spellStart"/>
      <w:r w:rsidR="008631B5">
        <w:rPr>
          <w:rFonts w:ascii="Times New Roman" w:hAnsi="Times New Roman" w:cs="Times New Roman"/>
          <w:sz w:val="24"/>
          <w:szCs w:val="24"/>
        </w:rPr>
        <w:t>i</w:t>
      </w:r>
      <w:r w:rsidR="006B46A6">
        <w:rPr>
          <w:rFonts w:ascii="Times New Roman" w:hAnsi="Times New Roman" w:cs="Times New Roman"/>
          <w:sz w:val="24"/>
          <w:szCs w:val="24"/>
        </w:rPr>
        <w:t>ndeno</w:t>
      </w:r>
      <w:proofErr w:type="spellEnd"/>
      <w:r w:rsidR="00E80A71">
        <w:rPr>
          <w:rFonts w:ascii="Times New Roman" w:hAnsi="Times New Roman" w:cs="Times New Roman"/>
          <w:sz w:val="24"/>
          <w:szCs w:val="24"/>
        </w:rPr>
        <w:t>[</w:t>
      </w:r>
      <w:r w:rsidR="008631B5">
        <w:rPr>
          <w:rFonts w:ascii="Times New Roman" w:hAnsi="Times New Roman" w:cs="Times New Roman"/>
          <w:sz w:val="24"/>
          <w:szCs w:val="24"/>
        </w:rPr>
        <w:t>1,2,3-</w:t>
      </w:r>
      <w:proofErr w:type="gramStart"/>
      <w:r w:rsidR="008631B5">
        <w:rPr>
          <w:rFonts w:ascii="Times New Roman" w:hAnsi="Times New Roman" w:cs="Times New Roman"/>
          <w:sz w:val="24"/>
          <w:szCs w:val="24"/>
        </w:rPr>
        <w:t>cd</w:t>
      </w:r>
      <w:r w:rsidR="00E80A71">
        <w:rPr>
          <w:rFonts w:ascii="Times New Roman" w:hAnsi="Times New Roman" w:cs="Times New Roman"/>
          <w:sz w:val="24"/>
          <w:szCs w:val="24"/>
        </w:rPr>
        <w:t>)</w:t>
      </w:r>
      <w:r w:rsidR="006B46A6">
        <w:rPr>
          <w:rFonts w:ascii="Times New Roman" w:hAnsi="Times New Roman" w:cs="Times New Roman"/>
          <w:sz w:val="24"/>
          <w:szCs w:val="24"/>
        </w:rPr>
        <w:t>pyrene</w:t>
      </w:r>
      <w:proofErr w:type="gramEnd"/>
      <w:r w:rsidR="006B46A6">
        <w:rPr>
          <w:rFonts w:ascii="Times New Roman" w:hAnsi="Times New Roman" w:cs="Times New Roman"/>
          <w:sz w:val="24"/>
          <w:szCs w:val="24"/>
        </w:rPr>
        <w:t xml:space="preserve">, </w:t>
      </w:r>
      <w:r w:rsidR="008631B5">
        <w:rPr>
          <w:rFonts w:ascii="Times New Roman" w:hAnsi="Times New Roman" w:cs="Times New Roman"/>
          <w:sz w:val="24"/>
          <w:szCs w:val="24"/>
        </w:rPr>
        <w:t>b</w:t>
      </w:r>
      <w:r w:rsidR="006B46A6">
        <w:rPr>
          <w:rFonts w:ascii="Times New Roman" w:hAnsi="Times New Roman" w:cs="Times New Roman"/>
          <w:sz w:val="24"/>
          <w:szCs w:val="24"/>
        </w:rPr>
        <w:t>enzo(</w:t>
      </w:r>
      <w:proofErr w:type="spellStart"/>
      <w:r w:rsidR="006B46A6" w:rsidRPr="00251F02">
        <w:rPr>
          <w:rFonts w:ascii="Times New Roman" w:hAnsi="Times New Roman" w:cs="Times New Roman"/>
          <w:i/>
          <w:sz w:val="24"/>
          <w:szCs w:val="24"/>
        </w:rPr>
        <w:t>ghi</w:t>
      </w:r>
      <w:proofErr w:type="spellEnd"/>
      <w:r w:rsidR="006B46A6">
        <w:rPr>
          <w:rFonts w:ascii="Times New Roman" w:hAnsi="Times New Roman" w:cs="Times New Roman"/>
          <w:sz w:val="24"/>
          <w:szCs w:val="24"/>
        </w:rPr>
        <w:t xml:space="preserve">)perylene, and </w:t>
      </w:r>
      <w:r w:rsidR="008631B5">
        <w:rPr>
          <w:rFonts w:ascii="Times New Roman" w:hAnsi="Times New Roman" w:cs="Times New Roman"/>
          <w:sz w:val="24"/>
          <w:szCs w:val="24"/>
        </w:rPr>
        <w:t>b</w:t>
      </w:r>
      <w:r w:rsidR="006B46A6">
        <w:rPr>
          <w:rFonts w:ascii="Times New Roman" w:hAnsi="Times New Roman" w:cs="Times New Roman"/>
          <w:sz w:val="24"/>
          <w:szCs w:val="24"/>
        </w:rPr>
        <w:t>enzo(</w:t>
      </w:r>
      <w:r w:rsidR="006B46A6" w:rsidRPr="00251F02">
        <w:rPr>
          <w:rFonts w:ascii="Times New Roman" w:hAnsi="Times New Roman" w:cs="Times New Roman"/>
          <w:i/>
          <w:sz w:val="24"/>
          <w:szCs w:val="24"/>
        </w:rPr>
        <w:t>e</w:t>
      </w:r>
      <w:r w:rsidR="006B46A6">
        <w:rPr>
          <w:rFonts w:ascii="Times New Roman" w:hAnsi="Times New Roman" w:cs="Times New Roman"/>
          <w:sz w:val="24"/>
          <w:szCs w:val="24"/>
        </w:rPr>
        <w:t>)pyrene.</w:t>
      </w:r>
      <w:r w:rsidR="00E80A71">
        <w:rPr>
          <w:rFonts w:ascii="Times New Roman" w:hAnsi="Times New Roman" w:cs="Times New Roman"/>
          <w:sz w:val="24"/>
          <w:szCs w:val="24"/>
        </w:rPr>
        <w:t xml:space="preserve"> Note that PAH groupings </w:t>
      </w:r>
      <w:r w:rsidR="00E80A71">
        <w:rPr>
          <w:rFonts w:ascii="Times New Roman" w:hAnsi="Times New Roman" w:cs="Times New Roman"/>
          <w:sz w:val="24"/>
          <w:szCs w:val="24"/>
        </w:rPr>
        <w:t>based on physiochemical properties</w:t>
      </w:r>
      <w:r w:rsidR="00E80A71">
        <w:rPr>
          <w:rFonts w:ascii="Times New Roman" w:hAnsi="Times New Roman" w:cs="Times New Roman"/>
          <w:sz w:val="24"/>
          <w:szCs w:val="24"/>
        </w:rPr>
        <w:t xml:space="preserve"> are from Fig. 9 in </w:t>
      </w:r>
      <w:r w:rsidR="00E80A71">
        <w:rPr>
          <w:rFonts w:ascii="Times New Roman" w:hAnsi="Times New Roman" w:cs="Times New Roman"/>
          <w:sz w:val="24"/>
          <w:szCs w:val="24"/>
        </w:rPr>
        <w:fldChar w:fldCharType="begin" w:fldLock="1"/>
      </w:r>
      <w:r w:rsidR="00F57EED">
        <w:rPr>
          <w:rFonts w:ascii="Times New Roman" w:hAnsi="Times New Roman" w:cs="Times New Roman"/>
          <w:sz w:val="24"/>
          <w:szCs w:val="24"/>
        </w:rPr>
        <w:instrText xml:space="preserve">ADDIN CSL_CITATION {"citationItems":[{"id":"ITEM-1","itemData":{"DOI":"https://doi.org/10.1016/j.gca.2020.08.024","ISSN":"0016-7037","abstract":"Polycyclic aromatic hydrocarbons (PAHs), produced via incomplete combustion of organics, convey signatures of vegetation burned in the geologic past. New and published burn experiments reveal how the quantity, distributions, and isotopic abundances of fire-derived PAHs were influenced by fuel types, burn conditions, and also phase. PAH concentrations were higher in burn residues from moderate burn temperatures (400–500 °C), and significantly lower in residues from cooler (&lt;300 °C) or hotter (&gt;600 °C) conditions, especially when oxygen was limited. PAH forms tended to be smaller in smoke samples and larger in residues, consistent with molecular physical and chemical properties. Plant functional types were distinguished by relative amounts of retene and dimethyl phenanthrene isomers. Isotopically distinct photosynthetic pathways of the burned material were reflected in the δ13C values of PAHs, which faithfully captured biomass signatures as well as the </w:instrText>
      </w:r>
      <w:r w:rsidR="00F57EED">
        <w:rPr>
          <w:rFonts w:ascii="Cambria Math" w:hAnsi="Cambria Math" w:cs="Cambria Math"/>
          <w:sz w:val="24"/>
          <w:szCs w:val="24"/>
        </w:rPr>
        <w:instrText>∼</w:instrText>
      </w:r>
      <w:r w:rsidR="00F57EED">
        <w:rPr>
          <w:rFonts w:ascii="Times New Roman" w:hAnsi="Times New Roman" w:cs="Times New Roman"/>
          <w:sz w:val="24"/>
          <w:szCs w:val="24"/>
        </w:rPr>
        <w:instrText>12‰ offset between C3 and C4 plant types. PAH size, alkylation, and isotope characteristics can differentiate combusted plant types and distinguish between air-borne and sedimentary transport mechanisms. New proxy approaches using PAH amounts, distributions, and isotope signatures can aid and refine interpretations of paleofire ecology in the geologic record.","author":[{"dropping-particle":"","family":"Karp","given":"Allison T","non-dropping-particle":"","parse-names":false,"suffix":""},{"dropping-particle":"","family":"Holman","given":"Alex I","non-dropping-particle":"","parse-names":false,"suffix":""},{"dropping-particle":"","family":"Hopper","given":"Peter","non-dropping-particle":"","parse-names":false,"suffix":""},{"dropping-particle":"","family":"Grice","given":"Kliti","non-dropping-particle":"","parse-names":false,"suffix":""},{"dropping-particle":"","family":"Freeman","given":"Katherine H","non-dropping-particle":"","parse-names":false,"suffix":""}],"container-title":"Geochimica et Cosmochimica Acta","id":"ITEM-1","issued":{"date-parts":[["2020"]]},"page":"93-113","title":"Fire distinguishers: Refined interpretations of polycyclic aromatic hydrocarbons for paleo-applications","type":"article-journal","volume":"289"},"uris":["http://www.mendeley.com/documents/?uuid=a4f6bf2d-6c02-41f3-8889-b9f9a26ebff2"]}],"mendeley":{"formattedCitation":"(Karp et al., 2020)","plainTextFormattedCitation":"(Karp et al., 2020)","previouslyFormattedCitation":"(Karp et al., 2020)"},"properties":{"noteIndex":0},"schema":"https://github.com/citation-style-language/schema/raw/master/csl-citation.json"}</w:instrText>
      </w:r>
      <w:r w:rsidR="00E80A71">
        <w:rPr>
          <w:rFonts w:ascii="Times New Roman" w:hAnsi="Times New Roman" w:cs="Times New Roman"/>
          <w:sz w:val="24"/>
          <w:szCs w:val="24"/>
        </w:rPr>
        <w:fldChar w:fldCharType="separate"/>
      </w:r>
      <w:r w:rsidR="00E80A71" w:rsidRPr="00E80A71">
        <w:rPr>
          <w:rFonts w:ascii="Times New Roman" w:hAnsi="Times New Roman" w:cs="Times New Roman"/>
          <w:noProof/>
          <w:sz w:val="24"/>
          <w:szCs w:val="24"/>
        </w:rPr>
        <w:t>(Karp et al., 2020)</w:t>
      </w:r>
      <w:r w:rsidR="00E80A71">
        <w:rPr>
          <w:rFonts w:ascii="Times New Roman" w:hAnsi="Times New Roman" w:cs="Times New Roman"/>
          <w:sz w:val="24"/>
          <w:szCs w:val="24"/>
        </w:rPr>
        <w:fldChar w:fldCharType="end"/>
      </w:r>
      <w:r w:rsidR="00E80A71">
        <w:rPr>
          <w:rFonts w:ascii="Times New Roman" w:hAnsi="Times New Roman" w:cs="Times New Roman"/>
          <w:sz w:val="24"/>
          <w:szCs w:val="24"/>
        </w:rPr>
        <w:t>.</w:t>
      </w:r>
      <w:r w:rsidR="00B03E2E">
        <w:rPr>
          <w:rFonts w:ascii="Times New Roman" w:hAnsi="Times New Roman" w:cs="Times New Roman"/>
          <w:sz w:val="24"/>
          <w:szCs w:val="24"/>
        </w:rPr>
        <w:t xml:space="preserve"> Full profiles of coronene, benzo(</w:t>
      </w:r>
      <w:r w:rsidR="00B03E2E">
        <w:rPr>
          <w:rFonts w:ascii="Times New Roman" w:hAnsi="Times New Roman" w:cs="Times New Roman"/>
          <w:i/>
          <w:iCs/>
          <w:sz w:val="24"/>
          <w:szCs w:val="24"/>
        </w:rPr>
        <w:t>a</w:t>
      </w:r>
      <w:r w:rsidR="00B03E2E">
        <w:rPr>
          <w:rFonts w:ascii="Times New Roman" w:hAnsi="Times New Roman" w:cs="Times New Roman"/>
          <w:sz w:val="24"/>
          <w:szCs w:val="24"/>
        </w:rPr>
        <w:t>)pyrene and coronene/benzo(</w:t>
      </w:r>
      <w:r w:rsidR="00B03E2E">
        <w:rPr>
          <w:rFonts w:ascii="Times New Roman" w:hAnsi="Times New Roman" w:cs="Times New Roman"/>
          <w:i/>
          <w:iCs/>
          <w:sz w:val="24"/>
          <w:szCs w:val="24"/>
        </w:rPr>
        <w:t>a</w:t>
      </w:r>
      <w:r w:rsidR="00B03E2E">
        <w:rPr>
          <w:rFonts w:ascii="Times New Roman" w:hAnsi="Times New Roman" w:cs="Times New Roman"/>
          <w:sz w:val="24"/>
          <w:szCs w:val="24"/>
        </w:rPr>
        <w:t>)pyrene are also given in Figure S7.</w:t>
      </w:r>
      <w:r>
        <w:rPr>
          <w:rFonts w:ascii="Times New Roman" w:hAnsi="Times New Roman" w:cs="Times New Roman"/>
          <w:sz w:val="24"/>
          <w:szCs w:val="24"/>
        </w:rPr>
        <w:br w:type="page"/>
      </w:r>
    </w:p>
    <w:p w14:paraId="5E541B62" w14:textId="32486E0A" w:rsidR="00BB60D4" w:rsidRDefault="00706AAA" w:rsidP="00251F02">
      <w:pPr>
        <w:spacing w:line="360" w:lineRule="auto"/>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1FB23600" wp14:editId="631CE6B2">
            <wp:extent cx="5943600" cy="4029075"/>
            <wp:effectExtent l="0" t="0" r="0" b="9525"/>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29075"/>
                    </a:xfrm>
                    <a:prstGeom prst="rect">
                      <a:avLst/>
                    </a:prstGeom>
                  </pic:spPr>
                </pic:pic>
              </a:graphicData>
            </a:graphic>
          </wp:inline>
        </w:drawing>
      </w:r>
    </w:p>
    <w:p w14:paraId="7ECDB762" w14:textId="77777777" w:rsidR="008631B5" w:rsidRDefault="008631B5" w:rsidP="00251F02">
      <w:pPr>
        <w:spacing w:line="360" w:lineRule="auto"/>
        <w:rPr>
          <w:rFonts w:ascii="Times New Roman" w:hAnsi="Times New Roman" w:cs="Times New Roman"/>
          <w:sz w:val="24"/>
          <w:szCs w:val="24"/>
        </w:rPr>
      </w:pPr>
    </w:p>
    <w:p w14:paraId="4E20D259" w14:textId="5C16B56C" w:rsidR="00BB60D4" w:rsidRDefault="00BB60D4" w:rsidP="00251F02">
      <w:pPr>
        <w:spacing w:line="360" w:lineRule="auto"/>
        <w:jc w:val="both"/>
        <w:rPr>
          <w:rFonts w:ascii="Times New Roman" w:hAnsi="Times New Roman" w:cs="Times New Roman"/>
          <w:sz w:val="24"/>
          <w:szCs w:val="24"/>
        </w:rPr>
      </w:pPr>
      <w:r>
        <w:rPr>
          <w:rFonts w:ascii="Times New Roman" w:hAnsi="Times New Roman" w:cs="Times New Roman"/>
          <w:sz w:val="24"/>
          <w:szCs w:val="24"/>
        </w:rPr>
        <w:t>Figure S3:</w:t>
      </w:r>
      <w:r w:rsidR="008631B5">
        <w:rPr>
          <w:rFonts w:ascii="Times New Roman" w:hAnsi="Times New Roman" w:cs="Times New Roman"/>
          <w:sz w:val="24"/>
          <w:szCs w:val="24"/>
        </w:rPr>
        <w:t xml:space="preserve"> Full profile of compound-specific isotopes, ratios of terrestrial input (terrigenous/aquatic ratio), and autotrophy versus heterotrophy at St Audrie’s Bay (circles) and Lilstock (squares). Intervals of interest marked by colour bars with text to the right. Some details previously reported in</w:t>
      </w:r>
      <w:r w:rsidR="000E1BC3">
        <w:rPr>
          <w:rFonts w:ascii="Times New Roman" w:hAnsi="Times New Roman" w:cs="Times New Roman"/>
          <w:sz w:val="24"/>
          <w:szCs w:val="24"/>
        </w:rPr>
        <w:t xml:space="preserve"> </w:t>
      </w:r>
      <w:r w:rsidR="000E1BC3">
        <w:rPr>
          <w:rFonts w:ascii="Times New Roman" w:hAnsi="Times New Roman" w:cs="Times New Roman"/>
          <w:sz w:val="24"/>
          <w:szCs w:val="24"/>
        </w:rPr>
        <w:fldChar w:fldCharType="begin" w:fldLock="1"/>
      </w:r>
      <w:r w:rsidR="00E80A71">
        <w:rPr>
          <w:rFonts w:ascii="Times New Roman" w:hAnsi="Times New Roman" w:cs="Times New Roman"/>
          <w:sz w:val="24"/>
          <w:szCs w:val="24"/>
        </w:rPr>
        <w:instrText xml:space="preserve">ADDIN CSL_CITATION {"citationItems":[{"id":"ITEM-1","itemData":{"DOI":"10.1073/pnas.1917661117","abstract":"The end-Triassic mass extinction that occurred </w:instrText>
      </w:r>
      <w:r w:rsidR="00E80A71">
        <w:rPr>
          <w:rFonts w:ascii="Cambria Math" w:hAnsi="Cambria Math" w:cs="Cambria Math"/>
          <w:sz w:val="24"/>
          <w:szCs w:val="24"/>
        </w:rPr>
        <w:instrText>∼</w:instrText>
      </w:r>
      <w:r w:rsidR="00E80A71">
        <w:rPr>
          <w:rFonts w:ascii="Times New Roman" w:hAnsi="Times New Roman" w:cs="Times New Roman"/>
          <w:sz w:val="24"/>
          <w:szCs w:val="24"/>
        </w:rPr>
        <w:instrText>202 Ma is one of the “Big Five” biotic crises of the Phanerozoic Eon. It is also accompanied by an organic carbon isotopic excursion that has long been interpreted as the result of a global-scale carbon-cycle disruption. Rather than being due to massive inputs of exogenous light carbon into the ocean–atmosphere system, the isotopic excursion is shown here to reflect regional sea-level change that caused a transition from a marine ecosystem to a less saline, shallow-water, microbial-mat environment and resultant changes in the sources of organic matter. The mass extinction that occurred slightly later, caused by abrupt injection of volcanogenic CO2, is accompanied by only modest changes in organic carbon isotopic composition.The negative organic carbon isotope excursion (CIE) associated with the end-Triassic mass extinction (ETE) is conventionally interpreted as the result of a massive flux of isotopically light carbon from exogenous sources into the atmosphere (e.g., thermogenic methane and/or methane clathrate dissociation linked to the Central Atlantic Magmatic Province [CAMP]). Instead, we demonstrate that at its type locality in the Bristol Channel Basin (UK), the CIE was caused by a marine to nonmarine transition resulting from an abrupt relative sea level drop. Our biomarker and compound-specific carbon isotopic data show that the emergence of microbial mats, influenced by an influx of fresh to brackish water, provided isotopically light carbon to both organic and inorganic carbon pools in centimeter-scale water depths, leading to the negative CIE. Thus, the iconic CIE and the disappearance of marine biota at the type locality are the result of local environmental change and do not mark either the global extinction event or input of exogenous light carbon into the atmosphere. Instead, the main extinction phase occurs slightly later in marine strata, where it is coeval with terrestrial extinctions and ocean acidification driven by CAMP-induced increases in Pco2; these effects should not be conflated with the CIE. An abrupt sea-level fall observed in the Central European basins reflects the tectonic consequences of the initial CAMP emplacement, with broad implications for all extinction events related to large igneous provinces.All study data are included in the article and supporting information.","author":[{"dropping-particle":"","family":"Fox","given":"Calum P","non-dropping-particle":"","parse-names":false,"suffix":""},{"dropping-particle":"","family":"Cui","given":"Xingqian","non-dropping-particle":"","parse-names":false,"suffix":""},{"dropping-particle":"","family":"Whiteside","given":"Jessica H","non-dropping-particle":"","parse-names":false,"suffix":""},{"dropping-particle":"","family":"Olsen","given":"Paul E","non-dropping-particle":"","parse-names":false,"suffix":""},{"dropping-particle":"","family":"Summons","given":"Roger E","non-dropping-particle":"","parse-names":false,"suffix":""},{"dropping-particle":"","family":"Grice","given":"Kliti","non-dropping-particle":"","parse-names":false,"suffix":""}],"container-title":"Proceedings of the National Academy of Sciences","id":"ITEM-1","issue":"48","issued":{"date-parts":[["2020","12","1"]]},"page":"30171 LP  - 30178","title":"Molecular and isotopic evidence reveals the end-Triassic carbon isotope excursion is not from massive exogenous light carbon","type":"article-journal","volume":"117"},"uris":["http://www.mendeley.com/documents/?uuid=42d5ad45-4ba0-4b12-940f-377c7823c015"]},{"id":"ITEM-2","itemData":{"DOI":"10.1130/G49560.1","abstract":"High-resolution biomarker and compound-specific isotope distributions coupled with the degradation of calcareous fossil remnants reveal that intensive euxinia and decalcification (acidification) driven by Central Atlantic magmatic province (CAMP) activity formed a two-pronged kill mechanism at the end-Triassic mass extinction. In a newly proposed extinction interval for the basal Blue Lias Formation (Bristol Channel Basin, UK), biomarker distributions reveal an episode of persistent photic zone euxinia (PZE) that extended further upward into the surface waters. In the same interval, shelly taxa almost completely disappear. Beginning in the basal paper shales of the Blue Lias Formation, a Lilliput assemblage is preserved consisting of only rare calcitic oysters (Liostrea) and ghost fossils of decalcified aragonitic bivalves. The stressors of PZE and decalcification parsimoniously explain the extinction event and inform possible combined causes of other biotic crises linked to emplacement of large igneous provinces, notably the end-Permian mass extinction, when PZE occurred on a broad and perhaps global scale.","author":[{"dropping-particle":"","family":"Fox","given":"C. P.","non-dropping-particle":"","parse-names":false,"suffix":""},{"dropping-particle":"","family":"Whiteside","given":"Jessica H.","non-dropping-particle":"","parse-names":false,"suffix":""},{"dropping-particle":"","family":"Olsen","given":"Paul E.","non-dropping-particle":"","parse-names":false,"suffix":""},{"dropping-particle":"","family":"Cui","given":"Xingqian","non-dropping-particle":"","parse-names":false,"suffix":""},{"dropping-particle":"","family":"Summons","given":"Roger E.","non-dropping-particle":"","parse-names":false,"suffix":""},{"dropping-particle":"","family":"Idiz","given":"Erdem","non-dropping-particle":"","parse-names":false,"suffix":""},{"dropping-particle":"","family":"Grice","given":"Kliti","non-dropping-particle":"","parse-names":false,"suffix":""}],"container-title":"Geology","id":"ITEM-2","issued":{"date-parts":[["2022"]]},"title":"Two-pronged kill mechanism at the end-Triassic mass extinction","type":"article-journal"},"uris":["http://www.mendeley.com/documents/?uuid=037261d0-5628-4849-be97-7b88b33548f2"]}],"mendeley":{"formattedCitation":"(Fox et al., 2022, 2020)","manualFormatting":"Fox et al., (2022, 2020)","plainTextFormattedCitation":"(Fox et al., 2022, 2020)","previouslyFormattedCitation":"(Fox et al., 2022, 2020)"},"properties":{"noteIndex":0},"schema":"https://github.com/citation-style-language/schema/raw/master/csl-citation.json"}</w:instrText>
      </w:r>
      <w:r w:rsidR="000E1BC3">
        <w:rPr>
          <w:rFonts w:ascii="Times New Roman" w:hAnsi="Times New Roman" w:cs="Times New Roman"/>
          <w:sz w:val="24"/>
          <w:szCs w:val="24"/>
        </w:rPr>
        <w:fldChar w:fldCharType="separate"/>
      </w:r>
      <w:r w:rsidR="000E1BC3" w:rsidRPr="000E1BC3">
        <w:rPr>
          <w:rFonts w:ascii="Times New Roman" w:hAnsi="Times New Roman" w:cs="Times New Roman"/>
          <w:noProof/>
          <w:sz w:val="24"/>
          <w:szCs w:val="24"/>
        </w:rPr>
        <w:t xml:space="preserve">Fox et al., </w:t>
      </w:r>
      <w:r w:rsidR="000E1BC3">
        <w:rPr>
          <w:rFonts w:ascii="Times New Roman" w:hAnsi="Times New Roman" w:cs="Times New Roman"/>
          <w:noProof/>
          <w:sz w:val="24"/>
          <w:szCs w:val="24"/>
        </w:rPr>
        <w:t>(</w:t>
      </w:r>
      <w:r w:rsidR="000E1BC3" w:rsidRPr="000E1BC3">
        <w:rPr>
          <w:rFonts w:ascii="Times New Roman" w:hAnsi="Times New Roman" w:cs="Times New Roman"/>
          <w:noProof/>
          <w:sz w:val="24"/>
          <w:szCs w:val="24"/>
        </w:rPr>
        <w:t>2022, 2020)</w:t>
      </w:r>
      <w:r w:rsidR="000E1BC3">
        <w:rPr>
          <w:rFonts w:ascii="Times New Roman" w:hAnsi="Times New Roman" w:cs="Times New Roman"/>
          <w:sz w:val="24"/>
          <w:szCs w:val="24"/>
        </w:rPr>
        <w:fldChar w:fldCharType="end"/>
      </w:r>
      <w:r w:rsidR="008631B5">
        <w:rPr>
          <w:rFonts w:ascii="Times New Roman" w:hAnsi="Times New Roman" w:cs="Times New Roman"/>
          <w:sz w:val="24"/>
          <w:szCs w:val="24"/>
        </w:rPr>
        <w:t>.</w:t>
      </w:r>
    </w:p>
    <w:p w14:paraId="21195FE3" w14:textId="67FC6F73" w:rsidR="006C406A" w:rsidRDefault="006C406A" w:rsidP="00251F02">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A4C6AF0" w14:textId="6CB9ED61" w:rsidR="00E87143" w:rsidRDefault="00E87143" w:rsidP="00251F02">
      <w:pPr>
        <w:spacing w:line="360" w:lineRule="auto"/>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33D48837" wp14:editId="2520B1BC">
            <wp:extent cx="5943600" cy="3721735"/>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21735"/>
                    </a:xfrm>
                    <a:prstGeom prst="rect">
                      <a:avLst/>
                    </a:prstGeom>
                  </pic:spPr>
                </pic:pic>
              </a:graphicData>
            </a:graphic>
          </wp:inline>
        </w:drawing>
      </w:r>
    </w:p>
    <w:p w14:paraId="7263DB16" w14:textId="64BF7A86" w:rsidR="00E87143" w:rsidRDefault="00E87143" w:rsidP="00251F02">
      <w:pPr>
        <w:spacing w:line="360" w:lineRule="auto"/>
        <w:rPr>
          <w:rFonts w:ascii="Times New Roman" w:hAnsi="Times New Roman" w:cs="Times New Roman"/>
          <w:sz w:val="24"/>
          <w:szCs w:val="24"/>
        </w:rPr>
      </w:pPr>
      <w:r>
        <w:rPr>
          <w:rFonts w:ascii="Times New Roman" w:hAnsi="Times New Roman" w:cs="Times New Roman"/>
          <w:sz w:val="24"/>
          <w:szCs w:val="24"/>
        </w:rPr>
        <w:t>Fig S4: St. Audrie’s Bay PAH ratios plotted against modern parameters</w:t>
      </w:r>
      <w:r w:rsidR="00711966">
        <w:rPr>
          <w:rFonts w:ascii="Times New Roman" w:hAnsi="Times New Roman" w:cs="Times New Roman"/>
          <w:sz w:val="24"/>
          <w:szCs w:val="24"/>
        </w:rPr>
        <w:t xml:space="preserve"> to disentangle organic matter source. Based</w:t>
      </w:r>
      <w:r>
        <w:rPr>
          <w:rFonts w:ascii="Times New Roman" w:hAnsi="Times New Roman" w:cs="Times New Roman"/>
          <w:sz w:val="24"/>
          <w:szCs w:val="24"/>
        </w:rPr>
        <w:t xml:space="preserve"> </w:t>
      </w:r>
      <w:r w:rsidR="00711966">
        <w:rPr>
          <w:rFonts w:ascii="Times New Roman" w:hAnsi="Times New Roman" w:cs="Times New Roman"/>
          <w:sz w:val="24"/>
          <w:szCs w:val="24"/>
        </w:rPr>
        <w:t xml:space="preserve">on </w:t>
      </w:r>
      <w:proofErr w:type="spellStart"/>
      <w:r>
        <w:rPr>
          <w:rFonts w:ascii="Times New Roman" w:hAnsi="Times New Roman" w:cs="Times New Roman"/>
          <w:sz w:val="24"/>
          <w:szCs w:val="24"/>
        </w:rPr>
        <w:t>Yunker</w:t>
      </w:r>
      <w:proofErr w:type="spellEnd"/>
      <w:r>
        <w:rPr>
          <w:rFonts w:ascii="Times New Roman" w:hAnsi="Times New Roman" w:cs="Times New Roman"/>
          <w:sz w:val="24"/>
          <w:szCs w:val="24"/>
        </w:rPr>
        <w:t xml:space="preserve"> et al., (2002). Samples suggest “mixed” sources.</w:t>
      </w:r>
    </w:p>
    <w:p w14:paraId="7DF66882" w14:textId="77777777" w:rsidR="00E87143" w:rsidRDefault="00E87143" w:rsidP="00251F02">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83325E0" w14:textId="5A419B28" w:rsidR="00E87143" w:rsidRDefault="00E87143" w:rsidP="00251F02">
      <w:pPr>
        <w:spacing w:line="360" w:lineRule="auto"/>
        <w:rPr>
          <w:rFonts w:ascii="Times New Roman" w:hAnsi="Times New Roman" w:cs="Times New Roman"/>
          <w:sz w:val="24"/>
          <w:szCs w:val="24"/>
        </w:rPr>
      </w:pPr>
      <w:r>
        <w:rPr>
          <w:rFonts w:ascii="Times New Roman" w:hAnsi="Times New Roman" w:cs="Times New Roman"/>
          <w:noProof/>
          <w:sz w:val="24"/>
          <w:szCs w:val="24"/>
          <w:lang w:eastAsia="en-AU"/>
        </w:rPr>
        <w:lastRenderedPageBreak/>
        <w:drawing>
          <wp:inline distT="0" distB="0" distL="0" distR="0" wp14:anchorId="21EA2FD7" wp14:editId="0EC1B463">
            <wp:extent cx="5943600" cy="375666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56660"/>
                    </a:xfrm>
                    <a:prstGeom prst="rect">
                      <a:avLst/>
                    </a:prstGeom>
                  </pic:spPr>
                </pic:pic>
              </a:graphicData>
            </a:graphic>
          </wp:inline>
        </w:drawing>
      </w:r>
    </w:p>
    <w:p w14:paraId="2C07D59C" w14:textId="20CC508E" w:rsidR="00E87143" w:rsidRDefault="00E87143" w:rsidP="00251F02">
      <w:pPr>
        <w:spacing w:line="360" w:lineRule="auto"/>
        <w:rPr>
          <w:rFonts w:ascii="Times New Roman" w:hAnsi="Times New Roman" w:cs="Times New Roman"/>
          <w:sz w:val="24"/>
          <w:szCs w:val="24"/>
        </w:rPr>
      </w:pPr>
      <w:r>
        <w:rPr>
          <w:rFonts w:ascii="Times New Roman" w:hAnsi="Times New Roman" w:cs="Times New Roman"/>
          <w:sz w:val="24"/>
          <w:szCs w:val="24"/>
        </w:rPr>
        <w:t xml:space="preserve">Fig S5: Lilstock PAH ratios plotted against modern parameters to </w:t>
      </w:r>
      <w:r w:rsidR="00711966">
        <w:rPr>
          <w:rFonts w:ascii="Times New Roman" w:hAnsi="Times New Roman" w:cs="Times New Roman"/>
          <w:sz w:val="24"/>
          <w:szCs w:val="24"/>
        </w:rPr>
        <w:t xml:space="preserve">disentangle organic matter source. Based off </w:t>
      </w:r>
      <w:proofErr w:type="spellStart"/>
      <w:r>
        <w:rPr>
          <w:rFonts w:ascii="Times New Roman" w:hAnsi="Times New Roman" w:cs="Times New Roman"/>
          <w:sz w:val="24"/>
          <w:szCs w:val="24"/>
        </w:rPr>
        <w:t>Yunker</w:t>
      </w:r>
      <w:proofErr w:type="spellEnd"/>
      <w:r>
        <w:rPr>
          <w:rFonts w:ascii="Times New Roman" w:hAnsi="Times New Roman" w:cs="Times New Roman"/>
          <w:sz w:val="24"/>
          <w:szCs w:val="24"/>
        </w:rPr>
        <w:t xml:space="preserve"> et al., (2002). Samples suggest “mixed” sources.</w:t>
      </w:r>
      <w:r>
        <w:rPr>
          <w:rFonts w:ascii="Times New Roman" w:hAnsi="Times New Roman" w:cs="Times New Roman"/>
          <w:sz w:val="24"/>
          <w:szCs w:val="24"/>
        </w:rPr>
        <w:br w:type="page"/>
      </w:r>
    </w:p>
    <w:p w14:paraId="67902E11" w14:textId="51B1FE60" w:rsidR="008D5582" w:rsidRDefault="00F57EED" w:rsidP="00251F0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788D6E" wp14:editId="42CCDA24">
            <wp:extent cx="5943600" cy="6258320"/>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t="3717"/>
                    <a:stretch/>
                  </pic:blipFill>
                  <pic:spPr bwMode="auto">
                    <a:xfrm>
                      <a:off x="0" y="0"/>
                      <a:ext cx="5943600" cy="6258320"/>
                    </a:xfrm>
                    <a:prstGeom prst="rect">
                      <a:avLst/>
                    </a:prstGeom>
                    <a:ln>
                      <a:noFill/>
                    </a:ln>
                    <a:extLst>
                      <a:ext uri="{53640926-AAD7-44D8-BBD7-CCE9431645EC}">
                        <a14:shadowObscured xmlns:a14="http://schemas.microsoft.com/office/drawing/2010/main"/>
                      </a:ext>
                    </a:extLst>
                  </pic:spPr>
                </pic:pic>
              </a:graphicData>
            </a:graphic>
          </wp:inline>
        </w:drawing>
      </w:r>
    </w:p>
    <w:p w14:paraId="1A402139" w14:textId="385CBB5B" w:rsidR="00A448B0" w:rsidRDefault="008D5582" w:rsidP="00251F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S6: Comparisons of </w:t>
      </w:r>
      <w:r w:rsidR="00F57EED">
        <w:rPr>
          <w:rFonts w:ascii="Times New Roman" w:hAnsi="Times New Roman" w:cs="Times New Roman"/>
          <w:sz w:val="24"/>
          <w:szCs w:val="24"/>
        </w:rPr>
        <w:t>PAHs between E Greenland, NW Germany, and the SW UK. Note that these samples also show abundances of benzo(</w:t>
      </w:r>
      <w:proofErr w:type="spellStart"/>
      <w:r w:rsidR="00F57EED">
        <w:rPr>
          <w:rFonts w:ascii="Times New Roman" w:hAnsi="Times New Roman" w:cs="Times New Roman"/>
          <w:i/>
          <w:iCs/>
          <w:sz w:val="24"/>
          <w:szCs w:val="24"/>
        </w:rPr>
        <w:t>ghi</w:t>
      </w:r>
      <w:proofErr w:type="spellEnd"/>
      <w:r w:rsidR="00F57EED">
        <w:rPr>
          <w:rFonts w:ascii="Times New Roman" w:hAnsi="Times New Roman" w:cs="Times New Roman"/>
          <w:sz w:val="24"/>
          <w:szCs w:val="24"/>
        </w:rPr>
        <w:t>)perylene and benzo(</w:t>
      </w:r>
      <w:r w:rsidR="00F57EED">
        <w:rPr>
          <w:rFonts w:ascii="Times New Roman" w:hAnsi="Times New Roman" w:cs="Times New Roman"/>
          <w:i/>
          <w:iCs/>
          <w:sz w:val="24"/>
          <w:szCs w:val="24"/>
        </w:rPr>
        <w:t>a</w:t>
      </w:r>
      <w:r w:rsidR="00F57EED">
        <w:rPr>
          <w:rFonts w:ascii="Times New Roman" w:hAnsi="Times New Roman" w:cs="Times New Roman"/>
          <w:sz w:val="24"/>
          <w:szCs w:val="24"/>
        </w:rPr>
        <w:t xml:space="preserve">)anthracene. For full details regarding biostratigraphy and ecological changes see Fig. 2 in the main text. PAHs from </w:t>
      </w:r>
      <w:r w:rsidR="00F57EED">
        <w:rPr>
          <w:rFonts w:ascii="Times New Roman" w:hAnsi="Times New Roman" w:cs="Times New Roman"/>
          <w:sz w:val="24"/>
          <w:szCs w:val="24"/>
        </w:rPr>
        <w:fldChar w:fldCharType="begin" w:fldLock="1"/>
      </w:r>
      <w:r w:rsidR="00F57EED">
        <w:rPr>
          <w:rFonts w:ascii="Times New Roman" w:hAnsi="Times New Roman" w:cs="Times New Roman"/>
          <w:sz w:val="24"/>
          <w:szCs w:val="24"/>
        </w:rPr>
        <w:instrText xml:space="preserve">ADDIN CSL_CITATION {"citationItems":[{"id":"ITEM-1","itemData":{"DOI":"https://doi.org/10.1016/j.gca.2013.11.033","ISSN":"0016-7037","abstract":"Terrestrial ecosystem collapse at the end of the Triassic Period coincided with a major mass extinction in the marine realm and has been linked to increasing atmospheric carbon dioxide, global warming, and fire activity. Extractable hydrocarbons in samples from the fluvial Triassic–Jurassic boundary section at Astartekløft, East Greenland were analyzed to investigate the molecular and isotopic organic record of biotic and environmental change during this event. Carbon isotopic compositions of individual plant wax lipids show a &gt;4‰ negative excursion coinciding with peak extinction and a further decrease of 2‰ coinciding with peak pCO2 as estimated from the stomatal indices of fossil Gingkoales. An increase of </w:instrText>
      </w:r>
      <w:r w:rsidR="00F57EED">
        <w:rPr>
          <w:rFonts w:ascii="Cambria Math" w:hAnsi="Cambria Math" w:cs="Cambria Math"/>
          <w:sz w:val="24"/>
          <w:szCs w:val="24"/>
        </w:rPr>
        <w:instrText>∼</w:instrText>
      </w:r>
      <w:r w:rsidR="00F57EED">
        <w:rPr>
          <w:rFonts w:ascii="Times New Roman" w:hAnsi="Times New Roman" w:cs="Times New Roman"/>
          <w:sz w:val="24"/>
          <w:szCs w:val="24"/>
        </w:rPr>
        <w:instrText>30‰ in the hydrogen isotopic compositions of the same plant wax lipids coincides with ecosystem collapse, suggesting that the biotic crisis was accompanied by strong hydrologic change. Concentrations of polycyclic aromatic hydrocarbons related to combustion also increase together with abrupt plant diversity loss and peak with fossil charcoal abundance and maximum plant turnover, supporting the role of fire in terrestrial extinctions. Anomalously high concentrations of a monoaromatic diterpenoid related to gymnosperm resin derivatives (and similar to dehydroabietane) occur uniquely in samples from the boundary bed, indicating that environmental stress factors leading to peak plant extinction stimulated increased resin production, and that plant resin derivatives may be effective biomarkers of terrestrial ecosystem stress.","author":[{"dropping-particle":"","family":"Williford","given":"Kenneth H","non-dropping-particle":"","parse-names":false,"suffix":""},{"dropping-particle":"","family":"Grice","given":"Kliti","non-dropping-particle":"","parse-names":false,"suffix":""},{"dropping-particle":"","family":"Holman","given":"Alexander","non-dropping-particle":"","parse-names":false,"suffix":""},{"dropping-particle":"","family":"McElwain","given":"Jennifer C","non-dropping-particle":"","parse-names":false,"suffix":""}],"container-title":"Geochimica et Cosmochimica Acta","id":"ITEM-1","issued":{"date-parts":[["2014"]]},"page":"251-263","title":"An organic record of terrestrial ecosystem collapse and recovery at the Triassic–Jurassic boundary in East Greenland","type":"article-journal","volume":"127"},"uris":["http://www.mendeley.com/documents/?uuid=b7d8a644-9eb1-4450-a9f8-79a0ac3648c6"]}],"mendeley":{"formattedCitation":"(Williford et al., 2014)","manualFormatting":"Williford et al., (2014)","plainTextFormattedCitation":"(Williford et al., 2014)","previouslyFormattedCitation":"(Williford et al., 2014)"},"properties":{"noteIndex":0},"schema":"https://github.com/citation-style-language/schema/raw/master/csl-citation.json"}</w:instrText>
      </w:r>
      <w:r w:rsidR="00F57EED">
        <w:rPr>
          <w:rFonts w:ascii="Times New Roman" w:hAnsi="Times New Roman" w:cs="Times New Roman"/>
          <w:sz w:val="24"/>
          <w:szCs w:val="24"/>
        </w:rPr>
        <w:fldChar w:fldCharType="separate"/>
      </w:r>
      <w:r w:rsidR="00F57EED" w:rsidRPr="00F57EED">
        <w:rPr>
          <w:rFonts w:ascii="Times New Roman" w:hAnsi="Times New Roman" w:cs="Times New Roman"/>
          <w:noProof/>
          <w:sz w:val="24"/>
          <w:szCs w:val="24"/>
        </w:rPr>
        <w:t xml:space="preserve">Williford et al., </w:t>
      </w:r>
      <w:r w:rsidR="00F57EED">
        <w:rPr>
          <w:rFonts w:ascii="Times New Roman" w:hAnsi="Times New Roman" w:cs="Times New Roman"/>
          <w:noProof/>
          <w:sz w:val="24"/>
          <w:szCs w:val="24"/>
        </w:rPr>
        <w:t>(</w:t>
      </w:r>
      <w:r w:rsidR="00F57EED" w:rsidRPr="00F57EED">
        <w:rPr>
          <w:rFonts w:ascii="Times New Roman" w:hAnsi="Times New Roman" w:cs="Times New Roman"/>
          <w:noProof/>
          <w:sz w:val="24"/>
          <w:szCs w:val="24"/>
        </w:rPr>
        <w:t>2014)</w:t>
      </w:r>
      <w:r w:rsidR="00F57EED">
        <w:rPr>
          <w:rFonts w:ascii="Times New Roman" w:hAnsi="Times New Roman" w:cs="Times New Roman"/>
          <w:sz w:val="24"/>
          <w:szCs w:val="24"/>
        </w:rPr>
        <w:fldChar w:fldCharType="end"/>
      </w:r>
      <w:r w:rsidR="00F57EED">
        <w:rPr>
          <w:rFonts w:ascii="Times New Roman" w:hAnsi="Times New Roman" w:cs="Times New Roman"/>
          <w:sz w:val="24"/>
          <w:szCs w:val="24"/>
        </w:rPr>
        <w:t xml:space="preserve">, </w:t>
      </w:r>
      <w:r w:rsidR="00F57EED">
        <w:rPr>
          <w:rFonts w:ascii="Times New Roman" w:hAnsi="Times New Roman" w:cs="Times New Roman"/>
          <w:sz w:val="24"/>
          <w:szCs w:val="24"/>
        </w:rPr>
        <w:fldChar w:fldCharType="begin" w:fldLock="1"/>
      </w:r>
      <w:r w:rsidR="006A3421">
        <w:rPr>
          <w:rFonts w:ascii="Times New Roman" w:hAnsi="Times New Roman" w:cs="Times New Roman"/>
          <w:sz w:val="24"/>
          <w:szCs w:val="24"/>
        </w:rPr>
        <w:instrText>ADDIN CSL_CITATION {"citationItems":[{"id":"ITEM-1","itemData":{"DOI":"10.1038/ngeo577","ISSN":"1752-0908","abstract":"One of the five largest mass extinctions of the past 600 million years occurred at the boundary of the Triassic and Jurassic periods, 201.6 million years ago. The loss of marine biodiversity at the time has been linked to extreme greenhouse warming, triggered by the release of carbon dioxide from flood basalt volcanism in the central Atlantic Ocean. In contrast, the biotic turnover in terrestrial ecosystems is not well understood, and cannot be readily reconciled with the effects of massive volcanism. Here we present pollen, spore and geochemical analyses across the Triassic/Jurassic boundary from three drill cores from Germany and Sweden. We show that gymnosperm forests in northwest Europe were transiently replaced by fern and fern-associated vegetation, a pioneer assemblage commonly found in disturbed ecosystems. The Triassic/Jurassic boundary is also marked by an enrichment of polycyclic aromatic hydrocarbons, which, in the absence of charcoal peaks, we interpret as an indication of incomplete combustion of organic matter by ascending flood basalt lava. We conclude that the terrestrial vegetation shift is so severe and wide ranging that it is unlikely to have been triggered by greenhouse warming alone. Instead, we suggest that the release of pollutants such as sulphur dioxide and toxic compounds such as the polycyclic aromatic hydrocarbons may have contributed to the extinction.","author":[{"dropping-particle":"","family":"Schootbrugge","given":"B","non-dropping-particle":"van de","parse-names":false,"suffix":""},{"dropping-particle":"","family":"Quan","given":"T M","non-dropping-particle":"","parse-names":false,"suffix":""},{"dropping-particle":"","family":"Lindström","given":"S","non-dropping-particle":"","parse-names":false,"suffix":""},{"dropping-particle":"","family":"Püttmann","given":"W","non-dropping-particle":"","parse-names":false,"suffix":""},{"dropping-particle":"","family":"Heunisch","given":"C","non-dropping-particle":"","parse-names":false,"suffix":""},{"dropping-particle":"","family":"Pross","given":"J","non-dropping-particle":"","parse-names":false,"suffix":""},{"dropping-particle":"","family":"Fiebig","given":"J","non-dropping-particle":"","parse-names":false,"suffix":""},{"dropping-particle":"","family":"Petschick","given":"R","non-dropping-particle":"","parse-names":false,"suffix":""},{"dropping-particle":"","family":"Röhling","given":"H.-G.","non-dropping-particle":"","parse-names":false,"suffix":""},{"dropping-particle":"","family":"Richoz","given":"S","non-dropping-particle":"","parse-names":false,"suffix":""},{"dropping-particle":"","family":"Rosenthal","given":"Y","non-dropping-particle":"","parse-names":false,"suffix":""},{"dropping-particle":"","family":"Falkowski","given":"P G","non-dropping-particle":"","parse-names":false,"suffix":""}],"container-title":"Nature Geoscience","id":"ITEM-1","issue":"8","issued":{"date-parts":[["2009"]]},"page":"589-594","title":"Floral changes across the Triassic/Jurassic boundary linked to flood basalt volcanism","type":"article-journal","volume":"2"},"uris":["http://www.mendeley.com/documents/?uuid=7a9f3397-a2a7-4fd8-bfbf-4ff746b02c61"]}],"mendeley":{"formattedCitation":"(van de Schootbrugge et al., 2009)","manualFormatting":"van de Schootbrugge et al., (2009)","plainTextFormattedCitation":"(van de Schootbrugge et al., 2009)","previouslyFormattedCitation":"(van de Schootbrugge et al., 2009)"},"properties":{"noteIndex":0},"schema":"https://github.com/citation-style-language/schema/raw/master/csl-citation.json"}</w:instrText>
      </w:r>
      <w:r w:rsidR="00F57EED">
        <w:rPr>
          <w:rFonts w:ascii="Times New Roman" w:hAnsi="Times New Roman" w:cs="Times New Roman"/>
          <w:sz w:val="24"/>
          <w:szCs w:val="24"/>
        </w:rPr>
        <w:fldChar w:fldCharType="separate"/>
      </w:r>
      <w:r w:rsidR="00F57EED" w:rsidRPr="00F57EED">
        <w:rPr>
          <w:rFonts w:ascii="Times New Roman" w:hAnsi="Times New Roman" w:cs="Times New Roman"/>
          <w:noProof/>
          <w:sz w:val="24"/>
          <w:szCs w:val="24"/>
        </w:rPr>
        <w:t xml:space="preserve">van de Schootbrugge et al., </w:t>
      </w:r>
      <w:r w:rsidR="00F57EED">
        <w:rPr>
          <w:rFonts w:ascii="Times New Roman" w:hAnsi="Times New Roman" w:cs="Times New Roman"/>
          <w:noProof/>
          <w:sz w:val="24"/>
          <w:szCs w:val="24"/>
        </w:rPr>
        <w:t>(</w:t>
      </w:r>
      <w:r w:rsidR="00F57EED" w:rsidRPr="00F57EED">
        <w:rPr>
          <w:rFonts w:ascii="Times New Roman" w:hAnsi="Times New Roman" w:cs="Times New Roman"/>
          <w:noProof/>
          <w:sz w:val="24"/>
          <w:szCs w:val="24"/>
        </w:rPr>
        <w:t>2009)</w:t>
      </w:r>
      <w:r w:rsidR="00F57EED">
        <w:rPr>
          <w:rFonts w:ascii="Times New Roman" w:hAnsi="Times New Roman" w:cs="Times New Roman"/>
          <w:sz w:val="24"/>
          <w:szCs w:val="24"/>
        </w:rPr>
        <w:fldChar w:fldCharType="end"/>
      </w:r>
      <w:r w:rsidR="00F57EED">
        <w:rPr>
          <w:rFonts w:ascii="Times New Roman" w:hAnsi="Times New Roman" w:cs="Times New Roman"/>
          <w:sz w:val="24"/>
          <w:szCs w:val="24"/>
        </w:rPr>
        <w:t xml:space="preserve">, and this study. </w:t>
      </w:r>
      <w:r w:rsidR="006A3421">
        <w:rPr>
          <w:rFonts w:ascii="Times New Roman" w:hAnsi="Times New Roman" w:cs="Times New Roman"/>
          <w:sz w:val="24"/>
          <w:szCs w:val="24"/>
        </w:rPr>
        <w:t xml:space="preserve">Reconstruction in the bottom left after </w:t>
      </w:r>
      <w:r w:rsidR="006A3421">
        <w:rPr>
          <w:rFonts w:ascii="Times New Roman" w:hAnsi="Times New Roman" w:cs="Times New Roman"/>
          <w:sz w:val="24"/>
          <w:szCs w:val="24"/>
        </w:rPr>
        <w:fldChar w:fldCharType="begin" w:fldLock="1"/>
      </w:r>
      <w:r w:rsidR="006A3421">
        <w:rPr>
          <w:rFonts w:ascii="Times New Roman" w:hAnsi="Times New Roman" w:cs="Times New Roman"/>
          <w:sz w:val="24"/>
          <w:szCs w:val="24"/>
        </w:rPr>
        <w:instrText>ADDIN CSL_CITATION {"citationItems":[{"id":"ITEM-1","itemData":{"ISSN":"0091-7613","abstract":"Mass extinction at the Triassic-Jurassic (Tr-J) boundary occurred about the same time (200 Ma) as one of the largest volcanic eruptive events known, that which characterized the Central Atlantic magmatic province. Organic carbon isotope data from the UK and Greenland demonstrate that changes in flora and fauna from terrestrial and marine environments occurred synchronously with a light carbon isotope excursion, and that this happened earlier than the Tr-J boundary marked by ammonites in the UK. The results also point toward synchronicity between extinctions and eruption of the first Central Atlantic magmatic province lavas, suggesting a causal link between loss of taxa and the very earliest eruptive phases. The initial isotopic excursion potentially provides a widely correlatable marker for the base of the Jurassic. A temporary return to heavier values followed, but relatively light carbon dominated the shallow oceanic and atmospheric reservoirs for at least 600 k.y.","author":[{"dropping-particle":"","family":"Hesselbo","given":"Stephen P","non-dropping-particle":"","parse-names":false,"suffix":""},{"dropping-particle":"","family":"Robinson","given":"Stuart A","non-dropping-particle":"","parse-names":false,"suffix":""},{"dropping-particle":"","family":"Surlyk","given":"Finn","non-dropping-particle":"","parse-names":false,"suffix":""},{"dropping-particle":"","family":"Piasecki","given":"Stefan","non-dropping-particle":"","parse-names":false,"suffix":""}],"container-title":"Geology","id":"ITEM-1","issue":"3","issued":{"date-parts":[["2002","3","1"]]},"page":"251-254","title":"Terrestrial and marine extinction at the Triassic-Jurassic boundary synchronized with major carbon-cycle perturbation: A link to initiation of massive volcanism?","type":"article-journal","volume":"30"},"uris":["http://www.mendeley.com/documents/?uuid=c53ba0f4-545e-42d9-99b4-198381a55b6a"]}],"mendeley":{"formattedCitation":"(Hesselbo et al., 2002)","plainTextFormattedCitation":"(Hesselbo et al., 2002)","previouslyFormattedCitation":"(Hesselbo et al., 2002)"},"properties":{"noteIndex":0},"schema":"https://github.com/citation-style-language/schema/raw/master/csl-citation.json"}</w:instrText>
      </w:r>
      <w:r w:rsidR="006A3421">
        <w:rPr>
          <w:rFonts w:ascii="Times New Roman" w:hAnsi="Times New Roman" w:cs="Times New Roman"/>
          <w:sz w:val="24"/>
          <w:szCs w:val="24"/>
        </w:rPr>
        <w:fldChar w:fldCharType="separate"/>
      </w:r>
      <w:r w:rsidR="006A3421" w:rsidRPr="006A3421">
        <w:rPr>
          <w:rFonts w:ascii="Times New Roman" w:hAnsi="Times New Roman" w:cs="Times New Roman"/>
          <w:noProof/>
          <w:sz w:val="24"/>
          <w:szCs w:val="24"/>
        </w:rPr>
        <w:t xml:space="preserve">Hesselbo et al., </w:t>
      </w:r>
      <w:r w:rsidR="006A3421">
        <w:rPr>
          <w:rFonts w:ascii="Times New Roman" w:hAnsi="Times New Roman" w:cs="Times New Roman"/>
          <w:noProof/>
          <w:sz w:val="24"/>
          <w:szCs w:val="24"/>
        </w:rPr>
        <w:t>(</w:t>
      </w:r>
      <w:r w:rsidR="006A3421" w:rsidRPr="006A3421">
        <w:rPr>
          <w:rFonts w:ascii="Times New Roman" w:hAnsi="Times New Roman" w:cs="Times New Roman"/>
          <w:noProof/>
          <w:sz w:val="24"/>
          <w:szCs w:val="24"/>
        </w:rPr>
        <w:t>2002)</w:t>
      </w:r>
      <w:r w:rsidR="006A3421">
        <w:rPr>
          <w:rFonts w:ascii="Times New Roman" w:hAnsi="Times New Roman" w:cs="Times New Roman"/>
          <w:sz w:val="24"/>
          <w:szCs w:val="24"/>
        </w:rPr>
        <w:fldChar w:fldCharType="end"/>
      </w:r>
      <w:r w:rsidR="006A3421">
        <w:rPr>
          <w:rFonts w:ascii="Times New Roman" w:hAnsi="Times New Roman" w:cs="Times New Roman"/>
          <w:sz w:val="24"/>
          <w:szCs w:val="24"/>
        </w:rPr>
        <w:t xml:space="preserve"> and </w:t>
      </w:r>
      <w:r w:rsidR="006A3421">
        <w:rPr>
          <w:rFonts w:ascii="Times New Roman" w:hAnsi="Times New Roman" w:cs="Times New Roman"/>
          <w:sz w:val="24"/>
          <w:szCs w:val="24"/>
        </w:rPr>
        <w:fldChar w:fldCharType="begin" w:fldLock="1"/>
      </w:r>
      <w:r w:rsidR="006A3421">
        <w:rPr>
          <w:rFonts w:ascii="Times New Roman" w:hAnsi="Times New Roman" w:cs="Times New Roman"/>
          <w:sz w:val="24"/>
          <w:szCs w:val="24"/>
        </w:rPr>
        <w:instrText>ADDIN CSL_CITATION {"citationItems":[{"id":"ITEM-1","itemData":{"DOI":"https://doi.org/10.1111/pala.12034","ISSN":"0031-0239","abstract":"Abstract The end-Triassic mass extinction (c. 201.6 Ma) was one of the five largest mass-extinction events in the history of animal life. It was also associated with a dramatic, long-lasting change in sedimentation style along the margins of the Tethys Ocean, from generally organic-matter-poor sediments during the Triassic to generally organic-matter-rich black shales during the Jurassic. New core material from Germany provides biomarker evidence of persistent photic-zone euxinia during the Hettangian, the onset of which is associated with a series of both negative and positive carbon isotope excursions. Combined inorganic and organic geochemical and micropalaeontological analyses reveal strong similarities between the Hettangian and the better-known Toarcian anoxic event. These events appear to be the most clearly expressed events within a series of anoxic episodes that also include poorly studied black shale intervals during the Sinemurian and Pliensbachian. Both the Hettangian and Toarcian events are marked by important changes in phytoplankton assemblages from chromophyte- to chlorophyte-dominated assemblages within the European Epicontinental Seaway. Phytoplankton changes occurred in association with the establishment of photic-zone euxinia, driven by a general increase in salinity stratification and warming of surface waters. For both events, the causes of large negative carbon isotope excursions remain incompletely understood; evidence exists for both variation in the δ13C of atmospheric CO2 and variation in the sources of organic carbon. Regardless of the causes of δ13C variability, long-term ocean anoxia during the Early Jurassic can be attributed to greenhouse warming and increased nutrient delivery to the oceans triggered by flood basalt volcanism.","author":[{"dropping-particle":"","family":"Schootbrugge","given":"Bas","non-dropping-particle":"van de","parse-names":false,"suffix":""},{"dropping-particle":"","family":"Bachan","given":"Aviv","non-dropping-particle":"","parse-names":false,"suffix":""},{"dropping-particle":"","family":"Suan","given":"Guillaume","non-dropping-particle":"","parse-names":false,"suffix":""},{"dropping-particle":"","family":"Richoz","given":"Sylvain","non-dropping-particle":"","parse-names":false,"suffix":""},{"dropping-particle":"","family":"Payne","given":"Jonathan L","non-dropping-particle":"","parse-names":false,"suffix":""}],"container-title":"Palaeontology","id":"ITEM-1","issue":"4","issued":{"date-parts":[["2013","7","1"]]},"note":"https://doi.org/10.1111/pala.12034","page":"685-709","publisher":"John Wiley &amp; Sons, Ltd","title":"Microbes, mud and methane: cause and consequence of recurrent Early Jurassic anoxia following the end-Triassic mass extinction","type":"article-journal","volume":"56"},"uris":["http://www.mendeley.com/documents/?uuid=802e0093-6228-42f3-b6c0-590af0d1b9ea"]}],"mendeley":{"formattedCitation":"(van de Schootbrugge et al., 2013)","manualFormatting":"(van de Schootbrugge et al., (2013)","plainTextFormattedCitation":"(van de Schootbrugge et al., 2013)"},"properties":{"noteIndex":0},"schema":"https://github.com/citation-style-language/schema/raw/master/csl-citation.json"}</w:instrText>
      </w:r>
      <w:r w:rsidR="006A3421">
        <w:rPr>
          <w:rFonts w:ascii="Times New Roman" w:hAnsi="Times New Roman" w:cs="Times New Roman"/>
          <w:sz w:val="24"/>
          <w:szCs w:val="24"/>
        </w:rPr>
        <w:fldChar w:fldCharType="separate"/>
      </w:r>
      <w:r w:rsidR="006A3421" w:rsidRPr="006A3421">
        <w:rPr>
          <w:rFonts w:ascii="Times New Roman" w:hAnsi="Times New Roman" w:cs="Times New Roman"/>
          <w:noProof/>
          <w:sz w:val="24"/>
          <w:szCs w:val="24"/>
        </w:rPr>
        <w:t xml:space="preserve">van de Schootbrugge et al., </w:t>
      </w:r>
      <w:r w:rsidR="006A3421">
        <w:rPr>
          <w:rFonts w:ascii="Times New Roman" w:hAnsi="Times New Roman" w:cs="Times New Roman"/>
          <w:noProof/>
          <w:sz w:val="24"/>
          <w:szCs w:val="24"/>
        </w:rPr>
        <w:t>(</w:t>
      </w:r>
      <w:r w:rsidR="006A3421" w:rsidRPr="006A3421">
        <w:rPr>
          <w:rFonts w:ascii="Times New Roman" w:hAnsi="Times New Roman" w:cs="Times New Roman"/>
          <w:noProof/>
          <w:sz w:val="24"/>
          <w:szCs w:val="24"/>
        </w:rPr>
        <w:t>2013)</w:t>
      </w:r>
      <w:r w:rsidR="006A3421">
        <w:rPr>
          <w:rFonts w:ascii="Times New Roman" w:hAnsi="Times New Roman" w:cs="Times New Roman"/>
          <w:sz w:val="24"/>
          <w:szCs w:val="24"/>
        </w:rPr>
        <w:fldChar w:fldCharType="end"/>
      </w:r>
      <w:r w:rsidR="006A3421">
        <w:rPr>
          <w:rFonts w:ascii="Times New Roman" w:hAnsi="Times New Roman" w:cs="Times New Roman"/>
          <w:sz w:val="24"/>
          <w:szCs w:val="24"/>
        </w:rPr>
        <w:t>.</w:t>
      </w:r>
      <w:r w:rsidR="00A448B0">
        <w:rPr>
          <w:rFonts w:ascii="Times New Roman" w:hAnsi="Times New Roman" w:cs="Times New Roman"/>
          <w:sz w:val="24"/>
          <w:szCs w:val="24"/>
        </w:rPr>
        <w:br w:type="page"/>
      </w:r>
    </w:p>
    <w:p w14:paraId="7BD09796" w14:textId="0E8F9F84" w:rsidR="00AF76F9" w:rsidRDefault="00A448B0" w:rsidP="00251F0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E74C24" wp14:editId="7D1CE396">
            <wp:extent cx="5943268" cy="5255895"/>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268" cy="5255895"/>
                    </a:xfrm>
                    <a:prstGeom prst="rect">
                      <a:avLst/>
                    </a:prstGeom>
                  </pic:spPr>
                </pic:pic>
              </a:graphicData>
            </a:graphic>
          </wp:inline>
        </w:drawing>
      </w:r>
    </w:p>
    <w:p w14:paraId="1621B592" w14:textId="27BBA34F" w:rsidR="005E1192" w:rsidRPr="00A448B0" w:rsidRDefault="00A448B0" w:rsidP="00251F02">
      <w:pPr>
        <w:spacing w:line="360" w:lineRule="auto"/>
        <w:jc w:val="both"/>
        <w:rPr>
          <w:rFonts w:ascii="Times New Roman" w:hAnsi="Times New Roman" w:cs="Times New Roman"/>
          <w:sz w:val="24"/>
          <w:szCs w:val="24"/>
        </w:rPr>
      </w:pPr>
      <w:r>
        <w:rPr>
          <w:rFonts w:ascii="Times New Roman" w:hAnsi="Times New Roman" w:cs="Times New Roman"/>
          <w:sz w:val="24"/>
          <w:szCs w:val="24"/>
        </w:rPr>
        <w:t>Figure S7: Full plots of benzo(</w:t>
      </w:r>
      <w:r>
        <w:rPr>
          <w:rFonts w:ascii="Times New Roman" w:hAnsi="Times New Roman" w:cs="Times New Roman"/>
          <w:i/>
          <w:iCs/>
          <w:sz w:val="24"/>
          <w:szCs w:val="24"/>
        </w:rPr>
        <w:t>a</w:t>
      </w:r>
      <w:r>
        <w:rPr>
          <w:rFonts w:ascii="Times New Roman" w:hAnsi="Times New Roman" w:cs="Times New Roman"/>
          <w:sz w:val="24"/>
          <w:szCs w:val="24"/>
        </w:rPr>
        <w:t>)pyrene, coronene, and ratios of coronene/benzo(</w:t>
      </w:r>
      <w:r>
        <w:rPr>
          <w:rFonts w:ascii="Times New Roman" w:hAnsi="Times New Roman" w:cs="Times New Roman"/>
          <w:i/>
          <w:iCs/>
          <w:sz w:val="24"/>
          <w:szCs w:val="24"/>
        </w:rPr>
        <w:t>a</w:t>
      </w:r>
      <w:r>
        <w:rPr>
          <w:rFonts w:ascii="Times New Roman" w:hAnsi="Times New Roman" w:cs="Times New Roman"/>
          <w:sz w:val="24"/>
          <w:szCs w:val="24"/>
        </w:rPr>
        <w:t>)pyrene at Lilstock (I; left) and St. Audrie’s Bay (II; right).</w:t>
      </w:r>
    </w:p>
    <w:p w14:paraId="193FE241" w14:textId="08DAF0C5" w:rsidR="008D5582" w:rsidRDefault="008D5582" w:rsidP="00251F02">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5805B75" w14:textId="393EC8D1" w:rsidR="00D34560" w:rsidRDefault="006C406A" w:rsidP="00A23A4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S1. PAH compounds used in this study and their </w:t>
      </w:r>
      <w:r>
        <w:rPr>
          <w:rFonts w:ascii="Times New Roman" w:hAnsi="Times New Roman" w:cs="Times New Roman"/>
          <w:i/>
          <w:sz w:val="24"/>
          <w:szCs w:val="24"/>
        </w:rPr>
        <w:t>m/z</w:t>
      </w:r>
      <w:r>
        <w:rPr>
          <w:rFonts w:ascii="Times New Roman" w:hAnsi="Times New Roman" w:cs="Times New Roman"/>
          <w:sz w:val="24"/>
          <w:szCs w:val="24"/>
        </w:rPr>
        <w:t xml:space="preserve"> transition for quantification</w:t>
      </w:r>
      <w:r w:rsidR="00BA210B">
        <w:rPr>
          <w:rFonts w:ascii="Times New Roman" w:hAnsi="Times New Roman" w:cs="Times New Roman"/>
          <w:sz w:val="24"/>
          <w:szCs w:val="24"/>
        </w:rPr>
        <w:t>.</w:t>
      </w:r>
    </w:p>
    <w:p w14:paraId="38AAB977" w14:textId="77777777" w:rsidR="00B95B2B" w:rsidRPr="006C406A" w:rsidRDefault="00B95B2B" w:rsidP="00251F02">
      <w:pPr>
        <w:spacing w:line="36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629"/>
        <w:gridCol w:w="2406"/>
      </w:tblGrid>
      <w:tr w:rsidR="006C406A" w14:paraId="77BDA24E" w14:textId="77777777" w:rsidTr="006C406A">
        <w:trPr>
          <w:jc w:val="center"/>
        </w:trPr>
        <w:tc>
          <w:tcPr>
            <w:tcW w:w="2629" w:type="dxa"/>
            <w:vAlign w:val="center"/>
          </w:tcPr>
          <w:p w14:paraId="08418919" w14:textId="77777777" w:rsidR="006C406A" w:rsidRDefault="006C406A" w:rsidP="00251F02">
            <w:pPr>
              <w:spacing w:line="360" w:lineRule="auto"/>
              <w:jc w:val="center"/>
              <w:rPr>
                <w:rFonts w:ascii="Times New Roman" w:hAnsi="Times New Roman" w:cs="Times New Roman"/>
                <w:sz w:val="24"/>
                <w:szCs w:val="24"/>
              </w:rPr>
            </w:pPr>
            <w:r>
              <w:rPr>
                <w:rFonts w:ascii="Times New Roman" w:hAnsi="Times New Roman" w:cs="Times New Roman"/>
                <w:sz w:val="24"/>
                <w:szCs w:val="24"/>
              </w:rPr>
              <w:t>Compound</w:t>
            </w:r>
          </w:p>
        </w:tc>
        <w:tc>
          <w:tcPr>
            <w:tcW w:w="2406" w:type="dxa"/>
            <w:vAlign w:val="center"/>
          </w:tcPr>
          <w:p w14:paraId="553545A5" w14:textId="77777777" w:rsidR="006C406A" w:rsidRDefault="006C406A" w:rsidP="00251F02">
            <w:pPr>
              <w:spacing w:line="360" w:lineRule="auto"/>
              <w:jc w:val="center"/>
              <w:rPr>
                <w:rFonts w:ascii="Times New Roman" w:hAnsi="Times New Roman" w:cs="Times New Roman"/>
                <w:sz w:val="24"/>
                <w:szCs w:val="24"/>
              </w:rPr>
            </w:pPr>
            <w:r w:rsidRPr="001C2782">
              <w:rPr>
                <w:rFonts w:ascii="Times New Roman" w:hAnsi="Times New Roman" w:cs="Times New Roman"/>
                <w:i/>
                <w:sz w:val="24"/>
                <w:szCs w:val="24"/>
              </w:rPr>
              <w:t>m/z</w:t>
            </w:r>
            <w:r>
              <w:rPr>
                <w:rFonts w:ascii="Times New Roman" w:hAnsi="Times New Roman" w:cs="Times New Roman"/>
                <w:sz w:val="24"/>
                <w:szCs w:val="24"/>
              </w:rPr>
              <w:t xml:space="preserve"> </w:t>
            </w:r>
          </w:p>
        </w:tc>
      </w:tr>
      <w:tr w:rsidR="006C406A" w14:paraId="19A23CB0" w14:textId="77777777" w:rsidTr="006C406A">
        <w:trPr>
          <w:jc w:val="center"/>
        </w:trPr>
        <w:tc>
          <w:tcPr>
            <w:tcW w:w="2629" w:type="dxa"/>
            <w:vAlign w:val="center"/>
          </w:tcPr>
          <w:p w14:paraId="41088299" w14:textId="77777777"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Dibenzothiophene</w:t>
            </w:r>
          </w:p>
        </w:tc>
        <w:tc>
          <w:tcPr>
            <w:tcW w:w="2406" w:type="dxa"/>
            <w:vAlign w:val="center"/>
          </w:tcPr>
          <w:p w14:paraId="7E86EF96"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184</w:t>
            </w:r>
          </w:p>
        </w:tc>
      </w:tr>
      <w:tr w:rsidR="006C406A" w14:paraId="1816B234" w14:textId="77777777" w:rsidTr="006C406A">
        <w:trPr>
          <w:jc w:val="center"/>
        </w:trPr>
        <w:tc>
          <w:tcPr>
            <w:tcW w:w="2629" w:type="dxa"/>
            <w:vAlign w:val="center"/>
          </w:tcPr>
          <w:p w14:paraId="7FFEF4B0" w14:textId="77777777"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Dibenzofuran</w:t>
            </w:r>
          </w:p>
        </w:tc>
        <w:tc>
          <w:tcPr>
            <w:tcW w:w="2406" w:type="dxa"/>
            <w:vAlign w:val="center"/>
          </w:tcPr>
          <w:p w14:paraId="72FE1273"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168</w:t>
            </w:r>
          </w:p>
        </w:tc>
      </w:tr>
      <w:tr w:rsidR="00BA210B" w14:paraId="5668D108" w14:textId="77777777" w:rsidTr="006C406A">
        <w:trPr>
          <w:jc w:val="center"/>
        </w:trPr>
        <w:tc>
          <w:tcPr>
            <w:tcW w:w="2629" w:type="dxa"/>
            <w:vAlign w:val="center"/>
          </w:tcPr>
          <w:p w14:paraId="6C22F785" w14:textId="6AB6A85B" w:rsidR="00BA210B" w:rsidRPr="001C2782" w:rsidRDefault="00BA210B" w:rsidP="00A23A4E">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Methyldibenzofurans</w:t>
            </w:r>
            <w:proofErr w:type="spellEnd"/>
          </w:p>
        </w:tc>
        <w:tc>
          <w:tcPr>
            <w:tcW w:w="2406" w:type="dxa"/>
            <w:vAlign w:val="center"/>
          </w:tcPr>
          <w:p w14:paraId="147E900C" w14:textId="48ED631C" w:rsidR="00BA210B" w:rsidRPr="001C2782" w:rsidRDefault="00BA210B" w:rsidP="00A23A4E">
            <w:pPr>
              <w:spacing w:line="360" w:lineRule="auto"/>
              <w:jc w:val="center"/>
              <w:rPr>
                <w:rFonts w:ascii="Times New Roman" w:hAnsi="Times New Roman" w:cs="Times New Roman"/>
                <w:sz w:val="20"/>
                <w:szCs w:val="20"/>
              </w:rPr>
            </w:pPr>
            <w:r>
              <w:rPr>
                <w:rFonts w:ascii="Times New Roman" w:hAnsi="Times New Roman" w:cs="Times New Roman"/>
                <w:sz w:val="20"/>
                <w:szCs w:val="20"/>
              </w:rPr>
              <w:t>182</w:t>
            </w:r>
          </w:p>
        </w:tc>
      </w:tr>
      <w:tr w:rsidR="006C406A" w14:paraId="12BFE5DE" w14:textId="77777777" w:rsidTr="006C406A">
        <w:trPr>
          <w:jc w:val="center"/>
        </w:trPr>
        <w:tc>
          <w:tcPr>
            <w:tcW w:w="2629" w:type="dxa"/>
            <w:vAlign w:val="center"/>
          </w:tcPr>
          <w:p w14:paraId="39BF2213" w14:textId="5C8E1E2C"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Phenanthrene</w:t>
            </w:r>
            <w:r>
              <w:rPr>
                <w:rFonts w:ascii="Times New Roman" w:hAnsi="Times New Roman" w:cs="Times New Roman"/>
                <w:sz w:val="20"/>
                <w:szCs w:val="20"/>
              </w:rPr>
              <w:t xml:space="preserve">, anthracene, </w:t>
            </w:r>
          </w:p>
        </w:tc>
        <w:tc>
          <w:tcPr>
            <w:tcW w:w="2406" w:type="dxa"/>
            <w:vAlign w:val="center"/>
          </w:tcPr>
          <w:p w14:paraId="748AFAAE" w14:textId="5058ED52"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178</w:t>
            </w:r>
          </w:p>
        </w:tc>
      </w:tr>
      <w:tr w:rsidR="00BA210B" w14:paraId="2647AD14" w14:textId="77777777" w:rsidTr="006C406A">
        <w:trPr>
          <w:jc w:val="center"/>
        </w:trPr>
        <w:tc>
          <w:tcPr>
            <w:tcW w:w="2629" w:type="dxa"/>
            <w:vAlign w:val="center"/>
          </w:tcPr>
          <w:p w14:paraId="6B0D0E8D" w14:textId="7DC7FDAC" w:rsidR="00BA210B" w:rsidRPr="001C2782" w:rsidRDefault="00BA210B" w:rsidP="00A23A4E">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M</w:t>
            </w:r>
            <w:r>
              <w:rPr>
                <w:rFonts w:ascii="Times New Roman" w:hAnsi="Times New Roman" w:cs="Times New Roman"/>
                <w:sz w:val="20"/>
                <w:szCs w:val="20"/>
              </w:rPr>
              <w:t>ethylphenanthrenes</w:t>
            </w:r>
            <w:proofErr w:type="spellEnd"/>
          </w:p>
        </w:tc>
        <w:tc>
          <w:tcPr>
            <w:tcW w:w="2406" w:type="dxa"/>
            <w:vAlign w:val="center"/>
          </w:tcPr>
          <w:p w14:paraId="6EF41E9F" w14:textId="630B9140" w:rsidR="00BA210B" w:rsidRPr="001C2782" w:rsidRDefault="00BA210B" w:rsidP="00A23A4E">
            <w:pPr>
              <w:spacing w:line="360" w:lineRule="auto"/>
              <w:jc w:val="center"/>
              <w:rPr>
                <w:rFonts w:ascii="Times New Roman" w:hAnsi="Times New Roman" w:cs="Times New Roman"/>
                <w:sz w:val="20"/>
                <w:szCs w:val="20"/>
              </w:rPr>
            </w:pPr>
            <w:r>
              <w:rPr>
                <w:rFonts w:ascii="Times New Roman" w:hAnsi="Times New Roman" w:cs="Times New Roman"/>
                <w:sz w:val="20"/>
                <w:szCs w:val="20"/>
              </w:rPr>
              <w:t>192</w:t>
            </w:r>
          </w:p>
        </w:tc>
      </w:tr>
      <w:tr w:rsidR="00BA210B" w14:paraId="3D48EF5E" w14:textId="77777777" w:rsidTr="006C406A">
        <w:trPr>
          <w:jc w:val="center"/>
        </w:trPr>
        <w:tc>
          <w:tcPr>
            <w:tcW w:w="2629" w:type="dxa"/>
            <w:vAlign w:val="center"/>
          </w:tcPr>
          <w:p w14:paraId="1CE20E12" w14:textId="450C2E51" w:rsidR="00BA210B" w:rsidRPr="001C2782" w:rsidRDefault="00BA210B" w:rsidP="00A23A4E">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Ethylphenanthrenes</w:t>
            </w:r>
            <w:proofErr w:type="spellEnd"/>
          </w:p>
        </w:tc>
        <w:tc>
          <w:tcPr>
            <w:tcW w:w="2406" w:type="dxa"/>
            <w:vAlign w:val="center"/>
          </w:tcPr>
          <w:p w14:paraId="27428083" w14:textId="1C3D3C18" w:rsidR="00BA210B" w:rsidRPr="001C2782" w:rsidRDefault="00BA210B" w:rsidP="00A23A4E">
            <w:pPr>
              <w:spacing w:line="360" w:lineRule="auto"/>
              <w:jc w:val="center"/>
              <w:rPr>
                <w:rFonts w:ascii="Times New Roman" w:hAnsi="Times New Roman" w:cs="Times New Roman"/>
                <w:sz w:val="20"/>
                <w:szCs w:val="20"/>
              </w:rPr>
            </w:pPr>
            <w:r>
              <w:rPr>
                <w:rFonts w:ascii="Times New Roman" w:hAnsi="Times New Roman" w:cs="Times New Roman"/>
                <w:sz w:val="20"/>
                <w:szCs w:val="20"/>
              </w:rPr>
              <w:t>206</w:t>
            </w:r>
          </w:p>
        </w:tc>
      </w:tr>
      <w:tr w:rsidR="006C406A" w14:paraId="2F95D1C7" w14:textId="77777777" w:rsidTr="006C406A">
        <w:trPr>
          <w:jc w:val="center"/>
        </w:trPr>
        <w:tc>
          <w:tcPr>
            <w:tcW w:w="2629" w:type="dxa"/>
            <w:vAlign w:val="center"/>
          </w:tcPr>
          <w:p w14:paraId="66E2247A" w14:textId="77777777"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Retene</w:t>
            </w:r>
          </w:p>
        </w:tc>
        <w:tc>
          <w:tcPr>
            <w:tcW w:w="2406" w:type="dxa"/>
            <w:vAlign w:val="center"/>
          </w:tcPr>
          <w:p w14:paraId="0C9E4A52"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234, 219</w:t>
            </w:r>
          </w:p>
        </w:tc>
      </w:tr>
      <w:tr w:rsidR="006C406A" w14:paraId="3DEB536E" w14:textId="77777777" w:rsidTr="006C406A">
        <w:trPr>
          <w:jc w:val="center"/>
        </w:trPr>
        <w:tc>
          <w:tcPr>
            <w:tcW w:w="2629" w:type="dxa"/>
            <w:vAlign w:val="center"/>
          </w:tcPr>
          <w:p w14:paraId="219D9CA8" w14:textId="77777777"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Fluoranthene</w:t>
            </w:r>
            <w:r>
              <w:rPr>
                <w:rFonts w:ascii="Times New Roman" w:hAnsi="Times New Roman" w:cs="Times New Roman"/>
                <w:sz w:val="20"/>
                <w:szCs w:val="20"/>
              </w:rPr>
              <w:t>, pyrene</w:t>
            </w:r>
          </w:p>
        </w:tc>
        <w:tc>
          <w:tcPr>
            <w:tcW w:w="2406" w:type="dxa"/>
            <w:vAlign w:val="center"/>
          </w:tcPr>
          <w:p w14:paraId="368F98F2"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202</w:t>
            </w:r>
          </w:p>
        </w:tc>
      </w:tr>
      <w:tr w:rsidR="006C406A" w14:paraId="3A99FA16" w14:textId="77777777" w:rsidTr="006C406A">
        <w:trPr>
          <w:jc w:val="center"/>
        </w:trPr>
        <w:tc>
          <w:tcPr>
            <w:tcW w:w="2629" w:type="dxa"/>
            <w:vAlign w:val="center"/>
          </w:tcPr>
          <w:p w14:paraId="7050D263" w14:textId="7E953F2C" w:rsidR="00DC6DAF" w:rsidRDefault="00BA210B" w:rsidP="00A23A4E">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Methyl</w:t>
            </w:r>
            <w:r w:rsidR="00DC6DAF">
              <w:rPr>
                <w:rFonts w:ascii="Times New Roman" w:hAnsi="Times New Roman" w:cs="Times New Roman"/>
                <w:sz w:val="20"/>
                <w:szCs w:val="20"/>
              </w:rPr>
              <w:t>f</w:t>
            </w:r>
            <w:r w:rsidR="00DC6DAF" w:rsidRPr="001C2782">
              <w:rPr>
                <w:rFonts w:ascii="Times New Roman" w:hAnsi="Times New Roman" w:cs="Times New Roman"/>
                <w:sz w:val="20"/>
                <w:szCs w:val="20"/>
              </w:rPr>
              <w:t>luoranthene</w:t>
            </w:r>
            <w:proofErr w:type="spellEnd"/>
          </w:p>
          <w:p w14:paraId="07EC82CC" w14:textId="30EBCB98" w:rsidR="006C406A" w:rsidRPr="001C2782" w:rsidRDefault="00DC6DAF" w:rsidP="00251F02">
            <w:pPr>
              <w:spacing w:line="360" w:lineRule="auto"/>
              <w:rPr>
                <w:rFonts w:ascii="Times New Roman" w:hAnsi="Times New Roman" w:cs="Times New Roman"/>
                <w:sz w:val="20"/>
                <w:szCs w:val="20"/>
              </w:rPr>
            </w:pPr>
            <w:proofErr w:type="spellStart"/>
            <w:r>
              <w:rPr>
                <w:rFonts w:ascii="Times New Roman" w:hAnsi="Times New Roman" w:cs="Times New Roman"/>
                <w:sz w:val="20"/>
                <w:szCs w:val="20"/>
              </w:rPr>
              <w:t>Methyl</w:t>
            </w:r>
            <w:r>
              <w:rPr>
                <w:rFonts w:ascii="Times New Roman" w:hAnsi="Times New Roman" w:cs="Times New Roman"/>
                <w:sz w:val="20"/>
                <w:szCs w:val="20"/>
              </w:rPr>
              <w:t>pyrene</w:t>
            </w:r>
            <w:proofErr w:type="spellEnd"/>
          </w:p>
        </w:tc>
        <w:tc>
          <w:tcPr>
            <w:tcW w:w="2406" w:type="dxa"/>
            <w:vAlign w:val="center"/>
          </w:tcPr>
          <w:p w14:paraId="17628BCD" w14:textId="3EA579C3"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2</w:t>
            </w:r>
            <w:r w:rsidR="00DC6DAF">
              <w:rPr>
                <w:rFonts w:ascii="Times New Roman" w:hAnsi="Times New Roman" w:cs="Times New Roman"/>
                <w:sz w:val="20"/>
                <w:szCs w:val="20"/>
              </w:rPr>
              <w:t>16</w:t>
            </w:r>
          </w:p>
        </w:tc>
      </w:tr>
      <w:tr w:rsidR="006C406A" w14:paraId="5F3CF34E" w14:textId="77777777" w:rsidTr="006C406A">
        <w:trPr>
          <w:jc w:val="center"/>
        </w:trPr>
        <w:tc>
          <w:tcPr>
            <w:tcW w:w="2629" w:type="dxa"/>
            <w:vAlign w:val="center"/>
          </w:tcPr>
          <w:p w14:paraId="401BE3D3" w14:textId="77777777"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Benzo[</w:t>
            </w:r>
            <w:r w:rsidRPr="006C406A">
              <w:rPr>
                <w:rFonts w:ascii="Times New Roman" w:hAnsi="Times New Roman" w:cs="Times New Roman"/>
                <w:i/>
                <w:sz w:val="20"/>
                <w:szCs w:val="20"/>
              </w:rPr>
              <w:t>a</w:t>
            </w:r>
            <w:r w:rsidRPr="001C2782">
              <w:rPr>
                <w:rFonts w:ascii="Times New Roman" w:hAnsi="Times New Roman" w:cs="Times New Roman"/>
                <w:sz w:val="20"/>
                <w:szCs w:val="20"/>
              </w:rPr>
              <w:t>]anthracene</w:t>
            </w:r>
            <w:r>
              <w:rPr>
                <w:rFonts w:ascii="Times New Roman" w:hAnsi="Times New Roman" w:cs="Times New Roman"/>
                <w:sz w:val="20"/>
                <w:szCs w:val="20"/>
              </w:rPr>
              <w:t>, chrysene, triphenylene</w:t>
            </w:r>
          </w:p>
        </w:tc>
        <w:tc>
          <w:tcPr>
            <w:tcW w:w="2406" w:type="dxa"/>
            <w:vAlign w:val="center"/>
          </w:tcPr>
          <w:p w14:paraId="08FFFA96"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228</w:t>
            </w:r>
          </w:p>
        </w:tc>
      </w:tr>
      <w:tr w:rsidR="006C406A" w14:paraId="465F092D" w14:textId="77777777" w:rsidTr="006C406A">
        <w:trPr>
          <w:jc w:val="center"/>
        </w:trPr>
        <w:tc>
          <w:tcPr>
            <w:tcW w:w="2629" w:type="dxa"/>
            <w:vAlign w:val="center"/>
          </w:tcPr>
          <w:p w14:paraId="404ED49F" w14:textId="77777777"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Benzo[</w:t>
            </w:r>
            <w:r w:rsidRPr="006C406A">
              <w:rPr>
                <w:rFonts w:ascii="Times New Roman" w:hAnsi="Times New Roman" w:cs="Times New Roman"/>
                <w:i/>
                <w:sz w:val="20"/>
                <w:szCs w:val="20"/>
              </w:rPr>
              <w:t>b/j/</w:t>
            </w:r>
            <w:proofErr w:type="gramStart"/>
            <w:r w:rsidRPr="006C406A">
              <w:rPr>
                <w:rFonts w:ascii="Times New Roman" w:hAnsi="Times New Roman" w:cs="Times New Roman"/>
                <w:i/>
                <w:sz w:val="20"/>
                <w:szCs w:val="20"/>
              </w:rPr>
              <w:t>k</w:t>
            </w:r>
            <w:r w:rsidRPr="001C2782">
              <w:rPr>
                <w:rFonts w:ascii="Times New Roman" w:hAnsi="Times New Roman" w:cs="Times New Roman"/>
                <w:sz w:val="20"/>
                <w:szCs w:val="20"/>
              </w:rPr>
              <w:t>]fluoranthene</w:t>
            </w:r>
            <w:proofErr w:type="gramEnd"/>
            <w:r>
              <w:rPr>
                <w:rFonts w:ascii="Times New Roman" w:hAnsi="Times New Roman" w:cs="Times New Roman"/>
                <w:sz w:val="20"/>
                <w:szCs w:val="20"/>
              </w:rPr>
              <w:t>, benzo[</w:t>
            </w:r>
            <w:r w:rsidRPr="006C406A">
              <w:rPr>
                <w:rFonts w:ascii="Times New Roman" w:hAnsi="Times New Roman" w:cs="Times New Roman"/>
                <w:i/>
                <w:sz w:val="20"/>
                <w:szCs w:val="20"/>
              </w:rPr>
              <w:t>e</w:t>
            </w:r>
            <w:r>
              <w:rPr>
                <w:rFonts w:ascii="Times New Roman" w:hAnsi="Times New Roman" w:cs="Times New Roman"/>
                <w:sz w:val="20"/>
                <w:szCs w:val="20"/>
              </w:rPr>
              <w:t>]pyrene, benzo[</w:t>
            </w:r>
            <w:r w:rsidRPr="006C406A">
              <w:rPr>
                <w:rFonts w:ascii="Times New Roman" w:hAnsi="Times New Roman" w:cs="Times New Roman"/>
                <w:i/>
                <w:sz w:val="20"/>
                <w:szCs w:val="20"/>
              </w:rPr>
              <w:t>a</w:t>
            </w:r>
            <w:r>
              <w:rPr>
                <w:rFonts w:ascii="Times New Roman" w:hAnsi="Times New Roman" w:cs="Times New Roman"/>
                <w:sz w:val="20"/>
                <w:szCs w:val="20"/>
              </w:rPr>
              <w:t>]pyrene</w:t>
            </w:r>
          </w:p>
        </w:tc>
        <w:tc>
          <w:tcPr>
            <w:tcW w:w="2406" w:type="dxa"/>
            <w:vAlign w:val="center"/>
          </w:tcPr>
          <w:p w14:paraId="2B3FB712"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252</w:t>
            </w:r>
          </w:p>
        </w:tc>
      </w:tr>
      <w:tr w:rsidR="006C406A" w14:paraId="466CB273" w14:textId="77777777" w:rsidTr="006C406A">
        <w:trPr>
          <w:jc w:val="center"/>
        </w:trPr>
        <w:tc>
          <w:tcPr>
            <w:tcW w:w="2629" w:type="dxa"/>
            <w:vAlign w:val="center"/>
          </w:tcPr>
          <w:p w14:paraId="35FAED85" w14:textId="77777777"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Perylene</w:t>
            </w:r>
          </w:p>
        </w:tc>
        <w:tc>
          <w:tcPr>
            <w:tcW w:w="2406" w:type="dxa"/>
            <w:vAlign w:val="center"/>
          </w:tcPr>
          <w:p w14:paraId="7676CB93"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252</w:t>
            </w:r>
          </w:p>
        </w:tc>
      </w:tr>
      <w:tr w:rsidR="006C406A" w14:paraId="0C93C1DE" w14:textId="77777777" w:rsidTr="006C406A">
        <w:trPr>
          <w:jc w:val="center"/>
        </w:trPr>
        <w:tc>
          <w:tcPr>
            <w:tcW w:w="2629" w:type="dxa"/>
            <w:vAlign w:val="center"/>
          </w:tcPr>
          <w:p w14:paraId="5306BCEB" w14:textId="77777777" w:rsidR="006C406A" w:rsidRPr="001C2782" w:rsidRDefault="006C406A" w:rsidP="00251F02">
            <w:pPr>
              <w:spacing w:line="360" w:lineRule="auto"/>
              <w:rPr>
                <w:rFonts w:ascii="Times New Roman" w:hAnsi="Times New Roman" w:cs="Times New Roman"/>
                <w:sz w:val="20"/>
                <w:szCs w:val="20"/>
              </w:rPr>
            </w:pPr>
            <w:proofErr w:type="spellStart"/>
            <w:r w:rsidRPr="001C2782">
              <w:rPr>
                <w:rFonts w:ascii="Times New Roman" w:hAnsi="Times New Roman" w:cs="Times New Roman"/>
                <w:sz w:val="20"/>
                <w:szCs w:val="20"/>
              </w:rPr>
              <w:t>Indeno</w:t>
            </w:r>
            <w:proofErr w:type="spellEnd"/>
            <w:r w:rsidRPr="001C2782">
              <w:rPr>
                <w:rFonts w:ascii="Times New Roman" w:hAnsi="Times New Roman" w:cs="Times New Roman"/>
                <w:sz w:val="20"/>
                <w:szCs w:val="20"/>
              </w:rPr>
              <w:t>[1</w:t>
            </w:r>
            <w:r>
              <w:rPr>
                <w:rFonts w:ascii="Times New Roman" w:hAnsi="Times New Roman" w:cs="Times New Roman"/>
                <w:sz w:val="20"/>
                <w:szCs w:val="20"/>
              </w:rPr>
              <w:t>,</w:t>
            </w:r>
            <w:r w:rsidRPr="001C2782">
              <w:rPr>
                <w:rFonts w:ascii="Times New Roman" w:hAnsi="Times New Roman" w:cs="Times New Roman"/>
                <w:sz w:val="20"/>
                <w:szCs w:val="20"/>
              </w:rPr>
              <w:t>2</w:t>
            </w:r>
            <w:r>
              <w:rPr>
                <w:rFonts w:ascii="Times New Roman" w:hAnsi="Times New Roman" w:cs="Times New Roman"/>
                <w:sz w:val="20"/>
                <w:szCs w:val="20"/>
              </w:rPr>
              <w:t>,</w:t>
            </w:r>
            <w:r w:rsidRPr="001C2782">
              <w:rPr>
                <w:rFonts w:ascii="Times New Roman" w:hAnsi="Times New Roman" w:cs="Times New Roman"/>
                <w:sz w:val="20"/>
                <w:szCs w:val="20"/>
              </w:rPr>
              <w:t>3-</w:t>
            </w:r>
            <w:proofErr w:type="gramStart"/>
            <w:r w:rsidRPr="001C2782">
              <w:rPr>
                <w:rFonts w:ascii="Times New Roman" w:hAnsi="Times New Roman" w:cs="Times New Roman"/>
                <w:sz w:val="20"/>
                <w:szCs w:val="20"/>
              </w:rPr>
              <w:t>cd]pyrene</w:t>
            </w:r>
            <w:proofErr w:type="gramEnd"/>
            <w:r>
              <w:rPr>
                <w:rFonts w:ascii="Times New Roman" w:hAnsi="Times New Roman" w:cs="Times New Roman"/>
                <w:sz w:val="20"/>
                <w:szCs w:val="20"/>
              </w:rPr>
              <w:t>, benzo[</w:t>
            </w:r>
            <w:proofErr w:type="spellStart"/>
            <w:r w:rsidRPr="006C406A">
              <w:rPr>
                <w:rFonts w:ascii="Times New Roman" w:hAnsi="Times New Roman" w:cs="Times New Roman"/>
                <w:i/>
                <w:sz w:val="20"/>
                <w:szCs w:val="20"/>
              </w:rPr>
              <w:t>ghi</w:t>
            </w:r>
            <w:proofErr w:type="spellEnd"/>
            <w:r>
              <w:rPr>
                <w:rFonts w:ascii="Times New Roman" w:hAnsi="Times New Roman" w:cs="Times New Roman"/>
                <w:sz w:val="20"/>
                <w:szCs w:val="20"/>
              </w:rPr>
              <w:t>]perylene</w:t>
            </w:r>
          </w:p>
        </w:tc>
        <w:tc>
          <w:tcPr>
            <w:tcW w:w="2406" w:type="dxa"/>
            <w:vAlign w:val="center"/>
          </w:tcPr>
          <w:p w14:paraId="448A66BA"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276</w:t>
            </w:r>
          </w:p>
        </w:tc>
      </w:tr>
      <w:tr w:rsidR="006C406A" w14:paraId="5C55F9A5" w14:textId="77777777" w:rsidTr="006C406A">
        <w:trPr>
          <w:jc w:val="center"/>
        </w:trPr>
        <w:tc>
          <w:tcPr>
            <w:tcW w:w="2629" w:type="dxa"/>
            <w:vAlign w:val="center"/>
          </w:tcPr>
          <w:p w14:paraId="1B812264" w14:textId="77777777" w:rsidR="006C406A" w:rsidRPr="001C2782" w:rsidRDefault="006C406A" w:rsidP="00251F02">
            <w:pPr>
              <w:spacing w:line="360" w:lineRule="auto"/>
              <w:rPr>
                <w:rFonts w:ascii="Times New Roman" w:hAnsi="Times New Roman" w:cs="Times New Roman"/>
                <w:sz w:val="20"/>
                <w:szCs w:val="20"/>
              </w:rPr>
            </w:pPr>
            <w:r w:rsidRPr="001C2782">
              <w:rPr>
                <w:rFonts w:ascii="Times New Roman" w:hAnsi="Times New Roman" w:cs="Times New Roman"/>
                <w:sz w:val="20"/>
                <w:szCs w:val="20"/>
              </w:rPr>
              <w:t>Coronene</w:t>
            </w:r>
          </w:p>
        </w:tc>
        <w:tc>
          <w:tcPr>
            <w:tcW w:w="2406" w:type="dxa"/>
            <w:vAlign w:val="center"/>
          </w:tcPr>
          <w:p w14:paraId="44110768" w14:textId="77777777" w:rsidR="006C406A" w:rsidRPr="001C2782" w:rsidRDefault="006C406A" w:rsidP="00251F02">
            <w:pPr>
              <w:spacing w:line="360" w:lineRule="auto"/>
              <w:jc w:val="center"/>
              <w:rPr>
                <w:rFonts w:ascii="Times New Roman" w:hAnsi="Times New Roman" w:cs="Times New Roman"/>
                <w:sz w:val="20"/>
                <w:szCs w:val="20"/>
              </w:rPr>
            </w:pPr>
            <w:r w:rsidRPr="001C2782">
              <w:rPr>
                <w:rFonts w:ascii="Times New Roman" w:hAnsi="Times New Roman" w:cs="Times New Roman"/>
                <w:sz w:val="20"/>
                <w:szCs w:val="20"/>
              </w:rPr>
              <w:t>300</w:t>
            </w:r>
          </w:p>
        </w:tc>
      </w:tr>
    </w:tbl>
    <w:p w14:paraId="6957191D" w14:textId="3CF20A23" w:rsidR="00D34560" w:rsidRDefault="00D34560" w:rsidP="00A23A4E">
      <w:pPr>
        <w:spacing w:line="360" w:lineRule="auto"/>
        <w:jc w:val="both"/>
        <w:rPr>
          <w:rFonts w:ascii="Times New Roman" w:hAnsi="Times New Roman" w:cs="Times New Roman"/>
          <w:sz w:val="24"/>
          <w:szCs w:val="24"/>
        </w:rPr>
      </w:pPr>
    </w:p>
    <w:p w14:paraId="3E85A709" w14:textId="20A8C669" w:rsidR="00DC6DAF" w:rsidRPr="00080FA7" w:rsidRDefault="00DC6DAF" w:rsidP="00251F02">
      <w:pPr>
        <w:rPr>
          <w:rFonts w:ascii="Times New Roman" w:hAnsi="Times New Roman" w:cs="Times New Roman"/>
          <w:sz w:val="24"/>
          <w:szCs w:val="24"/>
        </w:rPr>
      </w:pPr>
    </w:p>
    <w:sectPr w:rsidR="00DC6DAF" w:rsidRPr="00080F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6EFE4" w14:textId="77777777" w:rsidR="0040117F" w:rsidRDefault="0040117F" w:rsidP="0001779E">
      <w:pPr>
        <w:spacing w:after="0" w:line="240" w:lineRule="auto"/>
      </w:pPr>
      <w:r>
        <w:separator/>
      </w:r>
    </w:p>
  </w:endnote>
  <w:endnote w:type="continuationSeparator" w:id="0">
    <w:p w14:paraId="468C199D" w14:textId="77777777" w:rsidR="0040117F" w:rsidRDefault="0040117F" w:rsidP="00017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53505" w14:textId="77777777" w:rsidR="0040117F" w:rsidRDefault="0040117F" w:rsidP="0001779E">
      <w:pPr>
        <w:spacing w:after="0" w:line="240" w:lineRule="auto"/>
      </w:pPr>
      <w:r>
        <w:separator/>
      </w:r>
    </w:p>
  </w:footnote>
  <w:footnote w:type="continuationSeparator" w:id="0">
    <w:p w14:paraId="1748E723" w14:textId="77777777" w:rsidR="0040117F" w:rsidRDefault="0040117F" w:rsidP="00017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1242F2"/>
    <w:multiLevelType w:val="multilevel"/>
    <w:tmpl w:val="0C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A7"/>
    <w:rsid w:val="0001779E"/>
    <w:rsid w:val="00074285"/>
    <w:rsid w:val="00074BFA"/>
    <w:rsid w:val="00077530"/>
    <w:rsid w:val="00080FA7"/>
    <w:rsid w:val="000A303C"/>
    <w:rsid w:val="000C19F9"/>
    <w:rsid w:val="000E1BC3"/>
    <w:rsid w:val="00112742"/>
    <w:rsid w:val="00173C4E"/>
    <w:rsid w:val="001C2782"/>
    <w:rsid w:val="00251F02"/>
    <w:rsid w:val="002839F2"/>
    <w:rsid w:val="002E576A"/>
    <w:rsid w:val="00353835"/>
    <w:rsid w:val="00391661"/>
    <w:rsid w:val="0040117F"/>
    <w:rsid w:val="00490533"/>
    <w:rsid w:val="00553561"/>
    <w:rsid w:val="005E1192"/>
    <w:rsid w:val="005F58C5"/>
    <w:rsid w:val="006A3421"/>
    <w:rsid w:val="006B46A6"/>
    <w:rsid w:val="006B53D3"/>
    <w:rsid w:val="006C406A"/>
    <w:rsid w:val="00706AAA"/>
    <w:rsid w:val="00711966"/>
    <w:rsid w:val="00722C16"/>
    <w:rsid w:val="00757501"/>
    <w:rsid w:val="00790232"/>
    <w:rsid w:val="008631B5"/>
    <w:rsid w:val="008D5582"/>
    <w:rsid w:val="009A46AE"/>
    <w:rsid w:val="009B711F"/>
    <w:rsid w:val="009C543F"/>
    <w:rsid w:val="009D40CC"/>
    <w:rsid w:val="00A23A4E"/>
    <w:rsid w:val="00A37FB4"/>
    <w:rsid w:val="00A448B0"/>
    <w:rsid w:val="00AF76F9"/>
    <w:rsid w:val="00B03E2E"/>
    <w:rsid w:val="00B6425D"/>
    <w:rsid w:val="00B95B2B"/>
    <w:rsid w:val="00BA210B"/>
    <w:rsid w:val="00BB60D4"/>
    <w:rsid w:val="00BF1B34"/>
    <w:rsid w:val="00D34560"/>
    <w:rsid w:val="00D348D1"/>
    <w:rsid w:val="00D34951"/>
    <w:rsid w:val="00D57951"/>
    <w:rsid w:val="00D86BAE"/>
    <w:rsid w:val="00D97C1F"/>
    <w:rsid w:val="00DC6DAF"/>
    <w:rsid w:val="00E315E1"/>
    <w:rsid w:val="00E80A71"/>
    <w:rsid w:val="00E87143"/>
    <w:rsid w:val="00F063BE"/>
    <w:rsid w:val="00F57EED"/>
    <w:rsid w:val="00FE77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44612"/>
  <w15:chartTrackingRefBased/>
  <w15:docId w15:val="{DD1E5CE0-861E-4741-92F2-D601DF052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FA7"/>
    <w:rPr>
      <w:rFonts w:eastAsiaTheme="minorEastAsia"/>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Summary">
    <w:name w:val="Abstract/Summary"/>
    <w:basedOn w:val="Normal"/>
    <w:link w:val="AbstractSummaryChar"/>
    <w:rsid w:val="00080FA7"/>
    <w:pPr>
      <w:spacing w:before="120" w:after="0" w:line="240" w:lineRule="auto"/>
    </w:pPr>
    <w:rPr>
      <w:rFonts w:ascii="Times New Roman" w:eastAsia="Times New Roman" w:hAnsi="Times New Roman" w:cs="Times New Roman"/>
      <w:sz w:val="24"/>
      <w:szCs w:val="24"/>
      <w:lang w:val="en-US" w:eastAsia="en-US"/>
    </w:rPr>
  </w:style>
  <w:style w:type="paragraph" w:customStyle="1" w:styleId="Authors">
    <w:name w:val="Authors"/>
    <w:basedOn w:val="Normal"/>
    <w:rsid w:val="00080FA7"/>
    <w:pPr>
      <w:spacing w:before="120" w:after="360" w:line="240" w:lineRule="auto"/>
      <w:jc w:val="center"/>
    </w:pPr>
    <w:rPr>
      <w:rFonts w:ascii="Times New Roman" w:eastAsia="Times New Roman" w:hAnsi="Times New Roman" w:cs="Times New Roman"/>
      <w:sz w:val="24"/>
      <w:szCs w:val="24"/>
      <w:lang w:val="en-US" w:eastAsia="en-US"/>
    </w:rPr>
  </w:style>
  <w:style w:type="paragraph" w:customStyle="1" w:styleId="Normal11ptjustified">
    <w:name w:val="Normal 11pt justified"/>
    <w:basedOn w:val="Normal"/>
    <w:rsid w:val="00080FA7"/>
    <w:pPr>
      <w:tabs>
        <w:tab w:val="left" w:pos="504"/>
      </w:tabs>
      <w:spacing w:after="0" w:line="240" w:lineRule="auto"/>
      <w:jc w:val="both"/>
    </w:pPr>
    <w:rPr>
      <w:rFonts w:ascii="Times New Roman" w:eastAsia="Times New Roman" w:hAnsi="Times New Roman" w:cs="Times New Roman"/>
      <w:szCs w:val="20"/>
      <w:lang w:val="en-GB" w:eastAsia="en-US"/>
    </w:rPr>
  </w:style>
  <w:style w:type="table" w:styleId="TableGrid">
    <w:name w:val="Table Grid"/>
    <w:basedOn w:val="TableNormal"/>
    <w:uiPriority w:val="39"/>
    <w:rsid w:val="00D34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77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79E"/>
    <w:rPr>
      <w:rFonts w:eastAsiaTheme="minorEastAsia"/>
      <w:lang w:val="en-AU" w:eastAsia="ja-JP"/>
    </w:rPr>
  </w:style>
  <w:style w:type="paragraph" w:styleId="Footer">
    <w:name w:val="footer"/>
    <w:basedOn w:val="Normal"/>
    <w:link w:val="FooterChar"/>
    <w:uiPriority w:val="99"/>
    <w:unhideWhenUsed/>
    <w:rsid w:val="000177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79E"/>
    <w:rPr>
      <w:rFonts w:eastAsiaTheme="minorEastAsia"/>
      <w:lang w:val="en-AU" w:eastAsia="ja-JP"/>
    </w:rPr>
  </w:style>
  <w:style w:type="character" w:customStyle="1" w:styleId="AbstractSummaryChar">
    <w:name w:val="Abstract/Summary Char"/>
    <w:basedOn w:val="DefaultParagraphFont"/>
    <w:link w:val="AbstractSummary"/>
    <w:locked/>
    <w:rsid w:val="00722C1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428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4285"/>
    <w:rPr>
      <w:rFonts w:ascii="Times New Roman" w:eastAsiaTheme="minorEastAsia" w:hAnsi="Times New Roman" w:cs="Times New Roman"/>
      <w:sz w:val="18"/>
      <w:szCs w:val="18"/>
      <w:lang w:val="en-AU" w:eastAsia="ja-JP"/>
    </w:rPr>
  </w:style>
  <w:style w:type="character" w:styleId="CommentReference">
    <w:name w:val="annotation reference"/>
    <w:basedOn w:val="DefaultParagraphFont"/>
    <w:uiPriority w:val="99"/>
    <w:semiHidden/>
    <w:unhideWhenUsed/>
    <w:rsid w:val="00790232"/>
    <w:rPr>
      <w:sz w:val="18"/>
      <w:szCs w:val="18"/>
    </w:rPr>
  </w:style>
  <w:style w:type="paragraph" w:styleId="CommentText">
    <w:name w:val="annotation text"/>
    <w:basedOn w:val="Normal"/>
    <w:link w:val="CommentTextChar"/>
    <w:uiPriority w:val="99"/>
    <w:semiHidden/>
    <w:unhideWhenUsed/>
    <w:rsid w:val="00790232"/>
    <w:pPr>
      <w:spacing w:line="240" w:lineRule="auto"/>
    </w:pPr>
    <w:rPr>
      <w:sz w:val="24"/>
      <w:szCs w:val="24"/>
    </w:rPr>
  </w:style>
  <w:style w:type="character" w:customStyle="1" w:styleId="CommentTextChar">
    <w:name w:val="Comment Text Char"/>
    <w:basedOn w:val="DefaultParagraphFont"/>
    <w:link w:val="CommentText"/>
    <w:uiPriority w:val="99"/>
    <w:semiHidden/>
    <w:rsid w:val="00790232"/>
    <w:rPr>
      <w:rFonts w:eastAsiaTheme="minorEastAsia"/>
      <w:sz w:val="24"/>
      <w:szCs w:val="24"/>
      <w:lang w:val="en-AU" w:eastAsia="ja-JP"/>
    </w:rPr>
  </w:style>
  <w:style w:type="paragraph" w:styleId="CommentSubject">
    <w:name w:val="annotation subject"/>
    <w:basedOn w:val="CommentText"/>
    <w:next w:val="CommentText"/>
    <w:link w:val="CommentSubjectChar"/>
    <w:uiPriority w:val="99"/>
    <w:semiHidden/>
    <w:unhideWhenUsed/>
    <w:rsid w:val="00790232"/>
    <w:rPr>
      <w:b/>
      <w:bCs/>
      <w:sz w:val="20"/>
      <w:szCs w:val="20"/>
    </w:rPr>
  </w:style>
  <w:style w:type="character" w:customStyle="1" w:styleId="CommentSubjectChar">
    <w:name w:val="Comment Subject Char"/>
    <w:basedOn w:val="CommentTextChar"/>
    <w:link w:val="CommentSubject"/>
    <w:uiPriority w:val="99"/>
    <w:semiHidden/>
    <w:rsid w:val="00790232"/>
    <w:rPr>
      <w:rFonts w:eastAsiaTheme="minorEastAsia"/>
      <w:b/>
      <w:bCs/>
      <w:sz w:val="20"/>
      <w:szCs w:val="20"/>
      <w:lang w:val="en-AU" w:eastAsia="ja-JP"/>
    </w:rPr>
  </w:style>
  <w:style w:type="paragraph" w:styleId="Revision">
    <w:name w:val="Revision"/>
    <w:hidden/>
    <w:uiPriority w:val="99"/>
    <w:semiHidden/>
    <w:rsid w:val="002E576A"/>
    <w:pPr>
      <w:spacing w:after="0" w:line="240" w:lineRule="auto"/>
    </w:pPr>
    <w:rPr>
      <w:rFonts w:eastAsiaTheme="minorEastAsia"/>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99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78185-3A41-4D62-A904-23AD47C1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31232</Words>
  <Characters>178028</Characters>
  <Application>Microsoft Office Word</Application>
  <DocSecurity>0</DocSecurity>
  <Lines>1483</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Calum Peter Fox</dc:creator>
  <cp:keywords/>
  <dc:description/>
  <cp:lastModifiedBy>Calum Peter Fox</cp:lastModifiedBy>
  <cp:revision>2</cp:revision>
  <dcterms:created xsi:type="dcterms:W3CDTF">2022-01-21T16:22:00Z</dcterms:created>
  <dcterms:modified xsi:type="dcterms:W3CDTF">2022-01-21T16:22:00Z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http://www.zotero.org/styles/earth-and-planetary-science-letters</vt:lpwstr>
  </property>
  <property fmtid="{D5CDD505-2E9C-101B-9397-08002B2CF9AE}" pid="11" name="Mendeley Recent Style Name 4_1">
    <vt:lpwstr>Earth and Planetary Science Letters</vt:lpwstr>
  </property>
  <property fmtid="{D5CDD505-2E9C-101B-9397-08002B2CF9AE}" pid="12" name="Mendeley Recent Style Id 5_1">
    <vt:lpwstr>http://www.zotero.org/styles/geology</vt:lpwstr>
  </property>
  <property fmtid="{D5CDD505-2E9C-101B-9397-08002B2CF9AE}" pid="13" name="Mendeley Recent Style Name 5_1">
    <vt:lpwstr>Geology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8bba960e-8d1c-3e1a-8f72-08f4c6193e8e</vt:lpwstr>
  </property>
  <property fmtid="{D5CDD505-2E9C-101B-9397-08002B2CF9AE}" pid="24" name="Mendeley Citation Style_1">
    <vt:lpwstr>http://www.zotero.org/styles/earth-and-planetary-science-letters</vt:lpwstr>
  </property>
  <property fmtid="{D5CDD505-2E9C-101B-9397-08002B2CF9AE}" pid="25" name="_DocHome">
    <vt:i4>1534126692</vt:i4>
  </property>
</Properties>
</file>